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A529">
      <w:pPr>
        <w:spacing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云之龙咨询集团有限公司</w:t>
      </w:r>
    </w:p>
    <w:p w14:paraId="03FBCC4E">
      <w:pPr>
        <w:spacing w:line="360" w:lineRule="auto"/>
        <w:jc w:val="center"/>
        <w:rPr>
          <w:rFonts w:ascii="仿宋" w:hAnsi="仿宋" w:eastAsia="仿宋" w:cs="仿宋"/>
          <w:b/>
          <w:color w:val="auto"/>
          <w:sz w:val="44"/>
          <w:szCs w:val="44"/>
          <w:highlight w:val="none"/>
        </w:rPr>
      </w:pPr>
    </w:p>
    <w:p w14:paraId="61EC831E">
      <w:pPr>
        <w:snapToGrid w:val="0"/>
        <w:spacing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5A5A4613">
      <w:pPr>
        <w:snapToGrid w:val="0"/>
        <w:spacing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0797F0A">
      <w:pPr>
        <w:snapToGrid w:val="0"/>
        <w:spacing w:line="360" w:lineRule="auto"/>
        <w:rPr>
          <w:rFonts w:ascii="仿宋_GB2312" w:hAnsi="宋体" w:eastAsia="仿宋_GB2312"/>
          <w:color w:val="auto"/>
          <w:sz w:val="30"/>
          <w:szCs w:val="72"/>
          <w:highlight w:val="none"/>
        </w:rPr>
      </w:pPr>
    </w:p>
    <w:p w14:paraId="0A076F2D">
      <w:pPr>
        <w:pStyle w:val="14"/>
        <w:snapToGrid w:val="0"/>
        <w:spacing w:line="360" w:lineRule="auto"/>
        <w:ind w:left="2638" w:leftChars="568" w:hanging="1445" w:hangingChars="505"/>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项目名称：广西钦州市钦北区那蒙水闸除险加固（初步设计~施工图设计阶段）勘察设计服务项目</w:t>
      </w:r>
    </w:p>
    <w:p w14:paraId="250C8800">
      <w:pPr>
        <w:pStyle w:val="1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项目编号：QZZC2025-C3-990408-YZLZ</w:t>
      </w:r>
    </w:p>
    <w:p w14:paraId="6422F358">
      <w:pPr>
        <w:pStyle w:val="14"/>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采 购 人：钦州市钦北水利电力管理处 </w:t>
      </w:r>
    </w:p>
    <w:p w14:paraId="6CE8F2E9">
      <w:pPr>
        <w:pStyle w:val="14"/>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3F4CCC4E">
      <w:pPr>
        <w:pStyle w:val="14"/>
        <w:snapToGrid w:val="0"/>
        <w:spacing w:line="360" w:lineRule="auto"/>
        <w:rPr>
          <w:rFonts w:ascii="仿宋_GB2312" w:hAnsi="宋体" w:eastAsia="仿宋_GB2312"/>
          <w:b/>
          <w:bCs/>
          <w:color w:val="auto"/>
          <w:w w:val="95"/>
          <w:sz w:val="30"/>
          <w:szCs w:val="30"/>
          <w:highlight w:val="none"/>
        </w:rPr>
      </w:pPr>
    </w:p>
    <w:p w14:paraId="01A264F7">
      <w:pPr>
        <w:pStyle w:val="14"/>
        <w:snapToGrid w:val="0"/>
        <w:spacing w:line="360" w:lineRule="auto"/>
        <w:ind w:left="420"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 </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26</w:t>
      </w:r>
      <w:r>
        <w:rPr>
          <w:rFonts w:hint="eastAsia" w:ascii="仿宋_GB2312" w:hAnsi="宋体" w:eastAsia="仿宋_GB2312"/>
          <w:b/>
          <w:bCs/>
          <w:color w:val="auto"/>
          <w:w w:val="95"/>
          <w:sz w:val="30"/>
          <w:szCs w:val="30"/>
          <w:highlight w:val="none"/>
        </w:rPr>
        <w:t>日</w:t>
      </w:r>
    </w:p>
    <w:p w14:paraId="5B4A3023">
      <w:pPr>
        <w:spacing w:line="360" w:lineRule="auto"/>
        <w:jc w:val="center"/>
        <w:rPr>
          <w:rFonts w:ascii="仿宋" w:hAnsi="仿宋" w:eastAsia="仿宋" w:cs="仿宋"/>
          <w:b/>
          <w:bCs/>
          <w:color w:val="auto"/>
          <w:kern w:val="0"/>
          <w:sz w:val="32"/>
          <w:szCs w:val="32"/>
          <w:highlight w:val="none"/>
        </w:rPr>
      </w:pPr>
    </w:p>
    <w:p w14:paraId="0A328B03">
      <w:pPr>
        <w:spacing w:line="360" w:lineRule="auto"/>
        <w:jc w:val="center"/>
        <w:rPr>
          <w:rFonts w:ascii="仿宋" w:hAnsi="仿宋" w:eastAsia="仿宋" w:cs="仿宋"/>
          <w:b/>
          <w:bCs/>
          <w:color w:val="auto"/>
          <w:kern w:val="0"/>
          <w:sz w:val="32"/>
          <w:szCs w:val="32"/>
          <w:highlight w:val="none"/>
        </w:rPr>
      </w:pPr>
    </w:p>
    <w:p w14:paraId="32D5384F">
      <w:pPr>
        <w:spacing w:line="360" w:lineRule="auto"/>
        <w:jc w:val="center"/>
        <w:rPr>
          <w:rFonts w:ascii="仿宋" w:hAnsi="仿宋" w:eastAsia="仿宋" w:cs="仿宋"/>
          <w:b/>
          <w:bCs/>
          <w:color w:val="auto"/>
          <w:kern w:val="0"/>
          <w:sz w:val="32"/>
          <w:szCs w:val="32"/>
          <w:highlight w:val="none"/>
        </w:rPr>
      </w:pPr>
    </w:p>
    <w:p w14:paraId="57178195">
      <w:pPr>
        <w:spacing w:line="360" w:lineRule="auto"/>
        <w:jc w:val="center"/>
        <w:rPr>
          <w:rFonts w:ascii="仿宋" w:hAnsi="仿宋" w:eastAsia="仿宋" w:cs="仿宋"/>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5E666FCF">
      <w:pPr>
        <w:pStyle w:val="17"/>
        <w:rPr>
          <w:color w:val="auto"/>
          <w:highlight w:val="none"/>
        </w:rPr>
      </w:pPr>
    </w:p>
    <w:p w14:paraId="2E7C8461">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528BA24C">
      <w:pPr>
        <w:spacing w:line="400" w:lineRule="exact"/>
        <w:jc w:val="center"/>
        <w:rPr>
          <w:rFonts w:ascii="仿宋" w:hAnsi="仿宋" w:eastAsia="仿宋" w:cs="仿宋"/>
          <w:b/>
          <w:color w:val="auto"/>
          <w:sz w:val="44"/>
          <w:szCs w:val="44"/>
          <w:highlight w:val="none"/>
        </w:rPr>
      </w:pPr>
    </w:p>
    <w:p w14:paraId="3F33C268">
      <w:pPr>
        <w:pStyle w:val="19"/>
        <w:tabs>
          <w:tab w:val="right" w:leader="dot" w:pos="8869"/>
        </w:tabs>
        <w:snapToGrid w:val="0"/>
        <w:spacing w:line="500" w:lineRule="atLeast"/>
        <w:rPr>
          <w:rFonts w:ascii="仿宋" w:hAnsi="仿宋" w:eastAsia="仿宋" w:cs="仿宋"/>
          <w:b/>
          <w:color w:val="auto"/>
          <w:sz w:val="24"/>
          <w:highlight w:val="none"/>
        </w:rPr>
      </w:pP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TOC \o "1-3" \h \z \u</w:instrText>
      </w:r>
      <w:r>
        <w:rPr>
          <w:rFonts w:hint="eastAsia" w:ascii="仿宋" w:hAnsi="仿宋" w:eastAsia="仿宋" w:cs="仿宋"/>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27"/>
          <w:rFonts w:hint="eastAsia" w:ascii="仿宋" w:hAnsi="仿宋" w:eastAsia="仿宋" w:cs="仿宋"/>
          <w:b/>
          <w:color w:val="auto"/>
          <w:sz w:val="24"/>
          <w:highlight w:val="none"/>
        </w:rPr>
        <w:t>第一章竞争性磋商公告</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_Toc74323456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54A91765">
      <w:pPr>
        <w:pStyle w:val="19"/>
        <w:tabs>
          <w:tab w:val="right" w:leader="dot" w:pos="8869"/>
        </w:tabs>
        <w:snapToGrid w:val="0"/>
        <w:spacing w:line="500" w:lineRule="atLeast"/>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27"/>
          <w:rFonts w:hint="eastAsia" w:ascii="仿宋" w:hAnsi="仿宋" w:eastAsia="仿宋" w:cs="仿宋"/>
          <w:b/>
          <w:color w:val="auto"/>
          <w:sz w:val="24"/>
          <w:highlight w:val="none"/>
        </w:rPr>
        <w:t>第二章供应</w:t>
      </w:r>
      <w:bookmarkStart w:id="0" w:name="_Hlt82161237"/>
      <w:r>
        <w:rPr>
          <w:rStyle w:val="27"/>
          <w:rFonts w:hint="eastAsia" w:ascii="仿宋" w:hAnsi="仿宋" w:eastAsia="仿宋" w:cs="仿宋"/>
          <w:b/>
          <w:color w:val="auto"/>
          <w:sz w:val="24"/>
          <w:highlight w:val="none"/>
        </w:rPr>
        <w:t>商</w:t>
      </w:r>
      <w:bookmarkEnd w:id="0"/>
      <w:r>
        <w:rPr>
          <w:rStyle w:val="27"/>
          <w:rFonts w:hint="eastAsia" w:ascii="仿宋" w:hAnsi="仿宋" w:eastAsia="仿宋" w:cs="仿宋"/>
          <w:b/>
          <w:color w:val="auto"/>
          <w:sz w:val="24"/>
          <w:highlight w:val="none"/>
        </w:rPr>
        <w:t>须知</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_Toc74323457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6</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3BE5EE77">
      <w:pPr>
        <w:pStyle w:val="19"/>
        <w:tabs>
          <w:tab w:val="right" w:leader="dot" w:pos="8869"/>
        </w:tabs>
        <w:snapToGrid w:val="0"/>
        <w:spacing w:line="500" w:lineRule="atLeast"/>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27"/>
          <w:rFonts w:hint="eastAsia" w:ascii="仿宋" w:hAnsi="仿宋" w:eastAsia="仿宋" w:cs="仿宋"/>
          <w:b/>
          <w:color w:val="auto"/>
          <w:sz w:val="24"/>
          <w:highlight w:val="none"/>
        </w:rPr>
        <w:t>第三章采购需</w:t>
      </w:r>
      <w:bookmarkStart w:id="1" w:name="_Hlt82166940"/>
      <w:r>
        <w:rPr>
          <w:rStyle w:val="27"/>
          <w:rFonts w:hint="eastAsia" w:ascii="仿宋" w:hAnsi="仿宋" w:eastAsia="仿宋" w:cs="仿宋"/>
          <w:b/>
          <w:color w:val="auto"/>
          <w:sz w:val="24"/>
          <w:highlight w:val="none"/>
        </w:rPr>
        <w:t>求</w:t>
      </w:r>
      <w:bookmarkEnd w:id="1"/>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_Toc74323458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24</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436B8F90">
      <w:pPr>
        <w:pStyle w:val="19"/>
        <w:tabs>
          <w:tab w:val="right" w:leader="dot" w:pos="8869"/>
        </w:tabs>
        <w:snapToGrid w:val="0"/>
        <w:spacing w:line="500" w:lineRule="atLeast"/>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27"/>
          <w:rFonts w:hint="eastAsia" w:ascii="仿宋" w:hAnsi="仿宋" w:eastAsia="仿宋" w:cs="仿宋"/>
          <w:b/>
          <w:color w:val="auto"/>
          <w:sz w:val="24"/>
          <w:highlight w:val="none"/>
        </w:rPr>
        <w:t>第四章评审程序、</w:t>
      </w:r>
      <w:bookmarkStart w:id="2" w:name="_Hlt82166000"/>
      <w:r>
        <w:rPr>
          <w:rStyle w:val="27"/>
          <w:rFonts w:hint="eastAsia" w:ascii="仿宋" w:hAnsi="仿宋" w:eastAsia="仿宋" w:cs="仿宋"/>
          <w:b/>
          <w:color w:val="auto"/>
          <w:sz w:val="24"/>
          <w:highlight w:val="none"/>
        </w:rPr>
        <w:t>评</w:t>
      </w:r>
      <w:bookmarkEnd w:id="2"/>
      <w:r>
        <w:rPr>
          <w:rStyle w:val="27"/>
          <w:rFonts w:hint="eastAsia" w:ascii="仿宋" w:hAnsi="仿宋" w:eastAsia="仿宋" w:cs="仿宋"/>
          <w:b/>
          <w:color w:val="auto"/>
          <w:sz w:val="24"/>
          <w:highlight w:val="none"/>
        </w:rPr>
        <w:t>审方法和评审标准</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_Toc74323459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29</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2E91583E">
      <w:pPr>
        <w:pStyle w:val="19"/>
        <w:tabs>
          <w:tab w:val="right" w:leader="dot" w:pos="8869"/>
        </w:tabs>
        <w:snapToGrid w:val="0"/>
        <w:spacing w:line="500" w:lineRule="atLeast"/>
        <w:rPr>
          <w:rFonts w:ascii="仿宋" w:hAnsi="仿宋" w:eastAsia="仿宋" w:cs="仿宋"/>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27"/>
          <w:rFonts w:hint="eastAsia" w:ascii="仿宋" w:hAnsi="仿宋" w:eastAsia="仿宋" w:cs="仿宋"/>
          <w:b/>
          <w:color w:val="auto"/>
          <w:sz w:val="24"/>
          <w:highlight w:val="none"/>
        </w:rPr>
        <w:t>第五章响应文件格式</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_Toc74323460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37</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0AD977C3">
      <w:pPr>
        <w:pStyle w:val="19"/>
        <w:tabs>
          <w:tab w:val="right" w:leader="dot" w:pos="8869"/>
        </w:tabs>
        <w:snapToGrid w:val="0"/>
        <w:spacing w:line="500" w:lineRule="atLeast"/>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27"/>
          <w:rFonts w:hint="eastAsia" w:ascii="仿宋" w:hAnsi="仿宋" w:eastAsia="仿宋" w:cs="仿宋"/>
          <w:b/>
          <w:color w:val="auto"/>
          <w:sz w:val="24"/>
          <w:highlight w:val="none"/>
        </w:rPr>
        <w:t>第六章合同文本</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 PAGEREF _Toc74323461 \h </w:instrText>
      </w:r>
      <w:r>
        <w:rPr>
          <w:rFonts w:hint="eastAsia" w:ascii="仿宋" w:hAnsi="仿宋" w:eastAsia="仿宋" w:cs="仿宋"/>
          <w:b/>
          <w:color w:val="auto"/>
          <w:sz w:val="24"/>
          <w:highlight w:val="none"/>
        </w:rPr>
        <w:fldChar w:fldCharType="separate"/>
      </w:r>
      <w:r>
        <w:rPr>
          <w:rFonts w:hint="eastAsia" w:ascii="仿宋" w:hAnsi="仿宋" w:eastAsia="仿宋" w:cs="仿宋"/>
          <w:b/>
          <w:color w:val="auto"/>
          <w:sz w:val="24"/>
          <w:highlight w:val="none"/>
        </w:rPr>
        <w:t>63</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fldChar w:fldCharType="end"/>
      </w:r>
    </w:p>
    <w:p w14:paraId="0F879F10">
      <w:pPr>
        <w:pStyle w:val="20"/>
        <w:tabs>
          <w:tab w:val="right" w:leader="dot" w:pos="8931"/>
          <w:tab w:val="clear" w:pos="8296"/>
        </w:tabs>
        <w:snapToGrid w:val="0"/>
        <w:spacing w:line="500" w:lineRule="atLeast"/>
        <w:ind w:left="0" w:leftChars="0"/>
        <w:rPr>
          <w:rFonts w:ascii="仿宋" w:hAnsi="仿宋" w:eastAsia="仿宋" w:cs="仿宋"/>
          <w:b/>
          <w:color w:val="auto"/>
          <w:sz w:val="24"/>
          <w:highlight w:val="none"/>
        </w:rPr>
      </w:pPr>
      <w:r>
        <w:rPr>
          <w:rFonts w:hint="eastAsia" w:ascii="仿宋" w:hAnsi="仿宋" w:eastAsia="仿宋" w:cs="仿宋"/>
          <w:b/>
          <w:color w:val="auto"/>
          <w:sz w:val="24"/>
          <w:highlight w:val="none"/>
        </w:rPr>
        <w:fldChar w:fldCharType="end"/>
      </w:r>
    </w:p>
    <w:p w14:paraId="7C91B0DB">
      <w:pPr>
        <w:spacing w:line="400" w:lineRule="exact"/>
        <w:jc w:val="left"/>
        <w:rPr>
          <w:rFonts w:ascii="仿宋" w:hAnsi="仿宋" w:eastAsia="仿宋" w:cs="仿宋"/>
          <w:b/>
          <w:color w:val="auto"/>
          <w:sz w:val="32"/>
          <w:szCs w:val="32"/>
          <w:highlight w:val="none"/>
        </w:rPr>
      </w:pPr>
    </w:p>
    <w:p w14:paraId="40BA3143">
      <w:pPr>
        <w:spacing w:line="400" w:lineRule="exact"/>
        <w:jc w:val="center"/>
        <w:rPr>
          <w:rFonts w:ascii="仿宋" w:hAnsi="仿宋" w:eastAsia="仿宋" w:cs="仿宋"/>
          <w:b/>
          <w:color w:val="auto"/>
          <w:sz w:val="32"/>
          <w:szCs w:val="32"/>
          <w:highlight w:val="none"/>
        </w:rPr>
      </w:pPr>
    </w:p>
    <w:p w14:paraId="0D5226A9">
      <w:pPr>
        <w:spacing w:line="400" w:lineRule="exact"/>
        <w:jc w:val="center"/>
        <w:rPr>
          <w:rFonts w:ascii="仿宋" w:hAnsi="仿宋" w:eastAsia="仿宋" w:cs="仿宋"/>
          <w:b/>
          <w:color w:val="auto"/>
          <w:sz w:val="32"/>
          <w:szCs w:val="32"/>
          <w:highlight w:val="none"/>
        </w:rPr>
      </w:pPr>
    </w:p>
    <w:p w14:paraId="527D300D">
      <w:pPr>
        <w:spacing w:line="400" w:lineRule="exact"/>
        <w:jc w:val="center"/>
        <w:rPr>
          <w:rFonts w:ascii="仿宋" w:hAnsi="仿宋" w:eastAsia="仿宋" w:cs="仿宋"/>
          <w:b/>
          <w:color w:val="auto"/>
          <w:sz w:val="32"/>
          <w:szCs w:val="32"/>
          <w:highlight w:val="none"/>
        </w:rPr>
      </w:pPr>
    </w:p>
    <w:p w14:paraId="78EDB5A0">
      <w:pPr>
        <w:spacing w:line="400" w:lineRule="exact"/>
        <w:jc w:val="center"/>
        <w:rPr>
          <w:rFonts w:ascii="仿宋" w:hAnsi="仿宋" w:eastAsia="仿宋" w:cs="仿宋"/>
          <w:b/>
          <w:color w:val="auto"/>
          <w:sz w:val="32"/>
          <w:szCs w:val="32"/>
          <w:highlight w:val="none"/>
        </w:rPr>
      </w:pPr>
    </w:p>
    <w:p w14:paraId="1CF9053A">
      <w:pPr>
        <w:spacing w:line="400" w:lineRule="exact"/>
        <w:rPr>
          <w:rFonts w:ascii="仿宋" w:hAnsi="仿宋" w:eastAsia="仿宋" w:cs="仿宋"/>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5333AF30">
      <w:pPr>
        <w:pStyle w:val="3"/>
        <w:jc w:val="center"/>
        <w:rPr>
          <w:rFonts w:ascii="仿宋" w:hAnsi="仿宋" w:eastAsia="仿宋" w:cs="仿宋"/>
          <w:color w:val="auto"/>
          <w:highlight w:val="none"/>
        </w:rPr>
      </w:pPr>
      <w:bookmarkStart w:id="3" w:name="_Toc74323456"/>
      <w:r>
        <w:rPr>
          <w:rFonts w:hint="eastAsia" w:ascii="仿宋" w:hAnsi="仿宋" w:eastAsia="仿宋" w:cs="仿宋"/>
          <w:color w:val="auto"/>
          <w:highlight w:val="none"/>
        </w:rPr>
        <w:t>第一章 竞争性磋商公告</w:t>
      </w:r>
      <w:bookmarkEnd w:id="3"/>
    </w:p>
    <w:p w14:paraId="41FE9D66">
      <w:pPr>
        <w:spacing w:line="400" w:lineRule="exact"/>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竞争性磋商公告</w:t>
      </w:r>
    </w:p>
    <w:p w14:paraId="3619F79D">
      <w:pPr>
        <w:spacing w:line="440" w:lineRule="exact"/>
        <w:rPr>
          <w:rFonts w:ascii="仿宋" w:hAnsi="仿宋" w:eastAsia="仿宋" w:cs="仿宋"/>
          <w:color w:val="auto"/>
          <w:szCs w:val="21"/>
          <w:highlight w:val="none"/>
        </w:rPr>
      </w:pPr>
    </w:p>
    <w:p w14:paraId="017FACCA">
      <w:pPr>
        <w:pBdr>
          <w:top w:val="single" w:color="auto" w:sz="4" w:space="1"/>
          <w:left w:val="single" w:color="auto" w:sz="4" w:space="4"/>
          <w:bottom w:val="single" w:color="auto" w:sz="4" w:space="1"/>
          <w:right w:val="single" w:color="auto" w:sz="4" w:space="4"/>
        </w:pBdr>
        <w:spacing w:line="440" w:lineRule="exact"/>
        <w:ind w:firstLine="420" w:firstLineChars="200"/>
        <w:rPr>
          <w:rFonts w:asciiTheme="minorEastAsia" w:hAnsiTheme="minorEastAsia" w:eastAsiaTheme="minorEastAsia" w:cstheme="minorEastAsia"/>
          <w:color w:val="auto"/>
          <w:szCs w:val="21"/>
          <w:highlight w:val="none"/>
        </w:rPr>
      </w:pPr>
      <w:bookmarkStart w:id="4" w:name="_Hlk37430271"/>
      <w:r>
        <w:rPr>
          <w:rFonts w:hint="eastAsia" w:asciiTheme="minorEastAsia" w:hAnsiTheme="minorEastAsia" w:eastAsiaTheme="minorEastAsia" w:cstheme="minorEastAsia"/>
          <w:color w:val="auto"/>
          <w:szCs w:val="21"/>
          <w:highlight w:val="none"/>
        </w:rPr>
        <w:t>项目概况</w:t>
      </w:r>
    </w:p>
    <w:p w14:paraId="3D790DE7">
      <w:pPr>
        <w:pBdr>
          <w:top w:val="single" w:color="auto" w:sz="4" w:space="1"/>
          <w:left w:val="single" w:color="auto" w:sz="4" w:space="4"/>
          <w:bottom w:val="single" w:color="auto" w:sz="4" w:space="1"/>
          <w:right w:val="single" w:color="auto" w:sz="4" w:space="4"/>
        </w:pBd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u w:val="single"/>
          <w:lang w:eastAsia="zh-CN"/>
        </w:rPr>
        <w:t>广西钦州市钦北区那蒙水闸除险加固（初步设计~施工图设计阶段）勘察设计服务项目</w:t>
      </w:r>
      <w:r>
        <w:rPr>
          <w:rFonts w:hint="eastAsia" w:asciiTheme="minorEastAsia" w:hAnsiTheme="minorEastAsia" w:eastAsiaTheme="minorEastAsia" w:cstheme="minorEastAsia"/>
          <w:color w:val="auto"/>
          <w:szCs w:val="21"/>
          <w:highlight w:val="none"/>
        </w:rPr>
        <w:t>采购的潜在供应商应在广西政府采购云平台（https://www.gcy.zfcg.gxzf.gov.cn/）获取（下载）竞争性磋商文件，并于</w:t>
      </w:r>
      <w:r>
        <w:rPr>
          <w:rFonts w:hint="eastAsia" w:asciiTheme="minorEastAsia" w:hAnsiTheme="minorEastAsia" w:eastAsiaTheme="minorEastAsia" w:cstheme="minorEastAsia"/>
          <w:color w:val="auto"/>
          <w:szCs w:val="21"/>
          <w:highlight w:val="none"/>
          <w:u w:val="single"/>
        </w:rPr>
        <w:t xml:space="preserve"> 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1</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时</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0分（</w:t>
      </w:r>
      <w:r>
        <w:rPr>
          <w:rFonts w:hint="eastAsia" w:asciiTheme="minorEastAsia" w:hAnsiTheme="minorEastAsia" w:eastAsiaTheme="minorEastAsia" w:cstheme="minorEastAsia"/>
          <w:bCs/>
          <w:color w:val="auto"/>
          <w:szCs w:val="21"/>
          <w:highlight w:val="none"/>
        </w:rPr>
        <w:t>北京时间）前提交（上传）</w:t>
      </w:r>
      <w:r>
        <w:rPr>
          <w:rFonts w:hint="eastAsia" w:asciiTheme="minorEastAsia" w:hAnsiTheme="minorEastAsia" w:eastAsiaTheme="minorEastAsia" w:cstheme="minorEastAsia"/>
          <w:color w:val="auto"/>
          <w:szCs w:val="21"/>
          <w:highlight w:val="none"/>
        </w:rPr>
        <w:t>响应</w:t>
      </w:r>
      <w:r>
        <w:rPr>
          <w:rFonts w:hint="eastAsia" w:asciiTheme="minorEastAsia" w:hAnsiTheme="minorEastAsia" w:eastAsiaTheme="minorEastAsia" w:cstheme="minorEastAsia"/>
          <w:bCs/>
          <w:color w:val="auto"/>
          <w:szCs w:val="21"/>
          <w:highlight w:val="none"/>
        </w:rPr>
        <w:t>文件</w:t>
      </w:r>
      <w:r>
        <w:rPr>
          <w:rFonts w:hint="eastAsia" w:asciiTheme="minorEastAsia" w:hAnsiTheme="minorEastAsia" w:eastAsiaTheme="minorEastAsia" w:cstheme="minorEastAsia"/>
          <w:color w:val="auto"/>
          <w:szCs w:val="21"/>
          <w:highlight w:val="none"/>
        </w:rPr>
        <w:t>。</w:t>
      </w:r>
    </w:p>
    <w:p w14:paraId="23313693">
      <w:pPr>
        <w:spacing w:line="440" w:lineRule="exact"/>
        <w:ind w:firstLine="354" w:firstLineChars="147"/>
        <w:rPr>
          <w:rFonts w:asciiTheme="minorEastAsia" w:hAnsiTheme="minorEastAsia" w:eastAsiaTheme="minorEastAsia" w:cstheme="minorEastAsia"/>
          <w:b/>
          <w:color w:val="auto"/>
          <w:sz w:val="24"/>
          <w:highlight w:val="none"/>
        </w:rPr>
      </w:pPr>
      <w:bookmarkStart w:id="5" w:name="_Toc71365905"/>
      <w:bookmarkStart w:id="6" w:name="_Toc44229878"/>
      <w:bookmarkStart w:id="7" w:name="_Toc28359089"/>
      <w:bookmarkStart w:id="8" w:name="_Toc28359012"/>
      <w:bookmarkStart w:id="9" w:name="_Toc35393629"/>
      <w:bookmarkStart w:id="10" w:name="_Toc35393798"/>
      <w:r>
        <w:rPr>
          <w:rFonts w:hint="eastAsia" w:asciiTheme="minorEastAsia" w:hAnsiTheme="minorEastAsia" w:eastAsiaTheme="minorEastAsia" w:cstheme="minorEastAsia"/>
          <w:b/>
          <w:color w:val="auto"/>
          <w:sz w:val="24"/>
          <w:highlight w:val="none"/>
        </w:rPr>
        <w:t>一、项目基本情况</w:t>
      </w:r>
      <w:bookmarkEnd w:id="5"/>
      <w:bookmarkEnd w:id="6"/>
      <w:bookmarkEnd w:id="7"/>
      <w:bookmarkEnd w:id="8"/>
      <w:bookmarkEnd w:id="9"/>
      <w:bookmarkEnd w:id="10"/>
    </w:p>
    <w:p w14:paraId="3D0E9A5B">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项目编号：QZZC2025-C3-990408-YZLZ</w:t>
      </w:r>
    </w:p>
    <w:p w14:paraId="04A843F1">
      <w:pPr>
        <w:spacing w:line="440" w:lineRule="exact"/>
        <w:ind w:firstLine="420" w:firstLineChars="200"/>
        <w:rPr>
          <w:rFonts w:hint="eastAsia" w:asciiTheme="minorEastAsia" w:hAnsiTheme="minorEastAsia" w:eastAsiaTheme="minorEastAsia" w:cstheme="minorEastAsia"/>
          <w:bCs/>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u w:val="single"/>
          <w:lang w:eastAsia="zh-CN"/>
        </w:rPr>
        <w:t>广西钦州市钦北区那蒙水闸除险加固（初步设计~施工图设计阶段）勘察</w:t>
      </w:r>
    </w:p>
    <w:p w14:paraId="3A58407E">
      <w:pPr>
        <w:spacing w:line="440" w:lineRule="exact"/>
        <w:ind w:firstLine="1470" w:firstLineChars="700"/>
        <w:rPr>
          <w:rFonts w:hint="eastAsia" w:asciiTheme="minorEastAsia" w:hAnsiTheme="minorEastAsia" w:eastAsiaTheme="minorEastAsia" w:cstheme="minorEastAsia"/>
          <w:bCs/>
          <w:color w:val="auto"/>
          <w:szCs w:val="21"/>
          <w:highlight w:val="none"/>
          <w:u w:val="single"/>
          <w:lang w:eastAsia="zh-CN"/>
        </w:rPr>
      </w:pPr>
      <w:r>
        <w:rPr>
          <w:rFonts w:hint="eastAsia" w:asciiTheme="minorEastAsia" w:hAnsiTheme="minorEastAsia" w:eastAsiaTheme="minorEastAsia" w:cstheme="minorEastAsia"/>
          <w:bCs/>
          <w:color w:val="auto"/>
          <w:szCs w:val="21"/>
          <w:highlight w:val="none"/>
          <w:u w:val="single"/>
          <w:lang w:eastAsia="zh-CN"/>
        </w:rPr>
        <w:t>设计服务项目</w:t>
      </w:r>
    </w:p>
    <w:p w14:paraId="234DEC26">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采购方式：竞争性磋商</w:t>
      </w:r>
    </w:p>
    <w:p w14:paraId="1D4DE477">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预算金额：人民币</w:t>
      </w:r>
      <w:r>
        <w:rPr>
          <w:rFonts w:hint="eastAsia" w:asciiTheme="minorEastAsia" w:hAnsiTheme="minorEastAsia" w:eastAsiaTheme="minorEastAsia" w:cstheme="minorEastAsia"/>
          <w:color w:val="auto"/>
          <w:szCs w:val="21"/>
          <w:highlight w:val="none"/>
          <w:lang w:val="en-US" w:eastAsia="zh-CN"/>
        </w:rPr>
        <w:t>柒拾陆万伍仟陆佰元整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765600.00</w:t>
      </w:r>
      <w:r>
        <w:rPr>
          <w:rFonts w:hint="eastAsia" w:asciiTheme="minorEastAsia" w:hAnsiTheme="minorEastAsia" w:eastAsiaTheme="minorEastAsia" w:cstheme="minorEastAsia"/>
          <w:color w:val="auto"/>
          <w:szCs w:val="21"/>
          <w:highlight w:val="none"/>
        </w:rPr>
        <w:t>）</w:t>
      </w:r>
    </w:p>
    <w:p w14:paraId="7791E2F9">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最高限价：人民币</w:t>
      </w:r>
      <w:r>
        <w:rPr>
          <w:rFonts w:hint="eastAsia" w:asciiTheme="minorEastAsia" w:hAnsiTheme="minorEastAsia" w:eastAsiaTheme="minorEastAsia" w:cstheme="minorEastAsia"/>
          <w:color w:val="auto"/>
          <w:szCs w:val="21"/>
          <w:highlight w:val="none"/>
          <w:lang w:val="en-US" w:eastAsia="zh-CN"/>
        </w:rPr>
        <w:t>柒拾陆万伍仟陆佰元整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765600.00</w:t>
      </w:r>
      <w:r>
        <w:rPr>
          <w:rFonts w:hint="eastAsia" w:asciiTheme="minorEastAsia" w:hAnsiTheme="minorEastAsia" w:eastAsiaTheme="minorEastAsia" w:cstheme="minorEastAsia"/>
          <w:color w:val="auto"/>
          <w:szCs w:val="21"/>
          <w:highlight w:val="none"/>
        </w:rPr>
        <w:t>）</w:t>
      </w:r>
    </w:p>
    <w:p w14:paraId="1A4D7784">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采购需求：</w:t>
      </w:r>
    </w:p>
    <w:tbl>
      <w:tblPr>
        <w:tblStyle w:val="2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364"/>
        <w:gridCol w:w="828"/>
        <w:gridCol w:w="5888"/>
      </w:tblGrid>
      <w:tr w14:paraId="7DE6F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97C202">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364" w:type="dxa"/>
            <w:tcBorders>
              <w:top w:val="single" w:color="auto" w:sz="4" w:space="0"/>
              <w:left w:val="single" w:color="auto" w:sz="4" w:space="0"/>
              <w:bottom w:val="single" w:color="auto" w:sz="4" w:space="0"/>
              <w:right w:val="single" w:color="auto" w:sz="4" w:space="0"/>
            </w:tcBorders>
            <w:vAlign w:val="center"/>
          </w:tcPr>
          <w:p w14:paraId="6ABD0295">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828" w:type="dxa"/>
            <w:tcBorders>
              <w:top w:val="single" w:color="auto" w:sz="4" w:space="0"/>
              <w:left w:val="single" w:color="auto" w:sz="4" w:space="0"/>
              <w:bottom w:val="single" w:color="auto" w:sz="4" w:space="0"/>
              <w:right w:val="single" w:color="auto" w:sz="4" w:space="0"/>
            </w:tcBorders>
            <w:vAlign w:val="center"/>
          </w:tcPr>
          <w:p w14:paraId="20E26E34">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w:t>
            </w:r>
          </w:p>
          <w:p w14:paraId="6A4335E8">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5888" w:type="dxa"/>
            <w:tcBorders>
              <w:top w:val="single" w:color="auto" w:sz="4" w:space="0"/>
              <w:left w:val="single" w:color="auto" w:sz="4" w:space="0"/>
              <w:bottom w:val="single" w:color="auto" w:sz="4" w:space="0"/>
              <w:right w:val="single" w:color="auto" w:sz="4" w:space="0"/>
            </w:tcBorders>
            <w:vAlign w:val="center"/>
          </w:tcPr>
          <w:p w14:paraId="2E3091E0">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30BBF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51301D">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w:t>
            </w:r>
          </w:p>
        </w:tc>
        <w:tc>
          <w:tcPr>
            <w:tcW w:w="1364" w:type="dxa"/>
            <w:tcBorders>
              <w:top w:val="single" w:color="auto" w:sz="4" w:space="0"/>
              <w:left w:val="single" w:color="auto" w:sz="4" w:space="0"/>
              <w:bottom w:val="single" w:color="auto" w:sz="4" w:space="0"/>
              <w:right w:val="single" w:color="auto" w:sz="4" w:space="0"/>
            </w:tcBorders>
            <w:vAlign w:val="center"/>
          </w:tcPr>
          <w:p w14:paraId="3B4840F5">
            <w:pPr>
              <w:spacing w:line="440" w:lineRule="exac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广西钦州市钦北区那蒙水闸除险加固（初步设计~施工图设计阶段）勘察设计服务项目</w:t>
            </w:r>
          </w:p>
        </w:tc>
        <w:tc>
          <w:tcPr>
            <w:tcW w:w="828" w:type="dxa"/>
            <w:tcBorders>
              <w:top w:val="single" w:color="auto" w:sz="4" w:space="0"/>
              <w:left w:val="single" w:color="auto" w:sz="4" w:space="0"/>
              <w:bottom w:val="single" w:color="auto" w:sz="4" w:space="0"/>
              <w:right w:val="single" w:color="auto" w:sz="4" w:space="0"/>
            </w:tcBorders>
            <w:vAlign w:val="center"/>
          </w:tcPr>
          <w:p w14:paraId="1B0B5E34">
            <w:pPr>
              <w:snapToGrid w:val="0"/>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c>
          <w:tcPr>
            <w:tcW w:w="5888" w:type="dxa"/>
            <w:tcBorders>
              <w:top w:val="single" w:color="auto" w:sz="4" w:space="0"/>
              <w:left w:val="single" w:color="auto" w:sz="4" w:space="0"/>
              <w:bottom w:val="single" w:color="auto" w:sz="4" w:space="0"/>
              <w:right w:val="single" w:color="auto" w:sz="4" w:space="0"/>
            </w:tcBorders>
            <w:vAlign w:val="center"/>
          </w:tcPr>
          <w:p w14:paraId="6467F72C">
            <w:pPr>
              <w:snapToGrid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西钦州市那蒙水闸除险加固工程位于钦州市钦北区那蒙镇那蒙社区，距离钦州市城区26km，距离那蒙镇2.0km，地理位置为东经108°49′47.6″、北纬21°48′41.8″，是茅岭江水系一级支流那蒙江上的拦河闸坝。水闸工程于1966年9月竣工投入使用，是一座以水轮泵提水灌溉为主，兼顾防洪及城镇供水的中型水闸，工程等别为Ⅲ等，主要建筑物3级，次要建筑物为4级。设计灌溉面积2850亩，近年实际灌溉面积1200亩，水闸对灌溉、防洪及城镇供水具有</w:t>
            </w:r>
            <w:r>
              <w:rPr>
                <w:rFonts w:hint="eastAsia" w:asciiTheme="minorEastAsia" w:hAnsiTheme="minorEastAsia" w:eastAsiaTheme="minorEastAsia" w:cstheme="minorEastAsia"/>
                <w:color w:val="auto"/>
                <w:szCs w:val="21"/>
                <w:highlight w:val="none"/>
                <w:lang w:eastAsia="zh-CN"/>
              </w:rPr>
              <w:t>重要作用</w:t>
            </w:r>
            <w:r>
              <w:rPr>
                <w:rFonts w:hint="eastAsia" w:asciiTheme="minorEastAsia" w:hAnsiTheme="minorEastAsia" w:eastAsiaTheme="minorEastAsia" w:cstheme="minorEastAsia"/>
                <w:color w:val="auto"/>
                <w:szCs w:val="21"/>
                <w:highlight w:val="none"/>
              </w:rPr>
              <w:t>……具体详见竞争性磋商文件</w:t>
            </w:r>
          </w:p>
        </w:tc>
      </w:tr>
    </w:tbl>
    <w:p w14:paraId="29D20A0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2"/>
          <w:szCs w:val="22"/>
          <w:highlight w:val="none"/>
          <w:u w:val="none"/>
        </w:rPr>
      </w:pPr>
      <w:r>
        <w:rPr>
          <w:rFonts w:hint="eastAsia" w:asciiTheme="minorEastAsia" w:hAnsiTheme="minorEastAsia" w:eastAsiaTheme="minorEastAsia" w:cstheme="minorEastAsia"/>
          <w:color w:val="auto"/>
          <w:szCs w:val="21"/>
          <w:highlight w:val="none"/>
        </w:rPr>
        <w:t>合同履行期限：</w:t>
      </w:r>
      <w:r>
        <w:rPr>
          <w:rFonts w:hint="eastAsia" w:ascii="宋体" w:hAnsi="宋体" w:cs="宋体"/>
          <w:bCs/>
          <w:color w:val="auto"/>
          <w:sz w:val="22"/>
          <w:szCs w:val="22"/>
          <w:highlight w:val="none"/>
        </w:rPr>
        <w:t>自合同签订之日起</w:t>
      </w:r>
      <w:r>
        <w:rPr>
          <w:rFonts w:hint="eastAsia" w:ascii="宋体" w:hAnsi="宋体" w:cs="宋体"/>
          <w:bCs/>
          <w:color w:val="auto"/>
          <w:sz w:val="22"/>
          <w:szCs w:val="22"/>
          <w:highlight w:val="none"/>
          <w:lang w:val="en-US" w:eastAsia="zh-CN"/>
        </w:rPr>
        <w:t>60日历天完成文本编制，并完成合同内容并获得相关部门批复止</w:t>
      </w:r>
      <w:r>
        <w:rPr>
          <w:rFonts w:hint="eastAsia" w:ascii="宋体" w:hAnsi="宋体" w:cs="宋体"/>
          <w:b w:val="0"/>
          <w:bCs/>
          <w:color w:val="auto"/>
          <w:sz w:val="21"/>
          <w:szCs w:val="21"/>
          <w:highlight w:val="none"/>
          <w:lang w:eastAsia="zh-CN"/>
        </w:rPr>
        <w:t>。</w:t>
      </w:r>
    </w:p>
    <w:p w14:paraId="2591EF81">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val="en-US" w:eastAsia="zh-CN"/>
        </w:rPr>
        <w:t>否</w:t>
      </w:r>
      <w:r>
        <w:rPr>
          <w:rFonts w:hint="eastAsia" w:asciiTheme="minorEastAsia" w:hAnsiTheme="minorEastAsia" w:eastAsiaTheme="minorEastAsia" w:cstheme="minorEastAsia"/>
          <w:color w:val="auto"/>
          <w:szCs w:val="21"/>
          <w:highlight w:val="none"/>
        </w:rPr>
        <w:t>）接受联合体</w:t>
      </w:r>
    </w:p>
    <w:p w14:paraId="346B6C2F">
      <w:pPr>
        <w:spacing w:line="440" w:lineRule="exact"/>
        <w:ind w:firstLine="354" w:firstLineChars="147"/>
        <w:rPr>
          <w:rFonts w:asciiTheme="minorEastAsia" w:hAnsiTheme="minorEastAsia" w:eastAsiaTheme="minorEastAsia" w:cstheme="minorEastAsia"/>
          <w:b/>
          <w:color w:val="auto"/>
          <w:sz w:val="24"/>
          <w:highlight w:val="none"/>
        </w:rPr>
      </w:pPr>
      <w:bookmarkStart w:id="11" w:name="_Toc35393799"/>
      <w:bookmarkStart w:id="12" w:name="_Toc71365906"/>
      <w:bookmarkStart w:id="13" w:name="_Toc28359013"/>
      <w:bookmarkStart w:id="14" w:name="_Toc35393630"/>
      <w:bookmarkStart w:id="15" w:name="_Toc28359090"/>
      <w:bookmarkStart w:id="16" w:name="_Toc44229879"/>
      <w:r>
        <w:rPr>
          <w:rFonts w:hint="eastAsia" w:asciiTheme="minorEastAsia" w:hAnsiTheme="minorEastAsia" w:eastAsiaTheme="minorEastAsia" w:cstheme="minorEastAsia"/>
          <w:b/>
          <w:color w:val="auto"/>
          <w:sz w:val="24"/>
          <w:highlight w:val="none"/>
        </w:rPr>
        <w:t>二、申请人的资格条件：</w:t>
      </w:r>
      <w:bookmarkEnd w:id="11"/>
      <w:bookmarkEnd w:id="12"/>
      <w:bookmarkEnd w:id="13"/>
      <w:bookmarkEnd w:id="14"/>
      <w:bookmarkEnd w:id="15"/>
      <w:bookmarkEnd w:id="16"/>
    </w:p>
    <w:p w14:paraId="18EB5DEA">
      <w:pPr>
        <w:spacing w:line="440" w:lineRule="exact"/>
        <w:ind w:firstLine="420" w:firstLineChars="200"/>
        <w:rPr>
          <w:rFonts w:asciiTheme="minorEastAsia" w:hAnsiTheme="minorEastAsia" w:eastAsiaTheme="minorEastAsia" w:cstheme="minorEastAsia"/>
          <w:color w:val="auto"/>
          <w:szCs w:val="21"/>
          <w:highlight w:val="none"/>
        </w:rPr>
      </w:pPr>
      <w:bookmarkStart w:id="17" w:name="_Toc28359091"/>
      <w:bookmarkStart w:id="18" w:name="_Toc35393800"/>
      <w:bookmarkStart w:id="19" w:name="_Toc44229880"/>
      <w:bookmarkStart w:id="20" w:name="_Toc35393631"/>
      <w:bookmarkStart w:id="21" w:name="_Toc28359014"/>
      <w:r>
        <w:rPr>
          <w:rFonts w:hint="eastAsia" w:asciiTheme="minorEastAsia" w:hAnsiTheme="minorEastAsia" w:eastAsiaTheme="minorEastAsia" w:cstheme="minorEastAsia"/>
          <w:color w:val="auto"/>
          <w:szCs w:val="21"/>
          <w:highlight w:val="none"/>
        </w:rPr>
        <w:t>1.满足《中华人民共和国政府采购法》第二十二条规定；</w:t>
      </w:r>
    </w:p>
    <w:p w14:paraId="00FF0B17">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w:t>
      </w:r>
      <w:r>
        <w:rPr>
          <w:rFonts w:hint="eastAsia" w:asciiTheme="minorEastAsia" w:hAnsiTheme="minorEastAsia" w:eastAsiaTheme="minorEastAsia" w:cstheme="minorEastAsia"/>
          <w:color w:val="auto"/>
          <w:highlight w:val="none"/>
        </w:rPr>
        <w:t>无。</w:t>
      </w:r>
    </w:p>
    <w:p w14:paraId="2F2AFD0D">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p>
    <w:p w14:paraId="110F9B4E">
      <w:pPr>
        <w:spacing w:line="440" w:lineRule="exact"/>
        <w:ind w:firstLine="442" w:firstLineChars="200"/>
        <w:rPr>
          <w:rFonts w:hint="eastAsia" w:ascii="宋体" w:hAnsi="宋体"/>
          <w:color w:val="auto"/>
          <w:szCs w:val="21"/>
          <w:highlight w:val="none"/>
          <w:lang w:val="en-US" w:eastAsia="zh-CN"/>
        </w:rPr>
      </w:pPr>
      <w:r>
        <w:rPr>
          <w:rFonts w:hint="eastAsia" w:ascii="宋体" w:hAnsi="宋体" w:cs="宋体"/>
          <w:b/>
          <w:color w:val="auto"/>
          <w:sz w:val="22"/>
          <w:szCs w:val="22"/>
          <w:highlight w:val="none"/>
          <w:lang w:val="en-US" w:eastAsia="zh-CN"/>
        </w:rPr>
        <w:t>3.1</w:t>
      </w:r>
      <w:r>
        <w:rPr>
          <w:rFonts w:hint="eastAsia" w:ascii="宋体" w:hAnsi="宋体" w:cs="宋体"/>
          <w:b w:val="0"/>
          <w:bCs/>
          <w:color w:val="auto"/>
          <w:sz w:val="22"/>
          <w:szCs w:val="22"/>
          <w:highlight w:val="none"/>
          <w:lang w:val="en-US" w:eastAsia="zh-CN"/>
        </w:rPr>
        <w:t>供应商应同时</w:t>
      </w:r>
      <w:r>
        <w:rPr>
          <w:rFonts w:hint="eastAsia" w:ascii="宋体" w:hAnsi="宋体"/>
          <w:b w:val="0"/>
          <w:bCs/>
          <w:color w:val="auto"/>
          <w:szCs w:val="21"/>
          <w:highlight w:val="none"/>
        </w:rPr>
        <w:t>具备</w:t>
      </w:r>
      <w:r>
        <w:rPr>
          <w:rFonts w:hint="eastAsia" w:ascii="宋体" w:hAnsi="宋体"/>
          <w:color w:val="auto"/>
          <w:szCs w:val="21"/>
          <w:highlight w:val="none"/>
          <w:lang w:val="en-US" w:eastAsia="zh-CN"/>
        </w:rPr>
        <w:t>下列资质：</w:t>
      </w:r>
    </w:p>
    <w:p w14:paraId="48576F9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default" w:ascii="宋体" w:hAnsi="宋体" w:eastAsia="宋体" w:cs="Times New Roman"/>
          <w:color w:val="auto"/>
          <w:szCs w:val="21"/>
          <w:highlight w:val="none"/>
          <w:lang w:eastAsia="zh-CN"/>
        </w:rPr>
        <w:t>①</w:t>
      </w:r>
      <w:r>
        <w:rPr>
          <w:rFonts w:hint="eastAsia" w:ascii="宋体" w:hAnsi="宋体" w:eastAsia="宋体" w:cs="Times New Roman"/>
          <w:color w:val="auto"/>
          <w:szCs w:val="21"/>
          <w:highlight w:val="none"/>
          <w:lang w:eastAsia="zh-CN"/>
        </w:rPr>
        <w:t>工程设</w:t>
      </w:r>
      <w:r>
        <w:rPr>
          <w:rFonts w:hint="eastAsia" w:ascii="宋体" w:hAnsi="宋体"/>
          <w:color w:val="auto"/>
          <w:szCs w:val="21"/>
          <w:highlight w:val="none"/>
        </w:rPr>
        <w:t>计水利行业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水库枢纽</w:t>
      </w:r>
      <w:r>
        <w:rPr>
          <w:rFonts w:hint="eastAsia" w:ascii="宋体" w:hAnsi="宋体"/>
          <w:color w:val="auto"/>
          <w:szCs w:val="21"/>
          <w:highlight w:val="none"/>
          <w:lang w:eastAsia="zh-CN"/>
        </w:rPr>
        <w:t>）</w:t>
      </w:r>
      <w:r>
        <w:rPr>
          <w:rFonts w:hint="eastAsia" w:ascii="宋体" w:hAnsi="宋体"/>
          <w:color w:val="auto"/>
          <w:szCs w:val="21"/>
          <w:highlight w:val="none"/>
        </w:rPr>
        <w:t>专业类乙级</w:t>
      </w:r>
      <w:r>
        <w:rPr>
          <w:rFonts w:hint="eastAsia" w:ascii="宋体" w:hAnsi="宋体"/>
          <w:color w:val="auto"/>
          <w:szCs w:val="21"/>
          <w:highlight w:val="none"/>
          <w:lang w:val="en-US" w:eastAsia="zh-CN"/>
        </w:rPr>
        <w:t>及以上</w:t>
      </w:r>
      <w:r>
        <w:rPr>
          <w:rFonts w:hint="eastAsia" w:ascii="宋体" w:hAnsi="宋体"/>
          <w:color w:val="auto"/>
          <w:szCs w:val="21"/>
          <w:highlight w:val="none"/>
        </w:rPr>
        <w:t>资质</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工程设计综合资质甲级</w:t>
      </w:r>
      <w:r>
        <w:rPr>
          <w:rFonts w:hint="eastAsia" w:ascii="宋体" w:hAnsi="宋体"/>
          <w:color w:val="auto"/>
          <w:szCs w:val="21"/>
          <w:highlight w:val="none"/>
        </w:rPr>
        <w:t>；</w:t>
      </w:r>
      <w:r>
        <w:rPr>
          <w:rFonts w:hint="eastAsia" w:ascii="宋体" w:hAnsi="宋体"/>
          <w:color w:val="auto"/>
          <w:szCs w:val="21"/>
          <w:highlight w:val="none"/>
          <w:lang w:val="en-US" w:eastAsia="zh-CN"/>
        </w:rPr>
        <w:t>②</w:t>
      </w:r>
      <w:r>
        <w:rPr>
          <w:rFonts w:hint="eastAsia" w:ascii="宋体" w:hAnsi="宋体"/>
          <w:color w:val="auto"/>
          <w:szCs w:val="21"/>
          <w:highlight w:val="none"/>
        </w:rPr>
        <w:t>具备工程勘察综合类甲级或工程勘察专业类【岩土工程（勘察）】乙级及以上或工程勘察专业类（岩土工程）乙级及以上资质；</w:t>
      </w:r>
      <w:r>
        <w:rPr>
          <w:rFonts w:hint="eastAsia" w:ascii="宋体" w:hAnsi="宋体"/>
          <w:color w:val="auto"/>
          <w:szCs w:val="21"/>
          <w:highlight w:val="none"/>
          <w:lang w:val="en-US" w:eastAsia="zh-CN"/>
        </w:rPr>
        <w:t>③</w:t>
      </w:r>
      <w:r>
        <w:rPr>
          <w:rFonts w:hint="eastAsia" w:ascii="宋体" w:hAnsi="宋体"/>
          <w:color w:val="auto"/>
          <w:szCs w:val="21"/>
          <w:highlight w:val="none"/>
        </w:rPr>
        <w:t>具备乙级</w:t>
      </w:r>
      <w:r>
        <w:rPr>
          <w:rFonts w:hint="eastAsia" w:ascii="宋体" w:hAnsi="宋体"/>
          <w:color w:val="auto"/>
          <w:szCs w:val="21"/>
          <w:highlight w:val="none"/>
          <w:lang w:val="en-US" w:eastAsia="zh-CN"/>
        </w:rPr>
        <w:t>测绘（工程测量）</w:t>
      </w:r>
      <w:r>
        <w:rPr>
          <w:rFonts w:hint="eastAsia" w:ascii="宋体" w:hAnsi="宋体"/>
          <w:color w:val="auto"/>
          <w:szCs w:val="21"/>
          <w:highlight w:val="none"/>
        </w:rPr>
        <w:t>或以上资质。</w:t>
      </w:r>
    </w:p>
    <w:p w14:paraId="5CF92AA8">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3.2拟投入项目负责人须具有高级技术职称，且专业是水利水电工程类专业（专业以技术职称证书所填写专业为准，如技术职称证书不填写专业的，则以毕业证书所填专业为准）。</w:t>
      </w:r>
    </w:p>
    <w:p w14:paraId="64376545">
      <w:pPr>
        <w:spacing w:line="440" w:lineRule="exact"/>
        <w:ind w:firstLine="354" w:firstLineChars="147"/>
        <w:rPr>
          <w:rFonts w:asciiTheme="minorEastAsia" w:hAnsiTheme="minorEastAsia" w:eastAsiaTheme="minorEastAsia" w:cstheme="minorEastAsia"/>
          <w:b/>
          <w:color w:val="auto"/>
          <w:sz w:val="24"/>
          <w:highlight w:val="none"/>
        </w:rPr>
      </w:pPr>
      <w:bookmarkStart w:id="22" w:name="_Toc71365907"/>
      <w:r>
        <w:rPr>
          <w:rFonts w:hint="eastAsia" w:asciiTheme="minorEastAsia" w:hAnsiTheme="minorEastAsia" w:eastAsiaTheme="minorEastAsia" w:cstheme="minorEastAsia"/>
          <w:b/>
          <w:color w:val="auto"/>
          <w:sz w:val="24"/>
          <w:highlight w:val="none"/>
        </w:rPr>
        <w:t>三、获取竞争性磋商文件</w:t>
      </w:r>
      <w:bookmarkEnd w:id="17"/>
      <w:bookmarkEnd w:id="18"/>
      <w:bookmarkEnd w:id="19"/>
      <w:bookmarkEnd w:id="20"/>
      <w:bookmarkEnd w:id="21"/>
      <w:bookmarkEnd w:id="22"/>
    </w:p>
    <w:p w14:paraId="5FEE3523">
      <w:pPr>
        <w:spacing w:line="440" w:lineRule="exact"/>
        <w:ind w:firstLine="420" w:firstLineChars="200"/>
        <w:rPr>
          <w:rFonts w:asciiTheme="minorEastAsia" w:hAnsiTheme="minorEastAsia" w:eastAsiaTheme="minorEastAsia" w:cstheme="minorEastAsia"/>
          <w:bCs/>
          <w:color w:val="auto"/>
          <w:kern w:val="0"/>
          <w:szCs w:val="21"/>
          <w:highlight w:val="none"/>
        </w:rPr>
      </w:pPr>
      <w:bookmarkStart w:id="23" w:name="_Toc44229881"/>
      <w:bookmarkStart w:id="24" w:name="_Toc35393801"/>
      <w:bookmarkStart w:id="25" w:name="_Toc35393632"/>
      <w:bookmarkStart w:id="26" w:name="_Toc28359015"/>
      <w:bookmarkStart w:id="27" w:name="_Toc28359092"/>
      <w:r>
        <w:rPr>
          <w:rFonts w:hint="eastAsia" w:asciiTheme="minorEastAsia" w:hAnsiTheme="minorEastAsia" w:eastAsiaTheme="minorEastAsia" w:cstheme="minorEastAsia"/>
          <w:bCs/>
          <w:color w:val="auto"/>
          <w:kern w:val="0"/>
          <w:szCs w:val="21"/>
          <w:highlight w:val="none"/>
        </w:rPr>
        <w:t>时间：</w:t>
      </w:r>
      <w:r>
        <w:rPr>
          <w:rFonts w:hint="eastAsia" w:asciiTheme="minorEastAsia" w:hAnsiTheme="minorEastAsia" w:eastAsiaTheme="minorEastAsia" w:cstheme="minorEastAsia"/>
          <w:bCs/>
          <w:color w:val="auto"/>
          <w:szCs w:val="21"/>
          <w:highlight w:val="none"/>
          <w:u w:val="single"/>
        </w:rPr>
        <w:t>2025年</w:t>
      </w:r>
      <w:r>
        <w:rPr>
          <w:rFonts w:hint="eastAsia" w:asciiTheme="minorEastAsia" w:hAnsiTheme="minorEastAsia" w:eastAsiaTheme="minorEastAsia" w:cstheme="minorEastAsia"/>
          <w:bCs/>
          <w:color w:val="auto"/>
          <w:szCs w:val="21"/>
          <w:highlight w:val="none"/>
          <w:u w:val="single"/>
          <w:lang w:val="en-US" w:eastAsia="zh-CN"/>
        </w:rPr>
        <w:t>12</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26</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szCs w:val="21"/>
          <w:highlight w:val="none"/>
          <w:u w:val="single"/>
        </w:rPr>
        <w:t xml:space="preserve"> 202</w:t>
      </w:r>
      <w:r>
        <w:rPr>
          <w:rFonts w:hint="eastAsia" w:asciiTheme="minorEastAsia" w:hAnsiTheme="minorEastAsia" w:eastAsiaTheme="minorEastAsia" w:cstheme="minorEastAsia"/>
          <w:bCs/>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1</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5</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kern w:val="0"/>
          <w:szCs w:val="21"/>
          <w:highlight w:val="none"/>
        </w:rPr>
        <w:t>，每天上午</w:t>
      </w:r>
      <w:r>
        <w:rPr>
          <w:rFonts w:hint="eastAsia" w:asciiTheme="minorEastAsia" w:hAnsiTheme="minorEastAsia" w:eastAsiaTheme="minorEastAsia" w:cstheme="minorEastAsia"/>
          <w:bCs/>
          <w:color w:val="auto"/>
          <w:kern w:val="0"/>
          <w:szCs w:val="21"/>
          <w:highlight w:val="none"/>
          <w:u w:val="single"/>
        </w:rPr>
        <w:t>8：00</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kern w:val="0"/>
          <w:szCs w:val="21"/>
          <w:highlight w:val="none"/>
          <w:u w:val="single"/>
        </w:rPr>
        <w:t>12:00</w:t>
      </w:r>
      <w:r>
        <w:rPr>
          <w:rFonts w:hint="eastAsia" w:asciiTheme="minorEastAsia" w:hAnsiTheme="minorEastAsia" w:eastAsiaTheme="minorEastAsia" w:cstheme="minorEastAsia"/>
          <w:bCs/>
          <w:color w:val="auto"/>
          <w:kern w:val="0"/>
          <w:szCs w:val="21"/>
          <w:highlight w:val="none"/>
        </w:rPr>
        <w:t>，下午</w:t>
      </w:r>
      <w:r>
        <w:rPr>
          <w:rFonts w:hint="eastAsia" w:asciiTheme="minorEastAsia" w:hAnsiTheme="minorEastAsia" w:eastAsiaTheme="minorEastAsia" w:cstheme="minorEastAsia"/>
          <w:bCs/>
          <w:color w:val="auto"/>
          <w:kern w:val="0"/>
          <w:szCs w:val="21"/>
          <w:highlight w:val="none"/>
          <w:u w:val="single"/>
        </w:rPr>
        <w:t>3:00</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kern w:val="0"/>
          <w:szCs w:val="21"/>
          <w:highlight w:val="none"/>
          <w:u w:val="single"/>
        </w:rPr>
        <w:t>6:00　</w:t>
      </w:r>
      <w:r>
        <w:rPr>
          <w:rFonts w:hint="eastAsia" w:asciiTheme="minorEastAsia" w:hAnsiTheme="minorEastAsia" w:eastAsiaTheme="minorEastAsia" w:cstheme="minorEastAsia"/>
          <w:bCs/>
          <w:color w:val="auto"/>
          <w:kern w:val="0"/>
          <w:szCs w:val="21"/>
          <w:highlight w:val="none"/>
        </w:rPr>
        <w:t>（北京时间，法定节假日除外）</w:t>
      </w:r>
    </w:p>
    <w:p w14:paraId="7A55DE1A">
      <w:pPr>
        <w:spacing w:line="440" w:lineRule="exact"/>
        <w:ind w:firstLine="420" w:firstLineChars="20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地点：广西政府采购云平台（https://www.gcy.zfcg.gxzf.gov.cn/）</w:t>
      </w:r>
    </w:p>
    <w:p w14:paraId="322E03B6">
      <w:pPr>
        <w:spacing w:line="440" w:lineRule="exact"/>
        <w:ind w:firstLine="420" w:firstLineChars="20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Theme="minorEastAsia" w:hAnsiTheme="minorEastAsia" w:eastAsiaTheme="minorEastAsia" w:cstheme="minorEastAsia"/>
          <w:color w:val="auto"/>
          <w:szCs w:val="21"/>
          <w:highlight w:val="none"/>
        </w:rPr>
        <w:t>电子</w:t>
      </w:r>
      <w:r>
        <w:rPr>
          <w:rFonts w:hint="eastAsia" w:asciiTheme="minorEastAsia" w:hAnsiTheme="minorEastAsia" w:eastAsiaTheme="minorEastAsia" w:cstheme="minorEastAsia"/>
          <w:color w:val="auto"/>
          <w:highlight w:val="none"/>
        </w:rPr>
        <w:t>响应文件</w:t>
      </w:r>
      <w:r>
        <w:rPr>
          <w:rFonts w:hint="eastAsia" w:asciiTheme="minorEastAsia" w:hAnsiTheme="minorEastAsia" w:eastAsiaTheme="minorEastAsia" w:cstheme="minorEastAsia"/>
          <w:color w:val="auto"/>
          <w:szCs w:val="21"/>
          <w:highlight w:val="none"/>
        </w:rPr>
        <w:t>制作需要基于广西政府采购云平台获取的磋商文件编制，</w:t>
      </w:r>
      <w:r>
        <w:rPr>
          <w:rFonts w:hint="eastAsia" w:asciiTheme="minorEastAsia" w:hAnsiTheme="minorEastAsia" w:eastAsiaTheme="minorEastAsia" w:cstheme="minorEastAsia"/>
          <w:bCs/>
          <w:color w:val="auto"/>
          <w:kern w:val="0"/>
          <w:szCs w:val="21"/>
          <w:highlight w:val="none"/>
        </w:rPr>
        <w:t>通过其他方式获取磋商文件的，将有可能导致供应商无法在广西政府采购云平台编制及上传响应文件。</w:t>
      </w:r>
    </w:p>
    <w:p w14:paraId="0374CBA2">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0"/>
          <w:szCs w:val="21"/>
          <w:highlight w:val="none"/>
        </w:rPr>
        <w:t>售价：0元</w:t>
      </w:r>
    </w:p>
    <w:p w14:paraId="79C3C837">
      <w:pPr>
        <w:spacing w:line="440" w:lineRule="exact"/>
        <w:ind w:firstLine="354" w:firstLineChars="147"/>
        <w:rPr>
          <w:rFonts w:asciiTheme="minorEastAsia" w:hAnsiTheme="minorEastAsia" w:eastAsiaTheme="minorEastAsia" w:cstheme="minorEastAsia"/>
          <w:b/>
          <w:color w:val="auto"/>
          <w:sz w:val="24"/>
          <w:highlight w:val="none"/>
        </w:rPr>
      </w:pPr>
      <w:bookmarkStart w:id="28" w:name="_Toc71365908"/>
      <w:r>
        <w:rPr>
          <w:rFonts w:hint="eastAsia" w:asciiTheme="minorEastAsia" w:hAnsiTheme="minorEastAsia" w:eastAsiaTheme="minorEastAsia" w:cstheme="minorEastAsia"/>
          <w:b/>
          <w:color w:val="auto"/>
          <w:sz w:val="24"/>
          <w:highlight w:val="none"/>
        </w:rPr>
        <w:t>四、响应文件提交</w:t>
      </w:r>
      <w:bookmarkEnd w:id="23"/>
      <w:bookmarkEnd w:id="24"/>
      <w:bookmarkEnd w:id="25"/>
      <w:bookmarkEnd w:id="26"/>
      <w:bookmarkEnd w:id="27"/>
      <w:bookmarkEnd w:id="28"/>
    </w:p>
    <w:p w14:paraId="0F0B9537">
      <w:pPr>
        <w:spacing w:line="440" w:lineRule="exact"/>
        <w:ind w:firstLine="420" w:firstLineChars="200"/>
        <w:rPr>
          <w:rFonts w:asciiTheme="minorEastAsia" w:hAnsiTheme="minorEastAsia" w:eastAsiaTheme="minorEastAsia" w:cstheme="minorEastAsia"/>
          <w:color w:val="auto"/>
          <w:szCs w:val="21"/>
          <w:highlight w:val="none"/>
          <w:u w:val="single"/>
        </w:rPr>
      </w:pPr>
      <w:bookmarkStart w:id="29" w:name="_Toc35393633"/>
      <w:bookmarkStart w:id="30" w:name="_Toc28359016"/>
      <w:bookmarkStart w:id="31" w:name="_Toc44229882"/>
      <w:bookmarkStart w:id="32" w:name="_Toc35393802"/>
      <w:bookmarkStart w:id="33" w:name="_Toc28359093"/>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1</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时</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0分</w:t>
      </w:r>
      <w:r>
        <w:rPr>
          <w:rFonts w:hint="eastAsia" w:asciiTheme="minorEastAsia" w:hAnsiTheme="minorEastAsia" w:eastAsiaTheme="minorEastAsia" w:cstheme="minorEastAsia"/>
          <w:bCs/>
          <w:color w:val="auto"/>
          <w:szCs w:val="21"/>
          <w:highlight w:val="none"/>
        </w:rPr>
        <w:t>（北京时间）</w:t>
      </w:r>
    </w:p>
    <w:p w14:paraId="1019A540">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地点：广西政府采购云平台</w:t>
      </w:r>
      <w:r>
        <w:rPr>
          <w:rFonts w:hint="eastAsia" w:asciiTheme="minorEastAsia" w:hAnsiTheme="minorEastAsia" w:eastAsiaTheme="minorEastAsia" w:cstheme="minorEastAsia"/>
          <w:bCs/>
          <w:color w:val="auto"/>
          <w:kern w:val="0"/>
          <w:szCs w:val="21"/>
          <w:highlight w:val="none"/>
        </w:rPr>
        <w:t>（https://www.gcy.zfcg.gxzf.gov.cn/）</w:t>
      </w:r>
    </w:p>
    <w:p w14:paraId="7B7EE652">
      <w:pPr>
        <w:spacing w:line="440" w:lineRule="exact"/>
        <w:ind w:firstLine="354" w:firstLineChars="147"/>
        <w:rPr>
          <w:rFonts w:asciiTheme="minorEastAsia" w:hAnsiTheme="minorEastAsia" w:eastAsiaTheme="minorEastAsia" w:cstheme="minorEastAsia"/>
          <w:b/>
          <w:color w:val="auto"/>
          <w:sz w:val="24"/>
          <w:highlight w:val="none"/>
        </w:rPr>
      </w:pPr>
      <w:bookmarkStart w:id="34" w:name="_Toc71365909"/>
      <w:r>
        <w:rPr>
          <w:rFonts w:hint="eastAsia" w:asciiTheme="minorEastAsia" w:hAnsiTheme="minorEastAsia" w:eastAsiaTheme="minorEastAsia" w:cstheme="minorEastAsia"/>
          <w:b/>
          <w:color w:val="auto"/>
          <w:sz w:val="24"/>
          <w:highlight w:val="none"/>
        </w:rPr>
        <w:t>五、开启</w:t>
      </w:r>
      <w:bookmarkEnd w:id="29"/>
      <w:bookmarkEnd w:id="30"/>
      <w:bookmarkEnd w:id="31"/>
      <w:bookmarkEnd w:id="32"/>
      <w:bookmarkEnd w:id="33"/>
      <w:bookmarkEnd w:id="34"/>
    </w:p>
    <w:p w14:paraId="2B8D23D7">
      <w:pPr>
        <w:spacing w:line="440" w:lineRule="exact"/>
        <w:ind w:firstLine="420" w:firstLineChars="200"/>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1.时间：</w:t>
      </w:r>
      <w:r>
        <w:rPr>
          <w:rFonts w:hint="eastAsia" w:asciiTheme="minorEastAsia" w:hAnsiTheme="minorEastAsia" w:eastAsiaTheme="minorEastAsia" w:cstheme="minorEastAsia"/>
          <w:color w:val="auto"/>
          <w:szCs w:val="21"/>
          <w:highlight w:val="none"/>
          <w:u w:val="single"/>
        </w:rPr>
        <w:t xml:space="preserve"> 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1</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时</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0分</w:t>
      </w:r>
      <w:r>
        <w:rPr>
          <w:rFonts w:hint="eastAsia" w:asciiTheme="minorEastAsia" w:hAnsiTheme="minorEastAsia" w:eastAsiaTheme="minorEastAsia" w:cstheme="minorEastAsia"/>
          <w:bCs/>
          <w:color w:val="auto"/>
          <w:szCs w:val="21"/>
          <w:highlight w:val="none"/>
        </w:rPr>
        <w:t>（北京时间）</w:t>
      </w:r>
    </w:p>
    <w:p w14:paraId="4CBEB77D">
      <w:pPr>
        <w:spacing w:line="440" w:lineRule="exact"/>
        <w:ind w:firstLine="420" w:firstLineChars="200"/>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2.地点：广西政府采购云平台</w:t>
      </w:r>
      <w:r>
        <w:rPr>
          <w:rFonts w:hint="eastAsia" w:asciiTheme="minorEastAsia" w:hAnsiTheme="minorEastAsia" w:eastAsiaTheme="minorEastAsia" w:cstheme="minorEastAsia"/>
          <w:bCs/>
          <w:color w:val="auto"/>
          <w:kern w:val="0"/>
          <w:szCs w:val="21"/>
          <w:highlight w:val="none"/>
        </w:rPr>
        <w:t>（https://www.gcy.zfcg.gxzf.gov.cn/）</w:t>
      </w:r>
    </w:p>
    <w:p w14:paraId="247E3A84">
      <w:pPr>
        <w:spacing w:line="440" w:lineRule="exact"/>
        <w:ind w:firstLine="354" w:firstLineChars="147"/>
        <w:rPr>
          <w:rFonts w:asciiTheme="minorEastAsia" w:hAnsiTheme="minorEastAsia" w:eastAsiaTheme="minorEastAsia" w:cstheme="minorEastAsia"/>
          <w:b/>
          <w:color w:val="auto"/>
          <w:sz w:val="24"/>
          <w:highlight w:val="none"/>
        </w:rPr>
      </w:pPr>
      <w:bookmarkStart w:id="35" w:name="_Toc44229883"/>
      <w:bookmarkStart w:id="36" w:name="_Toc35393803"/>
      <w:bookmarkStart w:id="37" w:name="_Toc28359017"/>
      <w:bookmarkStart w:id="38" w:name="_Toc35393634"/>
      <w:bookmarkStart w:id="39" w:name="_Toc28359094"/>
      <w:bookmarkStart w:id="40" w:name="_Toc71365910"/>
      <w:r>
        <w:rPr>
          <w:rFonts w:hint="eastAsia" w:asciiTheme="minorEastAsia" w:hAnsiTheme="minorEastAsia" w:eastAsiaTheme="minorEastAsia" w:cstheme="minorEastAsia"/>
          <w:b/>
          <w:color w:val="auto"/>
          <w:sz w:val="24"/>
          <w:highlight w:val="none"/>
        </w:rPr>
        <w:t>六、公告期限</w:t>
      </w:r>
      <w:bookmarkEnd w:id="35"/>
      <w:bookmarkEnd w:id="36"/>
      <w:bookmarkEnd w:id="37"/>
      <w:bookmarkEnd w:id="38"/>
      <w:bookmarkEnd w:id="39"/>
      <w:bookmarkEnd w:id="40"/>
    </w:p>
    <w:p w14:paraId="4F05DA5B">
      <w:pPr>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1181FA4D">
      <w:pPr>
        <w:spacing w:line="440" w:lineRule="exact"/>
        <w:ind w:firstLine="354" w:firstLineChars="147"/>
        <w:rPr>
          <w:rFonts w:asciiTheme="minorEastAsia" w:hAnsiTheme="minorEastAsia" w:eastAsiaTheme="minorEastAsia" w:cstheme="minorEastAsia"/>
          <w:b/>
          <w:color w:val="auto"/>
          <w:sz w:val="24"/>
          <w:highlight w:val="none"/>
        </w:rPr>
      </w:pPr>
      <w:bookmarkStart w:id="41" w:name="_Toc35393635"/>
      <w:bookmarkStart w:id="42" w:name="_Toc44229884"/>
      <w:bookmarkStart w:id="43" w:name="_Toc71365911"/>
      <w:bookmarkStart w:id="44" w:name="_Toc35393804"/>
      <w:r>
        <w:rPr>
          <w:rFonts w:hint="eastAsia" w:asciiTheme="minorEastAsia" w:hAnsiTheme="minorEastAsia" w:eastAsiaTheme="minorEastAsia" w:cstheme="minorEastAsia"/>
          <w:b/>
          <w:color w:val="auto"/>
          <w:sz w:val="24"/>
          <w:highlight w:val="none"/>
        </w:rPr>
        <w:t>七、其他补充事宜</w:t>
      </w:r>
      <w:bookmarkEnd w:id="41"/>
      <w:bookmarkEnd w:id="42"/>
      <w:bookmarkEnd w:id="43"/>
      <w:bookmarkEnd w:id="44"/>
    </w:p>
    <w:p w14:paraId="18778640">
      <w:pPr>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1.网上查询地址</w:t>
      </w:r>
    </w:p>
    <w:p w14:paraId="18758A8C">
      <w:pPr>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https://</w:t>
      </w:r>
      <w:r>
        <w:rPr>
          <w:rFonts w:hint="eastAsia" w:asciiTheme="minorEastAsia" w:hAnsiTheme="minorEastAsia" w:eastAsiaTheme="minorEastAsia" w:cstheme="minorEastAsia"/>
          <w:color w:val="auto"/>
          <w:kern w:val="0"/>
          <w:szCs w:val="21"/>
          <w:highlight w:val="none"/>
        </w:rPr>
        <w:t>www.ccgp.gov.cn（中国政府采购网）、</w:t>
      </w:r>
      <w:r>
        <w:rPr>
          <w:rFonts w:hint="eastAsia" w:asciiTheme="minorEastAsia" w:hAnsiTheme="minorEastAsia" w:eastAsiaTheme="minorEastAsia" w:cstheme="minorEastAsia"/>
          <w:color w:val="auto"/>
          <w:szCs w:val="21"/>
          <w:highlight w:val="none"/>
        </w:rPr>
        <w:t>https://</w:t>
      </w:r>
      <w:r>
        <w:rPr>
          <w:rFonts w:hint="eastAsia" w:asciiTheme="minorEastAsia" w:hAnsiTheme="minorEastAsia" w:eastAsiaTheme="minorEastAsia" w:cstheme="minorEastAsia"/>
          <w:color w:val="auto"/>
          <w:kern w:val="0"/>
          <w:szCs w:val="21"/>
          <w:highlight w:val="none"/>
        </w:rPr>
        <w:t>zfcg.gxzf.gov.cn（广西壮族自治区政府采购网）</w:t>
      </w:r>
    </w:p>
    <w:p w14:paraId="4A007502">
      <w:pPr>
        <w:spacing w:line="440" w:lineRule="exact"/>
        <w:ind w:firstLine="424" w:firstLineChars="202"/>
        <w:rPr>
          <w:rFonts w:asciiTheme="minorEastAsia" w:hAnsiTheme="minorEastAsia" w:eastAsiaTheme="minorEastAsia" w:cstheme="minorEastAsia"/>
          <w:color w:val="auto"/>
          <w:kern w:val="0"/>
          <w:szCs w:val="21"/>
          <w:highlight w:val="none"/>
        </w:rPr>
      </w:pPr>
      <w:bookmarkStart w:id="45" w:name="_Hlk37429674"/>
      <w:bookmarkStart w:id="46" w:name="_Toc28359018"/>
      <w:bookmarkStart w:id="47" w:name="_Toc35393636"/>
      <w:bookmarkStart w:id="48" w:name="_Toc35393805"/>
      <w:bookmarkStart w:id="49" w:name="_Toc44229885"/>
      <w:bookmarkStart w:id="50" w:name="_Toc28359095"/>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kern w:val="0"/>
          <w:szCs w:val="21"/>
          <w:highlight w:val="none"/>
        </w:rPr>
        <w:t>本项目需要落实的政府采购政策</w:t>
      </w:r>
    </w:p>
    <w:bookmarkEnd w:id="45"/>
    <w:p w14:paraId="2C501979">
      <w:pPr>
        <w:spacing w:line="44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662CD36">
      <w:pPr>
        <w:spacing w:line="44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333F6380">
      <w:pPr>
        <w:spacing w:line="44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32207A97">
      <w:pPr>
        <w:spacing w:line="44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6817283">
      <w:pPr>
        <w:spacing w:line="44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6CE155A5">
      <w:pPr>
        <w:widowControl/>
        <w:spacing w:line="44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3.供应商</w:t>
      </w:r>
      <w:r>
        <w:rPr>
          <w:rFonts w:hint="eastAsia" w:asciiTheme="minorEastAsia" w:hAnsiTheme="minorEastAsia" w:eastAsiaTheme="minorEastAsia" w:cstheme="minorEastAsia"/>
          <w:color w:val="auto"/>
          <w:szCs w:val="21"/>
          <w:highlight w:val="none"/>
        </w:rPr>
        <w:t>竞标注意事项</w:t>
      </w:r>
    </w:p>
    <w:p w14:paraId="1AA3BA42">
      <w:pPr>
        <w:widowControl/>
        <w:spacing w:line="44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asciiTheme="minorEastAsia" w:hAnsiTheme="minorEastAsia" w:eastAsiaTheme="minorEastAsia" w:cstheme="minorEastAsia"/>
          <w:color w:val="auto"/>
          <w:highlight w:val="none"/>
        </w:rPr>
        <w:t>后缀名为“jmbs”的文件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供应商在广西政府采购云平台提交电子响应文件时，请填写参加远程采购活动经办人联系方式。</w:t>
      </w:r>
      <w:r>
        <w:rPr>
          <w:rFonts w:hint="eastAsia" w:asciiTheme="minorEastAsia" w:hAnsiTheme="minorEastAsia" w:eastAsiaTheme="minorEastAsia" w:cstheme="minorEastAsia"/>
          <w:color w:val="auto"/>
          <w:szCs w:val="21"/>
          <w:highlight w:val="none"/>
        </w:rPr>
        <w:t>供应商登录广西政府采购云平台，依次进入“服务中心-项目采购-操作流程-电子招投标-</w:t>
      </w:r>
      <w:r>
        <w:rPr>
          <w:rFonts w:hint="eastAsia" w:asciiTheme="minorEastAsia" w:hAnsiTheme="minorEastAsia" w:eastAsiaTheme="minorEastAsia" w:cstheme="minorEastAsia"/>
          <w:color w:val="auto"/>
          <w:highlight w:val="none"/>
        </w:rPr>
        <w:t>政府采购项目电子交易管理操作指南-供应商</w:t>
      </w:r>
      <w:r>
        <w:rPr>
          <w:rFonts w:hint="eastAsia" w:asciiTheme="minorEastAsia" w:hAnsiTheme="minorEastAsia" w:eastAsiaTheme="minorEastAsia" w:cstheme="minorEastAsia"/>
          <w:color w:val="auto"/>
          <w:szCs w:val="21"/>
          <w:highlight w:val="none"/>
        </w:rPr>
        <w:t>”查看电子竞标具体操作流程。</w:t>
      </w:r>
    </w:p>
    <w:p w14:paraId="1D6579D8">
      <w:pPr>
        <w:widowControl/>
        <w:spacing w:line="44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Theme="minorEastAsia" w:hAnsiTheme="minorEastAsia" w:eastAsiaTheme="minorEastAsia" w:cstheme="minorEastAsia"/>
          <w:color w:val="auto"/>
          <w:kern w:val="0"/>
          <w:szCs w:val="21"/>
          <w:highlight w:val="none"/>
        </w:rPr>
        <w:t>广西政府采购云平台，</w:t>
      </w:r>
      <w:r>
        <w:rPr>
          <w:rFonts w:hint="eastAsia" w:asciiTheme="minorEastAsia" w:hAnsiTheme="minorEastAsia" w:eastAsiaTheme="minorEastAsia" w:cstheme="minorEastAsia"/>
          <w:color w:val="auto"/>
          <w:szCs w:val="21"/>
          <w:highlight w:val="none"/>
        </w:rPr>
        <w:t>依次进入“服务中心-入驻与配置”中</w:t>
      </w:r>
      <w:r>
        <w:rPr>
          <w:rFonts w:hint="eastAsia" w:asciiTheme="minorEastAsia" w:hAnsiTheme="minorEastAsia" w:eastAsiaTheme="minorEastAsia" w:cstheme="minorEastAsia"/>
          <w:bCs/>
          <w:color w:val="auto"/>
          <w:kern w:val="0"/>
          <w:szCs w:val="21"/>
          <w:highlight w:val="none"/>
        </w:rPr>
        <w:t>查看CA数字证书办理操作流程。如在操作过程中遇到问题或者需要技术支持，请致电客服热线：95763或者0771-3381253）。</w:t>
      </w:r>
    </w:p>
    <w:p w14:paraId="4DA4D019">
      <w:pPr>
        <w:snapToGrid w:val="0"/>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E7B6EF2">
      <w:pPr>
        <w:widowControl/>
        <w:spacing w:line="440" w:lineRule="exact"/>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Theme="minorEastAsia" w:hAnsiTheme="minorEastAsia" w:eastAsiaTheme="minorEastAsia" w:cstheme="minorEastAsia"/>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8802EE6">
      <w:pPr>
        <w:spacing w:line="440" w:lineRule="exact"/>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（4）供应商需要在具备有摄像头及语音功能且互联网网络状况良好的电脑登录广西政府采购云平台远程开标大厅参与本次磋商，否则后果自负。</w:t>
      </w:r>
    </w:p>
    <w:p w14:paraId="303A9D54">
      <w:pPr>
        <w:spacing w:line="440" w:lineRule="exact"/>
        <w:ind w:firstLine="354" w:firstLineChars="147"/>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八、凡对本次采购提出询问，请按以下方式联系。</w:t>
      </w:r>
      <w:bookmarkEnd w:id="46"/>
      <w:bookmarkEnd w:id="47"/>
      <w:bookmarkEnd w:id="48"/>
      <w:bookmarkEnd w:id="49"/>
      <w:bookmarkEnd w:id="50"/>
    </w:p>
    <w:p w14:paraId="1C33903B">
      <w:pPr>
        <w:spacing w:line="440" w:lineRule="exact"/>
        <w:ind w:firstLine="420" w:firstLineChars="200"/>
        <w:rPr>
          <w:rFonts w:asciiTheme="minorEastAsia" w:hAnsiTheme="minorEastAsia" w:eastAsiaTheme="minorEastAsia" w:cstheme="minorEastAsia"/>
          <w:color w:val="auto"/>
          <w:kern w:val="0"/>
          <w:szCs w:val="21"/>
          <w:highlight w:val="none"/>
        </w:rPr>
      </w:pPr>
      <w:bookmarkStart w:id="51" w:name="_Toc35393637"/>
      <w:bookmarkStart w:id="52" w:name="_Toc28359096"/>
      <w:bookmarkStart w:id="53" w:name="_Toc35393806"/>
      <w:bookmarkStart w:id="54" w:name="_Toc28359019"/>
      <w:r>
        <w:rPr>
          <w:rFonts w:hint="eastAsia" w:asciiTheme="minorEastAsia" w:hAnsiTheme="minorEastAsia" w:eastAsiaTheme="minorEastAsia" w:cstheme="minorEastAsia"/>
          <w:color w:val="auto"/>
          <w:kern w:val="0"/>
          <w:szCs w:val="21"/>
          <w:highlight w:val="none"/>
        </w:rPr>
        <w:t>1.采购人信息</w:t>
      </w:r>
      <w:bookmarkEnd w:id="51"/>
      <w:bookmarkEnd w:id="52"/>
      <w:bookmarkEnd w:id="53"/>
      <w:bookmarkEnd w:id="54"/>
    </w:p>
    <w:p w14:paraId="4E69C7DC">
      <w:pPr>
        <w:spacing w:line="44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u w:val="single"/>
        </w:rPr>
        <w:t>　钦州市钦北水利电力管理处　</w:t>
      </w:r>
    </w:p>
    <w:p w14:paraId="14F1D172">
      <w:pPr>
        <w:spacing w:line="44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钦州市钦北区大寺镇沿江路19号</w:t>
      </w:r>
    </w:p>
    <w:p w14:paraId="01DC3079">
      <w:pPr>
        <w:spacing w:line="440" w:lineRule="exact"/>
        <w:ind w:firstLine="420" w:firstLineChars="200"/>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u w:val="single"/>
        </w:rPr>
        <w:t xml:space="preserve">　蒙修龙  </w:t>
      </w:r>
      <w:bookmarkStart w:id="55" w:name="_Toc28359098"/>
      <w:bookmarkStart w:id="56" w:name="_Toc35393639"/>
      <w:bookmarkStart w:id="57" w:name="_Toc28359021"/>
      <w:bookmarkStart w:id="58" w:name="_Toc35393808"/>
      <w:r>
        <w:rPr>
          <w:rFonts w:hint="eastAsia" w:asciiTheme="minorEastAsia" w:hAnsiTheme="minorEastAsia" w:eastAsiaTheme="minorEastAsia" w:cstheme="minorEastAsia"/>
          <w:color w:val="auto"/>
          <w:szCs w:val="21"/>
          <w:highlight w:val="none"/>
          <w:u w:val="single"/>
        </w:rPr>
        <w:t>0777-5712439</w:t>
      </w:r>
    </w:p>
    <w:p w14:paraId="64B2E0B9">
      <w:pPr>
        <w:spacing w:line="440" w:lineRule="exact"/>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2.采购代理机构信息</w:t>
      </w:r>
    </w:p>
    <w:p w14:paraId="3F3ABC3F">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u w:val="single"/>
        </w:rPr>
        <w:t>　云之龙咨询集团有限公司　</w:t>
      </w:r>
    </w:p>
    <w:p w14:paraId="339F234A">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广西钦州市子材东大街19号奥林名城8号楼8层　</w:t>
      </w:r>
    </w:p>
    <w:p w14:paraId="542993AE">
      <w:pPr>
        <w:spacing w:line="440" w:lineRule="exact"/>
        <w:ind w:firstLine="420" w:firstLineChars="200"/>
        <w:rPr>
          <w:rFonts w:hint="default" w:asciiTheme="minorEastAsia" w:hAnsiTheme="minorEastAsia" w:eastAsiaTheme="minorEastAsia" w:cstheme="minorEastAsia"/>
          <w:color w:val="auto"/>
          <w:kern w:val="0"/>
          <w:szCs w:val="21"/>
          <w:highlight w:val="none"/>
          <w:u w:val="single"/>
          <w:lang w:val="en-US" w:eastAsia="zh-CN"/>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u w:val="single"/>
        </w:rPr>
        <w:t>秦绍袁、</w:t>
      </w:r>
      <w:r>
        <w:rPr>
          <w:rFonts w:hint="eastAsia" w:asciiTheme="minorEastAsia" w:hAnsiTheme="minorEastAsia" w:eastAsiaTheme="minorEastAsia" w:cstheme="minorEastAsia"/>
          <w:color w:val="auto"/>
          <w:kern w:val="0"/>
          <w:szCs w:val="21"/>
          <w:highlight w:val="none"/>
          <w:u w:val="single"/>
          <w:lang w:val="en-US" w:eastAsia="zh-CN"/>
        </w:rPr>
        <w:t>郑全荣</w:t>
      </w:r>
    </w:p>
    <w:p w14:paraId="47BBD153">
      <w:pPr>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u w:val="single"/>
        </w:rPr>
        <w:t>0777-5619366　</w:t>
      </w:r>
    </w:p>
    <w:p w14:paraId="775ED090">
      <w:pPr>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3.项目联系方式</w:t>
      </w:r>
      <w:bookmarkEnd w:id="55"/>
      <w:bookmarkEnd w:id="56"/>
      <w:bookmarkEnd w:id="57"/>
      <w:bookmarkEnd w:id="58"/>
    </w:p>
    <w:p w14:paraId="362F0AD3">
      <w:pPr>
        <w:pStyle w:val="14"/>
        <w:spacing w:line="440" w:lineRule="exact"/>
        <w:ind w:firstLine="420" w:firstLineChars="20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项目联系人：</w:t>
      </w:r>
      <w:r>
        <w:rPr>
          <w:rFonts w:hint="eastAsia" w:asciiTheme="minorEastAsia" w:hAnsiTheme="minorEastAsia" w:eastAsiaTheme="minorEastAsia" w:cstheme="minorEastAsia"/>
          <w:color w:val="auto"/>
          <w:sz w:val="21"/>
          <w:highlight w:val="none"/>
          <w:u w:val="single"/>
        </w:rPr>
        <w:t>秦绍袁、郑全荣</w:t>
      </w:r>
    </w:p>
    <w:p w14:paraId="228C0798">
      <w:pPr>
        <w:spacing w:line="440" w:lineRule="exact"/>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0777-5619366　　　</w:t>
      </w:r>
    </w:p>
    <w:bookmarkEnd w:id="4"/>
    <w:p w14:paraId="6C944101">
      <w:pPr>
        <w:spacing w:line="440" w:lineRule="exact"/>
        <w:jc w:val="center"/>
        <w:rPr>
          <w:rFonts w:ascii="仿宋" w:hAnsi="仿宋" w:eastAsia="仿宋" w:cs="仿宋"/>
          <w:color w:val="auto"/>
          <w:highlight w:val="none"/>
        </w:rPr>
      </w:pPr>
      <w:r>
        <w:rPr>
          <w:rFonts w:hint="eastAsia" w:asciiTheme="minorEastAsia" w:hAnsiTheme="minorEastAsia" w:eastAsiaTheme="minorEastAsia" w:cstheme="minorEastAsia"/>
          <w:color w:val="auto"/>
          <w:sz w:val="32"/>
          <w:szCs w:val="32"/>
          <w:highlight w:val="none"/>
        </w:rPr>
        <w:br w:type="page"/>
      </w:r>
      <w:bookmarkStart w:id="59" w:name="_Toc74323457"/>
    </w:p>
    <w:p w14:paraId="6334C5DA">
      <w:pPr>
        <w:pStyle w:val="3"/>
        <w:jc w:val="center"/>
        <w:rPr>
          <w:rFonts w:ascii="仿宋" w:hAnsi="仿宋" w:eastAsia="仿宋" w:cs="仿宋"/>
          <w:color w:val="auto"/>
          <w:highlight w:val="none"/>
        </w:rPr>
      </w:pPr>
      <w:r>
        <w:rPr>
          <w:rFonts w:hint="eastAsia" w:ascii="仿宋" w:hAnsi="仿宋" w:eastAsia="仿宋" w:cs="仿宋"/>
          <w:color w:val="auto"/>
          <w:highlight w:val="none"/>
        </w:rPr>
        <w:t>第二章 供应商须知</w:t>
      </w:r>
      <w:bookmarkEnd w:id="59"/>
    </w:p>
    <w:p w14:paraId="131DC887">
      <w:pPr>
        <w:spacing w:line="40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p w14:paraId="2DAA8D4E">
      <w:pPr>
        <w:spacing w:line="400" w:lineRule="exact"/>
        <w:jc w:val="center"/>
        <w:rPr>
          <w:rFonts w:ascii="仿宋" w:hAnsi="仿宋" w:eastAsia="仿宋" w:cs="仿宋"/>
          <w:b/>
          <w:color w:val="auto"/>
          <w:sz w:val="32"/>
          <w:szCs w:val="32"/>
          <w:highlight w:val="none"/>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471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7010D5C">
            <w:pPr>
              <w:spacing w:line="36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7912" w:type="dxa"/>
          </w:tcPr>
          <w:p w14:paraId="6F2A37A9">
            <w:pPr>
              <w:spacing w:line="36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14:paraId="2781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BE6155">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912" w:type="dxa"/>
            <w:vAlign w:val="center"/>
          </w:tcPr>
          <w:p w14:paraId="0D5B978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1.供应商的资格条件</w:t>
            </w:r>
            <w:r>
              <w:rPr>
                <w:rFonts w:hint="eastAsia" w:asciiTheme="minorEastAsia" w:hAnsiTheme="minorEastAsia" w:eastAsiaTheme="minorEastAsia" w:cstheme="minorEastAsia"/>
                <w:color w:val="auto"/>
                <w:szCs w:val="21"/>
                <w:highlight w:val="none"/>
              </w:rPr>
              <w:t>：详见竞争性磋商公告</w:t>
            </w:r>
          </w:p>
          <w:p w14:paraId="6B194736">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Cs/>
                <w:color w:val="auto"/>
                <w:szCs w:val="21"/>
                <w:highlight w:val="none"/>
              </w:rPr>
              <w:t>供应商</w:t>
            </w:r>
            <w:r>
              <w:rPr>
                <w:rFonts w:hint="eastAsia" w:asciiTheme="minorEastAsia" w:hAnsiTheme="minorEastAsia" w:eastAsiaTheme="minorEastAsia" w:cstheme="minorEastAsia"/>
                <w:color w:val="auto"/>
                <w:szCs w:val="21"/>
                <w:highlight w:val="none"/>
              </w:rPr>
              <w:t>出现下列情形之一的，不得参加政府采购活动：</w:t>
            </w:r>
          </w:p>
          <w:p w14:paraId="640D408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65A8F2">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tc>
      </w:tr>
      <w:tr w14:paraId="0363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988D1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7912" w:type="dxa"/>
            <w:vAlign w:val="center"/>
          </w:tcPr>
          <w:p w14:paraId="38816FFC">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 详见竞争性磋商公告</w:t>
            </w:r>
          </w:p>
        </w:tc>
      </w:tr>
      <w:tr w14:paraId="3A6B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C0B721">
            <w:pPr>
              <w:spacing w:line="36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039821C6">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593AD13">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58B6C8FE">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w:t>
            </w:r>
          </w:p>
          <w:p w14:paraId="60D98E3F">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6C054E6C">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68B7616A">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4C12D5A2">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3392E2BC">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7DA96E5F">
            <w:pPr>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0060E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92D45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7912" w:type="dxa"/>
            <w:vAlign w:val="center"/>
          </w:tcPr>
          <w:p w14:paraId="4CCBD49F">
            <w:pPr>
              <w:pStyle w:val="9"/>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不允许分包</w:t>
            </w:r>
          </w:p>
        </w:tc>
      </w:tr>
      <w:tr w14:paraId="4493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577B9">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7912" w:type="dxa"/>
            <w:vAlign w:val="center"/>
          </w:tcPr>
          <w:p w14:paraId="232CA902">
            <w:pPr>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资格证明文件</w:t>
            </w:r>
          </w:p>
          <w:p w14:paraId="10BFB4CF">
            <w:pPr>
              <w:pStyle w:val="9"/>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1.供应商为法人或者其他组织的，提供营业执照等证明文件（如营业执照或者事业单位法人证书或者执业许可证或者登记证书等）；（</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C9FBFB2">
            <w:pPr>
              <w:spacing w:line="360" w:lineRule="auto"/>
              <w:contextualSpacing/>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供应商依法缴纳税收的相关材料（</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12</w:t>
            </w:r>
            <w:r>
              <w:rPr>
                <w:rFonts w:hint="eastAsia" w:asciiTheme="minorEastAsia" w:hAnsiTheme="minorEastAsia" w:eastAsiaTheme="minorEastAsia" w:cstheme="minorEastAsia"/>
                <w:color w:val="auto"/>
                <w:szCs w:val="21"/>
                <w:highlight w:val="none"/>
              </w:rPr>
              <w:t>月内</w:t>
            </w:r>
            <w:r>
              <w:rPr>
                <w:rFonts w:hint="eastAsia" w:asciiTheme="minorEastAsia" w:hAnsiTheme="minorEastAsia" w:eastAsiaTheme="minorEastAsia" w:cstheme="minorEastAsia"/>
                <w:color w:val="auto"/>
                <w:szCs w:val="21"/>
                <w:highlight w:val="none"/>
                <w:lang w:val="en-US" w:eastAsia="zh-CN"/>
              </w:rPr>
              <w:t>任意</w:t>
            </w:r>
            <w:r>
              <w:rPr>
                <w:rFonts w:hint="eastAsia" w:asciiTheme="minorEastAsia" w:hAnsiTheme="minorEastAsia" w:eastAsiaTheme="minorEastAsia" w:cstheme="minorEastAsia"/>
                <w:color w:val="auto"/>
                <w:szCs w:val="21"/>
                <w:highlight w:val="none"/>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个月的依法缴纳税收的凭据复印件；</w:t>
            </w:r>
            <w:r>
              <w:rPr>
                <w:rFonts w:hint="eastAsia" w:asciiTheme="minorEastAsia" w:hAnsiTheme="minorEastAsia" w:eastAsiaTheme="minorEastAsia" w:cstheme="minorEastAsia"/>
                <w:color w:val="auto"/>
                <w:highlight w:val="none"/>
              </w:rPr>
              <w:t>依法免税的，必须提供相应文件证明其依法免税。</w:t>
            </w:r>
            <w:r>
              <w:rPr>
                <w:rFonts w:hint="eastAsia" w:asciiTheme="minorEastAsia" w:hAnsiTheme="minorEastAsia" w:eastAsiaTheme="minorEastAsia" w:cstheme="minorEastAsia"/>
                <w:color w:val="auto"/>
                <w:szCs w:val="21"/>
                <w:highlight w:val="none"/>
              </w:rPr>
              <w:t>从成立之日起到响应文件提交截止时间止不足要求月数的，只需提供从成立之日起的依法缴纳税收</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3954455">
            <w:pPr>
              <w:spacing w:line="360" w:lineRule="auto"/>
              <w:contextualSpacing/>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供应商依法缴纳社会保障资金的相关材料[</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12</w:t>
            </w:r>
            <w:r>
              <w:rPr>
                <w:rFonts w:hint="eastAsia" w:asciiTheme="minorEastAsia" w:hAnsiTheme="minorEastAsia" w:eastAsiaTheme="minorEastAsia" w:cstheme="minorEastAsia"/>
                <w:color w:val="auto"/>
                <w:szCs w:val="21"/>
                <w:highlight w:val="none"/>
              </w:rPr>
              <w:t>月内</w:t>
            </w:r>
            <w:r>
              <w:rPr>
                <w:rFonts w:hint="eastAsia" w:asciiTheme="minorEastAsia" w:hAnsiTheme="minorEastAsia" w:eastAsiaTheme="minorEastAsia" w:cstheme="minorEastAsia"/>
                <w:color w:val="auto"/>
                <w:szCs w:val="21"/>
                <w:highlight w:val="none"/>
                <w:lang w:val="en-US" w:eastAsia="zh-CN"/>
              </w:rPr>
              <w:t>任意</w:t>
            </w:r>
            <w:r>
              <w:rPr>
                <w:rFonts w:hint="eastAsia" w:asciiTheme="minorEastAsia" w:hAnsiTheme="minorEastAsia" w:eastAsiaTheme="minorEastAsia" w:cstheme="minorEastAsia"/>
                <w:color w:val="auto"/>
                <w:szCs w:val="21"/>
                <w:highlight w:val="none"/>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个月的依法缴纳社会保障资金的缴费凭证（</w:t>
            </w:r>
            <w:r>
              <w:rPr>
                <w:rFonts w:hint="eastAsia" w:asciiTheme="minorEastAsia" w:hAnsiTheme="minorEastAsia" w:eastAsiaTheme="minorEastAsia" w:cstheme="minorEastAsia"/>
                <w:color w:val="auto"/>
                <w:highlight w:val="none"/>
              </w:rPr>
              <w:t>如：</w:t>
            </w:r>
            <w:r>
              <w:rPr>
                <w:rFonts w:hint="eastAsia" w:asciiTheme="minorEastAsia" w:hAnsiTheme="minorEastAsia" w:eastAsiaTheme="minorEastAsia" w:cstheme="minorEastAsia"/>
                <w:color w:val="auto"/>
                <w:szCs w:val="21"/>
                <w:highlight w:val="none"/>
              </w:rPr>
              <w:t>专用收据、社会保险缴纳清单或者社保部门的证明）复印件；</w:t>
            </w:r>
            <w:r>
              <w:rPr>
                <w:rFonts w:hint="eastAsia" w:asciiTheme="minorEastAsia" w:hAnsiTheme="minorEastAsia" w:eastAsiaTheme="minorEastAsia" w:cstheme="minorEastAsia"/>
                <w:color w:val="auto"/>
                <w:highlight w:val="none"/>
              </w:rPr>
              <w:t>依法不需要缴纳社会保障资金的，必须提供相应文件证明不需要缴纳社会保障资金。</w:t>
            </w:r>
            <w:r>
              <w:rPr>
                <w:rFonts w:hint="eastAsia" w:asciiTheme="minorEastAsia" w:hAnsiTheme="minorEastAsia" w:eastAsiaTheme="minorEastAsia" w:cstheme="minorEastAsia"/>
                <w:color w:val="auto"/>
                <w:szCs w:val="21"/>
                <w:highlight w:val="none"/>
              </w:rPr>
              <w:t>从成立之日起到响应文件提交截止时间止不足要求月数的只需提供从成立之日起的依法缴纳社会保障资金的</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53B54AD2">
            <w:pPr>
              <w:spacing w:line="360" w:lineRule="auto"/>
              <w:contextualSpacing/>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 供应商财务状况报告[</w:t>
            </w:r>
            <w:r>
              <w:rPr>
                <w:rFonts w:hint="eastAsia" w:asciiTheme="minorEastAsia" w:hAnsiTheme="minorEastAsia" w:eastAsiaTheme="minorEastAsia" w:cstheme="minorEastAsia"/>
                <w:color w:val="auto"/>
                <w:szCs w:val="21"/>
                <w:highlight w:val="none"/>
                <w:u w:val="single"/>
              </w:rPr>
              <w:t>2024</w:t>
            </w:r>
            <w:r>
              <w:rPr>
                <w:rFonts w:hint="eastAsia" w:asciiTheme="minorEastAsia" w:hAnsiTheme="minorEastAsia" w:eastAsiaTheme="minorEastAsia" w:cstheme="minorEastAsia"/>
                <w:color w:val="auto"/>
                <w:szCs w:val="21"/>
                <w:highlight w:val="none"/>
              </w:rPr>
              <w:t>年度财务报表复印件，或者银行出具的资信证明，或者中国人民银行征信中心出具的信用报告（企业竞标的提供企业信用报告，供应商属于</w:t>
            </w:r>
            <w:r>
              <w:rPr>
                <w:rFonts w:hint="eastAsia" w:asciiTheme="minorEastAsia" w:hAnsiTheme="minorEastAsia" w:eastAsiaTheme="minorEastAsia" w:cstheme="minorEastAsia"/>
                <w:color w:val="auto"/>
                <w:highlight w:val="none"/>
              </w:rPr>
              <w:t>成立时间</w:t>
            </w:r>
            <w:r>
              <w:rPr>
                <w:rFonts w:hint="eastAsia" w:asciiTheme="minorEastAsia" w:hAnsiTheme="minorEastAsia" w:eastAsiaTheme="minorEastAsia" w:cstheme="minorEastAsia"/>
                <w:color w:val="auto"/>
                <w:kern w:val="0"/>
                <w:highlight w:val="none"/>
              </w:rPr>
              <w:t>在规定年度之后</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zCs w:val="21"/>
                <w:highlight w:val="none"/>
              </w:rPr>
              <w:t>法人或其他组织</w:t>
            </w:r>
            <w:r>
              <w:rPr>
                <w:rFonts w:hint="eastAsia" w:asciiTheme="minorEastAsia" w:hAnsiTheme="minorEastAsia" w:eastAsiaTheme="minorEastAsia" w:cstheme="minorEastAsia"/>
                <w:color w:val="auto"/>
                <w:highlight w:val="none"/>
              </w:rPr>
              <w:t>，需提供成立之日起至响应文件提交截止时间前的月报表</w:t>
            </w:r>
            <w:r>
              <w:rPr>
                <w:rFonts w:hint="eastAsia" w:asciiTheme="minorEastAsia" w:hAnsiTheme="minorEastAsia" w:eastAsiaTheme="minorEastAsia" w:cstheme="minor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bCs/>
                <w:color w:val="auto"/>
                <w:szCs w:val="21"/>
                <w:highlight w:val="none"/>
              </w:rPr>
              <w:t>）</w:t>
            </w:r>
          </w:p>
          <w:p w14:paraId="592E8552">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5.供应商直接控股信息表（格式后附）；（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263E303">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供应商直接管理关系信息表（格式后附）；（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C5ECB3B">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7.竞标声明（格式后附）；（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34E91F5">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8. </w:t>
            </w:r>
            <w:r>
              <w:rPr>
                <w:rFonts w:hint="eastAsia" w:ascii="宋体" w:hAnsi="宋体" w:eastAsia="宋体" w:cs="Times New Roman"/>
                <w:color w:val="auto"/>
                <w:szCs w:val="21"/>
                <w:highlight w:val="none"/>
                <w:lang w:val="en-US" w:eastAsia="zh-CN"/>
              </w:rPr>
              <w:t>供应商有效的</w:t>
            </w:r>
            <w:r>
              <w:rPr>
                <w:rFonts w:hint="eastAsia" w:ascii="宋体" w:hAnsi="宋体" w:eastAsia="宋体" w:cs="Times New Roman"/>
                <w:color w:val="auto"/>
                <w:szCs w:val="21"/>
                <w:highlight w:val="none"/>
                <w:lang w:eastAsia="zh-CN"/>
              </w:rPr>
              <w:t>工程设</w:t>
            </w:r>
            <w:r>
              <w:rPr>
                <w:rFonts w:hint="eastAsia" w:ascii="宋体" w:hAnsi="宋体"/>
                <w:color w:val="auto"/>
                <w:szCs w:val="21"/>
                <w:highlight w:val="none"/>
              </w:rPr>
              <w:t>计水利行业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水库枢纽</w:t>
            </w:r>
            <w:r>
              <w:rPr>
                <w:rFonts w:hint="eastAsia" w:ascii="宋体" w:hAnsi="宋体"/>
                <w:color w:val="auto"/>
                <w:szCs w:val="21"/>
                <w:highlight w:val="none"/>
                <w:lang w:eastAsia="zh-CN"/>
              </w:rPr>
              <w:t>）</w:t>
            </w:r>
            <w:r>
              <w:rPr>
                <w:rFonts w:hint="eastAsia" w:ascii="宋体" w:hAnsi="宋体"/>
                <w:color w:val="auto"/>
                <w:szCs w:val="21"/>
                <w:highlight w:val="none"/>
              </w:rPr>
              <w:t>专业类乙级</w:t>
            </w:r>
            <w:r>
              <w:rPr>
                <w:rFonts w:hint="eastAsia" w:ascii="宋体" w:hAnsi="宋体"/>
                <w:color w:val="auto"/>
                <w:szCs w:val="21"/>
                <w:highlight w:val="none"/>
                <w:lang w:val="en-US" w:eastAsia="zh-CN"/>
              </w:rPr>
              <w:t>及以上</w:t>
            </w:r>
            <w:r>
              <w:rPr>
                <w:rFonts w:hint="eastAsia" w:ascii="宋体" w:hAnsi="宋体"/>
                <w:color w:val="auto"/>
                <w:szCs w:val="21"/>
                <w:highlight w:val="none"/>
              </w:rPr>
              <w:t>资质</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工程设计综合资质甲级</w:t>
            </w:r>
            <w:r>
              <w:rPr>
                <w:rFonts w:hint="eastAsia" w:asciiTheme="minorEastAsia" w:hAnsiTheme="minorEastAsia" w:eastAsiaTheme="minorEastAsia" w:cstheme="minorEastAsia"/>
                <w:color w:val="auto"/>
                <w:szCs w:val="21"/>
                <w:highlight w:val="none"/>
                <w:lang w:val="en-US" w:eastAsia="zh-CN"/>
              </w:rPr>
              <w:t>证书复印件</w:t>
            </w:r>
            <w:r>
              <w:rPr>
                <w:rFonts w:hint="eastAsia" w:ascii="宋体" w:hAnsi="宋体"/>
                <w:color w:val="auto"/>
                <w:szCs w:val="21"/>
                <w:highlight w:val="none"/>
              </w:rPr>
              <w:t>；</w:t>
            </w:r>
            <w:r>
              <w:rPr>
                <w:rFonts w:hint="eastAsia" w:ascii="宋体" w:hAnsi="宋体" w:eastAsia="宋体" w:cs="Times New Roman"/>
                <w:color w:val="auto"/>
                <w:szCs w:val="21"/>
                <w:highlight w:val="none"/>
                <w:lang w:val="en-US" w:eastAsia="zh-CN"/>
              </w:rPr>
              <w:t>供应商有效的工程勘察综合类甲级或工程勘察专业类【岩土工程（勘察）】乙级及以上或工程勘察专业类（岩土工程）乙级及以上资质</w:t>
            </w:r>
            <w:r>
              <w:rPr>
                <w:rFonts w:hint="eastAsia" w:ascii="宋体" w:hAnsi="宋体" w:cs="Times New Roman"/>
                <w:color w:val="auto"/>
                <w:szCs w:val="21"/>
                <w:highlight w:val="none"/>
                <w:lang w:val="en-US" w:eastAsia="zh-CN"/>
              </w:rPr>
              <w:t>证书</w:t>
            </w:r>
            <w:r>
              <w:rPr>
                <w:rFonts w:hint="eastAsia" w:ascii="宋体" w:hAnsi="宋体"/>
                <w:color w:val="auto"/>
                <w:szCs w:val="21"/>
                <w:highlight w:val="none"/>
                <w:lang w:val="en-US" w:eastAsia="zh-CN"/>
              </w:rPr>
              <w:t>复印件</w:t>
            </w:r>
            <w:r>
              <w:rPr>
                <w:rFonts w:hint="eastAsia" w:ascii="宋体" w:hAnsi="宋体"/>
                <w:color w:val="auto"/>
                <w:szCs w:val="21"/>
                <w:highlight w:val="none"/>
              </w:rPr>
              <w:t>；</w:t>
            </w:r>
            <w:r>
              <w:rPr>
                <w:rFonts w:hint="eastAsia" w:ascii="宋体" w:hAnsi="宋体" w:eastAsia="宋体" w:cs="Times New Roman"/>
                <w:color w:val="auto"/>
                <w:szCs w:val="21"/>
                <w:highlight w:val="none"/>
                <w:lang w:val="en-US" w:eastAsia="zh-CN"/>
              </w:rPr>
              <w:t>供应商有效的</w:t>
            </w:r>
            <w:r>
              <w:rPr>
                <w:rFonts w:hint="eastAsia" w:ascii="宋体" w:hAnsi="宋体"/>
                <w:color w:val="auto"/>
                <w:szCs w:val="21"/>
                <w:highlight w:val="none"/>
              </w:rPr>
              <w:t>乙级</w:t>
            </w:r>
            <w:r>
              <w:rPr>
                <w:rFonts w:hint="eastAsia" w:ascii="宋体" w:hAnsi="宋体"/>
                <w:color w:val="auto"/>
                <w:szCs w:val="21"/>
                <w:highlight w:val="none"/>
                <w:lang w:val="en-US" w:eastAsia="zh-CN"/>
              </w:rPr>
              <w:t>测绘（工程测量）</w:t>
            </w:r>
            <w:r>
              <w:rPr>
                <w:rFonts w:hint="eastAsia" w:ascii="宋体" w:hAnsi="宋体"/>
                <w:color w:val="auto"/>
                <w:szCs w:val="21"/>
                <w:highlight w:val="none"/>
              </w:rPr>
              <w:t>或以上资质</w:t>
            </w:r>
            <w:r>
              <w:rPr>
                <w:rFonts w:hint="eastAsia" w:ascii="宋体" w:hAnsi="宋体"/>
                <w:color w:val="auto"/>
                <w:szCs w:val="21"/>
                <w:highlight w:val="none"/>
                <w:lang w:val="en-US" w:eastAsia="zh-CN"/>
              </w:rPr>
              <w:t>证书复印件</w:t>
            </w:r>
            <w:r>
              <w:rPr>
                <w:rFonts w:hint="eastAsia" w:ascii="宋体" w:hAnsi="宋体"/>
                <w:color w:val="auto"/>
                <w:szCs w:val="21"/>
                <w:highlight w:val="none"/>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5D124A5">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9.拟投入项目负责人的高级技术职称复印件，且专业是水利水电工程类专业（专业以技术职称证书所填写专业为准，如技术职称证书</w:t>
            </w:r>
            <w:r>
              <w:rPr>
                <w:rFonts w:hint="eastAsia" w:asciiTheme="minorEastAsia" w:hAnsiTheme="minorEastAsia" w:eastAsiaTheme="minorEastAsia" w:cstheme="minorEastAsia"/>
                <w:color w:val="auto"/>
                <w:szCs w:val="21"/>
                <w:highlight w:val="none"/>
                <w:lang w:val="en-US" w:eastAsia="zh-CN"/>
              </w:rPr>
              <w:t>未</w:t>
            </w:r>
            <w:r>
              <w:rPr>
                <w:rFonts w:hint="eastAsia" w:asciiTheme="minorEastAsia" w:hAnsiTheme="minorEastAsia" w:eastAsiaTheme="minorEastAsia" w:cstheme="minorEastAsia"/>
                <w:color w:val="auto"/>
                <w:szCs w:val="21"/>
                <w:highlight w:val="none"/>
              </w:rPr>
              <w:t>填写专业的，则以毕业证书所填专业为准）；（</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8AAE2A0">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.除磋商文件规定必须提供以外，供应商认为需要提供的其他证明材料；</w:t>
            </w:r>
          </w:p>
          <w:p w14:paraId="591CA76C">
            <w:pPr>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tc>
      </w:tr>
      <w:tr w14:paraId="3067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7A4881">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7912" w:type="dxa"/>
            <w:vAlign w:val="center"/>
          </w:tcPr>
          <w:p w14:paraId="59739B14">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报价文件</w:t>
            </w:r>
          </w:p>
          <w:p w14:paraId="2AAD3B88">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1.竞标报价表（格式后附）；（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4F4F7F4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2.供应商有效的《</w:t>
            </w:r>
            <w:r>
              <w:rPr>
                <w:rFonts w:hint="eastAsia" w:asciiTheme="minorEastAsia" w:hAnsiTheme="minorEastAsia" w:eastAsiaTheme="minorEastAsia" w:cstheme="minorEastAsia"/>
                <w:bCs/>
                <w:color w:val="auto"/>
                <w:szCs w:val="21"/>
                <w:highlight w:val="none"/>
              </w:rPr>
              <w:t>中小企业声明函</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2"/>
                <w:highlight w:val="none"/>
              </w:rPr>
              <w:t>或残疾人福利性单位声明函或监狱企业证明材料</w:t>
            </w:r>
            <w:r>
              <w:rPr>
                <w:rFonts w:hint="eastAsia" w:asciiTheme="minorEastAsia" w:hAnsiTheme="minorEastAsia" w:eastAsiaTheme="minorEastAsia" w:cstheme="minorEastAsia"/>
                <w:color w:val="auto"/>
                <w:szCs w:val="21"/>
                <w:highlight w:val="none"/>
              </w:rPr>
              <w:t>（格式后附）（如有请提供）</w:t>
            </w:r>
          </w:p>
          <w:p w14:paraId="2D4FE83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供应商认为需要提供的其他有关资料。</w:t>
            </w:r>
          </w:p>
        </w:tc>
      </w:tr>
      <w:tr w14:paraId="5A122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B952D0">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w:t>
            </w:r>
          </w:p>
        </w:tc>
        <w:tc>
          <w:tcPr>
            <w:tcW w:w="7912" w:type="dxa"/>
            <w:vAlign w:val="center"/>
          </w:tcPr>
          <w:p w14:paraId="357BC52E">
            <w:pPr>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商务技术文件</w:t>
            </w:r>
          </w:p>
          <w:p w14:paraId="297AD39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1.无串通竞标行为的承诺函（格式后附）；（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7D7B770F">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4AA5EC05">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7B514274">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4.磋商保证金提交凭证；（</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5E4569F">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B0FDC48">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6.项目服务方案（格式自拟）（</w:t>
            </w:r>
            <w:r>
              <w:rPr>
                <w:rFonts w:hint="eastAsia" w:asciiTheme="minorEastAsia" w:hAnsiTheme="minorEastAsia" w:eastAsiaTheme="minorEastAsia" w:cstheme="minorEastAsia"/>
                <w:color w:val="auto"/>
                <w:szCs w:val="21"/>
                <w:highlight w:val="none"/>
                <w:lang w:eastAsia="zh-CN"/>
              </w:rPr>
              <w:t>包含但不限于勘察设计方案、进度计划及其保证措施、质量控制措施、服务质量承诺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p>
          <w:p w14:paraId="7984C2A4">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7.技术要求偏离表（格式后附）；（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5115FC0">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8.项目实施人员一览表（格式自拟）；（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 xml:space="preserve">） </w:t>
            </w:r>
          </w:p>
          <w:p w14:paraId="62CD7ACF">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9.代理服务费承诺书</w:t>
            </w:r>
            <w:r>
              <w:rPr>
                <w:rFonts w:hint="eastAsia" w:asciiTheme="minorEastAsia" w:hAnsiTheme="minorEastAsia" w:eastAsiaTheme="minorEastAsia" w:cstheme="minorEastAsia"/>
                <w:color w:val="auto"/>
                <w:szCs w:val="21"/>
                <w:highlight w:val="none"/>
              </w:rPr>
              <w:t>（格式后附）；</w:t>
            </w:r>
          </w:p>
          <w:p w14:paraId="516921AF">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10.对应采购需求的技术要求、商务要求提供的其他文件资料（格式自拟）；</w:t>
            </w:r>
          </w:p>
          <w:p w14:paraId="42441118">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11.供应商认为需要提供的其他有关资料。</w:t>
            </w:r>
          </w:p>
          <w:p w14:paraId="177F4615">
            <w:pPr>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w:t>
            </w:r>
            <w:r>
              <w:rPr>
                <w:rFonts w:hint="eastAsia" w:asciiTheme="minorEastAsia" w:hAnsiTheme="minorEastAsia" w:eastAsiaTheme="minorEastAsia" w:cstheme="minorEastAsia"/>
                <w:b/>
                <w:bCs/>
                <w:color w:val="auto"/>
                <w:szCs w:val="21"/>
                <w:highlight w:val="none"/>
              </w:rPr>
              <w:t>电子签章</w:t>
            </w:r>
            <w:r>
              <w:rPr>
                <w:rFonts w:hint="eastAsia" w:asciiTheme="minorEastAsia" w:hAnsiTheme="minorEastAsia" w:eastAsiaTheme="minorEastAsia" w:cstheme="minorEastAsia"/>
                <w:b/>
                <w:color w:val="auto"/>
                <w:szCs w:val="21"/>
                <w:highlight w:val="none"/>
              </w:rPr>
              <w:t>，否则响应文件按无效响应处理。</w:t>
            </w:r>
          </w:p>
        </w:tc>
      </w:tr>
      <w:tr w14:paraId="6441E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1AEAD5">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7912" w:type="dxa"/>
            <w:vAlign w:val="center"/>
          </w:tcPr>
          <w:p w14:paraId="370CB56C">
            <w:pPr>
              <w:spacing w:line="360" w:lineRule="auto"/>
              <w:contextualSpacing/>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报价总金额即满足本次全部采购需求所应提供的服务的价格；</w:t>
            </w:r>
            <w:r>
              <w:rPr>
                <w:rFonts w:hint="eastAsia" w:asciiTheme="minorEastAsia" w:hAnsiTheme="minorEastAsia" w:eastAsiaTheme="minorEastAsia" w:cstheme="minorEastAsia"/>
                <w:color w:val="auto"/>
                <w:szCs w:val="21"/>
                <w:highlight w:val="none"/>
                <w:lang w:eastAsia="zh-CN"/>
              </w:rPr>
              <w:t>包含竞标服务</w:t>
            </w:r>
            <w:r>
              <w:rPr>
                <w:rFonts w:hint="eastAsia" w:asciiTheme="minorEastAsia" w:hAnsiTheme="minorEastAsia" w:eastAsiaTheme="minorEastAsia" w:cstheme="minorEastAsia"/>
                <w:color w:val="auto"/>
                <w:szCs w:val="21"/>
                <w:highlight w:val="none"/>
              </w:rPr>
              <w:t>但不限于编制费、专家咨询费、劳务费、差旅费、调研费、文献资料费、材料印制费、税费等完成本合同约定义务所需一切费用。</w:t>
            </w:r>
          </w:p>
        </w:tc>
      </w:tr>
      <w:tr w14:paraId="77D3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3DE190">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7912" w:type="dxa"/>
            <w:vAlign w:val="center"/>
          </w:tcPr>
          <w:p w14:paraId="5FC6BCB3">
            <w:pPr>
              <w:pStyle w:val="8"/>
              <w:widowControl w:val="0"/>
              <w:tabs>
                <w:tab w:val="clear" w:pos="454"/>
              </w:tabs>
              <w:snapToGrid w:val="0"/>
              <w:spacing w:afterLines="0" w:line="360" w:lineRule="auto"/>
              <w:ind w:left="283" w:hanging="283" w:hangingChars="135"/>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竞标有效期：自首次响应文件提交截止之日起</w:t>
            </w:r>
            <w:r>
              <w:rPr>
                <w:rFonts w:hint="eastAsia" w:asciiTheme="minorEastAsia" w:hAnsiTheme="minorEastAsia" w:eastAsiaTheme="minorEastAsia" w:cstheme="minorEastAsia"/>
                <w:color w:val="auto"/>
                <w:kern w:val="2"/>
                <w:sz w:val="21"/>
                <w:szCs w:val="21"/>
                <w:highlight w:val="none"/>
                <w:u w:val="single"/>
              </w:rPr>
              <w:t>60</w:t>
            </w:r>
            <w:r>
              <w:rPr>
                <w:rFonts w:hint="eastAsia" w:asciiTheme="minorEastAsia" w:hAnsiTheme="minorEastAsia" w:eastAsiaTheme="minorEastAsia" w:cstheme="minorEastAsia"/>
                <w:color w:val="auto"/>
                <w:kern w:val="2"/>
                <w:sz w:val="21"/>
                <w:szCs w:val="21"/>
                <w:highlight w:val="none"/>
              </w:rPr>
              <w:t>日。</w:t>
            </w:r>
          </w:p>
        </w:tc>
      </w:tr>
      <w:tr w14:paraId="359B5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D0480E">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7912" w:type="dxa"/>
            <w:vAlign w:val="center"/>
          </w:tcPr>
          <w:p w14:paraId="7D67692F">
            <w:pPr>
              <w:autoSpaceDE w:val="0"/>
              <w:autoSpaceDN w:val="0"/>
              <w:snapToGrid w:val="0"/>
              <w:spacing w:line="360" w:lineRule="auto"/>
              <w:ind w:firstLine="210" w:firstLineChars="100"/>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本项目不收取磋商保证金。</w:t>
            </w:r>
          </w:p>
          <w:p w14:paraId="01CED165">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☑本项目收取磋商保证金，具体规定如下：</w:t>
            </w:r>
            <w:r>
              <w:rPr>
                <w:rFonts w:hint="eastAsia" w:asciiTheme="minorEastAsia" w:hAnsiTheme="minorEastAsia" w:eastAsiaTheme="minorEastAsia" w:cstheme="minorEastAsia"/>
                <w:color w:val="auto"/>
                <w:kern w:val="0"/>
                <w:szCs w:val="21"/>
                <w:highlight w:val="none"/>
                <w:u w:val="single"/>
              </w:rPr>
              <w:t>磋商保证金人民币</w:t>
            </w:r>
            <w:r>
              <w:rPr>
                <w:rFonts w:hint="eastAsia" w:asciiTheme="minorEastAsia" w:hAnsiTheme="minorEastAsia" w:eastAsiaTheme="minorEastAsia" w:cstheme="minorEastAsia"/>
                <w:color w:val="auto"/>
                <w:szCs w:val="21"/>
                <w:highlight w:val="none"/>
                <w:u w:val="single"/>
                <w:lang w:val="en-US" w:eastAsia="zh-CN"/>
              </w:rPr>
              <w:t>柒仟元整</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7000.00</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kern w:val="0"/>
                <w:szCs w:val="21"/>
                <w:highlight w:val="none"/>
                <w:u w:val="single"/>
              </w:rPr>
              <w:t>。</w:t>
            </w:r>
          </w:p>
          <w:p w14:paraId="5B44B56D">
            <w:pPr>
              <w:snapToGrid w:val="0"/>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磋商保证金的交纳方式：银行转账、支票、汇票、本票或者银行、保险机构出具的</w:t>
            </w:r>
            <w:r>
              <w:rPr>
                <w:rFonts w:hint="eastAsia" w:asciiTheme="minorEastAsia" w:hAnsiTheme="minorEastAsia" w:eastAsiaTheme="minorEastAsia" w:cstheme="minorEastAsia"/>
                <w:color w:val="auto"/>
                <w:kern w:val="0"/>
                <w:szCs w:val="21"/>
                <w:highlight w:val="none"/>
                <w:lang w:eastAsia="zh-CN"/>
              </w:rPr>
              <w:t>保函（包含电子保函）</w:t>
            </w:r>
            <w:r>
              <w:rPr>
                <w:rFonts w:hint="eastAsia" w:asciiTheme="minorEastAsia" w:hAnsiTheme="minorEastAsia" w:eastAsiaTheme="minorEastAsia" w:cstheme="minorEastAsia"/>
                <w:color w:val="auto"/>
                <w:kern w:val="0"/>
                <w:szCs w:val="21"/>
                <w:highlight w:val="none"/>
              </w:rPr>
              <w:t>，禁止采用现钞方式。采用银行转账方式的，在响应文件提交截止时间前交至指定账户并且到账（</w:t>
            </w:r>
            <w:r>
              <w:rPr>
                <w:rFonts w:hint="eastAsia" w:asciiTheme="minorEastAsia" w:hAnsiTheme="minorEastAsia" w:eastAsiaTheme="minorEastAsia" w:cstheme="minorEastAsia"/>
                <w:color w:val="auto"/>
                <w:kern w:val="0"/>
                <w:szCs w:val="21"/>
                <w:highlight w:val="none"/>
                <w:u w:val="single"/>
              </w:rPr>
              <w:t>开户名：云之龙咨询集团有限公司钦州分公司；开户银行：中信银行南宁东葛支行；银行账号：8113 0010 1460 0074 523</w:t>
            </w:r>
            <w:r>
              <w:rPr>
                <w:rFonts w:hint="eastAsia" w:asciiTheme="minorEastAsia" w:hAnsiTheme="minorEastAsia" w:eastAsiaTheme="minorEastAsia" w:cstheme="minorEastAsia"/>
                <w:color w:val="auto"/>
                <w:kern w:val="0"/>
                <w:szCs w:val="21"/>
                <w:highlight w:val="none"/>
              </w:rPr>
              <w:t>）；采用支票、汇票、本票或者</w:t>
            </w:r>
            <w:r>
              <w:rPr>
                <w:rFonts w:hint="eastAsia" w:asciiTheme="minorEastAsia" w:hAnsiTheme="minorEastAsia" w:eastAsiaTheme="minorEastAsia" w:cstheme="minorEastAsia"/>
                <w:color w:val="auto"/>
                <w:kern w:val="0"/>
                <w:szCs w:val="21"/>
                <w:highlight w:val="none"/>
                <w:lang w:eastAsia="zh-CN"/>
              </w:rPr>
              <w:t>保函（</w:t>
            </w:r>
            <w:r>
              <w:rPr>
                <w:rFonts w:hint="eastAsia" w:asciiTheme="minorEastAsia" w:hAnsiTheme="minorEastAsia" w:eastAsiaTheme="minorEastAsia" w:cstheme="minorEastAsia"/>
                <w:color w:val="auto"/>
                <w:kern w:val="0"/>
                <w:szCs w:val="21"/>
                <w:highlight w:val="none"/>
                <w:lang w:val="en-US" w:eastAsia="zh-CN"/>
              </w:rPr>
              <w:t>不</w:t>
            </w:r>
            <w:r>
              <w:rPr>
                <w:rFonts w:hint="eastAsia" w:asciiTheme="minorEastAsia" w:hAnsiTheme="minorEastAsia" w:eastAsiaTheme="minorEastAsia" w:cstheme="minorEastAsia"/>
                <w:color w:val="auto"/>
                <w:kern w:val="0"/>
                <w:szCs w:val="21"/>
                <w:highlight w:val="none"/>
                <w:lang w:eastAsia="zh-CN"/>
              </w:rPr>
              <w:t>含电子保函）</w:t>
            </w:r>
            <w:r>
              <w:rPr>
                <w:rFonts w:hint="eastAsia" w:asciiTheme="minorEastAsia" w:hAnsiTheme="minorEastAsia" w:eastAsiaTheme="minorEastAsia" w:cstheme="minorEastAsia"/>
                <w:color w:val="auto"/>
                <w:kern w:val="0"/>
                <w:szCs w:val="21"/>
                <w:highlight w:val="none"/>
              </w:rPr>
              <w:t>等方式的，在响应文件提交截止时间前，供应商必须提交单独密封的支票、汇票、本票或者</w:t>
            </w:r>
            <w:r>
              <w:rPr>
                <w:rFonts w:hint="eastAsia" w:asciiTheme="minorEastAsia" w:hAnsiTheme="minorEastAsia" w:eastAsiaTheme="minorEastAsia" w:cstheme="minorEastAsia"/>
                <w:color w:val="auto"/>
                <w:kern w:val="0"/>
                <w:szCs w:val="21"/>
                <w:highlight w:val="none"/>
                <w:lang w:eastAsia="zh-CN"/>
              </w:rPr>
              <w:t>保函（</w:t>
            </w:r>
            <w:r>
              <w:rPr>
                <w:rFonts w:hint="eastAsia" w:asciiTheme="minorEastAsia" w:hAnsiTheme="minorEastAsia" w:eastAsiaTheme="minorEastAsia" w:cstheme="minorEastAsia"/>
                <w:color w:val="auto"/>
                <w:kern w:val="0"/>
                <w:szCs w:val="21"/>
                <w:highlight w:val="none"/>
                <w:lang w:val="en-US" w:eastAsia="zh-CN"/>
              </w:rPr>
              <w:t>不</w:t>
            </w:r>
            <w:r>
              <w:rPr>
                <w:rFonts w:hint="eastAsia" w:asciiTheme="minorEastAsia" w:hAnsiTheme="minorEastAsia" w:eastAsiaTheme="minorEastAsia" w:cstheme="minorEastAsia"/>
                <w:color w:val="auto"/>
                <w:kern w:val="0"/>
                <w:szCs w:val="21"/>
                <w:highlight w:val="none"/>
                <w:lang w:eastAsia="zh-CN"/>
              </w:rPr>
              <w:t>含电子保函）</w:t>
            </w:r>
            <w:r>
              <w:rPr>
                <w:rFonts w:hint="eastAsia" w:asciiTheme="minorEastAsia" w:hAnsiTheme="minorEastAsia" w:eastAsiaTheme="minorEastAsia" w:cstheme="minorEastAsia"/>
                <w:color w:val="auto"/>
                <w:kern w:val="0"/>
                <w:szCs w:val="21"/>
                <w:highlight w:val="none"/>
              </w:rPr>
              <w:t>原件。否则视为无效磋商保证金。</w:t>
            </w:r>
          </w:p>
          <w:p w14:paraId="1B9EF700">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相关要求：</w:t>
            </w:r>
          </w:p>
          <w:p w14:paraId="00E03C4E">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1DA3D48A">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2.磋商保证金采用支票、汇票、本票或者银行、保险机构出具的保函</w:t>
            </w:r>
            <w:r>
              <w:rPr>
                <w:rFonts w:hint="eastAsia" w:asciiTheme="minorEastAsia" w:hAnsiTheme="minorEastAsia" w:eastAsiaTheme="minorEastAsia" w:cstheme="minorEastAsia"/>
                <w:color w:val="auto"/>
                <w:highlight w:val="none"/>
              </w:rPr>
              <w:t>（包含电子保函）</w:t>
            </w:r>
            <w:r>
              <w:rPr>
                <w:rFonts w:hint="eastAsia" w:asciiTheme="minorEastAsia" w:hAnsiTheme="minorEastAsia" w:eastAsiaTheme="minorEastAsia" w:cstheme="minorEastAsia"/>
                <w:color w:val="auto"/>
                <w:szCs w:val="21"/>
                <w:highlight w:val="none"/>
              </w:rPr>
              <w:t>交纳方式的，供应商应将支票、汇票、本票或者银行、保险机构出具的保函</w:t>
            </w:r>
            <w:r>
              <w:rPr>
                <w:rFonts w:hint="eastAsia" w:asciiTheme="minorEastAsia" w:hAnsiTheme="minorEastAsia" w:eastAsiaTheme="minorEastAsia" w:cstheme="minorEastAsia"/>
                <w:color w:val="auto"/>
                <w:highlight w:val="none"/>
              </w:rPr>
              <w:t>（包含电子保函）</w:t>
            </w:r>
            <w:r>
              <w:rPr>
                <w:rFonts w:hint="eastAsia" w:asciiTheme="minorEastAsia" w:hAnsiTheme="minorEastAsia" w:eastAsiaTheme="minorEastAsia" w:cstheme="minorEastAsia"/>
                <w:color w:val="auto"/>
                <w:szCs w:val="21"/>
                <w:highlight w:val="none"/>
              </w:rPr>
              <w:t>的复印件作为磋商保证金提交凭证，放置于商务技术文件中，</w:t>
            </w:r>
            <w:r>
              <w:rPr>
                <w:rFonts w:hint="eastAsia" w:asciiTheme="minorEastAsia" w:hAnsiTheme="minorEastAsia" w:eastAsiaTheme="minorEastAsia" w:cstheme="minorEastAsia"/>
                <w:b/>
                <w:color w:val="auto"/>
                <w:szCs w:val="21"/>
                <w:highlight w:val="none"/>
              </w:rPr>
              <w:t>否则响应文件按无效处理</w:t>
            </w:r>
            <w:r>
              <w:rPr>
                <w:rFonts w:hint="eastAsia" w:asciiTheme="minorEastAsia" w:hAnsiTheme="minorEastAsia" w:eastAsiaTheme="minorEastAsia" w:cstheme="minorEastAsia"/>
                <w:color w:val="auto"/>
                <w:szCs w:val="21"/>
                <w:highlight w:val="none"/>
              </w:rPr>
              <w:t>。供应商必须</w:t>
            </w:r>
            <w:r>
              <w:rPr>
                <w:rFonts w:hint="eastAsia" w:asciiTheme="minorEastAsia" w:hAnsiTheme="minorEastAsia" w:eastAsiaTheme="minorEastAsia" w:cstheme="minorEastAsia"/>
                <w:color w:val="auto"/>
                <w:highlight w:val="none"/>
              </w:rPr>
              <w:t>在响应文件提交截止时间前采用现场或邮寄方式（现场提交地址：</w:t>
            </w:r>
            <w:r>
              <w:rPr>
                <w:rFonts w:hint="eastAsia" w:asciiTheme="minorEastAsia" w:hAnsiTheme="minorEastAsia" w:eastAsiaTheme="minorEastAsia" w:cstheme="minorEastAsia"/>
                <w:color w:val="auto"/>
                <w:szCs w:val="21"/>
                <w:highlight w:val="none"/>
                <w:u w:val="single"/>
              </w:rPr>
              <w:t>广西钦州市子材东大街19号奥林名城8号楼8层</w:t>
            </w:r>
            <w:r>
              <w:rPr>
                <w:rFonts w:hint="eastAsia" w:asciiTheme="minorEastAsia" w:hAnsiTheme="minorEastAsia" w:eastAsiaTheme="minorEastAsia" w:cstheme="minorEastAsia"/>
                <w:color w:val="auto"/>
                <w:highlight w:val="none"/>
              </w:rPr>
              <w:t>；邮寄地址：</w:t>
            </w:r>
            <w:r>
              <w:rPr>
                <w:rFonts w:hint="eastAsia" w:asciiTheme="minorEastAsia" w:hAnsiTheme="minorEastAsia" w:eastAsiaTheme="minorEastAsia" w:cstheme="minorEastAsia"/>
                <w:color w:val="auto"/>
                <w:szCs w:val="21"/>
                <w:highlight w:val="none"/>
                <w:u w:val="single"/>
              </w:rPr>
              <w:t>广西钦州市子材东大街19号奥林名城8号楼8层</w:t>
            </w:r>
            <w:r>
              <w:rPr>
                <w:rFonts w:hint="eastAsia" w:asciiTheme="minorEastAsia" w:hAnsiTheme="minorEastAsia" w:eastAsiaTheme="minorEastAsia" w:cstheme="minorEastAsia"/>
                <w:color w:val="auto"/>
                <w:highlight w:val="none"/>
              </w:rPr>
              <w:t>，收件人：</w:t>
            </w:r>
            <w:r>
              <w:rPr>
                <w:rFonts w:hint="eastAsia" w:asciiTheme="minorEastAsia" w:hAnsiTheme="minorEastAsia" w:eastAsiaTheme="minorEastAsia" w:cstheme="minorEastAsia"/>
                <w:color w:val="auto"/>
                <w:highlight w:val="none"/>
                <w:u w:val="single"/>
              </w:rPr>
              <w:t>秦绍袁</w:t>
            </w:r>
            <w:r>
              <w:rPr>
                <w:rFonts w:hint="eastAsia" w:asciiTheme="minorEastAsia" w:hAnsiTheme="minorEastAsia" w:eastAsiaTheme="minorEastAsia" w:cstheme="minorEastAsia"/>
                <w:color w:val="auto"/>
                <w:highlight w:val="none"/>
              </w:rPr>
              <w:t>，联系方式：</w:t>
            </w:r>
            <w:r>
              <w:rPr>
                <w:rFonts w:hint="eastAsia" w:asciiTheme="minorEastAsia" w:hAnsiTheme="minorEastAsia" w:eastAsiaTheme="minorEastAsia" w:cstheme="minorEastAsia"/>
                <w:color w:val="auto"/>
                <w:highlight w:val="none"/>
                <w:u w:val="single"/>
              </w:rPr>
              <w:t>0777-5619366</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将</w:t>
            </w:r>
            <w:r>
              <w:rPr>
                <w:rFonts w:hint="eastAsia" w:asciiTheme="minorEastAsia" w:hAnsiTheme="minorEastAsia" w:eastAsiaTheme="minorEastAsia" w:cstheme="minorEastAsia"/>
                <w:color w:val="auto"/>
                <w:kern w:val="0"/>
                <w:szCs w:val="21"/>
                <w:highlight w:val="none"/>
              </w:rPr>
              <w:t>单独密封的</w:t>
            </w:r>
            <w:r>
              <w:rPr>
                <w:rFonts w:hint="eastAsia" w:asciiTheme="minorEastAsia" w:hAnsiTheme="minorEastAsia" w:eastAsiaTheme="minorEastAsia" w:cstheme="minorEastAsia"/>
                <w:color w:val="auto"/>
                <w:szCs w:val="21"/>
                <w:highlight w:val="none"/>
              </w:rPr>
              <w:t>支票、汇票、本票或者银行、保险机构出具的</w:t>
            </w:r>
            <w:r>
              <w:rPr>
                <w:rFonts w:hint="eastAsia" w:asciiTheme="minorEastAsia" w:hAnsiTheme="minorEastAsia" w:eastAsiaTheme="minorEastAsia" w:cstheme="minorEastAsia"/>
                <w:color w:val="auto"/>
                <w:szCs w:val="21"/>
                <w:highlight w:val="none"/>
                <w:lang w:eastAsia="zh-CN"/>
              </w:rPr>
              <w:t>保函（</w:t>
            </w:r>
            <w:r>
              <w:rPr>
                <w:rFonts w:hint="eastAsia" w:asciiTheme="minorEastAsia" w:hAnsiTheme="minorEastAsia" w:eastAsiaTheme="minorEastAsia" w:cstheme="minorEastAsia"/>
                <w:color w:val="auto"/>
                <w:szCs w:val="21"/>
                <w:highlight w:val="none"/>
                <w:lang w:val="en-US" w:eastAsia="zh-CN"/>
              </w:rPr>
              <w:t>不</w:t>
            </w:r>
            <w:r>
              <w:rPr>
                <w:rFonts w:hint="eastAsia" w:asciiTheme="minorEastAsia" w:hAnsiTheme="minorEastAsia" w:eastAsiaTheme="minorEastAsia" w:cstheme="minorEastAsia"/>
                <w:color w:val="auto"/>
                <w:szCs w:val="21"/>
                <w:highlight w:val="none"/>
                <w:lang w:eastAsia="zh-CN"/>
              </w:rPr>
              <w:t>包含电子保函）</w:t>
            </w:r>
            <w:r>
              <w:rPr>
                <w:rFonts w:hint="eastAsia" w:asciiTheme="minorEastAsia" w:hAnsiTheme="minorEastAsia" w:eastAsiaTheme="minorEastAsia" w:cstheme="minorEastAsia"/>
                <w:color w:val="auto"/>
                <w:szCs w:val="21"/>
                <w:highlight w:val="none"/>
              </w:rPr>
              <w:t>原件提交给采购人或者采购代理机构，由采购人或者采购代理机构向供应商出具回执（邮寄方式的除外），并妥善保管。</w:t>
            </w:r>
          </w:p>
          <w:p w14:paraId="6A53CF68">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3.供应商为联合体的，可以由联合体中的一方或者多方共同交纳磋商保证金，其交纳的保证金对联合体各方均具有约束力。</w:t>
            </w:r>
          </w:p>
          <w:p w14:paraId="36ED9D87">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备注： </w:t>
            </w:r>
          </w:p>
          <w:p w14:paraId="40B72097">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1.磋商保证金在响应文件提交截止时间后提交的，或者不按规定交纳方式交纳的，或者未足额交纳的（包含保函额度不足的），视为无效磋商保证金。</w:t>
            </w:r>
          </w:p>
          <w:p w14:paraId="1A20D037">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2.供应商采用现钞方式或者从个人账户转出的磋商保证金，视为无效磋商保证金。</w:t>
            </w:r>
          </w:p>
          <w:p w14:paraId="6A16C561">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3.支票、汇票或者本票出现无效或者背书情形的，视为无效磋商保证金。</w:t>
            </w:r>
          </w:p>
          <w:p w14:paraId="3B2F01D7">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4.保函有效期低于竞标有效期的，视为无效磋商保证金。</w:t>
            </w:r>
          </w:p>
          <w:p w14:paraId="267289D4">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5.采用银行、保险机构出具保函的，必须为无条件保函，否则视为无效磋商保证金。</w:t>
            </w:r>
          </w:p>
        </w:tc>
      </w:tr>
      <w:tr w14:paraId="590E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3830F9">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7912" w:type="dxa"/>
            <w:vAlign w:val="center"/>
          </w:tcPr>
          <w:p w14:paraId="7ADC2E9B">
            <w:pPr>
              <w:autoSpaceDE w:val="0"/>
              <w:autoSpaceDN w:val="0"/>
              <w:adjustRightInd w:val="0"/>
              <w:spacing w:line="360" w:lineRule="auto"/>
              <w:textAlignment w:val="bottom"/>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☑本项目不接受</w:t>
            </w:r>
            <w:r>
              <w:rPr>
                <w:rFonts w:hint="eastAsia" w:asciiTheme="minorEastAsia" w:hAnsiTheme="minorEastAsia" w:eastAsiaTheme="minorEastAsia" w:cstheme="minorEastAsia"/>
                <w:color w:val="auto"/>
                <w:highlight w:val="none"/>
              </w:rPr>
              <w:t>电子</w:t>
            </w:r>
            <w:r>
              <w:rPr>
                <w:rFonts w:hint="eastAsia" w:asciiTheme="minorEastAsia" w:hAnsiTheme="minorEastAsia" w:eastAsiaTheme="minorEastAsia" w:cstheme="minorEastAsia"/>
                <w:color w:val="auto"/>
                <w:szCs w:val="21"/>
                <w:highlight w:val="none"/>
              </w:rPr>
              <w:t>备份响应文件；</w:t>
            </w:r>
          </w:p>
        </w:tc>
      </w:tr>
      <w:tr w14:paraId="5D8E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EF7CAA">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7912" w:type="dxa"/>
            <w:vAlign w:val="center"/>
          </w:tcPr>
          <w:p w14:paraId="5EF4D461">
            <w:pPr>
              <w:spacing w:line="360" w:lineRule="auto"/>
              <w:contextualSpacing/>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响应文件提交截止时间：详见竞争性磋商公告。</w:t>
            </w:r>
          </w:p>
          <w:p w14:paraId="37DBEBC8">
            <w:pPr>
              <w:spacing w:line="360" w:lineRule="auto"/>
              <w:contextualSpacing/>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响应文件提交地点：详见竞争性磋商公告。</w:t>
            </w:r>
          </w:p>
        </w:tc>
      </w:tr>
      <w:tr w14:paraId="1BFD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C4CA4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7912" w:type="dxa"/>
            <w:vAlign w:val="center"/>
          </w:tcPr>
          <w:p w14:paraId="7EB7AF2A">
            <w:pPr>
              <w:snapToGrid w:val="0"/>
              <w:spacing w:line="360" w:lineRule="auto"/>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磋商小组的人数：</w:t>
            </w:r>
            <w:r>
              <w:rPr>
                <w:rFonts w:hint="eastAsia" w:asciiTheme="minorEastAsia" w:hAnsiTheme="minorEastAsia" w:eastAsiaTheme="minorEastAsia" w:cstheme="minorEastAsia"/>
                <w:color w:val="auto"/>
                <w:szCs w:val="21"/>
                <w:highlight w:val="none"/>
                <w:u w:val="single"/>
              </w:rPr>
              <w:t xml:space="preserve"> 3</w:t>
            </w:r>
            <w:r>
              <w:rPr>
                <w:rFonts w:hint="eastAsia" w:asciiTheme="minorEastAsia" w:hAnsiTheme="minorEastAsia" w:eastAsiaTheme="minorEastAsia" w:cstheme="minorEastAsia"/>
                <w:color w:val="auto"/>
                <w:szCs w:val="21"/>
                <w:highlight w:val="none"/>
              </w:rPr>
              <w:t>人。</w:t>
            </w:r>
          </w:p>
        </w:tc>
      </w:tr>
      <w:tr w14:paraId="185B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6C7760">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7912" w:type="dxa"/>
            <w:vAlign w:val="center"/>
          </w:tcPr>
          <w:p w14:paraId="39EFAFE1">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首次响应文件开启时间详见竞争性磋商公告</w:t>
            </w:r>
          </w:p>
          <w:p w14:paraId="7B355BB2">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首次响应文件解密时间：</w:t>
            </w:r>
            <w:r>
              <w:rPr>
                <w:rFonts w:hint="eastAsia" w:asciiTheme="minorEastAsia" w:hAnsiTheme="minorEastAsia" w:eastAsiaTheme="minorEastAsia" w:cstheme="minorEastAsia"/>
                <w:color w:val="auto"/>
                <w:highlight w:val="none"/>
                <w:u w:val="single"/>
              </w:rPr>
              <w:t>30</w:t>
            </w:r>
            <w:r>
              <w:rPr>
                <w:rFonts w:hint="eastAsia" w:asciiTheme="minorEastAsia" w:hAnsiTheme="minorEastAsia" w:eastAsiaTheme="minorEastAsia" w:cstheme="minorEastAsia"/>
                <w:color w:val="auto"/>
                <w:highlight w:val="none"/>
              </w:rPr>
              <w:t>分钟</w:t>
            </w:r>
          </w:p>
        </w:tc>
      </w:tr>
      <w:tr w14:paraId="7282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04CA686">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w:t>
            </w:r>
          </w:p>
        </w:tc>
        <w:tc>
          <w:tcPr>
            <w:tcW w:w="7912" w:type="dxa"/>
            <w:vAlign w:val="center"/>
          </w:tcPr>
          <w:p w14:paraId="09655E01">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商务要求评审中允许负偏离的条款数为</w:t>
            </w:r>
            <w:r>
              <w:rPr>
                <w:rFonts w:hint="eastAsia" w:asciiTheme="minorEastAsia" w:hAnsiTheme="minorEastAsia" w:eastAsiaTheme="minorEastAsia" w:cstheme="minorEastAsia"/>
                <w:color w:val="auto"/>
                <w:szCs w:val="21"/>
                <w:highlight w:val="none"/>
                <w:u w:val="single"/>
              </w:rPr>
              <w:t xml:space="preserve"> 0  </w:t>
            </w:r>
            <w:r>
              <w:rPr>
                <w:rFonts w:hint="eastAsia" w:asciiTheme="minorEastAsia" w:hAnsiTheme="minorEastAsia" w:eastAsiaTheme="minorEastAsia" w:cstheme="minorEastAsia"/>
                <w:color w:val="auto"/>
                <w:szCs w:val="21"/>
                <w:highlight w:val="none"/>
              </w:rPr>
              <w:t>项。</w:t>
            </w:r>
          </w:p>
          <w:p w14:paraId="410CF991">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技术要求评审中允许负偏离的条款数为</w:t>
            </w:r>
            <w:r>
              <w:rPr>
                <w:rFonts w:hint="eastAsia" w:asciiTheme="minorEastAsia" w:hAnsiTheme="minorEastAsia" w:eastAsiaTheme="minorEastAsia" w:cstheme="minorEastAsia"/>
                <w:color w:val="auto"/>
                <w:szCs w:val="21"/>
                <w:highlight w:val="none"/>
                <w:u w:val="single"/>
              </w:rPr>
              <w:t xml:space="preserve"> 0  </w:t>
            </w:r>
            <w:r>
              <w:rPr>
                <w:rFonts w:hint="eastAsia" w:asciiTheme="minorEastAsia" w:hAnsiTheme="minorEastAsia" w:eastAsiaTheme="minorEastAsia" w:cstheme="minorEastAsia"/>
                <w:color w:val="auto"/>
                <w:szCs w:val="21"/>
                <w:highlight w:val="none"/>
              </w:rPr>
              <w:t>项。</w:t>
            </w:r>
          </w:p>
        </w:tc>
      </w:tr>
      <w:tr w14:paraId="02FF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F5CEC6">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7912" w:type="dxa"/>
            <w:vAlign w:val="center"/>
          </w:tcPr>
          <w:p w14:paraId="0FF7C0E3">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p w14:paraId="1112E45F">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□本项目收取履约保证金，具体规定如下：</w:t>
            </w:r>
          </w:p>
          <w:p w14:paraId="3412050A">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履约保证金金额：每分标按成交金额的%</w:t>
            </w:r>
            <w:r>
              <w:rPr>
                <w:rFonts w:hint="eastAsia" w:asciiTheme="minorEastAsia" w:hAnsiTheme="minorEastAsia" w:eastAsiaTheme="minorEastAsia" w:cstheme="minorEastAsia"/>
                <w:i/>
                <w:color w:val="auto"/>
                <w:szCs w:val="21"/>
                <w:highlight w:val="none"/>
              </w:rPr>
              <w:t>（注：履约保证金不超过</w:t>
            </w:r>
            <w:r>
              <w:rPr>
                <w:rFonts w:hint="eastAsia" w:asciiTheme="minorEastAsia" w:hAnsiTheme="minorEastAsia" w:eastAsiaTheme="minorEastAsia" w:cstheme="minorEastAsia"/>
                <w:i/>
                <w:color w:val="auto"/>
                <w:highlight w:val="none"/>
              </w:rPr>
              <w:t>政府采购合同金额的</w:t>
            </w:r>
            <w:r>
              <w:rPr>
                <w:rFonts w:hint="eastAsia" w:asciiTheme="minorEastAsia" w:hAnsiTheme="minorEastAsia" w:eastAsiaTheme="minorEastAsia" w:cstheme="minorEastAsia"/>
                <w:i/>
                <w:color w:val="auto"/>
                <w:szCs w:val="21"/>
                <w:highlight w:val="none"/>
              </w:rPr>
              <w:t>5%，对中小企业收取的履约保证金数额不得超过政府采购合同金额的2%）</w:t>
            </w:r>
            <w:r>
              <w:rPr>
                <w:rFonts w:hint="eastAsia" w:asciiTheme="minorEastAsia" w:hAnsiTheme="minorEastAsia" w:eastAsiaTheme="minorEastAsia" w:cstheme="minorEastAsia"/>
                <w:color w:val="auto"/>
                <w:szCs w:val="21"/>
                <w:highlight w:val="none"/>
              </w:rPr>
              <w:t>。</w:t>
            </w:r>
          </w:p>
          <w:p w14:paraId="4A91BF96">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履约保证金提交方式：银行转账、支票、汇票、本票或者银行、保险机构出具的保函等非现金方式（参照</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保证金）。</w:t>
            </w:r>
          </w:p>
          <w:p w14:paraId="35F34543">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履约保证金缴纳期限:</w:t>
            </w:r>
            <w:r>
              <w:rPr>
                <w:rFonts w:hint="eastAsia" w:asciiTheme="minorEastAsia" w:hAnsiTheme="minorEastAsia" w:eastAsiaTheme="minorEastAsia" w:cstheme="minorEastAsia"/>
                <w:i/>
                <w:color w:val="auto"/>
                <w:szCs w:val="21"/>
                <w:highlight w:val="none"/>
                <w:u w:val="single"/>
              </w:rPr>
              <w:t>自成交通知书发出之日起     日内(注意请勿超过采购需求中规定的签订合同时限)</w:t>
            </w:r>
            <w:r>
              <w:rPr>
                <w:rFonts w:hint="eastAsia" w:asciiTheme="minorEastAsia" w:hAnsiTheme="minorEastAsia" w:eastAsiaTheme="minorEastAsia" w:cstheme="minorEastAsia"/>
                <w:color w:val="auto"/>
                <w:szCs w:val="21"/>
                <w:highlight w:val="none"/>
              </w:rPr>
              <w:t>。</w:t>
            </w:r>
          </w:p>
          <w:p w14:paraId="29B38B7E">
            <w:pPr>
              <w:spacing w:line="360" w:lineRule="auto"/>
              <w:contextualSpacing/>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履约保证金退付方式、时间及条件：</w:t>
            </w:r>
            <w:r>
              <w:rPr>
                <w:rFonts w:hint="eastAsia" w:asciiTheme="minorEastAsia" w:hAnsiTheme="minorEastAsia" w:eastAsiaTheme="minorEastAsia" w:cstheme="minorEastAsia"/>
                <w:color w:val="auto"/>
                <w:szCs w:val="21"/>
                <w:highlight w:val="none"/>
                <w:u w:val="single"/>
              </w:rPr>
              <w:t xml:space="preserve">                               。</w:t>
            </w:r>
          </w:p>
          <w:p w14:paraId="1D76A34C">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履约保证金指定账户：</w:t>
            </w:r>
          </w:p>
          <w:p w14:paraId="6C62446E">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p>
          <w:p w14:paraId="74BFA7DB">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p w14:paraId="14F148AF">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p>
          <w:p w14:paraId="5F1B2AD9">
            <w:pPr>
              <w:spacing w:line="360" w:lineRule="auto"/>
              <w:contextualSpacing/>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Cs w:val="21"/>
                <w:highlight w:val="none"/>
              </w:rPr>
              <w:t>备注：</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b/>
                <w:color w:val="auto"/>
                <w:szCs w:val="21"/>
                <w:highlight w:val="none"/>
              </w:rPr>
              <w:t>1.</w:t>
            </w:r>
            <w:bookmarkStart w:id="60" w:name="_Hlk54170335"/>
            <w:r>
              <w:rPr>
                <w:rFonts w:hint="eastAsia" w:asciiTheme="minorEastAsia" w:hAnsiTheme="minorEastAsia" w:eastAsiaTheme="minorEastAsia" w:cstheme="minorEastAsia"/>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Theme="minorEastAsia" w:hAnsiTheme="minorEastAsia" w:eastAsiaTheme="minorEastAsia" w:cstheme="minorEastAsia"/>
                <w:b/>
                <w:color w:val="auto"/>
                <w:kern w:val="0"/>
                <w:sz w:val="24"/>
                <w:highlight w:val="none"/>
              </w:rPr>
              <w:t>。</w:t>
            </w:r>
            <w:bookmarkEnd w:id="60"/>
          </w:p>
          <w:p w14:paraId="02693625">
            <w:pPr>
              <w:spacing w:line="360" w:lineRule="auto"/>
              <w:contextualSpacing/>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2.履约保证金不足额缴纳的（包含</w:t>
            </w:r>
            <w:r>
              <w:rPr>
                <w:rFonts w:hint="eastAsia" w:asciiTheme="minorEastAsia" w:hAnsiTheme="minorEastAsia" w:eastAsiaTheme="minorEastAsia" w:cstheme="minorEastAsia"/>
                <w:b/>
                <w:color w:val="auto"/>
                <w:szCs w:val="21"/>
                <w:highlight w:val="none"/>
                <w:lang w:eastAsia="zh-CN"/>
              </w:rPr>
              <w:t>保函（包含电子保函）</w:t>
            </w:r>
            <w:r>
              <w:rPr>
                <w:rFonts w:hint="eastAsia" w:asciiTheme="minorEastAsia" w:hAnsiTheme="minorEastAsia" w:eastAsiaTheme="minorEastAsia" w:cstheme="minorEastAsia"/>
                <w:b/>
                <w:color w:val="auto"/>
                <w:szCs w:val="21"/>
                <w:highlight w:val="none"/>
              </w:rPr>
              <w:t>额度不足的），或者不按规定提交方式提交的，或者</w:t>
            </w:r>
            <w:r>
              <w:rPr>
                <w:rFonts w:hint="eastAsia" w:asciiTheme="minorEastAsia" w:hAnsiTheme="minorEastAsia" w:eastAsiaTheme="minorEastAsia" w:cstheme="minorEastAsia"/>
                <w:b/>
                <w:color w:val="auto"/>
                <w:szCs w:val="21"/>
                <w:highlight w:val="none"/>
                <w:lang w:eastAsia="zh-CN"/>
              </w:rPr>
              <w:t>保函（包含电子保函）</w:t>
            </w:r>
            <w:r>
              <w:rPr>
                <w:rFonts w:hint="eastAsia" w:asciiTheme="minorEastAsia" w:hAnsiTheme="minorEastAsia" w:eastAsiaTheme="minorEastAsia" w:cstheme="minorEastAsia"/>
                <w:b/>
                <w:color w:val="auto"/>
                <w:szCs w:val="21"/>
                <w:highlight w:val="none"/>
              </w:rPr>
              <w:t>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auto"/>
                <w:szCs w:val="21"/>
                <w:highlight w:val="none"/>
              </w:rPr>
              <w:br w:type="textWrapping"/>
            </w:r>
            <w:r>
              <w:rPr>
                <w:rFonts w:hint="eastAsia" w:asciiTheme="minorEastAsia" w:hAnsiTheme="minorEastAsia" w:eastAsiaTheme="minorEastAsia" w:cstheme="minorEastAsia"/>
                <w:b/>
                <w:color w:val="auto"/>
                <w:szCs w:val="21"/>
                <w:highlight w:val="none"/>
              </w:rPr>
              <w:t>3.采用银行、保险机构出具的</w:t>
            </w:r>
            <w:r>
              <w:rPr>
                <w:rFonts w:hint="eastAsia" w:asciiTheme="minorEastAsia" w:hAnsiTheme="minorEastAsia" w:eastAsiaTheme="minorEastAsia" w:cstheme="minorEastAsia"/>
                <w:b/>
                <w:color w:val="auto"/>
                <w:szCs w:val="21"/>
                <w:highlight w:val="none"/>
                <w:lang w:eastAsia="zh-CN"/>
              </w:rPr>
              <w:t>保函（包含电子保函）</w:t>
            </w:r>
            <w:r>
              <w:rPr>
                <w:rFonts w:hint="eastAsia" w:asciiTheme="minorEastAsia" w:hAnsiTheme="minorEastAsia" w:eastAsiaTheme="minorEastAsia" w:cstheme="minorEastAsia"/>
                <w:b/>
                <w:color w:val="auto"/>
                <w:szCs w:val="21"/>
                <w:highlight w:val="none"/>
              </w:rPr>
              <w:t>的，必须为无条件</w:t>
            </w:r>
            <w:r>
              <w:rPr>
                <w:rFonts w:hint="eastAsia" w:asciiTheme="minorEastAsia" w:hAnsiTheme="minorEastAsia" w:eastAsiaTheme="minorEastAsia" w:cstheme="minorEastAsia"/>
                <w:b/>
                <w:color w:val="auto"/>
                <w:szCs w:val="21"/>
                <w:highlight w:val="none"/>
                <w:lang w:eastAsia="zh-CN"/>
              </w:rPr>
              <w:t>保函（包含电子保函）</w:t>
            </w:r>
            <w:r>
              <w:rPr>
                <w:rFonts w:hint="eastAsia" w:asciiTheme="minorEastAsia" w:hAnsiTheme="minorEastAsia" w:eastAsiaTheme="minorEastAsia" w:cstheme="minorEastAsia"/>
                <w:b/>
                <w:color w:val="auto"/>
                <w:szCs w:val="21"/>
                <w:highlight w:val="none"/>
              </w:rPr>
              <w:t>，否则不予签订合同。</w:t>
            </w:r>
          </w:p>
          <w:p w14:paraId="7873AB64">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4.供应商为联合体的，由联合体任意一方按规定提交的履约保证金，视为有效履约保证金。</w:t>
            </w:r>
          </w:p>
        </w:tc>
      </w:tr>
      <w:tr w14:paraId="2CF9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61E16A">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7912" w:type="dxa"/>
            <w:vAlign w:val="center"/>
          </w:tcPr>
          <w:p w14:paraId="229B40A2">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签订合同携带的证明材料： </w:t>
            </w:r>
          </w:p>
          <w:p w14:paraId="46B91B4A">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委托代理人负责签订合同的，须携带授权委托书及委托代理人身份证原件等其他资格证件。</w:t>
            </w:r>
          </w:p>
          <w:p w14:paraId="2C636D3F">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法定代表人负责签订合同的，须携带法定代表人身份证明原件及身份证原件等其他证明材料。</w:t>
            </w:r>
          </w:p>
        </w:tc>
      </w:tr>
      <w:tr w14:paraId="22BA3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8F7B99">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7912" w:type="dxa"/>
            <w:vAlign w:val="center"/>
          </w:tcPr>
          <w:p w14:paraId="7B6A6037">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接收质疑函方式：以书面形式。</w:t>
            </w:r>
          </w:p>
          <w:p w14:paraId="749ADF37">
            <w:pPr>
              <w:snapToGrid w:val="0"/>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质疑联系部门及联系方式：云之龙咨询集团有限公司招标部，联系电话：</w:t>
            </w:r>
            <w:r>
              <w:rPr>
                <w:rFonts w:hint="eastAsia" w:asciiTheme="minorEastAsia" w:hAnsiTheme="minorEastAsia" w:eastAsiaTheme="minorEastAsia" w:cstheme="minorEastAsia"/>
                <w:color w:val="auto"/>
                <w:kern w:val="0"/>
                <w:szCs w:val="21"/>
                <w:highlight w:val="none"/>
              </w:rPr>
              <w:t>0777-5619366，通讯地址：广西钦州市子材东大街19号奥林名城8号楼8层</w:t>
            </w:r>
          </w:p>
          <w:p w14:paraId="0B5FFD2E">
            <w:pPr>
              <w:pStyle w:val="14"/>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业务时间：工作日上午8时00分到12时00分，下午3时00分到6时00分，业务时间以外、双休日和法定节假日不办理业务。</w:t>
            </w:r>
          </w:p>
        </w:tc>
      </w:tr>
      <w:tr w14:paraId="2878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E20F59">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7912" w:type="dxa"/>
            <w:vAlign w:val="center"/>
          </w:tcPr>
          <w:p w14:paraId="7C58D199">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1.采购代理费支付方式：</w:t>
            </w:r>
          </w:p>
          <w:p w14:paraId="3B0A7C8B">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本项目代理服务费由</w:t>
            </w:r>
            <w:r>
              <w:rPr>
                <w:rFonts w:hint="eastAsia" w:asciiTheme="minorEastAsia" w:hAnsiTheme="minorEastAsia" w:eastAsiaTheme="minorEastAsia" w:cstheme="minorEastAsia"/>
                <w:color w:val="auto"/>
                <w:sz w:val="21"/>
                <w:highlight w:val="none"/>
                <w:u w:val="single"/>
              </w:rPr>
              <w:t>成交供应商</w:t>
            </w:r>
            <w:r>
              <w:rPr>
                <w:rFonts w:hint="eastAsia" w:asciiTheme="minorEastAsia" w:hAnsiTheme="minorEastAsia" w:eastAsiaTheme="minorEastAsia" w:cstheme="minorEastAsia"/>
                <w:color w:val="auto"/>
                <w:sz w:val="21"/>
                <w:highlight w:val="none"/>
              </w:rPr>
              <w:t>一次性向采购代理机构支付。</w:t>
            </w:r>
          </w:p>
          <w:p w14:paraId="2C1D152D">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2.采购代理费收取标准：</w:t>
            </w:r>
          </w:p>
          <w:p w14:paraId="091EEEAC">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以</w:t>
            </w:r>
            <w:r>
              <w:rPr>
                <w:rFonts w:hint="eastAsia" w:asciiTheme="minorEastAsia" w:hAnsiTheme="minorEastAsia" w:eastAsiaTheme="minorEastAsia" w:cstheme="minorEastAsia"/>
                <w:color w:val="auto"/>
                <w:sz w:val="21"/>
                <w:highlight w:val="none"/>
                <w:lang w:val="en-US" w:eastAsia="zh-CN"/>
              </w:rPr>
              <w:t>预算</w:t>
            </w:r>
            <w:r>
              <w:rPr>
                <w:rFonts w:hint="eastAsia" w:asciiTheme="minorEastAsia" w:hAnsiTheme="minorEastAsia" w:eastAsiaTheme="minorEastAsia" w:cstheme="minorEastAsia"/>
                <w:color w:val="auto"/>
                <w:sz w:val="21"/>
                <w:highlight w:val="none"/>
              </w:rPr>
              <w:t>金额为计费额，按本须知正文第32.2条规定的收费计算标准服务类采用差额定率累进法计算出收费基准价格，采购代理收费以收费基准价格收取。</w:t>
            </w:r>
          </w:p>
          <w:p w14:paraId="4CAB198D">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 采购代理费收取银行账户</w:t>
            </w:r>
          </w:p>
          <w:p w14:paraId="493450D7">
            <w:pPr>
              <w:spacing w:line="500" w:lineRule="exac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开户名称：云之龙咨询集团有限公司钦州分公司</w:t>
            </w:r>
          </w:p>
          <w:p w14:paraId="5E6213E4">
            <w:pPr>
              <w:spacing w:line="500" w:lineRule="exac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开户银行：中信银行南宁东葛支行；</w:t>
            </w:r>
          </w:p>
          <w:p w14:paraId="418978C4">
            <w:pPr>
              <w:spacing w:line="500" w:lineRule="exac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银行账号：8113  0010  1330  0157  979；</w:t>
            </w:r>
          </w:p>
          <w:p w14:paraId="06303EE6">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行号：3026  1102  9137</w:t>
            </w:r>
          </w:p>
        </w:tc>
      </w:tr>
      <w:tr w14:paraId="3087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92F7E6">
            <w:pPr>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33.1</w:t>
            </w:r>
          </w:p>
        </w:tc>
        <w:tc>
          <w:tcPr>
            <w:tcW w:w="7912" w:type="dxa"/>
            <w:vAlign w:val="center"/>
          </w:tcPr>
          <w:p w14:paraId="36E755E1">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7A1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CF8D83">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7912" w:type="dxa"/>
            <w:vAlign w:val="center"/>
          </w:tcPr>
          <w:p w14:paraId="39BD8DD1">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联合体竞标的，响应文件只需加盖联合体牵头人公章。</w:t>
            </w:r>
          </w:p>
          <w:p w14:paraId="6DCB29A8">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sz w:val="21"/>
                <w:highlight w:val="none"/>
              </w:rPr>
              <w:t>2.本磋商文件所称的“</w:t>
            </w:r>
            <w:r>
              <w:rPr>
                <w:rFonts w:hint="eastAsia" w:asciiTheme="minorEastAsia" w:hAnsiTheme="minorEastAsia" w:eastAsiaTheme="minorEastAsia" w:cstheme="minorEastAsia"/>
                <w:color w:val="auto"/>
                <w:sz w:val="21"/>
                <w:highlight w:val="none"/>
              </w:rPr>
              <w:t>电子签章</w:t>
            </w:r>
            <w:r>
              <w:rPr>
                <w:rFonts w:hint="eastAsia" w:asciiTheme="minorEastAsia" w:hAnsiTheme="minorEastAsia" w:eastAsiaTheme="minorEastAsia" w:cstheme="minorEastAsia"/>
                <w:bCs/>
                <w:color w:val="auto"/>
                <w:sz w:val="21"/>
                <w:highlight w:val="none"/>
              </w:rPr>
              <w:t>”、“电子签名”</w:t>
            </w:r>
            <w:r>
              <w:rPr>
                <w:rFonts w:hint="eastAsia" w:asciiTheme="minorEastAsia" w:hAnsiTheme="minorEastAsia" w:eastAsiaTheme="minorEastAsia" w:cstheme="minorEastAsia"/>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1D7352AD">
            <w:pPr>
              <w:pStyle w:val="14"/>
              <w:snapToGrid w:val="0"/>
              <w:spacing w:line="360" w:lineRule="auto"/>
              <w:rPr>
                <w:rFonts w:asciiTheme="minorEastAsia" w:hAnsiTheme="minorEastAsia" w:eastAsiaTheme="minorEastAsia" w:cstheme="minorEastAsia"/>
                <w:bCs/>
                <w:color w:val="auto"/>
                <w:sz w:val="21"/>
                <w:highlight w:val="none"/>
              </w:rPr>
            </w:pPr>
            <w:r>
              <w:rPr>
                <w:rFonts w:hint="eastAsia" w:asciiTheme="minorEastAsia" w:hAnsiTheme="minorEastAsia" w:eastAsiaTheme="minorEastAsia" w:cstheme="minorEastAsia"/>
                <w:color w:val="auto"/>
                <w:sz w:val="21"/>
                <w:highlight w:val="none"/>
              </w:rPr>
              <w:t>3.供应商为其他组织或者自然人时，本磋商文件规定的法定代表人指负责人或者自然人。本磋商文件所称负责人是指参加竞标的其他组织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highlight w:val="none"/>
              </w:rPr>
              <w:t>营业执照或者执业许可证等证照上的</w:t>
            </w:r>
            <w:r>
              <w:rPr>
                <w:rFonts w:hint="eastAsia" w:asciiTheme="minorEastAsia" w:hAnsiTheme="minorEastAsia" w:eastAsiaTheme="minorEastAsia" w:cstheme="minorEastAsia"/>
                <w:color w:val="auto"/>
                <w:sz w:val="21"/>
                <w:highlight w:val="none"/>
              </w:rPr>
              <w:t>负责人，本磋商文件所称自然人指参与竞标的自然人本人，</w:t>
            </w:r>
            <w:r>
              <w:rPr>
                <w:rFonts w:hint="eastAsia" w:asciiTheme="minorEastAsia" w:hAnsiTheme="minorEastAsia" w:eastAsiaTheme="minorEastAsia" w:cstheme="minorEastAsia"/>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9DB6C6B">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6F1257B1">
            <w:pPr>
              <w:pStyle w:val="14"/>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5.本磋商文件所称的“以上”“以下”“以内”“届满”，包括本数；所称的“不满”“超过”“以外”，不包括本数。</w:t>
            </w:r>
          </w:p>
        </w:tc>
      </w:tr>
    </w:tbl>
    <w:p w14:paraId="7A38794E">
      <w:pPr>
        <w:spacing w:line="400" w:lineRule="exact"/>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供应商须知正文</w:t>
      </w:r>
    </w:p>
    <w:p w14:paraId="020376CE">
      <w:pPr>
        <w:spacing w:line="400" w:lineRule="exact"/>
        <w:jc w:val="center"/>
        <w:rPr>
          <w:rFonts w:asciiTheme="minorEastAsia" w:hAnsiTheme="minorEastAsia" w:eastAsiaTheme="minorEastAsia" w:cstheme="minorEastAsia"/>
          <w:b/>
          <w:color w:val="auto"/>
          <w:sz w:val="32"/>
          <w:szCs w:val="32"/>
          <w:highlight w:val="none"/>
        </w:rPr>
      </w:pPr>
    </w:p>
    <w:p w14:paraId="02935A36">
      <w:pPr>
        <w:spacing w:line="400" w:lineRule="exact"/>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一、总则</w:t>
      </w:r>
    </w:p>
    <w:p w14:paraId="5E44EEE4">
      <w:pPr>
        <w:spacing w:line="400" w:lineRule="exact"/>
        <w:rPr>
          <w:rFonts w:asciiTheme="minorEastAsia" w:hAnsiTheme="minorEastAsia" w:eastAsiaTheme="minorEastAsia" w:cstheme="minorEastAsia"/>
          <w:color w:val="auto"/>
          <w:szCs w:val="21"/>
          <w:highlight w:val="none"/>
        </w:rPr>
      </w:pPr>
    </w:p>
    <w:p w14:paraId="2A38B0B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3F9ED65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2E068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本竞争性磋商文件（以下简称磋商文件）适用于本项目的所有采购程序和环节（法律、法规另有规定的，从其规定）。</w:t>
      </w:r>
    </w:p>
    <w:p w14:paraId="3A731F5A">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71E1C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4D55426D">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2.2“采购代理机构”是指政府采购集中采购机构和集中采购机构以外的采购代理机构。</w:t>
      </w:r>
    </w:p>
    <w:p w14:paraId="012009F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7A9C371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2482091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2.5“竞标”是指供应商按照本项目竞争性磋商公告规定的方式获取磋商文件、提交响应文件并希望获得标的的行为。</w:t>
      </w:r>
    </w:p>
    <w:p w14:paraId="745633C0">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2.6“书面形式”是指合同书、信件和数据电文（包括电报、电传、传真、电子数据交换和电子邮件）等可以有形地表现所载内容的形式。</w:t>
      </w:r>
    </w:p>
    <w:p w14:paraId="44B1957E">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2.7“响应文件”</w:t>
      </w:r>
      <w:r>
        <w:rPr>
          <w:rFonts w:hint="eastAsia" w:asciiTheme="minorEastAsia" w:hAnsiTheme="minorEastAsia" w:eastAsiaTheme="minorEastAsia" w:cstheme="minorEastAsia"/>
          <w:color w:val="auto"/>
          <w:spacing w:val="-6"/>
          <w:szCs w:val="21"/>
          <w:highlight w:val="none"/>
        </w:rPr>
        <w:t>是指：供应商根据本磋商文件要求，编制包含资格证明、报价、商务技术等所有内容的文件。</w:t>
      </w:r>
    </w:p>
    <w:p w14:paraId="7E551B38">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2.8“实质性要求”是指磋商文件中已经指明不满足则响应文件按无效响应处理的条款，或者不能负偏离的条款，或者采购需求中带“▲”的条款。</w:t>
      </w:r>
    </w:p>
    <w:p w14:paraId="4CC12FE1">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2.9“正偏离”，是指响应文件对磋商文件“采购需求”中有关条款作出的响应优于条款要求并有利于采购人的情形。</w:t>
      </w:r>
    </w:p>
    <w:p w14:paraId="57AA9CA9">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2.10“负偏离”，是指响应文件对磋商文件“采购需求”中有关条款作出的响应不满足条款要求，导致采购人要求不能得到满足的情形。</w:t>
      </w:r>
    </w:p>
    <w:p w14:paraId="4090B1F5">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2.11“允许负偏离的条款”是指采购需求中的不属于“实质性要求”的条款。</w:t>
      </w:r>
    </w:p>
    <w:p w14:paraId="6E50D43B">
      <w:pPr>
        <w:spacing w:line="360" w:lineRule="auto"/>
        <w:ind w:firstLine="420" w:firstLineChars="20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2749FA86">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19F4A9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0A95B6C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4.竞标费用</w:t>
      </w:r>
    </w:p>
    <w:p w14:paraId="481A7E7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471458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1E9FC0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接受联合体竞标。</w:t>
      </w:r>
    </w:p>
    <w:p w14:paraId="1E12F8B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6.转包与分包             </w:t>
      </w:r>
    </w:p>
    <w:p w14:paraId="128F628E">
      <w:pPr>
        <w:pStyle w:val="5"/>
        <w:keepNext w:val="0"/>
        <w:keepLines w:val="0"/>
        <w:spacing w:before="0" w:after="0" w:line="360" w:lineRule="auto"/>
        <w:ind w:left="420" w:leftChars="200"/>
        <w:rPr>
          <w:rFonts w:asciiTheme="minorEastAsia" w:hAnsiTheme="minorEastAsia" w:eastAsiaTheme="minorEastAsia" w:cstheme="minorEastAsia"/>
          <w:b w:val="0"/>
          <w:color w:val="auto"/>
          <w:sz w:val="21"/>
          <w:szCs w:val="21"/>
          <w:highlight w:val="none"/>
        </w:rPr>
      </w:pPr>
      <w:bookmarkStart w:id="61" w:name="_Toc254970532"/>
      <w:bookmarkStart w:id="62" w:name="_Toc254970673"/>
      <w:r>
        <w:rPr>
          <w:rFonts w:hint="eastAsia" w:asciiTheme="minorEastAsia" w:hAnsiTheme="minorEastAsia" w:eastAsiaTheme="minorEastAsia" w:cstheme="minorEastAsia"/>
          <w:b w:val="0"/>
          <w:color w:val="auto"/>
          <w:sz w:val="21"/>
          <w:szCs w:val="21"/>
          <w:highlight w:val="none"/>
        </w:rPr>
        <w:t>6.1本项目不允许转包</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lang w:val="en-US" w:eastAsia="zh-CN"/>
        </w:rPr>
        <w:t>分包</w:t>
      </w:r>
      <w:r>
        <w:rPr>
          <w:rFonts w:hint="eastAsia" w:asciiTheme="minorEastAsia" w:hAnsiTheme="minorEastAsia" w:eastAsiaTheme="minorEastAsia" w:cstheme="minorEastAsia"/>
          <w:b w:val="0"/>
          <w:color w:val="auto"/>
          <w:sz w:val="21"/>
          <w:szCs w:val="21"/>
          <w:highlight w:val="none"/>
        </w:rPr>
        <w:t>。</w:t>
      </w:r>
    </w:p>
    <w:p w14:paraId="6CFCA83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7.特别说明</w:t>
      </w:r>
      <w:bookmarkEnd w:id="61"/>
      <w:bookmarkEnd w:id="62"/>
    </w:p>
    <w:p w14:paraId="4ED060BA">
      <w:pPr>
        <w:spacing w:line="360" w:lineRule="auto"/>
        <w:ind w:firstLine="420" w:firstLineChars="200"/>
        <w:rPr>
          <w:rFonts w:asciiTheme="minorEastAsia" w:hAnsiTheme="minorEastAsia" w:eastAsiaTheme="minorEastAsia" w:cstheme="minorEastAsia"/>
          <w:color w:val="auto"/>
          <w:szCs w:val="21"/>
          <w:highlight w:val="none"/>
        </w:rPr>
      </w:pPr>
      <w:bookmarkStart w:id="63" w:name="_8.1提供相同品牌产品且通过资格审查、符合性审查的不同投标人参加同一合"/>
      <w:bookmarkEnd w:id="63"/>
      <w:r>
        <w:rPr>
          <w:rFonts w:hint="eastAsia" w:asciiTheme="minorEastAsia" w:hAnsiTheme="minorEastAsia" w:eastAsiaTheme="minorEastAsia" w:cstheme="minorEastAsia"/>
          <w:color w:val="auto"/>
          <w:szCs w:val="21"/>
          <w:highlight w:val="none"/>
        </w:rPr>
        <w:t>7.1</w:t>
      </w:r>
      <w:bookmarkStart w:id="64" w:name="_Hlk65832145"/>
      <w:r>
        <w:rPr>
          <w:rFonts w:hint="eastAsia" w:asciiTheme="minorEastAsia" w:hAnsiTheme="minorEastAsia" w:eastAsiaTheme="minorEastAsia" w:cstheme="minorEastAsia"/>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4"/>
    <w:p w14:paraId="548A44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7.2供应商应仔细阅读磋商文件的所有内容，按照磋商文件的要求提交响应文件，并对所提供的全部资料的真实性承担法律责任。</w:t>
      </w:r>
    </w:p>
    <w:p w14:paraId="270248B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D22B17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214FAB3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4D9389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6FD3461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274152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7762A3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12FF40C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6D447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558DB8C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（1）不同供应商的响应文件由同一单位或者个人编制； </w:t>
      </w:r>
    </w:p>
    <w:p w14:paraId="114BA45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0CC481C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14:paraId="3FDB940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63E6E8F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4C9DA4F5">
      <w:pPr>
        <w:tabs>
          <w:tab w:val="left" w:pos="6931"/>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r>
        <w:rPr>
          <w:rFonts w:hint="eastAsia" w:asciiTheme="minorEastAsia" w:hAnsiTheme="minorEastAsia" w:eastAsiaTheme="minorEastAsia" w:cstheme="minorEastAsia"/>
          <w:color w:val="auto"/>
          <w:szCs w:val="21"/>
          <w:highlight w:val="none"/>
        </w:rPr>
        <w:tab/>
      </w:r>
    </w:p>
    <w:p w14:paraId="26D7941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2E471A3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1866690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6EECE25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399DE9A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703ACA4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4D0BBB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519B499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552210B2">
      <w:pPr>
        <w:spacing w:line="360" w:lineRule="auto"/>
        <w:ind w:firstLine="420" w:firstLineChars="200"/>
        <w:rPr>
          <w:rFonts w:asciiTheme="minorEastAsia" w:hAnsiTheme="minorEastAsia" w:eastAsiaTheme="minorEastAsia" w:cstheme="minorEastAsia"/>
          <w:color w:val="auto"/>
          <w:szCs w:val="21"/>
          <w:highlight w:val="none"/>
        </w:rPr>
      </w:pPr>
    </w:p>
    <w:p w14:paraId="5987FDE1">
      <w:pPr>
        <w:spacing w:line="360" w:lineRule="auto"/>
        <w:ind w:left="1" w:firstLine="417" w:firstLineChars="199"/>
        <w:jc w:val="center"/>
        <w:rPr>
          <w:rFonts w:asciiTheme="minorEastAsia" w:hAnsiTheme="minorEastAsia" w:eastAsiaTheme="minorEastAsia" w:cstheme="minorEastAsia"/>
          <w:color w:val="auto"/>
          <w:highlight w:val="none"/>
        </w:rPr>
      </w:pPr>
      <w:bookmarkStart w:id="65" w:name="_Toc254970534"/>
      <w:bookmarkStart w:id="66" w:name="_Toc254970675"/>
    </w:p>
    <w:p w14:paraId="590D8CCA">
      <w:pPr>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二、磋商文件</w:t>
      </w:r>
      <w:bookmarkEnd w:id="65"/>
      <w:bookmarkEnd w:id="66"/>
    </w:p>
    <w:p w14:paraId="4B346854">
      <w:pPr>
        <w:spacing w:line="360" w:lineRule="auto"/>
        <w:rPr>
          <w:rFonts w:asciiTheme="minorEastAsia" w:hAnsiTheme="minorEastAsia" w:eastAsiaTheme="minorEastAsia" w:cstheme="minorEastAsia"/>
          <w:color w:val="auto"/>
          <w:szCs w:val="21"/>
          <w:highlight w:val="none"/>
        </w:rPr>
      </w:pPr>
    </w:p>
    <w:p w14:paraId="0B6414E3">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0FB3600A">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（1）竞争性磋商公告；</w:t>
      </w:r>
    </w:p>
    <w:p w14:paraId="5947EF8F">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（2）供应商须知； </w:t>
      </w:r>
    </w:p>
    <w:p w14:paraId="5F9B028E">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35236A36">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（4）评审程序、评审方法和评审标准；</w:t>
      </w:r>
    </w:p>
    <w:p w14:paraId="0F205BBB">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（5）响应文件格式；</w:t>
      </w:r>
    </w:p>
    <w:p w14:paraId="1058CF8F">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（6）合同文本。</w:t>
      </w:r>
    </w:p>
    <w:p w14:paraId="797CD3F9">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043F023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2452B10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1C75132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0B974AF6">
      <w:pPr>
        <w:spacing w:line="360" w:lineRule="auto"/>
        <w:rPr>
          <w:rFonts w:asciiTheme="minorEastAsia" w:hAnsiTheme="minorEastAsia" w:eastAsiaTheme="minorEastAsia" w:cstheme="minorEastAsia"/>
          <w:color w:val="auto"/>
          <w:szCs w:val="21"/>
          <w:highlight w:val="none"/>
        </w:rPr>
      </w:pPr>
    </w:p>
    <w:p w14:paraId="23163F3C">
      <w:pPr>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32"/>
          <w:szCs w:val="32"/>
          <w:highlight w:val="none"/>
        </w:rPr>
        <w:t>三、响应文件的编制</w:t>
      </w:r>
    </w:p>
    <w:p w14:paraId="5CFA8386">
      <w:pPr>
        <w:spacing w:line="360" w:lineRule="auto"/>
        <w:rPr>
          <w:rFonts w:asciiTheme="minorEastAsia" w:hAnsiTheme="minorEastAsia" w:eastAsiaTheme="minorEastAsia" w:cstheme="minorEastAsia"/>
          <w:color w:val="auto"/>
          <w:szCs w:val="21"/>
          <w:highlight w:val="none"/>
        </w:rPr>
      </w:pPr>
    </w:p>
    <w:p w14:paraId="2E65BB2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629F12D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供应商必须按照磋商文件的要求编制响应文件，并对其提交的响应文件的真实性、合法性承担法律责任。响应文件必须对磋商文件提出的要求和条件作出明确响应。</w:t>
      </w:r>
    </w:p>
    <w:p w14:paraId="32F51464">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501747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12.1响应文件由资格证明文件、报价文件、商务技术文件三部分组成。</w:t>
      </w:r>
    </w:p>
    <w:p w14:paraId="3F4E75E5">
      <w:pPr>
        <w:spacing w:line="360" w:lineRule="auto"/>
        <w:ind w:left="840" w:leftChars="200" w:hanging="420" w:hanging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12.1.1资格证明文件：详见“供应商须知前附表”</w:t>
      </w:r>
    </w:p>
    <w:p w14:paraId="4520F676">
      <w:pPr>
        <w:spacing w:line="360" w:lineRule="auto"/>
        <w:ind w:left="840" w:leftChars="200" w:hanging="420" w:hanging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12.1.2报价文件：详见“供应商须知前附表”</w:t>
      </w:r>
    </w:p>
    <w:p w14:paraId="6DACF2BD">
      <w:pPr>
        <w:spacing w:line="360" w:lineRule="auto"/>
        <w:ind w:left="840" w:leftChars="200" w:hanging="420" w:hanging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12.1.3商务技术文件：详见“供应商须知前附表”</w:t>
      </w:r>
    </w:p>
    <w:p w14:paraId="6D58E47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591815D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磋商文件已有明确规定的，使用磋商文件规定的计量单位；磋商文件没有规定的，应采用中华人民共和国法定计量单位，货币种类为人民币，否则视同未响应。</w:t>
      </w:r>
    </w:p>
    <w:p w14:paraId="166FBC96">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37C787F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供应商没有按照磋商文件要求提供全部资料，或者供应商没有对磋商文件在各方面作出实质性响应可能导致其响应无效，是供应商应当考虑的风险。</w:t>
      </w:r>
    </w:p>
    <w:p w14:paraId="12473785">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15.竞标报价</w:t>
      </w:r>
    </w:p>
    <w:p w14:paraId="70433BD4">
      <w:pPr>
        <w:tabs>
          <w:tab w:val="left" w:pos="2492"/>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15.1竞标报价应按磋商文件中“竞标报价表”格式填写。</w:t>
      </w:r>
    </w:p>
    <w:p w14:paraId="7B609BA0">
      <w:pPr>
        <w:tabs>
          <w:tab w:val="left" w:pos="2492"/>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15.2竞标报价的内容见“供应商须知前附表”。</w:t>
      </w:r>
    </w:p>
    <w:p w14:paraId="0FE48C19">
      <w:pPr>
        <w:spacing w:line="360" w:lineRule="auto"/>
        <w:ind w:left="426" w:leftChars="203"/>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15.3竞标报价要求</w:t>
      </w:r>
    </w:p>
    <w:p w14:paraId="4523B20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15.3.1供应商的竞标报价应符合以下要求，否则响应文件按无效响应处理：</w:t>
      </w:r>
    </w:p>
    <w:p w14:paraId="30DA7D88">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（1）供应商必须就“采购需求”中所竞标的每个分标的全部内容分别作完整唯一总价报价，</w:t>
      </w:r>
    </w:p>
    <w:p w14:paraId="075DE730">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不得存在漏项报价；</w:t>
      </w:r>
    </w:p>
    <w:p w14:paraId="2F73819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311862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15.3.2竞标报价（包含首次报价、最后报价）超过所竞标分标规定的采购预算金额或者最高限价的，其响应文件将按无效处理。</w:t>
      </w:r>
    </w:p>
    <w:p w14:paraId="4E507CC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w:t>
      </w:r>
      <w:bookmarkStart w:id="67" w:name="_Hlk42592874"/>
      <w:r>
        <w:rPr>
          <w:rFonts w:hint="eastAsia" w:asciiTheme="minorEastAsia" w:hAnsiTheme="minorEastAsia" w:eastAsiaTheme="minorEastAsia" w:cstheme="minorEastAsia"/>
          <w:color w:val="auto"/>
          <w:szCs w:val="21"/>
          <w:highlight w:val="none"/>
        </w:rPr>
        <w:t>竞标报价（包含首次报价、最后报价）超过分项采购预算金额或者最高限价的，其响应文件将按无效处理。</w:t>
      </w:r>
    </w:p>
    <w:bookmarkEnd w:id="67"/>
    <w:p w14:paraId="5A8FBBA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17996A6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8C3F09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竞标有效期应由供应商按“供应商须知前附表”规定的期限作出响应。承诺的竞标有效期低于采购文件规定期限的，供应商的响应文件作无效处理。</w:t>
      </w:r>
    </w:p>
    <w:p w14:paraId="0438D0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01DEF9A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50D8A433">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17.1供应商须按“供应商须知前附表”的规定提交磋商保证金。</w:t>
      </w:r>
    </w:p>
    <w:p w14:paraId="2DF16E26">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17.2磋商保证金的退还</w:t>
      </w:r>
    </w:p>
    <w:p w14:paraId="5DE595E1">
      <w:pPr>
        <w:spacing w:line="360" w:lineRule="auto"/>
        <w:ind w:firstLine="420" w:firstLineChars="200"/>
        <w:rPr>
          <w:rFonts w:asciiTheme="minorEastAsia" w:hAnsiTheme="minorEastAsia" w:eastAsiaTheme="minorEastAsia" w:cstheme="minorEastAsia"/>
          <w:color w:val="auto"/>
          <w:szCs w:val="21"/>
          <w:highlight w:val="none"/>
        </w:rPr>
      </w:pPr>
      <w:bookmarkStart w:id="68" w:name="_Hlk66782243"/>
      <w:r>
        <w:rPr>
          <w:rFonts w:hint="eastAsia" w:asciiTheme="minorEastAsia" w:hAnsiTheme="minorEastAsia" w:eastAsiaTheme="minorEastAsia" w:cstheme="minorEastAsia"/>
          <w:color w:val="auto"/>
          <w:szCs w:val="21"/>
          <w:highlight w:val="none"/>
        </w:rPr>
        <w:t>未</w:t>
      </w:r>
      <w:r>
        <w:rPr>
          <w:rFonts w:hint="eastAsia" w:asciiTheme="minorEastAsia" w:hAnsiTheme="minorEastAsia" w:eastAsiaTheme="minorEastAsia" w:cstheme="minorEastAsia"/>
          <w:color w:val="auto"/>
          <w:spacing w:val="-6"/>
          <w:szCs w:val="21"/>
          <w:highlight w:val="none"/>
        </w:rPr>
        <w:t>成交供应商的</w:t>
      </w:r>
      <w:r>
        <w:rPr>
          <w:rFonts w:hint="eastAsia" w:asciiTheme="minorEastAsia" w:hAnsiTheme="minorEastAsia" w:eastAsiaTheme="minorEastAsia" w:cstheme="minorEastAsia"/>
          <w:color w:val="auto"/>
          <w:spacing w:val="-6"/>
          <w:szCs w:val="21"/>
          <w:highlight w:val="none"/>
          <w:lang w:val="en-US" w:eastAsia="zh-CN"/>
        </w:rPr>
        <w:t>磋商</w:t>
      </w:r>
      <w:r>
        <w:rPr>
          <w:rFonts w:hint="eastAsia" w:asciiTheme="minorEastAsia" w:hAnsiTheme="minorEastAsia" w:eastAsiaTheme="minorEastAsia" w:cstheme="minorEastAsia"/>
          <w:color w:val="auto"/>
          <w:spacing w:val="-6"/>
          <w:szCs w:val="21"/>
          <w:highlight w:val="none"/>
        </w:rPr>
        <w:t>保证金自成交通知书发出之日起5个工作日内退还；</w:t>
      </w:r>
      <w:r>
        <w:rPr>
          <w:rFonts w:hint="eastAsia" w:asciiTheme="minorEastAsia" w:hAnsiTheme="minorEastAsia" w:eastAsiaTheme="minorEastAsia" w:cstheme="minorEastAsia"/>
          <w:color w:val="auto"/>
          <w:szCs w:val="21"/>
          <w:highlight w:val="none"/>
        </w:rPr>
        <w:t>成交供应商的磋商保证金自签订合同之日起5个工作日内退还。</w:t>
      </w:r>
      <w:bookmarkEnd w:id="68"/>
    </w:p>
    <w:p w14:paraId="4E773F24">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17.3除逾期退还磋商保证金和终止采购的情形以外，磋商保证金不计息。</w:t>
      </w:r>
    </w:p>
    <w:p w14:paraId="5E5AAF84">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17.4供应商有下列情形之一的，磋商保证金将不予退还： </w:t>
      </w:r>
    </w:p>
    <w:p w14:paraId="080F5ED8">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（1）供应商在提交响应文件截止时间后撤回响应文件的；</w:t>
      </w:r>
    </w:p>
    <w:p w14:paraId="0371CE05">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（2）未按规定提交履约保证金的；</w:t>
      </w:r>
    </w:p>
    <w:p w14:paraId="0A323DB8">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（3）供应商在响应文件中提供虚假材料的；</w:t>
      </w:r>
    </w:p>
    <w:p w14:paraId="0D1589D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（4）除因不可抗力或者磋商文件认可的情形以外，成交供应商不与采购人签订合同的；</w:t>
      </w:r>
    </w:p>
    <w:p w14:paraId="04411012">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（5）供应商与采购人、其他供应商或者采购代理机构恶意串通的；</w:t>
      </w:r>
    </w:p>
    <w:p w14:paraId="1723C21F">
      <w:pPr>
        <w:spacing w:line="360" w:lineRule="auto"/>
        <w:ind w:left="420" w:left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（6）法律法规规定的其他情形。</w:t>
      </w:r>
    </w:p>
    <w:p w14:paraId="34DE5108">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6B1EA6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42DB55D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8C6FD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18.3响应文件须由供应商在规定位置签字、盖章（具体以供应商须知前附表或响应文件格式规定为准），否则按无效响应处理。</w:t>
      </w:r>
    </w:p>
    <w:p w14:paraId="7A992D3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18.4响应文件中标注的供应商名称应与主体资格证明（如营业执照或者事业单位法人证书或者执业许可证或者登记证书等）及公章一致，</w:t>
      </w:r>
      <w:r>
        <w:rPr>
          <w:rFonts w:hint="eastAsia" w:asciiTheme="minorEastAsia" w:hAnsiTheme="minorEastAsia" w:eastAsiaTheme="minorEastAsia" w:cstheme="minorEastAsia"/>
          <w:b/>
          <w:color w:val="auto"/>
          <w:szCs w:val="21"/>
          <w:highlight w:val="none"/>
        </w:rPr>
        <w:t>并与广西政府采购云平台中获取采购文件的供应商名称一致，</w:t>
      </w:r>
      <w:r>
        <w:rPr>
          <w:rFonts w:hint="eastAsia" w:asciiTheme="minorEastAsia" w:hAnsiTheme="minorEastAsia" w:eastAsiaTheme="minorEastAsia" w:cstheme="minorEastAsia"/>
          <w:color w:val="auto"/>
          <w:szCs w:val="21"/>
          <w:highlight w:val="none"/>
        </w:rPr>
        <w:t>供应商为自然人的，标注的供应商名称应与身份证姓名及签名一致，否则其响应文件按无效响应处理。</w:t>
      </w:r>
    </w:p>
    <w:p w14:paraId="4C1AED2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4012A06">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19.电子</w:t>
      </w:r>
      <w:r>
        <w:rPr>
          <w:rFonts w:hint="eastAsia" w:asciiTheme="minorEastAsia" w:hAnsiTheme="minorEastAsia" w:eastAsiaTheme="minorEastAsia" w:cstheme="minorEastAsia"/>
          <w:b/>
          <w:color w:val="auto"/>
          <w:sz w:val="24"/>
          <w:highlight w:val="none"/>
        </w:rPr>
        <w:t>备份响应文件</w:t>
      </w:r>
    </w:p>
    <w:p w14:paraId="1A42B3E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电子备份响应文件是指通过在线编制生成且后缀名为“bfbs”的文件，是否接受电子备份响应文件</w:t>
      </w:r>
      <w:r>
        <w:rPr>
          <w:rFonts w:hint="eastAsia" w:asciiTheme="minorEastAsia" w:hAnsiTheme="minorEastAsia" w:eastAsiaTheme="minorEastAsia" w:cstheme="minorEastAsia"/>
          <w:bCs/>
          <w:color w:val="auto"/>
          <w:szCs w:val="21"/>
          <w:highlight w:val="none"/>
        </w:rPr>
        <w:t>详见“供应商须知前附表”。</w:t>
      </w:r>
    </w:p>
    <w:p w14:paraId="69F4B68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0C660FE2">
      <w:pPr>
        <w:spacing w:line="360" w:lineRule="auto"/>
        <w:ind w:firstLine="420"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Cs/>
          <w:color w:val="auto"/>
          <w:szCs w:val="21"/>
          <w:highlight w:val="none"/>
        </w:rPr>
        <w:t>20.1供应商必须按“供应商须知前附表”规定的</w:t>
      </w:r>
      <w:r>
        <w:rPr>
          <w:rFonts w:hint="eastAsia" w:asciiTheme="minorEastAsia" w:hAnsiTheme="minorEastAsia" w:eastAsiaTheme="minorEastAsia" w:cstheme="minorEastAsia"/>
          <w:color w:val="auto"/>
          <w:szCs w:val="21"/>
          <w:highlight w:val="none"/>
        </w:rPr>
        <w:t>时间及</w:t>
      </w:r>
      <w:r>
        <w:rPr>
          <w:rFonts w:hint="eastAsia" w:asciiTheme="minorEastAsia" w:hAnsiTheme="minorEastAsia" w:eastAsiaTheme="minorEastAsia" w:cstheme="minorEastAsia"/>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 xml:space="preserve">。 </w:t>
      </w:r>
    </w:p>
    <w:p w14:paraId="3EE110E3">
      <w:pPr>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20.2未在规定时间内提交或者未按照磋商文件要求加密的电子响应文件，广西政府采购云平台将拒收。</w:t>
      </w:r>
    </w:p>
    <w:p w14:paraId="41D0B0B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5216D495">
      <w:pPr>
        <w:snapToGrid w:val="0"/>
        <w:spacing w:line="360" w:lineRule="auto"/>
        <w:ind w:firstLine="420"/>
        <w:jc w:val="left"/>
        <w:rPr>
          <w:rFonts w:asciiTheme="minorEastAsia" w:hAnsiTheme="minorEastAsia" w:eastAsiaTheme="minorEastAsia" w:cstheme="minorEastAsia"/>
          <w:color w:val="auto"/>
          <w:szCs w:val="21"/>
          <w:highlight w:val="none"/>
        </w:rPr>
      </w:pPr>
      <w:bookmarkStart w:id="69" w:name="_Toc254970543"/>
      <w:bookmarkStart w:id="70" w:name="_Toc254970684"/>
      <w:r>
        <w:rPr>
          <w:rFonts w:hint="eastAsia" w:asciiTheme="minorEastAsia" w:hAnsiTheme="minorEastAsia" w:eastAsiaTheme="minorEastAsia" w:cstheme="minorEastAsia"/>
          <w:color w:val="auto"/>
          <w:szCs w:val="21"/>
          <w:highlight w:val="none"/>
        </w:rPr>
        <w:t>21.1</w:t>
      </w:r>
      <w:r>
        <w:rPr>
          <w:rFonts w:hint="eastAsia" w:asciiTheme="minorEastAsia" w:hAnsiTheme="minorEastAsia" w:eastAsiaTheme="minorEastAsia" w:cstheme="minorEastAsia"/>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Theme="minorEastAsia" w:hAnsiTheme="minorEastAsia" w:eastAsiaTheme="minorEastAsia" w:cstheme="minorEastAsia"/>
          <w:color w:val="auto"/>
          <w:szCs w:val="21"/>
          <w:highlight w:val="none"/>
        </w:rPr>
        <w:t>（补充、修改或者撤回方式可登录</w:t>
      </w:r>
      <w:r>
        <w:rPr>
          <w:rFonts w:hint="eastAsia" w:asciiTheme="minorEastAsia" w:hAnsiTheme="minorEastAsia" w:eastAsiaTheme="minorEastAsia" w:cstheme="minorEastAsia"/>
          <w:color w:val="auto"/>
          <w:kern w:val="0"/>
          <w:szCs w:val="21"/>
          <w:highlight w:val="none"/>
        </w:rPr>
        <w:t>广西政府采购云平台，</w:t>
      </w:r>
      <w:r>
        <w:rPr>
          <w:rFonts w:hint="eastAsia" w:asciiTheme="minorEastAsia" w:hAnsiTheme="minorEastAsia" w:eastAsiaTheme="minorEastAsia" w:cstheme="minorEastAsia"/>
          <w:color w:val="auto"/>
          <w:szCs w:val="21"/>
          <w:highlight w:val="none"/>
        </w:rPr>
        <w:t>进入“服务中心”中查看 “电子投标文件制作与投送教程”）</w:t>
      </w:r>
    </w:p>
    <w:bookmarkEnd w:id="69"/>
    <w:bookmarkEnd w:id="70"/>
    <w:p w14:paraId="4A6A6ECF">
      <w:pPr>
        <w:pStyle w:val="64"/>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21.2在提交响应文件截止时间前，除供应商补充、修改或者撤回响应文件外，任何单位和个人不得解密或提取响应文件。</w:t>
      </w:r>
    </w:p>
    <w:p w14:paraId="77323FB2">
      <w:pPr>
        <w:spacing w:line="360" w:lineRule="auto"/>
        <w:ind w:firstLine="482" w:firstLineChars="200"/>
        <w:rPr>
          <w:rFonts w:asciiTheme="minorEastAsia" w:hAnsiTheme="minorEastAsia" w:eastAsiaTheme="minorEastAsia" w:cstheme="minorEastAsia"/>
          <w:b/>
          <w:bCs/>
          <w:color w:val="auto"/>
          <w:sz w:val="24"/>
          <w:highlight w:val="none"/>
        </w:rPr>
      </w:pPr>
      <w:bookmarkStart w:id="71" w:name="_Hlk45702405"/>
      <w:r>
        <w:rPr>
          <w:rFonts w:hint="eastAsia" w:asciiTheme="minorEastAsia" w:hAnsiTheme="minorEastAsia" w:eastAsiaTheme="minorEastAsia" w:cstheme="minorEastAsia"/>
          <w:b/>
          <w:bCs/>
          <w:color w:val="auto"/>
          <w:sz w:val="24"/>
          <w:highlight w:val="none"/>
        </w:rPr>
        <w:t>22.响应文件的退回</w:t>
      </w:r>
    </w:p>
    <w:p w14:paraId="3B11E6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采购人和采购代理机构对已提交的响应文件概不退回。</w:t>
      </w:r>
    </w:p>
    <w:p w14:paraId="7D69AB7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p w14:paraId="3916A49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供应商在响应文件提交截止时间后向采购人、采购代理机构书面申请撤回响应文件的，将根据本须知正文17.4的规定不予退还其磋商保证金。</w:t>
      </w:r>
    </w:p>
    <w:bookmarkEnd w:id="71"/>
    <w:p w14:paraId="11D6042F">
      <w:pPr>
        <w:spacing w:line="360" w:lineRule="auto"/>
        <w:rPr>
          <w:rFonts w:asciiTheme="minorEastAsia" w:hAnsiTheme="minorEastAsia" w:eastAsiaTheme="minorEastAsia" w:cstheme="minorEastAsia"/>
          <w:color w:val="auto"/>
          <w:szCs w:val="21"/>
          <w:highlight w:val="none"/>
        </w:rPr>
      </w:pPr>
    </w:p>
    <w:p w14:paraId="6CFC21E3">
      <w:pPr>
        <w:spacing w:line="360" w:lineRule="auto"/>
        <w:ind w:left="420" w:firstLine="42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四、评审及磋商</w:t>
      </w:r>
    </w:p>
    <w:p w14:paraId="200E2E71">
      <w:pPr>
        <w:spacing w:line="360" w:lineRule="auto"/>
        <w:ind w:left="420" w:firstLine="420"/>
        <w:rPr>
          <w:rFonts w:asciiTheme="minorEastAsia" w:hAnsiTheme="minorEastAsia" w:eastAsiaTheme="minorEastAsia" w:cstheme="minorEastAsia"/>
          <w:color w:val="auto"/>
          <w:szCs w:val="21"/>
          <w:highlight w:val="none"/>
        </w:rPr>
      </w:pPr>
    </w:p>
    <w:p w14:paraId="5A1439F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6E55F83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6DED7EA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ECCA7D8">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24.3</w:t>
      </w:r>
      <w:r>
        <w:rPr>
          <w:rFonts w:hint="eastAsia" w:asciiTheme="minorEastAsia" w:hAnsiTheme="minorEastAsia" w:eastAsiaTheme="minorEastAsia" w:cstheme="minorEastAsia"/>
          <w:bCs/>
          <w:color w:val="auto"/>
          <w:szCs w:val="21"/>
          <w:highlight w:val="none"/>
        </w:rPr>
        <w:t>采购代理机构</w:t>
      </w:r>
      <w:r>
        <w:rPr>
          <w:rFonts w:hint="eastAsia" w:asciiTheme="minorEastAsia" w:hAnsiTheme="minorEastAsia" w:eastAsiaTheme="minorEastAsia" w:cstheme="minorEastAsia"/>
          <w:bCs/>
          <w:color w:val="auto"/>
          <w:highlight w:val="none"/>
        </w:rPr>
        <w:t>应当</w:t>
      </w:r>
      <w:r>
        <w:rPr>
          <w:rFonts w:hint="eastAsia" w:asciiTheme="minorEastAsia" w:hAnsiTheme="minorEastAsia" w:eastAsiaTheme="minorEastAsia" w:cstheme="minorEastAsia"/>
          <w:bCs/>
          <w:color w:val="auto"/>
          <w:szCs w:val="21"/>
          <w:highlight w:val="none"/>
        </w:rPr>
        <w:t>基于广西政府采购云平台</w:t>
      </w:r>
      <w:r>
        <w:rPr>
          <w:rFonts w:hint="eastAsia" w:asciiTheme="minorEastAsia" w:hAnsiTheme="minorEastAsia" w:eastAsiaTheme="minorEastAsia" w:cstheme="minorEastAsia"/>
          <w:bCs/>
          <w:color w:val="auto"/>
          <w:highlight w:val="none"/>
        </w:rPr>
        <w:t>抽（选）取</w:t>
      </w:r>
      <w:r>
        <w:rPr>
          <w:rFonts w:hint="eastAsia" w:asciiTheme="minorEastAsia" w:hAnsiTheme="minorEastAsia" w:eastAsiaTheme="minorEastAsia" w:cstheme="minorEastAsia"/>
          <w:bCs/>
          <w:color w:val="auto"/>
          <w:szCs w:val="21"/>
          <w:highlight w:val="none"/>
        </w:rPr>
        <w:t>评审专家。</w:t>
      </w:r>
    </w:p>
    <w:p w14:paraId="210E9D2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24.4参加过采购项目前期咨询论证的专家，不得参加该采购项目的评审活动。</w:t>
      </w:r>
    </w:p>
    <w:p w14:paraId="3572927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25.首次响应文件的开启和解密</w:t>
      </w:r>
    </w:p>
    <w:p w14:paraId="322AF4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采购代理机构将在“供应商须知前附表”规定的时</w:t>
      </w:r>
      <w:r>
        <w:rPr>
          <w:rFonts w:hint="eastAsia" w:asciiTheme="minorEastAsia" w:hAnsiTheme="minorEastAsia" w:eastAsiaTheme="minorEastAsia" w:cstheme="minorEastAsia"/>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Theme="minorEastAsia" w:hAnsiTheme="minorEastAsia" w:eastAsiaTheme="minorEastAsia" w:cstheme="minorEastAsia"/>
          <w:bCs/>
          <w:color w:val="auto"/>
          <w:szCs w:val="21"/>
          <w:highlight w:val="none"/>
        </w:rPr>
        <w:t>“供应商须知前附表”</w:t>
      </w:r>
      <w:r>
        <w:rPr>
          <w:rFonts w:hint="eastAsia" w:asciiTheme="minorEastAsia" w:hAnsiTheme="minorEastAsia" w:eastAsiaTheme="minorEastAsia" w:cstheme="minorEastAsia"/>
          <w:color w:val="auto"/>
          <w:highlight w:val="none"/>
        </w:rPr>
        <w:t>规定的时间内自行进行响应文件解密。</w:t>
      </w:r>
      <w:r>
        <w:rPr>
          <w:rFonts w:hint="eastAsia" w:asciiTheme="minorEastAsia" w:hAnsiTheme="minorEastAsia" w:eastAsiaTheme="minorEastAsia" w:cstheme="minorEastAsia"/>
          <w:b/>
          <w:color w:val="auto"/>
          <w:highlight w:val="none"/>
        </w:rPr>
        <w:t>供应商未在规定的时间内解密响应文件或者解密失败的，供应商</w:t>
      </w:r>
      <w:r>
        <w:rPr>
          <w:rFonts w:hint="eastAsia" w:asciiTheme="minorEastAsia" w:hAnsiTheme="minorEastAsia" w:eastAsiaTheme="minorEastAsia" w:cstheme="minorEastAsia"/>
          <w:b/>
          <w:color w:val="auto"/>
          <w:szCs w:val="21"/>
          <w:highlight w:val="none"/>
        </w:rPr>
        <w:t>的响应文件作无效处理</w:t>
      </w:r>
      <w:r>
        <w:rPr>
          <w:rFonts w:hint="eastAsia" w:asciiTheme="minorEastAsia" w:hAnsiTheme="minorEastAsia" w:eastAsiaTheme="minorEastAsia" w:cstheme="minorEastAsia"/>
          <w:b/>
          <w:color w:val="auto"/>
          <w:highlight w:val="none"/>
        </w:rPr>
        <w:t>。</w:t>
      </w:r>
    </w:p>
    <w:p w14:paraId="20092B23">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4762011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26.1本项目的评审方法为综合评分法。</w:t>
      </w:r>
    </w:p>
    <w:p w14:paraId="22B5A26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26.2磋商小组按照“第四章 评审程序、评审方法和评审标准”规定的方法、评审因素、标准和程序对响应文件进行评审。</w:t>
      </w:r>
    </w:p>
    <w:p w14:paraId="36E5DB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 商务/技术要求允许负偏离的条款数详见“供应商须知前附表”。</w:t>
      </w:r>
    </w:p>
    <w:p w14:paraId="681E498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662D88F">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26.5电子交易活动的中止。采购过程中出现以下情形，导致电子交易平台无法正常运行，或者无法保证电子交易的公平、公正和安全时，采购机构可中止电子交易活动：</w:t>
      </w:r>
    </w:p>
    <w:p w14:paraId="1B9E5338">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67D38A95">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3146456B">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12C63723">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6005E529">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041033F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081E60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6172730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EEF7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27.2采购代理机构应当在</w:t>
      </w:r>
      <w:r>
        <w:rPr>
          <w:rFonts w:hint="eastAsia" w:asciiTheme="minorEastAsia" w:hAnsiTheme="minorEastAsia" w:eastAsiaTheme="minorEastAsia" w:cstheme="minorEastAsia"/>
          <w:color w:val="auto"/>
          <w:kern w:val="0"/>
          <w:szCs w:val="21"/>
          <w:highlight w:val="none"/>
        </w:rPr>
        <w:t>成交</w:t>
      </w:r>
      <w:r>
        <w:rPr>
          <w:rFonts w:hint="eastAsia" w:asciiTheme="minorEastAsia" w:hAnsiTheme="minorEastAsia" w:eastAsiaTheme="minorEastAsia" w:cstheme="minorEastAsia"/>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Theme="minorEastAsia" w:hAnsiTheme="minorEastAsia" w:eastAsiaTheme="minorEastAsia" w:cstheme="minorEastAsia"/>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2"/>
    </w:p>
    <w:p w14:paraId="604FEF8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27.3出现下列情形之一的，采购人或者采购代理机构应当终止竞争性磋商采购活动，发布项目终止公告并说明原因，重新开展采购活动：</w:t>
      </w:r>
    </w:p>
    <w:p w14:paraId="50502E8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（1）因情况变化，不再符合规定的竞争性磋商采购方式适用情形的；</w:t>
      </w:r>
    </w:p>
    <w:p w14:paraId="4A5A32F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（2）出现影响采购公正的违法、违规行为的；</w:t>
      </w:r>
    </w:p>
    <w:p w14:paraId="32D724B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（3）除“第四章 评审程序、评审方法和评审标准”第4.3条规定的情形外，在采购过程中符合要求的供应商或者报价未超过采购预算的供应商不足3家的。</w:t>
      </w:r>
    </w:p>
    <w:p w14:paraId="6B9FD41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A15493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0BE13FB7">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28.1履约保证金的金额、提交方式、缴纳期限、退付的时间和条件详见 “供应商须知前附表”。成交供应商未按规定提交履约保证金的，视为拒绝</w:t>
      </w:r>
      <w:r>
        <w:rPr>
          <w:rFonts w:hint="eastAsia" w:asciiTheme="minorEastAsia" w:hAnsiTheme="minorEastAsia" w:eastAsiaTheme="minorEastAsia" w:cstheme="minorEastAsia"/>
          <w:color w:val="auto"/>
          <w:highlight w:val="none"/>
        </w:rPr>
        <w:t>与采购人</w:t>
      </w:r>
      <w:r>
        <w:rPr>
          <w:rFonts w:hint="eastAsia" w:asciiTheme="minorEastAsia" w:hAnsiTheme="minorEastAsia" w:eastAsiaTheme="minorEastAsia" w:cstheme="minorEastAsia"/>
          <w:color w:val="auto"/>
          <w:szCs w:val="21"/>
          <w:highlight w:val="none"/>
        </w:rPr>
        <w:t>签订合同。</w:t>
      </w:r>
    </w:p>
    <w:p w14:paraId="6E8ED0B3">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3593CF45">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6F09D082">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29.1签订电子采购合同：成交供应商领取电子成交通知书后，在</w:t>
      </w:r>
      <w:r>
        <w:rPr>
          <w:rFonts w:hint="eastAsia" w:asciiTheme="minorEastAsia" w:hAnsiTheme="minorEastAsia" w:eastAsiaTheme="minorEastAsia" w:cstheme="minorEastAsia"/>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CBA9FF4">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线下签订纸质合同：供应商领取成交通知书后，按“供应商须知前附表”规定向采购人出示相关证明材料，经采购人核验合格后方可签订合同。</w:t>
      </w:r>
    </w:p>
    <w:p w14:paraId="56E931F0">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29.2签订合同时间：按成交通知书规定的时间与采购人签订合同。</w:t>
      </w:r>
    </w:p>
    <w:p w14:paraId="01F1C208">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3FC0E4D">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C7CCECE">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CDE91A8">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29.6如签订合同并生效后，供应商无故拒绝或延期，除按照合同条款处理外，将承担相应的法律责任。</w:t>
      </w:r>
    </w:p>
    <w:p w14:paraId="213E114A">
      <w:pPr>
        <w:spacing w:line="360" w:lineRule="auto"/>
        <w:ind w:firstLine="424" w:firstLineChars="20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18D54F9">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2B18C1D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E0B645">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 询问、质疑和投诉</w:t>
      </w:r>
    </w:p>
    <w:p w14:paraId="4A30969A">
      <w:pPr>
        <w:pStyle w:val="6"/>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Theme="minorEastAsia" w:hAnsiTheme="minorEastAsia" w:eastAsiaTheme="minorEastAsia" w:cstheme="minorEastAsia"/>
          <w:color w:val="auto"/>
          <w:szCs w:val="21"/>
          <w:highlight w:val="none"/>
        </w:rPr>
        <w:t>但答复的内容不得涉及商业秘密</w:t>
      </w:r>
      <w:r>
        <w:rPr>
          <w:rFonts w:hint="eastAsia" w:asciiTheme="minorEastAsia" w:hAnsiTheme="minorEastAsia" w:eastAsiaTheme="minorEastAsia" w:cstheme="minorEastAsia"/>
          <w:color w:val="auto"/>
          <w:highlight w:val="none"/>
        </w:rPr>
        <w:t>。</w:t>
      </w:r>
    </w:p>
    <w:p w14:paraId="2E612EEA">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78F2B66E">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（1）对可以质疑的磋商文件提出质疑的，为收到磋商文件之日或者竞争性磋商公告期限届满之日；</w:t>
      </w:r>
    </w:p>
    <w:p w14:paraId="02D7E0E6">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146537A7">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4CB20483">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151B224">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2D53C839">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4982B48A">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52733C1A">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04C6C496">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0277FE12">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10116B8B">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578CA8C8">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0BC9A285">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4EF2627">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（一）对采购文件提出的质疑，依法通过澄清或者修改可以继续开展采购活动的，澄清或者修改采购文件后继续开展采购活动；否则应当修改采购文件后重新开展采购活动。</w:t>
      </w:r>
    </w:p>
    <w:p w14:paraId="4EE5BCD7">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AB3D3A">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2B01FF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21DAB5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32.其他内容</w:t>
      </w:r>
    </w:p>
    <w:p w14:paraId="1CF3B882">
      <w:pPr>
        <w:tabs>
          <w:tab w:val="left" w:pos="2835"/>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32.1代理服务</w:t>
      </w:r>
      <w:r>
        <w:rPr>
          <w:rFonts w:hint="eastAsia" w:asciiTheme="minorEastAsia" w:hAnsiTheme="minorEastAsia" w:eastAsiaTheme="minorEastAsia" w:cstheme="minorEastAsia"/>
          <w:color w:val="auto"/>
          <w:szCs w:val="21"/>
          <w:highlight w:val="none"/>
          <w:lang w:val="en-US" w:eastAsia="zh-CN"/>
        </w:rPr>
        <w:t>费</w:t>
      </w:r>
      <w:r>
        <w:rPr>
          <w:rFonts w:hint="eastAsia" w:asciiTheme="minorEastAsia" w:hAnsiTheme="minorEastAsia" w:eastAsiaTheme="minorEastAsia" w:cstheme="minorEastAsia"/>
          <w:color w:val="auto"/>
          <w:szCs w:val="21"/>
          <w:highlight w:val="none"/>
        </w:rPr>
        <w:t>收取标准及缴费账户详见“供应商须知前附表”，供应商为联合体的，可以由联合体中的一方或者多方共同交纳代理服务费。</w:t>
      </w:r>
    </w:p>
    <w:p w14:paraId="397FA6E5">
      <w:pPr>
        <w:tabs>
          <w:tab w:val="left" w:pos="2835"/>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32.2代理服务费收费计算标准：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DC1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FA5DC32">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费率</w:t>
            </w:r>
          </w:p>
          <w:p w14:paraId="467D58F9">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1659" w:type="dxa"/>
            <w:vAlign w:val="center"/>
          </w:tcPr>
          <w:p w14:paraId="74A04C35">
            <w:pPr>
              <w:spacing w:line="360" w:lineRule="auto"/>
              <w:ind w:firstLine="105" w:firstLine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532" w:type="dxa"/>
            <w:vAlign w:val="center"/>
          </w:tcPr>
          <w:p w14:paraId="54B7CCC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546" w:type="dxa"/>
            <w:vAlign w:val="center"/>
          </w:tcPr>
          <w:p w14:paraId="221758B6">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3848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A10322">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1659" w:type="dxa"/>
          </w:tcPr>
          <w:p w14:paraId="3D66F84E">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                </w:t>
            </w:r>
          </w:p>
        </w:tc>
        <w:tc>
          <w:tcPr>
            <w:tcW w:w="1532" w:type="dxa"/>
          </w:tcPr>
          <w:p w14:paraId="62E82065">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1546" w:type="dxa"/>
          </w:tcPr>
          <w:p w14:paraId="555198AD">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1.0% </w:t>
            </w:r>
          </w:p>
        </w:tc>
      </w:tr>
      <w:tr w14:paraId="35AA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B2081C">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100～500万元</w:t>
            </w:r>
          </w:p>
        </w:tc>
        <w:tc>
          <w:tcPr>
            <w:tcW w:w="1659" w:type="dxa"/>
          </w:tcPr>
          <w:p w14:paraId="7BDE6E61">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1.1%                 </w:t>
            </w:r>
          </w:p>
        </w:tc>
        <w:tc>
          <w:tcPr>
            <w:tcW w:w="1532" w:type="dxa"/>
          </w:tcPr>
          <w:p w14:paraId="70727CEB">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1546" w:type="dxa"/>
          </w:tcPr>
          <w:p w14:paraId="4DEA1E06">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0.7% </w:t>
            </w:r>
          </w:p>
        </w:tc>
      </w:tr>
      <w:tr w14:paraId="6554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1C85C7">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w:t>
            </w:r>
          </w:p>
        </w:tc>
        <w:tc>
          <w:tcPr>
            <w:tcW w:w="1659" w:type="dxa"/>
          </w:tcPr>
          <w:p w14:paraId="57452D82">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                </w:t>
            </w:r>
          </w:p>
        </w:tc>
        <w:tc>
          <w:tcPr>
            <w:tcW w:w="1532" w:type="dxa"/>
          </w:tcPr>
          <w:p w14:paraId="0369C392">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1546" w:type="dxa"/>
          </w:tcPr>
          <w:p w14:paraId="09C2CC50">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7D1D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18D557E">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1000～5000万元</w:t>
            </w:r>
          </w:p>
        </w:tc>
        <w:tc>
          <w:tcPr>
            <w:tcW w:w="1659" w:type="dxa"/>
          </w:tcPr>
          <w:p w14:paraId="0AA9973B">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0.5%                </w:t>
            </w:r>
          </w:p>
        </w:tc>
        <w:tc>
          <w:tcPr>
            <w:tcW w:w="1532" w:type="dxa"/>
          </w:tcPr>
          <w:p w14:paraId="76D2D9D4">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1546" w:type="dxa"/>
          </w:tcPr>
          <w:p w14:paraId="0E41A2E2">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0.35% </w:t>
            </w:r>
          </w:p>
        </w:tc>
      </w:tr>
      <w:tr w14:paraId="25D3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2F5E5F">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1659" w:type="dxa"/>
          </w:tcPr>
          <w:p w14:paraId="46FEDA7A">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0.25%                 </w:t>
            </w:r>
          </w:p>
        </w:tc>
        <w:tc>
          <w:tcPr>
            <w:tcW w:w="1532" w:type="dxa"/>
          </w:tcPr>
          <w:p w14:paraId="086FCC6E">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1546" w:type="dxa"/>
          </w:tcPr>
          <w:p w14:paraId="43F4A17B">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0397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FB0AB4">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1～5亿元</w:t>
            </w:r>
          </w:p>
        </w:tc>
        <w:tc>
          <w:tcPr>
            <w:tcW w:w="1659" w:type="dxa"/>
          </w:tcPr>
          <w:p w14:paraId="560661AC">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1532" w:type="dxa"/>
          </w:tcPr>
          <w:p w14:paraId="4D63919B">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c>
          <w:tcPr>
            <w:tcW w:w="1546" w:type="dxa"/>
          </w:tcPr>
          <w:p w14:paraId="79A22EC9">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r>
      <w:tr w14:paraId="2F39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B497D9">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5～10亿元</w:t>
            </w:r>
          </w:p>
        </w:tc>
        <w:tc>
          <w:tcPr>
            <w:tcW w:w="1659" w:type="dxa"/>
          </w:tcPr>
          <w:p w14:paraId="20B6FF4B">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1532" w:type="dxa"/>
          </w:tcPr>
          <w:p w14:paraId="17911E22">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0.035%</w:t>
            </w:r>
          </w:p>
        </w:tc>
        <w:tc>
          <w:tcPr>
            <w:tcW w:w="1546" w:type="dxa"/>
          </w:tcPr>
          <w:p w14:paraId="6A221F7B">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0523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EC06C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10～50亿元</w:t>
            </w:r>
          </w:p>
        </w:tc>
        <w:tc>
          <w:tcPr>
            <w:tcW w:w="1659" w:type="dxa"/>
          </w:tcPr>
          <w:p w14:paraId="3D42F1B0">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32" w:type="dxa"/>
          </w:tcPr>
          <w:p w14:paraId="2B99D4D5">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46" w:type="dxa"/>
          </w:tcPr>
          <w:p w14:paraId="74F03E59">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1B3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B5C743">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50～100亿元</w:t>
            </w:r>
          </w:p>
        </w:tc>
        <w:tc>
          <w:tcPr>
            <w:tcW w:w="1659" w:type="dxa"/>
          </w:tcPr>
          <w:p w14:paraId="1F86758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0.006%</w:t>
            </w:r>
          </w:p>
        </w:tc>
        <w:tc>
          <w:tcPr>
            <w:tcW w:w="1532" w:type="dxa"/>
          </w:tcPr>
          <w:p w14:paraId="29D12E24">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1546" w:type="dxa"/>
          </w:tcPr>
          <w:p w14:paraId="07055B90">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1DB0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B44597">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100亿以上</w:t>
            </w:r>
          </w:p>
        </w:tc>
        <w:tc>
          <w:tcPr>
            <w:tcW w:w="1659" w:type="dxa"/>
          </w:tcPr>
          <w:p w14:paraId="168E958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0.004%</w:t>
            </w:r>
          </w:p>
        </w:tc>
        <w:tc>
          <w:tcPr>
            <w:tcW w:w="1532" w:type="dxa"/>
          </w:tcPr>
          <w:p w14:paraId="51D87BF5">
            <w:pPr>
              <w:spacing w:line="360" w:lineRule="auto"/>
              <w:ind w:firstLine="210" w:firstLineChars="1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1546" w:type="dxa"/>
          </w:tcPr>
          <w:p w14:paraId="4846235B">
            <w:pPr>
              <w:spacing w:line="360" w:lineRule="auto"/>
              <w:ind w:firstLine="105" w:firstLineChars="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4869292D">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562850CF">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（1）按本表费率计算的收费为采购代理的收费基准价格；</w:t>
      </w:r>
    </w:p>
    <w:p w14:paraId="432C582C">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（2）采购代理收费按差额定率累进法计算。</w:t>
      </w:r>
    </w:p>
    <w:p w14:paraId="401AF58D">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例如：某服务采购代理业务</w:t>
      </w:r>
      <w:r>
        <w:rPr>
          <w:rFonts w:hint="eastAsia" w:asciiTheme="minorEastAsia" w:hAnsiTheme="minorEastAsia" w:eastAsiaTheme="minorEastAsia" w:cstheme="minorEastAsia"/>
          <w:color w:val="auto"/>
          <w:highlight w:val="none"/>
          <w:lang w:val="en-US" w:eastAsia="zh-CN"/>
        </w:rPr>
        <w:t>预算</w:t>
      </w:r>
      <w:r>
        <w:rPr>
          <w:rFonts w:hint="eastAsia" w:asciiTheme="minorEastAsia" w:hAnsiTheme="minorEastAsia" w:eastAsiaTheme="minorEastAsia" w:cstheme="minorEastAsia"/>
          <w:color w:val="auto"/>
          <w:highlight w:val="none"/>
        </w:rPr>
        <w:t>金额或者暂定价为150万元，计算采购代理收费额如下：</w:t>
      </w:r>
    </w:p>
    <w:p w14:paraId="68EEFC6E">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 万元 ×l.5 %＝ 1.5 万元</w:t>
      </w:r>
    </w:p>
    <w:p w14:paraId="19FE0843">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150 － 100 ）万元 ×0.8%＝ 0.4万元</w:t>
      </w:r>
    </w:p>
    <w:p w14:paraId="3E3E7E0B">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合计收费＝ 1.5 ＋ 0.4＝ 1.9 万元</w:t>
      </w:r>
    </w:p>
    <w:p w14:paraId="286D22B8">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33.需要补充的其他内容</w:t>
      </w:r>
    </w:p>
    <w:p w14:paraId="36CB9733">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461BC3DE">
      <w:pPr>
        <w:pStyle w:val="14"/>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02959577">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458E407">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FBC431F">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037661A">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27846AF">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F366430">
      <w:pPr>
        <w:pStyle w:val="14"/>
        <w:spacing w:line="360" w:lineRule="auto"/>
        <w:ind w:firstLine="420" w:firstLineChars="200"/>
        <w:contextualSpacing/>
        <w:rPr>
          <w:rFonts w:asciiTheme="minorEastAsia" w:hAnsiTheme="minorEastAsia" w:eastAsiaTheme="minorEastAsia" w:cstheme="minorEastAsia"/>
          <w:color w:val="auto"/>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12EC71C4">
      <w:pPr>
        <w:pStyle w:val="14"/>
        <w:spacing w:line="360" w:lineRule="auto"/>
        <w:ind w:firstLine="402" w:firstLineChars="200"/>
        <w:textAlignment w:val="center"/>
        <w:rPr>
          <w:rFonts w:asciiTheme="minorEastAsia" w:hAnsiTheme="minorEastAsia" w:eastAsiaTheme="minorEastAsia" w:cstheme="minorEastAsia"/>
          <w:b/>
          <w:color w:val="auto"/>
          <w:highlight w:val="none"/>
        </w:rPr>
      </w:pPr>
    </w:p>
    <w:p w14:paraId="1ED1ED2F">
      <w:pPr>
        <w:pStyle w:val="14"/>
        <w:spacing w:line="360" w:lineRule="auto"/>
        <w:ind w:firstLine="402" w:firstLineChars="200"/>
        <w:textAlignment w:val="center"/>
        <w:rPr>
          <w:rFonts w:ascii="仿宋" w:hAnsi="仿宋" w:eastAsia="仿宋" w:cs="仿宋"/>
          <w:b/>
          <w:bCs/>
          <w:color w:val="auto"/>
          <w:sz w:val="18"/>
          <w:szCs w:val="18"/>
          <w:highlight w:val="none"/>
        </w:rPr>
      </w:pPr>
      <w:r>
        <w:rPr>
          <w:rFonts w:hint="eastAsia" w:asciiTheme="minorEastAsia" w:hAnsiTheme="minorEastAsia" w:eastAsiaTheme="minorEastAsia" w:cstheme="minorEastAsia"/>
          <w:b/>
          <w:color w:val="auto"/>
          <w:highlight w:val="none"/>
        </w:rPr>
        <w:br w:type="page"/>
      </w:r>
    </w:p>
    <w:p w14:paraId="30657FD8">
      <w:pPr>
        <w:pStyle w:val="3"/>
        <w:jc w:val="center"/>
        <w:rPr>
          <w:rFonts w:ascii="仿宋" w:hAnsi="仿宋" w:eastAsia="仿宋" w:cs="仿宋"/>
          <w:color w:val="auto"/>
          <w:highlight w:val="none"/>
        </w:rPr>
      </w:pPr>
      <w:bookmarkStart w:id="73" w:name="_Toc74323458"/>
      <w:r>
        <w:rPr>
          <w:rFonts w:hint="eastAsia" w:ascii="仿宋" w:hAnsi="仿宋" w:eastAsia="仿宋" w:cs="仿宋"/>
          <w:color w:val="auto"/>
          <w:highlight w:val="none"/>
        </w:rPr>
        <w:t>第三章 采购需求</w:t>
      </w:r>
      <w:bookmarkEnd w:id="73"/>
    </w:p>
    <w:p w14:paraId="366F2A07">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1A2661A2">
      <w:pPr>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“实质性要求”是指采购需求中带“▲”的条款或者不能负偏离的条款或者已经指明不满足按响应文件无效处理的条款。</w:t>
      </w:r>
    </w:p>
    <w:p w14:paraId="2ACA3CD3">
      <w:pPr>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00244C00">
      <w:pPr>
        <w:spacing w:line="360" w:lineRule="auto"/>
        <w:ind w:firstLine="420" w:firstLineChars="200"/>
        <w:jc w:val="left"/>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供应商必须自行为其竞标产品侵犯他人的知识产权或者专利成果的行为承担相应法律责任。</w:t>
      </w:r>
    </w:p>
    <w:p w14:paraId="5BC5275C">
      <w:pPr>
        <w:spacing w:line="360" w:lineRule="auto"/>
        <w:ind w:firstLine="310" w:firstLineChars="147"/>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所属行业：其他未列明行业</w:t>
      </w:r>
    </w:p>
    <w:p w14:paraId="66C6D6ED">
      <w:pPr>
        <w:spacing w:line="360" w:lineRule="auto"/>
        <w:ind w:firstLine="308" w:firstLineChars="147"/>
        <w:jc w:val="left"/>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一、技术要求</w:t>
      </w:r>
    </w:p>
    <w:tbl>
      <w:tblPr>
        <w:tblStyle w:val="23"/>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959"/>
        <w:gridCol w:w="696"/>
        <w:gridCol w:w="6979"/>
      </w:tblGrid>
      <w:tr w14:paraId="142B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1" w:type="dxa"/>
            <w:vAlign w:val="center"/>
          </w:tcPr>
          <w:p w14:paraId="3BCD6568">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959" w:type="dxa"/>
            <w:vAlign w:val="center"/>
          </w:tcPr>
          <w:p w14:paraId="782F05C9">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696" w:type="dxa"/>
            <w:vAlign w:val="center"/>
          </w:tcPr>
          <w:p w14:paraId="1ED30CF6">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6979" w:type="dxa"/>
            <w:vAlign w:val="center"/>
          </w:tcPr>
          <w:p w14:paraId="41B315A5">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w:t>
            </w:r>
          </w:p>
        </w:tc>
      </w:tr>
      <w:tr w14:paraId="3827E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1" w:type="dxa"/>
            <w:vAlign w:val="center"/>
          </w:tcPr>
          <w:p w14:paraId="4BCA4830">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59" w:type="dxa"/>
            <w:vAlign w:val="center"/>
          </w:tcPr>
          <w:p w14:paraId="7DB60561">
            <w:pPr>
              <w:tabs>
                <w:tab w:val="left" w:pos="180"/>
                <w:tab w:val="left" w:pos="1620"/>
              </w:tabs>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广西钦州市钦北区那蒙水闸除险加固（初步设计~施工图设计阶段）勘察设计服务项目</w:t>
            </w:r>
          </w:p>
        </w:tc>
        <w:tc>
          <w:tcPr>
            <w:tcW w:w="696" w:type="dxa"/>
            <w:vAlign w:val="center"/>
          </w:tcPr>
          <w:p w14:paraId="34338D6A">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c>
          <w:tcPr>
            <w:tcW w:w="6979" w:type="dxa"/>
          </w:tcPr>
          <w:p w14:paraId="26A4A9C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（一）建设规模及内容</w:t>
            </w:r>
          </w:p>
          <w:p w14:paraId="4D32A32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1.建设规模</w:t>
            </w:r>
          </w:p>
          <w:p w14:paraId="2A3E12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广西钦州市那蒙水闸除险加固工程位于钦州市钦北区那蒙镇那蒙社区，距离钦州市城区26km，距离那蒙镇2.0km，地理位置为东经108°49′47.6″、北纬21°48′41.8″，是茅岭江水系一级支流那蒙江上的拦河闸坝。水闸工程于1966年9月竣工投入使用，是一座以水轮泵提水灌溉为主，兼顾防洪及城镇供水的中型水闸，工程等别为Ⅲ等，主要建筑物3级，次要建筑物为4级。设计灌溉面积2850亩，近年实际灌溉面积1200亩，水闸对灌溉、防洪及城镇供水具有</w:t>
            </w:r>
            <w:r>
              <w:rPr>
                <w:rFonts w:hint="eastAsia" w:ascii="宋体" w:hAnsi="宋体" w:cs="宋体"/>
                <w:bCs/>
                <w:color w:val="auto"/>
                <w:szCs w:val="21"/>
                <w:highlight w:val="none"/>
                <w:lang w:eastAsia="zh-CN"/>
              </w:rPr>
              <w:t>重要作用</w:t>
            </w:r>
            <w:r>
              <w:rPr>
                <w:rFonts w:hint="eastAsia" w:ascii="宋体" w:hAnsi="宋体" w:cs="宋体"/>
                <w:bCs/>
                <w:color w:val="auto"/>
                <w:szCs w:val="21"/>
                <w:highlight w:val="none"/>
              </w:rPr>
              <w:t xml:space="preserve">。 </w:t>
            </w:r>
          </w:p>
          <w:p w14:paraId="0427093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水闸除险加固工程主要建设内容包括：拆除重建拦河闸坝，新建配套启闭控制房；拆除重建左、右岸提水泵站，新建配套启闭控制房；完善配备水闸安全监测设备；提升改造水闸管理房及办公设备等。项目估算总投资约1800万元。</w:t>
            </w:r>
          </w:p>
          <w:p w14:paraId="706AE31D">
            <w:pPr>
              <w:spacing w:line="360"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服务范围</w:t>
            </w:r>
          </w:p>
          <w:p w14:paraId="71DF460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服务范围：初步设计阶段、招标设计阶段、施工图设计阶段的勘察设计服务。</w:t>
            </w:r>
          </w:p>
          <w:p w14:paraId="48ECBBD2">
            <w:pPr>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（二）</w:t>
            </w:r>
            <w:r>
              <w:rPr>
                <w:rFonts w:hint="eastAsia" w:ascii="宋体" w:hAnsi="宋体" w:cs="宋体"/>
                <w:b/>
                <w:color w:val="auto"/>
                <w:szCs w:val="21"/>
                <w:highlight w:val="none"/>
                <w:lang w:val="en-US" w:eastAsia="zh-CN"/>
              </w:rPr>
              <w:t>服务期限</w:t>
            </w:r>
          </w:p>
          <w:p w14:paraId="46746F79">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cs="宋体"/>
                <w:bCs/>
                <w:color w:val="auto"/>
                <w:szCs w:val="21"/>
                <w:highlight w:val="none"/>
              </w:rPr>
            </w:pPr>
            <w:r>
              <w:rPr>
                <w:rFonts w:hint="eastAsia" w:ascii="宋体" w:hAnsi="宋体" w:cs="宋体"/>
                <w:bCs/>
                <w:color w:val="auto"/>
                <w:sz w:val="22"/>
                <w:szCs w:val="22"/>
                <w:highlight w:val="none"/>
              </w:rPr>
              <w:t>自合同签订之日起</w:t>
            </w:r>
            <w:r>
              <w:rPr>
                <w:rFonts w:hint="eastAsia" w:ascii="宋体" w:hAnsi="宋体" w:cs="宋体"/>
                <w:bCs/>
                <w:color w:val="auto"/>
                <w:sz w:val="22"/>
                <w:szCs w:val="22"/>
                <w:highlight w:val="none"/>
                <w:lang w:val="en-US" w:eastAsia="zh-CN"/>
              </w:rPr>
              <w:t>60日历天完成文本编制，并完成合同内容并获得相关部门批复止</w:t>
            </w:r>
            <w:r>
              <w:rPr>
                <w:rFonts w:hint="eastAsia" w:ascii="宋体" w:hAnsi="宋体" w:cs="宋体"/>
                <w:bCs/>
                <w:color w:val="auto"/>
                <w:szCs w:val="21"/>
                <w:highlight w:val="none"/>
              </w:rPr>
              <w:t>。</w:t>
            </w:r>
          </w:p>
          <w:p w14:paraId="6FDF97B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 w:val="22"/>
                <w:szCs w:val="22"/>
                <w:highlight w:val="none"/>
              </w:rPr>
              <w:t>成果要求</w:t>
            </w:r>
            <w:r>
              <w:rPr>
                <w:rFonts w:hint="eastAsia" w:ascii="宋体" w:hAnsi="宋体" w:cs="宋体"/>
                <w:b/>
                <w:color w:val="auto"/>
                <w:szCs w:val="21"/>
                <w:highlight w:val="none"/>
              </w:rPr>
              <w:t>：</w:t>
            </w:r>
          </w:p>
          <w:p w14:paraId="5D2C9B5B">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1.成果文件必须符合国家、自治区、相关行业标准或其它强制性标准、规范等要求，并通过相关部门的审查批复。</w:t>
            </w:r>
          </w:p>
          <w:p w14:paraId="561BCE62">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2.提供完整纸质版本6套（含图纸）成果文件。成果文件必须合法有效，签署齐全，图文清楚，图面清晰。</w:t>
            </w:r>
          </w:p>
          <w:p w14:paraId="226FE92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（四）适用规范标准</w:t>
            </w:r>
          </w:p>
          <w:p w14:paraId="232212AF">
            <w:pPr>
              <w:spacing w:line="360" w:lineRule="auto"/>
              <w:ind w:firstLine="420" w:firstLineChars="200"/>
              <w:rPr>
                <w:rFonts w:asciiTheme="minorEastAsia" w:hAnsiTheme="minorEastAsia" w:eastAsiaTheme="minorEastAsia" w:cstheme="minorEastAsia"/>
                <w:color w:val="auto"/>
                <w:highlight w:val="none"/>
              </w:rPr>
            </w:pPr>
            <w:r>
              <w:rPr>
                <w:rFonts w:hint="eastAsia" w:ascii="宋体" w:hAnsi="宋体" w:cs="宋体"/>
                <w:bCs/>
                <w:color w:val="auto"/>
                <w:szCs w:val="21"/>
                <w:highlight w:val="none"/>
              </w:rPr>
              <w:t>按现行国家相关标准、行业标准、地方标准或者其他标准、规范执行。</w:t>
            </w:r>
            <w:bookmarkStart w:id="74" w:name="_bookmark190"/>
            <w:bookmarkEnd w:id="74"/>
            <w:bookmarkStart w:id="75" w:name="_bookmark185"/>
            <w:bookmarkEnd w:id="75"/>
            <w:bookmarkStart w:id="76" w:name="_bookmark191"/>
            <w:bookmarkEnd w:id="76"/>
          </w:p>
        </w:tc>
      </w:tr>
    </w:tbl>
    <w:p w14:paraId="5520BA48">
      <w:pPr>
        <w:tabs>
          <w:tab w:val="left" w:pos="180"/>
          <w:tab w:val="left" w:pos="1620"/>
        </w:tabs>
        <w:spacing w:line="360" w:lineRule="auto"/>
        <w:ind w:firstLine="422" w:firstLineChars="200"/>
        <w:rPr>
          <w:rFonts w:asciiTheme="minorEastAsia" w:hAnsiTheme="minorEastAsia" w:eastAsiaTheme="minorEastAsia" w:cstheme="minorEastAsia"/>
          <w:b/>
          <w:bCs/>
          <w:color w:val="auto"/>
          <w:szCs w:val="21"/>
          <w:highlight w:val="none"/>
        </w:rPr>
      </w:pPr>
    </w:p>
    <w:tbl>
      <w:tblPr>
        <w:tblStyle w:val="23"/>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7662"/>
      </w:tblGrid>
      <w:tr w14:paraId="6626C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0" w:type="dxa"/>
            <w:gridSpan w:val="2"/>
            <w:tcBorders>
              <w:top w:val="single" w:color="auto" w:sz="4" w:space="0"/>
              <w:left w:val="single" w:color="auto" w:sz="4" w:space="0"/>
              <w:bottom w:val="single" w:color="auto" w:sz="4" w:space="0"/>
              <w:right w:val="single" w:color="auto" w:sz="4" w:space="0"/>
            </w:tcBorders>
          </w:tcPr>
          <w:p w14:paraId="6A161EE2">
            <w:pPr>
              <w:tabs>
                <w:tab w:val="left" w:pos="180"/>
                <w:tab w:val="left" w:pos="1620"/>
              </w:tabs>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br w:type="page"/>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b/>
                <w:color w:val="auto"/>
                <w:szCs w:val="21"/>
                <w:highlight w:val="none"/>
              </w:rPr>
              <w:t>商务要求</w:t>
            </w:r>
          </w:p>
        </w:tc>
      </w:tr>
      <w:tr w14:paraId="7C8CF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180AE32E">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服务期限和成果文件交付地点</w:t>
            </w:r>
          </w:p>
        </w:tc>
        <w:tc>
          <w:tcPr>
            <w:tcW w:w="7662" w:type="dxa"/>
            <w:tcBorders>
              <w:top w:val="single" w:color="auto" w:sz="4" w:space="0"/>
              <w:left w:val="single" w:color="auto" w:sz="4" w:space="0"/>
              <w:bottom w:val="single" w:color="auto" w:sz="4" w:space="0"/>
              <w:right w:val="single" w:color="auto" w:sz="4" w:space="0"/>
            </w:tcBorders>
            <w:vAlign w:val="center"/>
          </w:tcPr>
          <w:p w14:paraId="09BFAD60">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color w:val="auto"/>
                <w:highlight w:val="none"/>
              </w:rPr>
              <w:t>服务期限：</w:t>
            </w:r>
            <w:r>
              <w:rPr>
                <w:rFonts w:hint="eastAsia" w:ascii="宋体" w:hAnsi="宋体" w:cs="宋体"/>
                <w:bCs/>
                <w:color w:val="auto"/>
                <w:sz w:val="22"/>
                <w:szCs w:val="22"/>
                <w:highlight w:val="none"/>
              </w:rPr>
              <w:t>自合同签订之日起</w:t>
            </w:r>
            <w:r>
              <w:rPr>
                <w:rFonts w:hint="eastAsia" w:ascii="宋体" w:hAnsi="宋体" w:cs="宋体"/>
                <w:bCs/>
                <w:color w:val="auto"/>
                <w:sz w:val="22"/>
                <w:szCs w:val="22"/>
                <w:highlight w:val="none"/>
                <w:lang w:val="en-US" w:eastAsia="zh-CN"/>
              </w:rPr>
              <w:t>60日历天完成文本编制，并完成合同内容并获得相关部门批复止</w:t>
            </w:r>
            <w:r>
              <w:rPr>
                <w:rFonts w:hint="eastAsia" w:asciiTheme="minorEastAsia" w:hAnsiTheme="minorEastAsia" w:eastAsiaTheme="minorEastAsia" w:cstheme="minorEastAsia"/>
                <w:color w:val="auto"/>
                <w:highlight w:val="none"/>
              </w:rPr>
              <w:t>；</w:t>
            </w:r>
          </w:p>
          <w:p w14:paraId="5DB6EBDC">
            <w:pPr>
              <w:wordWrap w:val="0"/>
              <w:spacing w:line="440" w:lineRule="exact"/>
              <w:ind w:firstLine="210" w:firstLineChars="1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2.成果文件交付地点：钦州市钦北区采购人指定地点。</w:t>
            </w:r>
          </w:p>
        </w:tc>
      </w:tr>
      <w:tr w14:paraId="51B6F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394BD82F">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合同签订时间</w:t>
            </w:r>
          </w:p>
        </w:tc>
        <w:tc>
          <w:tcPr>
            <w:tcW w:w="7662" w:type="dxa"/>
            <w:tcBorders>
              <w:top w:val="single" w:color="auto" w:sz="4" w:space="0"/>
              <w:left w:val="single" w:color="auto" w:sz="4" w:space="0"/>
              <w:bottom w:val="single" w:color="auto" w:sz="4" w:space="0"/>
              <w:right w:val="single" w:color="auto" w:sz="4" w:space="0"/>
            </w:tcBorders>
            <w:vAlign w:val="center"/>
          </w:tcPr>
          <w:p w14:paraId="606571EE">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自成交通知书发出之日起</w:t>
            </w:r>
            <w:r>
              <w:rPr>
                <w:rFonts w:hint="eastAsia" w:asciiTheme="minorEastAsia" w:hAnsiTheme="minorEastAsia" w:eastAsiaTheme="minorEastAsia" w:cstheme="minorEastAsia"/>
                <w:color w:val="auto"/>
                <w:szCs w:val="21"/>
                <w:highlight w:val="none"/>
                <w:u w:val="single"/>
              </w:rPr>
              <w:t>25</w:t>
            </w:r>
            <w:r>
              <w:rPr>
                <w:rFonts w:hint="eastAsia" w:asciiTheme="minorEastAsia" w:hAnsiTheme="minorEastAsia" w:eastAsiaTheme="minorEastAsia" w:cstheme="minorEastAsia"/>
                <w:color w:val="auto"/>
                <w:szCs w:val="21"/>
                <w:highlight w:val="none"/>
              </w:rPr>
              <w:t>日内。</w:t>
            </w:r>
          </w:p>
        </w:tc>
      </w:tr>
      <w:tr w14:paraId="34A03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2B971ABD">
            <w:pPr>
              <w:wordWrap w:val="0"/>
              <w:spacing w:line="4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验收标准</w:t>
            </w:r>
          </w:p>
        </w:tc>
        <w:tc>
          <w:tcPr>
            <w:tcW w:w="7662" w:type="dxa"/>
            <w:tcBorders>
              <w:top w:val="single" w:color="auto" w:sz="4" w:space="0"/>
              <w:left w:val="single" w:color="auto" w:sz="4" w:space="0"/>
              <w:bottom w:val="single" w:color="auto" w:sz="4" w:space="0"/>
              <w:right w:val="single" w:color="auto" w:sz="4" w:space="0"/>
            </w:tcBorders>
            <w:vAlign w:val="center"/>
          </w:tcPr>
          <w:p w14:paraId="4D46B261">
            <w:pPr>
              <w:pStyle w:val="9"/>
              <w:numPr>
                <w:ilvl w:val="0"/>
                <w:numId w:val="0"/>
              </w:numPr>
              <w:rPr>
                <w:rFonts w:hint="eastAsia" w:asciiTheme="minorEastAsia" w:hAnsiTheme="minorEastAsia" w:eastAsiaTheme="minorEastAsia" w:cstheme="minorEastAsia"/>
                <w:color w:val="auto"/>
                <w:szCs w:val="21"/>
                <w:highlight w:val="none"/>
              </w:rPr>
            </w:pPr>
            <w:r>
              <w:rPr>
                <w:rFonts w:hint="eastAsia"/>
                <w:color w:val="auto"/>
                <w:lang w:val="en-US" w:eastAsia="zh-CN"/>
              </w:rPr>
              <w:t>成果文件必须符合</w:t>
            </w:r>
            <w:r>
              <w:rPr>
                <w:rFonts w:hint="default" w:ascii="宋体" w:hAnsi="宋体" w:cs="宋体"/>
                <w:color w:val="auto"/>
                <w:kern w:val="0"/>
                <w:sz w:val="21"/>
                <w:szCs w:val="21"/>
                <w:highlight w:val="none"/>
                <w:lang w:val="en-US" w:eastAsia="zh-CN" w:bidi="ar-SA"/>
              </w:rPr>
              <w:t>国家、自治区、相关行业标准</w:t>
            </w:r>
            <w:r>
              <w:rPr>
                <w:rFonts w:hint="eastAsia" w:ascii="宋体" w:hAnsi="宋体" w:eastAsia="宋体" w:cs="宋体"/>
                <w:color w:val="auto"/>
                <w:kern w:val="0"/>
                <w:sz w:val="21"/>
                <w:szCs w:val="21"/>
                <w:highlight w:val="none"/>
                <w:lang w:val="en-US" w:eastAsia="zh-CN" w:bidi="ar-SA"/>
              </w:rPr>
              <w:t>或其它强制性标准、规范等要求</w:t>
            </w:r>
            <w:r>
              <w:rPr>
                <w:rFonts w:hint="eastAsia" w:ascii="宋体" w:hAnsi="宋体" w:cs="宋体"/>
                <w:color w:val="auto"/>
                <w:kern w:val="0"/>
                <w:sz w:val="21"/>
                <w:szCs w:val="21"/>
                <w:highlight w:val="none"/>
                <w:lang w:val="en-US" w:eastAsia="zh-CN" w:bidi="ar-SA"/>
              </w:rPr>
              <w:t>，并</w:t>
            </w:r>
            <w:r>
              <w:rPr>
                <w:rFonts w:hint="default" w:ascii="宋体" w:hAnsi="宋体" w:cs="宋体"/>
                <w:color w:val="auto"/>
                <w:kern w:val="0"/>
                <w:sz w:val="21"/>
                <w:szCs w:val="21"/>
                <w:highlight w:val="none"/>
                <w:lang w:val="en-US" w:eastAsia="zh-CN" w:bidi="ar-SA"/>
              </w:rPr>
              <w:t>通过相关部门的审查批复</w:t>
            </w:r>
            <w:r>
              <w:rPr>
                <w:rFonts w:hint="eastAsia" w:ascii="宋体" w:hAnsi="宋体" w:cs="宋体"/>
                <w:color w:val="auto"/>
                <w:kern w:val="0"/>
                <w:sz w:val="21"/>
                <w:szCs w:val="21"/>
                <w:highlight w:val="none"/>
                <w:lang w:val="en-US" w:eastAsia="zh-CN" w:bidi="ar-SA"/>
              </w:rPr>
              <w:t>。</w:t>
            </w:r>
          </w:p>
        </w:tc>
      </w:tr>
      <w:tr w14:paraId="03237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2BFD441D">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付款条件（进度和方式）</w:t>
            </w:r>
          </w:p>
        </w:tc>
        <w:tc>
          <w:tcPr>
            <w:tcW w:w="7662" w:type="dxa"/>
            <w:tcBorders>
              <w:top w:val="single" w:color="auto" w:sz="4" w:space="0"/>
              <w:left w:val="single" w:color="auto" w:sz="4" w:space="0"/>
              <w:bottom w:val="single" w:color="auto" w:sz="4" w:space="0"/>
              <w:right w:val="single" w:color="auto" w:sz="4" w:space="0"/>
            </w:tcBorders>
            <w:vAlign w:val="center"/>
          </w:tcPr>
          <w:p w14:paraId="00159176">
            <w:pPr>
              <w:pStyle w:val="68"/>
              <w:spacing w:line="400" w:lineRule="exact"/>
              <w:jc w:val="both"/>
              <w:rPr>
                <w:rFonts w:asciiTheme="minorEastAsia" w:hAnsiTheme="minorEastAsia" w:eastAsiaTheme="minorEastAsia" w:cstheme="minorEastAsia"/>
                <w:color w:val="auto"/>
                <w:highlight w:val="none"/>
                <w:lang w:eastAsia="zh-CN"/>
              </w:rPr>
            </w:pPr>
            <w:r>
              <w:rPr>
                <w:rFonts w:hint="eastAsia" w:cs="宋体"/>
                <w:bCs/>
                <w:color w:val="auto"/>
                <w:szCs w:val="21"/>
                <w:highlight w:val="none"/>
                <w:lang w:eastAsia="zh-CN"/>
              </w:rPr>
              <w:t>完成项目初步设计工作</w:t>
            </w:r>
            <w:r>
              <w:rPr>
                <w:rFonts w:hint="eastAsia" w:ascii="宋体" w:hAnsi="宋体" w:cs="宋体"/>
                <w:bCs/>
                <w:color w:val="auto"/>
                <w:szCs w:val="21"/>
                <w:highlight w:val="none"/>
              </w:rPr>
              <w:t>，采购人支付50%合同款项；完成项目所有设计编制工作并提交所有最终成果后，采购人支付余下 50%合同款项。</w:t>
            </w:r>
          </w:p>
        </w:tc>
      </w:tr>
      <w:tr w14:paraId="28A99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4E3FF9C5">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服务要求</w:t>
            </w:r>
          </w:p>
        </w:tc>
        <w:tc>
          <w:tcPr>
            <w:tcW w:w="7662" w:type="dxa"/>
            <w:tcBorders>
              <w:top w:val="single" w:color="auto" w:sz="4" w:space="0"/>
              <w:left w:val="single" w:color="auto" w:sz="4" w:space="0"/>
              <w:bottom w:val="single" w:color="auto" w:sz="4" w:space="0"/>
              <w:right w:val="single" w:color="auto" w:sz="4" w:space="0"/>
            </w:tcBorders>
            <w:vAlign w:val="center"/>
          </w:tcPr>
          <w:p w14:paraId="06350EA4">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合同履行期间，成交供应商应全力配合采购人的相关工作，应及时与采购人就履约相关事项进行沟通，原则上成交供应商接到采购人处理问题通知后24个小时内到达现场，48个小时内提出问题解决方案。服务期间现场服务次数由</w:t>
            </w:r>
            <w:r>
              <w:rPr>
                <w:rFonts w:hint="eastAsia" w:asciiTheme="minorEastAsia" w:hAnsiTheme="minorEastAsia" w:eastAsiaTheme="minorEastAsia" w:cstheme="minorEastAsia"/>
                <w:bCs/>
                <w:color w:val="auto"/>
                <w:szCs w:val="21"/>
                <w:highlight w:val="none"/>
                <w:lang w:val="en-US" w:eastAsia="zh-CN"/>
              </w:rPr>
              <w:t>采购人及成交供应商</w:t>
            </w:r>
            <w:r>
              <w:rPr>
                <w:rFonts w:hint="eastAsia" w:asciiTheme="minorEastAsia" w:hAnsiTheme="minorEastAsia" w:eastAsiaTheme="minorEastAsia" w:cstheme="minorEastAsia"/>
                <w:bCs/>
                <w:color w:val="auto"/>
                <w:szCs w:val="21"/>
                <w:highlight w:val="none"/>
              </w:rPr>
              <w:t>双方协商约定。</w:t>
            </w:r>
          </w:p>
          <w:p w14:paraId="4C871D5C">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2.成交供应商提交的成果文件有下列情形之一的，采购人将按合同违约处理：</w:t>
            </w:r>
          </w:p>
          <w:p w14:paraId="58B5FDF2">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（1）提交的成果不符合本项目规定的。</w:t>
            </w:r>
          </w:p>
          <w:p w14:paraId="488FAF71">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（2）提交的成果图纸和文字辨认不清，内容不全的。</w:t>
            </w:r>
          </w:p>
          <w:p w14:paraId="689829D4">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（3）未经采购人同意，逾期上报成果文件的。</w:t>
            </w:r>
          </w:p>
          <w:p w14:paraId="6E4D3DAA">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（4）编制成果不能通过法定程序审批的。</w:t>
            </w:r>
          </w:p>
          <w:p w14:paraId="0AB34760">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（5）成交供应商未经采购人正式书面同意擅自修改服务方案的。</w:t>
            </w:r>
          </w:p>
        </w:tc>
      </w:tr>
      <w:tr w14:paraId="22399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63450124">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报价要求</w:t>
            </w:r>
          </w:p>
        </w:tc>
        <w:tc>
          <w:tcPr>
            <w:tcW w:w="7662" w:type="dxa"/>
            <w:tcBorders>
              <w:top w:val="single" w:color="auto" w:sz="4" w:space="0"/>
              <w:left w:val="single" w:color="auto" w:sz="4" w:space="0"/>
              <w:bottom w:val="single" w:color="auto" w:sz="4" w:space="0"/>
              <w:right w:val="single" w:color="auto" w:sz="4" w:space="0"/>
            </w:tcBorders>
            <w:vAlign w:val="center"/>
          </w:tcPr>
          <w:p w14:paraId="5E1135C1">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竞标报价是履行合同的最终价格，即满足本次全部采购需求所应提供的服务的价格；包含但不限于编制费、专家咨询费、劳务费、差旅费、调研费、文献资料费、材料印制费、报告评审费、税费等完成本合同约定义务所需一切费用。</w:t>
            </w:r>
          </w:p>
        </w:tc>
      </w:tr>
      <w:tr w14:paraId="21025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0" w:type="dxa"/>
            <w:gridSpan w:val="2"/>
            <w:tcBorders>
              <w:top w:val="single" w:color="auto" w:sz="4" w:space="0"/>
              <w:left w:val="single" w:color="auto" w:sz="4" w:space="0"/>
              <w:bottom w:val="single" w:color="auto" w:sz="4" w:space="0"/>
              <w:right w:val="single" w:color="auto" w:sz="4" w:space="0"/>
            </w:tcBorders>
            <w:vAlign w:val="center"/>
          </w:tcPr>
          <w:p w14:paraId="341A1662">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三、</w:t>
            </w:r>
            <w:r>
              <w:rPr>
                <w:rFonts w:hint="eastAsia" w:asciiTheme="minorEastAsia" w:hAnsiTheme="minorEastAsia" w:eastAsiaTheme="minorEastAsia" w:cstheme="minorEastAsia"/>
                <w:b/>
                <w:bCs/>
                <w:color w:val="auto"/>
                <w:szCs w:val="21"/>
                <w:highlight w:val="none"/>
              </w:rPr>
              <w:t>与实现项目目标相关的其他要求</w:t>
            </w:r>
          </w:p>
        </w:tc>
      </w:tr>
      <w:tr w14:paraId="0F2DA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42655F12">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业绩要求</w:t>
            </w:r>
          </w:p>
        </w:tc>
        <w:tc>
          <w:tcPr>
            <w:tcW w:w="7662" w:type="dxa"/>
            <w:tcBorders>
              <w:top w:val="single" w:color="auto" w:sz="4" w:space="0"/>
              <w:left w:val="single" w:color="auto" w:sz="4" w:space="0"/>
              <w:bottom w:val="single" w:color="auto" w:sz="4" w:space="0"/>
              <w:right w:val="single" w:color="auto" w:sz="4" w:space="0"/>
            </w:tcBorders>
            <w:vAlign w:val="center"/>
          </w:tcPr>
          <w:p w14:paraId="69ACFD0B">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见第四章“评审程序、评审方法和评审标准”。</w:t>
            </w:r>
          </w:p>
        </w:tc>
      </w:tr>
      <w:tr w14:paraId="7A3EE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375022FB">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质量管理体系、信誉要求</w:t>
            </w:r>
          </w:p>
        </w:tc>
        <w:tc>
          <w:tcPr>
            <w:tcW w:w="7662" w:type="dxa"/>
            <w:tcBorders>
              <w:top w:val="single" w:color="auto" w:sz="4" w:space="0"/>
              <w:left w:val="single" w:color="auto" w:sz="4" w:space="0"/>
              <w:bottom w:val="single" w:color="auto" w:sz="4" w:space="0"/>
              <w:right w:val="single" w:color="auto" w:sz="4" w:space="0"/>
            </w:tcBorders>
            <w:vAlign w:val="center"/>
          </w:tcPr>
          <w:p w14:paraId="58204988">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见第四章“评审程序、评审方法和评审标准”。</w:t>
            </w:r>
          </w:p>
        </w:tc>
      </w:tr>
      <w:tr w14:paraId="15CBA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8" w:type="dxa"/>
            <w:tcBorders>
              <w:top w:val="single" w:color="auto" w:sz="4" w:space="0"/>
              <w:left w:val="single" w:color="auto" w:sz="4" w:space="0"/>
              <w:bottom w:val="single" w:color="auto" w:sz="4" w:space="0"/>
              <w:right w:val="single" w:color="auto" w:sz="4" w:space="0"/>
            </w:tcBorders>
            <w:vAlign w:val="center"/>
          </w:tcPr>
          <w:p w14:paraId="531D6E89">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其他</w:t>
            </w:r>
          </w:p>
        </w:tc>
        <w:tc>
          <w:tcPr>
            <w:tcW w:w="7662" w:type="dxa"/>
            <w:tcBorders>
              <w:top w:val="single" w:color="auto" w:sz="4" w:space="0"/>
              <w:left w:val="single" w:color="auto" w:sz="4" w:space="0"/>
              <w:bottom w:val="single" w:color="auto" w:sz="4" w:space="0"/>
              <w:right w:val="single" w:color="auto" w:sz="4" w:space="0"/>
            </w:tcBorders>
            <w:vAlign w:val="center"/>
          </w:tcPr>
          <w:p w14:paraId="48C6C8CB">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1.供应商无任何违法、违规、质量安全事故、履约不良等行为反映或记录；</w:t>
            </w:r>
          </w:p>
          <w:p w14:paraId="111F96F9">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供应商无经济方面犯罪或严重违法记录。</w:t>
            </w:r>
          </w:p>
          <w:p w14:paraId="4D3137EF">
            <w:pPr>
              <w:wordWrap w:val="0"/>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供应商在响应文件中提供关于本项目的项目服务方案（</w:t>
            </w:r>
            <w:r>
              <w:rPr>
                <w:rFonts w:hint="eastAsia" w:asciiTheme="minorEastAsia" w:hAnsiTheme="minorEastAsia" w:eastAsiaTheme="minorEastAsia" w:cstheme="minorEastAsia"/>
                <w:color w:val="auto"/>
                <w:szCs w:val="21"/>
                <w:highlight w:val="none"/>
                <w:lang w:eastAsia="zh-CN"/>
              </w:rPr>
              <w:t>包含但不限于勘察设计方案、进度计划及其保证措施、质量控制措施、服务质量承诺</w:t>
            </w:r>
            <w:r>
              <w:rPr>
                <w:rFonts w:hint="eastAsia" w:asciiTheme="minorEastAsia" w:hAnsiTheme="minorEastAsia" w:eastAsiaTheme="minorEastAsia" w:cstheme="minorEastAsia"/>
                <w:color w:val="auto"/>
                <w:szCs w:val="21"/>
                <w:highlight w:val="none"/>
              </w:rPr>
              <w:t>）及拟投入项目人员的材料等。</w:t>
            </w:r>
          </w:p>
          <w:p w14:paraId="6C4F1334">
            <w:pPr>
              <w:pStyle w:val="2"/>
              <w:rPr>
                <w:rFonts w:hint="default" w:eastAsiaTheme="minorEastAsia"/>
                <w:color w:val="auto"/>
                <w:lang w:val="en-US" w:eastAsia="zh-CN"/>
              </w:rPr>
            </w:pPr>
            <w:r>
              <w:rPr>
                <w:rFonts w:hint="eastAsia" w:asciiTheme="minorEastAsia" w:hAnsiTheme="minorEastAsia" w:eastAsiaTheme="minorEastAsia" w:cstheme="minorEastAsia"/>
                <w:bCs w:val="0"/>
                <w:color w:val="auto"/>
                <w:spacing w:val="0"/>
                <w:kern w:val="2"/>
                <w:sz w:val="21"/>
                <w:szCs w:val="21"/>
                <w:highlight w:val="none"/>
                <w:lang w:val="en-US" w:eastAsia="zh-CN" w:bidi="ar-SA"/>
              </w:rPr>
              <w:t>4.知识产权保护要求：供应商应对采购内容所涉及的专利承担责任，并负责保护业主的利益不受任何损害。一切由于文字、商标、技术和软件专利授权引起的法律裁决、诉讼和赔偿费用均由成交供应商负责。所使用的服务设备、服务技术、材料须符合国家有关标准要求。</w:t>
            </w:r>
          </w:p>
        </w:tc>
      </w:tr>
    </w:tbl>
    <w:p w14:paraId="6B15F741">
      <w:pPr>
        <w:pStyle w:val="11"/>
        <w:ind w:firstLine="420"/>
        <w:rPr>
          <w:rFonts w:ascii="仿宋" w:hAnsi="仿宋" w:eastAsia="仿宋" w:cs="仿宋"/>
          <w:color w:val="auto"/>
          <w:szCs w:val="21"/>
          <w:highlight w:val="none"/>
        </w:rPr>
      </w:pPr>
      <w:r>
        <w:rPr>
          <w:rFonts w:hint="eastAsia" w:ascii="仿宋" w:hAnsi="仿宋" w:eastAsia="仿宋" w:cs="仿宋"/>
          <w:b/>
          <w:bCs/>
          <w:color w:val="auto"/>
          <w:szCs w:val="21"/>
          <w:highlight w:val="none"/>
        </w:rPr>
        <w:br w:type="page"/>
      </w:r>
    </w:p>
    <w:p w14:paraId="19C6EA72">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1F2BFDA4">
      <w:pPr>
        <w:pStyle w:val="11"/>
        <w:jc w:val="center"/>
        <w:rPr>
          <w:b/>
          <w:color w:val="auto"/>
          <w:sz w:val="28"/>
          <w:szCs w:val="28"/>
          <w:highlight w:val="none"/>
        </w:rPr>
      </w:pPr>
      <w:r>
        <w:rPr>
          <w:rFonts w:hint="eastAsia"/>
          <w:b/>
          <w:color w:val="auto"/>
          <w:sz w:val="28"/>
          <w:szCs w:val="28"/>
          <w:highlight w:val="none"/>
        </w:rPr>
        <w:t>中小企业划型标准规定</w:t>
      </w:r>
    </w:p>
    <w:p w14:paraId="535A4948">
      <w:pPr>
        <w:pStyle w:val="11"/>
        <w:jc w:val="center"/>
        <w:rPr>
          <w:rFonts w:ascii="宋体" w:hAnsi="宋体"/>
          <w:color w:val="auto"/>
          <w:szCs w:val="21"/>
          <w:highlight w:val="none"/>
        </w:rPr>
      </w:pPr>
      <w:r>
        <w:rPr>
          <w:rFonts w:hint="eastAsia" w:ascii="宋体" w:hAnsi="宋体"/>
          <w:color w:val="auto"/>
          <w:szCs w:val="21"/>
          <w:highlight w:val="none"/>
        </w:rPr>
        <w:t>工信部联企业〔2011〕300号</w:t>
      </w:r>
    </w:p>
    <w:p w14:paraId="34F352BA">
      <w:pPr>
        <w:pStyle w:val="11"/>
        <w:rPr>
          <w:color w:val="auto"/>
          <w:sz w:val="24"/>
          <w:szCs w:val="21"/>
          <w:highlight w:val="none"/>
        </w:rPr>
      </w:pPr>
    </w:p>
    <w:p w14:paraId="44D85ADB">
      <w:pPr>
        <w:pStyle w:val="11"/>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ascii="宋体" w:hAnsi="宋体"/>
          <w:color w:val="auto"/>
          <w:szCs w:val="21"/>
          <w:highlight w:val="none"/>
        </w:rPr>
        <w:t>〔2009〕36号</w:t>
      </w:r>
      <w:r>
        <w:rPr>
          <w:color w:val="auto"/>
          <w:szCs w:val="21"/>
          <w:highlight w:val="none"/>
        </w:rPr>
        <w:t>)</w:t>
      </w:r>
      <w:r>
        <w:rPr>
          <w:rFonts w:hint="eastAsia"/>
          <w:color w:val="auto"/>
          <w:szCs w:val="21"/>
          <w:highlight w:val="none"/>
        </w:rPr>
        <w:t>，制定本规定。</w:t>
      </w:r>
    </w:p>
    <w:p w14:paraId="6B494BF8">
      <w:pPr>
        <w:pStyle w:val="11"/>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2BDEF544">
      <w:pPr>
        <w:pStyle w:val="11"/>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CF59AD3">
      <w:pPr>
        <w:pStyle w:val="11"/>
        <w:rPr>
          <w:color w:val="auto"/>
          <w:szCs w:val="21"/>
          <w:highlight w:val="none"/>
        </w:rPr>
      </w:pPr>
      <w:r>
        <w:rPr>
          <w:rFonts w:hint="eastAsia"/>
          <w:color w:val="auto"/>
          <w:szCs w:val="21"/>
          <w:highlight w:val="none"/>
        </w:rPr>
        <w:t>　　四、各行业划型标准为：</w:t>
      </w:r>
    </w:p>
    <w:p w14:paraId="01106437">
      <w:pPr>
        <w:pStyle w:val="11"/>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7A8933E3">
      <w:pPr>
        <w:pStyle w:val="11"/>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D652614">
      <w:pPr>
        <w:pStyle w:val="11"/>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270BAC97">
      <w:pPr>
        <w:pStyle w:val="11"/>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18B7C242">
      <w:pPr>
        <w:pStyle w:val="11"/>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B0F7737">
      <w:pPr>
        <w:pStyle w:val="11"/>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0F43E85">
      <w:pPr>
        <w:pStyle w:val="11"/>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5201F28">
      <w:pPr>
        <w:pStyle w:val="11"/>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33DF8F3">
      <w:pPr>
        <w:pStyle w:val="11"/>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7459498">
      <w:pPr>
        <w:pStyle w:val="11"/>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45A85B8">
      <w:pPr>
        <w:pStyle w:val="11"/>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38A6F5E">
      <w:pPr>
        <w:pStyle w:val="11"/>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291B8B0D">
      <w:pPr>
        <w:pStyle w:val="11"/>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33000527">
      <w:pPr>
        <w:pStyle w:val="11"/>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18FCC01B">
      <w:pPr>
        <w:pStyle w:val="11"/>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29B28B52">
      <w:pPr>
        <w:pStyle w:val="11"/>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71DE4F41">
      <w:pPr>
        <w:pStyle w:val="11"/>
        <w:rPr>
          <w:color w:val="auto"/>
          <w:szCs w:val="21"/>
          <w:highlight w:val="none"/>
        </w:rPr>
      </w:pPr>
      <w:r>
        <w:rPr>
          <w:rFonts w:hint="eastAsia"/>
          <w:color w:val="auto"/>
          <w:szCs w:val="21"/>
          <w:highlight w:val="none"/>
        </w:rPr>
        <w:t>　　五、企业类型的划分以统计部门的统计数据为依据。</w:t>
      </w:r>
    </w:p>
    <w:p w14:paraId="7736D9A6">
      <w:pPr>
        <w:pStyle w:val="11"/>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06A894B2">
      <w:pPr>
        <w:pStyle w:val="11"/>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6AFCFE6">
      <w:pPr>
        <w:pStyle w:val="11"/>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2FA28571">
      <w:pPr>
        <w:pStyle w:val="11"/>
        <w:rPr>
          <w:color w:val="auto"/>
          <w:szCs w:val="21"/>
          <w:highlight w:val="none"/>
        </w:rPr>
      </w:pPr>
      <w:r>
        <w:rPr>
          <w:rFonts w:hint="eastAsia"/>
          <w:color w:val="auto"/>
          <w:szCs w:val="21"/>
          <w:highlight w:val="none"/>
        </w:rPr>
        <w:t>　　九、本规定由工业和信息化部、国家统计局会同有关部门负责解释。</w:t>
      </w:r>
    </w:p>
    <w:p w14:paraId="2D329C7F">
      <w:pPr>
        <w:pStyle w:val="11"/>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3329A5A7">
      <w:pPr>
        <w:tabs>
          <w:tab w:val="left" w:pos="180"/>
          <w:tab w:val="left" w:pos="1620"/>
        </w:tabs>
        <w:spacing w:line="360" w:lineRule="auto"/>
        <w:ind w:firstLine="422" w:firstLineChars="200"/>
        <w:rPr>
          <w:rFonts w:ascii="仿宋" w:hAnsi="仿宋" w:eastAsia="仿宋" w:cs="仿宋"/>
          <w:b/>
          <w:bCs/>
          <w:color w:val="auto"/>
          <w:szCs w:val="21"/>
          <w:highlight w:val="none"/>
        </w:rPr>
      </w:pPr>
    </w:p>
    <w:p w14:paraId="23B1B278">
      <w:pPr>
        <w:pStyle w:val="3"/>
        <w:jc w:val="center"/>
        <w:rPr>
          <w:rFonts w:ascii="仿宋" w:hAnsi="仿宋" w:eastAsia="仿宋" w:cs="仿宋"/>
          <w:color w:val="auto"/>
          <w:highlight w:val="none"/>
        </w:rPr>
      </w:pPr>
      <w:bookmarkStart w:id="77" w:name="_Toc74323459"/>
      <w:r>
        <w:rPr>
          <w:rFonts w:hint="eastAsia" w:ascii="仿宋" w:hAnsi="仿宋" w:eastAsia="仿宋" w:cs="仿宋"/>
          <w:color w:val="auto"/>
          <w:highlight w:val="none"/>
        </w:rPr>
        <w:t>第四章  评审程序、评审方法和评审标准</w:t>
      </w:r>
      <w:bookmarkEnd w:id="77"/>
    </w:p>
    <w:p w14:paraId="469D7128">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一、评审程序和评审方法</w:t>
      </w:r>
    </w:p>
    <w:p w14:paraId="15FFF293">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1.资格审查</w:t>
      </w:r>
    </w:p>
    <w:p w14:paraId="4AABB7C5">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1.1响应文件开启后，磋商小组依法对供应商的资格证明文件进行审查。</w:t>
      </w:r>
    </w:p>
    <w:p w14:paraId="2F3CC9C7">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highlight w:val="none"/>
        </w:rPr>
        <w:t>磋商小组</w:t>
      </w:r>
      <w:r>
        <w:rPr>
          <w:rFonts w:hint="eastAsia" w:asciiTheme="minorEastAsia" w:hAnsiTheme="minorEastAsia" w:eastAsiaTheme="minorEastAsia" w:cstheme="minorEastAsia"/>
          <w:color w:val="auto"/>
          <w:szCs w:val="21"/>
          <w:highlight w:val="none"/>
        </w:rPr>
        <w:t>在资格审查结束前，对供应商进行信用查询。</w:t>
      </w:r>
    </w:p>
    <w:p w14:paraId="5B7ECDCE">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 “信用中国”网站(https://www.creditchina.gov.cn)、中国政府采购网(https://www.ccgp.gov.cn)。</w:t>
      </w:r>
    </w:p>
    <w:p w14:paraId="5FA76851">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2518A777">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（3）查询记录和证据留存方式：在查询网站中直接查询，截图另存为电子文档作为评审资料保存。</w:t>
      </w:r>
    </w:p>
    <w:p w14:paraId="3162462F">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71418D0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1.2资格审查标准为本磋商文件中载明对供应商资格要求的条件。资格审查采用合格制，凡符合磋商文件规定的供应商资格要求的响应文件均通过资格审查。</w:t>
      </w:r>
    </w:p>
    <w:p w14:paraId="2AF7597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1.3供应商有下列情形之一的，资格审查不通过，其响应文件按无效响应处理：</w:t>
      </w:r>
    </w:p>
    <w:p w14:paraId="2D03D7F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5E35670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（2）未按磋商文件规定的方式获取本磋商文件的供应商；</w:t>
      </w:r>
    </w:p>
    <w:p w14:paraId="3972E46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（3）响应文件的资格证明文件缺少任一项“供应商须知前附表”资格证明文件规定的“必须提供”的文件资料的；</w:t>
      </w:r>
    </w:p>
    <w:p w14:paraId="7BEF5E3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（4）响应文件中的资格证明文件出现任一项不符合“供应商须知前附表”资格证明文件规定的“必须提供”的文件资料要求或者无效的；</w:t>
      </w:r>
    </w:p>
    <w:p w14:paraId="2CF055A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17B4FD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1.4通过资格审查的合格供应商不足3家的，不得进入符合性审查环节，采购人或者采购代理机构应当重新开展采购活动。</w:t>
      </w:r>
    </w:p>
    <w:p w14:paraId="2C66C8BE">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2.符合性审查</w:t>
      </w:r>
    </w:p>
    <w:p w14:paraId="2D177E86">
      <w:pPr>
        <w:spacing w:line="360" w:lineRule="auto"/>
        <w:ind w:firstLine="420" w:firstLineChars="200"/>
        <w:rPr>
          <w:rFonts w:asciiTheme="minorEastAsia" w:hAnsiTheme="minorEastAsia" w:eastAsiaTheme="minorEastAsia" w:cstheme="minorEastAsia"/>
          <w:color w:val="auto"/>
          <w:szCs w:val="21"/>
          <w:highlight w:val="none"/>
        </w:rPr>
      </w:pPr>
      <w:bookmarkStart w:id="78" w:name="_Hlk42528882"/>
      <w:r>
        <w:rPr>
          <w:rFonts w:hint="eastAsia" w:asciiTheme="minorEastAsia" w:hAnsiTheme="minorEastAsia" w:eastAsiaTheme="minorEastAsia" w:cstheme="minorEastAsia"/>
          <w:color w:val="auto"/>
          <w:szCs w:val="21"/>
          <w:highlight w:val="none"/>
        </w:rPr>
        <w:t>2.1由磋商小组对通过资格审查的合格供应商的响应文件的竞标报价、商务、技术等实质性要求进行符合性审查，以确定其是否满足磋商文件的实质性要求。</w:t>
      </w:r>
    </w:p>
    <w:bookmarkEnd w:id="78"/>
    <w:p w14:paraId="63D2F9E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283047">
      <w:pPr>
        <w:spacing w:line="360" w:lineRule="auto"/>
        <w:ind w:firstLine="420"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heme="minorEastAsia" w:hAnsiTheme="minorEastAsia" w:eastAsiaTheme="minorEastAsia" w:cstheme="minorEastAsia"/>
          <w:color w:val="auto"/>
          <w:highlight w:val="none"/>
        </w:rPr>
        <w:t>签章</w:t>
      </w:r>
      <w:r>
        <w:rPr>
          <w:rFonts w:hint="eastAsia" w:asciiTheme="minorEastAsia" w:hAnsiTheme="minorEastAsia" w:eastAsiaTheme="minorEastAsia" w:cstheme="minorEastAsia"/>
          <w:color w:val="auto"/>
          <w:spacing w:val="-6"/>
          <w:szCs w:val="21"/>
          <w:highlight w:val="none"/>
        </w:rPr>
        <w:t>。</w:t>
      </w:r>
    </w:p>
    <w:p w14:paraId="6F50809A">
      <w:pPr>
        <w:spacing w:line="360" w:lineRule="auto"/>
        <w:ind w:firstLine="420"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EC9E99">
      <w:pPr>
        <w:spacing w:line="360" w:lineRule="auto"/>
        <w:ind w:firstLine="396"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2.4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17E88CD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4BE9ADC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5D37DB7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211B9A8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36085BB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0AB8B91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2.5商务技术报价评审</w:t>
      </w:r>
    </w:p>
    <w:p w14:paraId="300E44C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7DA3B1F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5324403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1A116D9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3F3A79E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3）提交的磋商保证金无效的或者未按照磋商文件的规定提交磋商保证金；</w:t>
      </w:r>
    </w:p>
    <w:p w14:paraId="6C46B37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A06CD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5）商务、技术要求允许负偏离的条款数超过“供应商须知前附表”规定项数的；</w:t>
      </w:r>
    </w:p>
    <w:p w14:paraId="09136C2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6）未对竞标有效期作出响应或者响应文件承诺的竞标有效期不满足磋商文件要求；</w:t>
      </w:r>
    </w:p>
    <w:p w14:paraId="58350C3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7）响应文件的实质性内容未使用中文表述、使用计量单位不符合磋商文件要求；</w:t>
      </w:r>
    </w:p>
    <w:p w14:paraId="65C355D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8）响应文件中的文件资料因填写不齐全或者内容虚假或者出现其他情形而导致被磋商小组认定无效；</w:t>
      </w:r>
    </w:p>
    <w:p w14:paraId="2C53895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9）响应文件含有采购人不能接受的附加条件；</w:t>
      </w:r>
    </w:p>
    <w:p w14:paraId="6DEB1F3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10）属于“供应商须知正文”第7.5条情形；</w:t>
      </w:r>
    </w:p>
    <w:p w14:paraId="59CD4BA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11）虚假竞标，或者出现其他情形而导致被磋商小组认定无效；</w:t>
      </w:r>
    </w:p>
    <w:p w14:paraId="3E27773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bookmarkStart w:id="79" w:name="_Hlk71704147"/>
      <w:r>
        <w:rPr>
          <w:rFonts w:hint="eastAsia" w:asciiTheme="minorEastAsia" w:hAnsiTheme="minorEastAsia" w:eastAsiaTheme="minorEastAsia" w:cstheme="minorEastAsia"/>
          <w:color w:val="auto"/>
          <w:szCs w:val="21"/>
          <w:highlight w:val="none"/>
        </w:rPr>
        <w:t>磋商文件未载明允许提供备选（替代）竞标方案或明确不允许提供备选（替代）竞标方案时，供应商提供了备选（替代）竞标方案的；</w:t>
      </w:r>
      <w:bookmarkEnd w:id="79"/>
    </w:p>
    <w:p w14:paraId="2FF8572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13）响应文件标注的项目名称或者项目编号与磋商文件标注的项目名称或者项目编号不一致的；</w:t>
      </w:r>
    </w:p>
    <w:p w14:paraId="1E89A70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14）竞争性磋商文件明确不允许分包，响应文件拟分包的；</w:t>
      </w:r>
    </w:p>
    <w:p w14:paraId="1E7052A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15）未响应磋商文件实质性要求；</w:t>
      </w:r>
    </w:p>
    <w:p w14:paraId="67A576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16）法律、法规和磋商文件规定的其他无效情形。</w:t>
      </w:r>
    </w:p>
    <w:p w14:paraId="2D71A90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060A0C5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 报价文件中规定的“竞标报价表”；</w:t>
      </w:r>
    </w:p>
    <w:p w14:paraId="1B9CBF9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3B219A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44104B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4）竞标报价（包含首次报价、最后报价）超过所竞标分标规定的采购预算金额或者最高限价的（如本项目公布了最高限价）；</w:t>
      </w:r>
      <w:bookmarkStart w:id="80" w:name="_Hlk42596405"/>
      <w:r>
        <w:rPr>
          <w:rFonts w:hint="eastAsia" w:asciiTheme="minorEastAsia" w:hAnsiTheme="minorEastAsia" w:eastAsiaTheme="minorEastAsia" w:cstheme="minorEastAsia"/>
          <w:color w:val="auto"/>
          <w:szCs w:val="21"/>
          <w:highlight w:val="none"/>
        </w:rPr>
        <w:t>分项竞标报价（包含首次报价、最后报价）</w:t>
      </w:r>
      <w:bookmarkEnd w:id="80"/>
      <w:bookmarkStart w:id="81" w:name="_Hlk42596276"/>
      <w:r>
        <w:rPr>
          <w:rFonts w:hint="eastAsia" w:asciiTheme="minorEastAsia" w:hAnsiTheme="minorEastAsia" w:eastAsiaTheme="minorEastAsia" w:cstheme="minorEastAsia"/>
          <w:color w:val="auto"/>
          <w:szCs w:val="21"/>
          <w:highlight w:val="none"/>
        </w:rPr>
        <w:t>超过磋商文件分项采购预算金额或者最高限价的</w:t>
      </w:r>
      <w:bookmarkEnd w:id="81"/>
      <w:r>
        <w:rPr>
          <w:rFonts w:hint="eastAsia" w:asciiTheme="minorEastAsia" w:hAnsiTheme="minorEastAsia" w:eastAsiaTheme="minorEastAsia" w:cstheme="minorEastAsia"/>
          <w:color w:val="auto"/>
          <w:szCs w:val="21"/>
          <w:highlight w:val="none"/>
        </w:rPr>
        <w:t>（如本项目公布了最高限价）；</w:t>
      </w:r>
    </w:p>
    <w:p w14:paraId="789E56F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262AEB5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2AA01F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BA9A8D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2.7通过符合性审查的合格供应商不足3家的，不得进入磋商环节，采购人或者采购代理机构应当重新开展采购活动。</w:t>
      </w:r>
    </w:p>
    <w:p w14:paraId="4C0ACA2A">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3.磋商程序</w:t>
      </w:r>
    </w:p>
    <w:p w14:paraId="65E65C06">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3.1磋商小组</w:t>
      </w:r>
      <w:r>
        <w:rPr>
          <w:rFonts w:hint="eastAsia" w:asciiTheme="minorEastAsia" w:hAnsiTheme="minorEastAsia" w:eastAsiaTheme="minorEastAsia" w:cstheme="minorEastAsia"/>
          <w:color w:val="auto"/>
          <w:szCs w:val="21"/>
          <w:highlight w:val="none"/>
        </w:rPr>
        <w:t>集中与单一供应商分别进行磋商，并给予所有参加磋商的供应商平等的磋商机会。符合磋商资格的供应商必须在接到磋商通知后</w:t>
      </w:r>
      <w:r>
        <w:rPr>
          <w:rFonts w:hint="eastAsia" w:asciiTheme="minorEastAsia" w:hAnsiTheme="minorEastAsia" w:eastAsiaTheme="minorEastAsia" w:cstheme="minorEastAsia"/>
          <w:color w:val="auto"/>
          <w:highlight w:val="none"/>
        </w:rPr>
        <w:t>在规定时间内在广西政府采购云平台上参加磋商</w:t>
      </w:r>
      <w:r>
        <w:rPr>
          <w:rFonts w:hint="eastAsia" w:asciiTheme="minorEastAsia" w:hAnsiTheme="minorEastAsia" w:eastAsiaTheme="minorEastAsia" w:cstheme="minorEastAsia"/>
          <w:color w:val="auto"/>
          <w:szCs w:val="21"/>
          <w:highlight w:val="none"/>
        </w:rPr>
        <w:t>，未在规定时间内参加磋商的视同放弃参加磋商权利，其响应文件按无效响应处理。</w:t>
      </w:r>
    </w:p>
    <w:p w14:paraId="2F0FE5E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85535E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3.3对磋商文件作出的实质性变动是磋商文件的有效组成部分，由磋商小组及时以电子澄清函形式同时通知所有参加磋商的供应商。</w:t>
      </w:r>
    </w:p>
    <w:p w14:paraId="0DF763C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699B211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204E41A0">
      <w:pPr>
        <w:widowControl/>
        <w:tabs>
          <w:tab w:val="left" w:pos="540"/>
        </w:tabs>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3.6采购代理机构对磋商过程和重要磋商内容进行记录。</w:t>
      </w:r>
    </w:p>
    <w:p w14:paraId="63AD6156">
      <w:pPr>
        <w:tabs>
          <w:tab w:val="left" w:pos="2835"/>
        </w:tabs>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3.7</w:t>
      </w:r>
      <w:r>
        <w:rPr>
          <w:rFonts w:hint="eastAsia" w:asciiTheme="minorEastAsia" w:hAnsiTheme="minorEastAsia" w:eastAsiaTheme="minorEastAsia" w:cstheme="minorEastAsia"/>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46CE5E1">
      <w:pPr>
        <w:tabs>
          <w:tab w:val="left" w:pos="2835"/>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3.8除本章第3.7条情形外，</w:t>
      </w:r>
      <w:r>
        <w:rPr>
          <w:rFonts w:hint="eastAsia" w:asciiTheme="minorEastAsia" w:hAnsiTheme="minorEastAsia" w:eastAsiaTheme="minorEastAsia" w:cstheme="minorEastAsia"/>
          <w:color w:val="auto"/>
          <w:szCs w:val="21"/>
          <w:highlight w:val="none"/>
        </w:rPr>
        <w:t>对磋商过程提交的响应文件进行有效性、完整性和响应程度审查，通过审查的合格供应商不足3家的，采购人或者采购代理机构应当重新开展采购活动。</w:t>
      </w:r>
    </w:p>
    <w:p w14:paraId="1EBE3D6C">
      <w:pPr>
        <w:spacing w:line="360" w:lineRule="auto"/>
        <w:ind w:firstLine="48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4. 最后报价</w:t>
      </w:r>
    </w:p>
    <w:p w14:paraId="741084E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7FC49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1D79D8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Theme="minorEastAsia" w:hAnsiTheme="minorEastAsia" w:eastAsiaTheme="minorEastAsia" w:cstheme="minorEastAsia"/>
          <w:color w:val="auto"/>
          <w:highlight w:val="none"/>
        </w:rPr>
        <w:t>本</w:t>
      </w:r>
      <w:r>
        <w:rPr>
          <w:rFonts w:hint="eastAsia" w:asciiTheme="minorEastAsia" w:hAnsiTheme="minorEastAsia" w:eastAsiaTheme="minorEastAsia" w:cstheme="minorEastAsia"/>
          <w:color w:val="auto"/>
          <w:szCs w:val="21"/>
          <w:highlight w:val="none"/>
        </w:rPr>
        <w:t>章第3.7条情</w:t>
      </w:r>
      <w:r>
        <w:rPr>
          <w:rFonts w:hint="eastAsia" w:asciiTheme="minorEastAsia" w:hAnsiTheme="minorEastAsia" w:eastAsiaTheme="minorEastAsia" w:cstheme="minorEastAsia"/>
          <w:color w:val="auto"/>
          <w:highlight w:val="none"/>
        </w:rPr>
        <w:t>形的，</w:t>
      </w:r>
      <w:r>
        <w:rPr>
          <w:rFonts w:hint="eastAsia" w:asciiTheme="minorEastAsia" w:hAnsiTheme="minorEastAsia" w:eastAsiaTheme="minorEastAsia" w:cstheme="minorEastAsia"/>
          <w:color w:val="auto"/>
          <w:szCs w:val="21"/>
          <w:highlight w:val="none"/>
        </w:rPr>
        <w:t>提交最后报价的供应商可以为2家。</w:t>
      </w:r>
    </w:p>
    <w:p w14:paraId="4A703FD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14426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4.5供应商未在规定时间内提交最后报价的，视同退出磋商，其响应文件按无效处理。</w:t>
      </w:r>
    </w:p>
    <w:p w14:paraId="5EAFE3F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4.6最后报价统一开启后，磋商小组对最后报价进行有效性、完整性和响应程度的审查。</w:t>
      </w:r>
    </w:p>
    <w:p w14:paraId="284728C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4.7最后报价出现前后不一致的，按照本章第2.4条的规定修正。 </w:t>
      </w:r>
    </w:p>
    <w:p w14:paraId="7959A2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4.8修正后的报价出现下列情形的，按无效响应处理：</w:t>
      </w:r>
    </w:p>
    <w:p w14:paraId="7837B27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2130FE8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（2）经供应商确认修正后的竞标报价（包含首次报价、最后报价）超过所竞标分标规定的采购预算金额或者最高限价的（如本项目公布了最高限价）；</w:t>
      </w:r>
    </w:p>
    <w:p w14:paraId="184DF7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（3）经供应商确认修正后的竞标报价（包含首次报价、最后报价）超过分项采购预算金额或者最高限价的（如本项目公布了最高限价）。</w:t>
      </w:r>
    </w:p>
    <w:p w14:paraId="0AD731E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4.9经供应商确认修正后的最后报价作为评审及签订合同的依据。</w:t>
      </w:r>
    </w:p>
    <w:p w14:paraId="3015CA2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0D6E5BD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4.11最后报价结束后，磋商小组不得再与供应商进行任何形式的商谈。</w:t>
      </w:r>
    </w:p>
    <w:p w14:paraId="5443919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5.比较与评价</w:t>
      </w:r>
    </w:p>
    <w:p w14:paraId="10E96F8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5.1评审方法：综合评分法。</w:t>
      </w:r>
    </w:p>
    <w:p w14:paraId="6EE5623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5.2经磋商确定最终采购需求和提交最后报价的供应商后，由磋商小组采用综合评分法对提交最后报价的供应商的响应文件和最后报价进行综合评分。</w:t>
      </w:r>
    </w:p>
    <w:p w14:paraId="76A3668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5.3评审时，磋商小组各成员应当独立对每个有效响应的文件进行评价、打分，然后汇总每个供应商每项评分因素的得分。</w:t>
      </w:r>
    </w:p>
    <w:p w14:paraId="75A47C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7CF8BC6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141D07E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2CFD3A0F">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5.5由磋商小组根据综合评分情况，按照评审得分由高到低顺序推荐3名以上成交候选供应商，并编写评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15F2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6CA99">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二、评审标准</w:t>
      </w:r>
    </w:p>
    <w:p w14:paraId="24B5E638">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6.评审依据：磋商小组将以磋商响应文件为评审依据，对供应商的报价、技术、商务等方面内容按百分制打分。（计分方法按四舍五入取至百分位）</w:t>
      </w:r>
    </w:p>
    <w:p w14:paraId="00EA389A">
      <w:pPr>
        <w:spacing w:line="360" w:lineRule="auto"/>
        <w:ind w:firstLine="420" w:firstLineChars="200"/>
        <w:rPr>
          <w:rFonts w:ascii="仿宋" w:hAnsi="仿宋" w:eastAsia="仿宋" w:cs="仿宋"/>
          <w:bCs/>
          <w:color w:val="auto"/>
          <w:szCs w:val="21"/>
          <w:highlight w:val="none"/>
        </w:rPr>
      </w:pPr>
    </w:p>
    <w:p w14:paraId="4C8DB0AC">
      <w:pPr>
        <w:spacing w:line="360" w:lineRule="auto"/>
        <w:ind w:firstLine="420" w:firstLineChars="200"/>
        <w:rPr>
          <w:rFonts w:ascii="仿宋" w:hAnsi="仿宋" w:eastAsia="仿宋" w:cs="仿宋"/>
          <w:bCs/>
          <w:color w:val="auto"/>
          <w:szCs w:val="21"/>
          <w:highlight w:val="none"/>
        </w:rPr>
      </w:pPr>
    </w:p>
    <w:tbl>
      <w:tblPr>
        <w:tblStyle w:val="23"/>
        <w:tblW w:w="9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341"/>
        <w:gridCol w:w="6539"/>
        <w:gridCol w:w="672"/>
      </w:tblGrid>
      <w:tr w14:paraId="4DCF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35EAD0A">
            <w:pPr>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41" w:type="dxa"/>
            <w:vAlign w:val="center"/>
          </w:tcPr>
          <w:p w14:paraId="29CB9D50">
            <w:pPr>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评审因素</w:t>
            </w:r>
          </w:p>
        </w:tc>
        <w:tc>
          <w:tcPr>
            <w:tcW w:w="6539" w:type="dxa"/>
            <w:vAlign w:val="center"/>
          </w:tcPr>
          <w:p w14:paraId="014549C4">
            <w:pPr>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评审因素具体内容</w:t>
            </w:r>
          </w:p>
        </w:tc>
        <w:tc>
          <w:tcPr>
            <w:tcW w:w="672" w:type="dxa"/>
            <w:vAlign w:val="center"/>
          </w:tcPr>
          <w:p w14:paraId="2E6988AD">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kern w:val="0"/>
                <w:highlight w:val="none"/>
              </w:rPr>
              <w:t>分值</w:t>
            </w:r>
          </w:p>
        </w:tc>
      </w:tr>
      <w:tr w14:paraId="05A6A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7539981A">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341" w:type="dxa"/>
            <w:vAlign w:val="center"/>
          </w:tcPr>
          <w:p w14:paraId="2FCED695">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w:t>
            </w:r>
          </w:p>
        </w:tc>
        <w:tc>
          <w:tcPr>
            <w:tcW w:w="6539" w:type="dxa"/>
            <w:vAlign w:val="center"/>
          </w:tcPr>
          <w:p w14:paraId="1E42088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4851D02B">
            <w:pPr>
              <w:pStyle w:val="14"/>
              <w:spacing w:line="360" w:lineRule="auto"/>
              <w:ind w:firstLine="420" w:firstLineChars="20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kern w:val="2"/>
                <w:sz w:val="21"/>
                <w:highlight w:val="none"/>
              </w:rPr>
              <w:t>（2）政府采购政策性扣除计算方法</w:t>
            </w:r>
          </w:p>
          <w:p w14:paraId="737AE5A8">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Theme="minorEastAsia" w:hAnsiTheme="minorEastAsia" w:eastAsiaTheme="minorEastAsia" w:cstheme="minorEastAsia"/>
                <w:bCs/>
                <w:color w:val="auto"/>
                <w:szCs w:val="21"/>
                <w:highlight w:val="none"/>
                <w:u w:val="single"/>
              </w:rPr>
              <w:t xml:space="preserve"> 10% </w:t>
            </w:r>
            <w:r>
              <w:rPr>
                <w:rFonts w:hint="eastAsia" w:asciiTheme="minorEastAsia" w:hAnsiTheme="minorEastAsia" w:eastAsiaTheme="minorEastAsia" w:cstheme="minorEastAsia"/>
                <w:bCs/>
                <w:color w:val="auto"/>
                <w:szCs w:val="21"/>
                <w:highlight w:val="none"/>
              </w:rPr>
              <w:t xml:space="preserve">（范围为10%-20%）的扣除，扣除后的价格为评审价，即评审价=竞标报价×（1- 10% </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Cs/>
                <w:color w:val="auto"/>
                <w:szCs w:val="21"/>
                <w:highlight w:val="none"/>
              </w:rPr>
              <w:t>，用扣除后的价格参加评审，扣除后的价格为评审价，即评审价=竞标报价×（1-</w:t>
            </w:r>
            <w:r>
              <w:rPr>
                <w:rFonts w:hint="eastAsia" w:asciiTheme="minorEastAsia" w:hAnsiTheme="minorEastAsia" w:eastAsiaTheme="minorEastAsia" w:cstheme="minorEastAsia"/>
                <w:bCs/>
                <w:color w:val="auto"/>
                <w:szCs w:val="21"/>
                <w:highlight w:val="none"/>
                <w:u w:val="single"/>
              </w:rPr>
              <w:t>4</w:t>
            </w:r>
            <w:r>
              <w:rPr>
                <w:rFonts w:hint="eastAsia" w:asciiTheme="minorEastAsia" w:hAnsiTheme="minorEastAsia" w:eastAsiaTheme="minorEastAsia" w:cstheme="minorEastAsia"/>
                <w:bCs/>
                <w:color w:val="auto"/>
                <w:szCs w:val="21"/>
                <w:highlight w:val="none"/>
              </w:rPr>
              <w:t>%）。除上述情况外，评审价=竞标报价。</w:t>
            </w:r>
          </w:p>
          <w:p w14:paraId="00E6D01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Cs w:val="21"/>
                <w:highlight w:val="none"/>
              </w:rPr>
              <w:t>监狱企业属于小型、微型企业的，</w:t>
            </w:r>
            <w:r>
              <w:rPr>
                <w:rFonts w:hint="eastAsia" w:asciiTheme="minorEastAsia" w:hAnsiTheme="minorEastAsia" w:eastAsiaTheme="minorEastAsia" w:cstheme="minorEastAsia"/>
                <w:color w:val="auto"/>
                <w:szCs w:val="21"/>
                <w:highlight w:val="none"/>
              </w:rPr>
              <w:t>不重复享受政策。</w:t>
            </w:r>
          </w:p>
          <w:p w14:paraId="0D76C4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49561D7">
            <w:pPr>
              <w:pStyle w:val="14"/>
              <w:spacing w:line="360" w:lineRule="auto"/>
              <w:ind w:firstLine="420" w:firstLineChars="200"/>
              <w:rPr>
                <w:rFonts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（5）以进入比较与评价环节的最低的评审价为基准价，基准价得分为</w:t>
            </w:r>
            <w:r>
              <w:rPr>
                <w:rFonts w:hint="eastAsia" w:asciiTheme="minorEastAsia" w:hAnsiTheme="minorEastAsia" w:eastAsiaTheme="minorEastAsia" w:cstheme="minorEastAsia"/>
                <w:bCs/>
                <w:color w:val="auto"/>
                <w:kern w:val="2"/>
                <w:sz w:val="21"/>
                <w:highlight w:val="none"/>
                <w:u w:val="single"/>
              </w:rPr>
              <w:t xml:space="preserve"> </w:t>
            </w:r>
            <w:r>
              <w:rPr>
                <w:rFonts w:hint="eastAsia" w:asciiTheme="minorEastAsia" w:hAnsiTheme="minorEastAsia" w:eastAsiaTheme="minorEastAsia" w:cstheme="minorEastAsia"/>
                <w:bCs/>
                <w:color w:val="auto"/>
                <w:kern w:val="2"/>
                <w:sz w:val="21"/>
                <w:highlight w:val="none"/>
                <w:u w:val="single"/>
                <w:lang w:val="en-US" w:eastAsia="zh-CN"/>
              </w:rPr>
              <w:t>10</w:t>
            </w:r>
            <w:r>
              <w:rPr>
                <w:rFonts w:hint="eastAsia" w:asciiTheme="minorEastAsia" w:hAnsiTheme="minorEastAsia" w:eastAsiaTheme="minorEastAsia" w:cstheme="minorEastAsia"/>
                <w:bCs/>
                <w:color w:val="auto"/>
                <w:kern w:val="2"/>
                <w:sz w:val="21"/>
                <w:highlight w:val="none"/>
                <w:u w:val="single"/>
              </w:rPr>
              <w:t>分</w:t>
            </w:r>
            <w:r>
              <w:rPr>
                <w:rFonts w:hint="eastAsia" w:asciiTheme="minorEastAsia" w:hAnsiTheme="minorEastAsia" w:eastAsiaTheme="minorEastAsia" w:cstheme="minorEastAsia"/>
                <w:bCs/>
                <w:color w:val="auto"/>
                <w:kern w:val="2"/>
                <w:sz w:val="21"/>
                <w:highlight w:val="none"/>
              </w:rPr>
              <w:t>。</w:t>
            </w:r>
          </w:p>
          <w:p w14:paraId="3CA268F1">
            <w:pPr>
              <w:pStyle w:val="14"/>
              <w:spacing w:line="360" w:lineRule="auto"/>
              <w:ind w:firstLine="420" w:firstLineChars="200"/>
              <w:rPr>
                <w:rFonts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（6）价格分计算公式：</w:t>
            </w:r>
          </w:p>
          <w:p w14:paraId="4C074785">
            <w:pPr>
              <w:spacing w:line="440" w:lineRule="exact"/>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highlight w:val="none"/>
              </w:rPr>
              <w:t>报价得分=（基准价/供应商的评审报价）×</w:t>
            </w:r>
            <w:r>
              <w:rPr>
                <w:rFonts w:hint="eastAsia" w:asciiTheme="minorEastAsia" w:hAnsiTheme="minorEastAsia" w:eastAsiaTheme="minorEastAsia" w:cstheme="minorEastAsia"/>
                <w:bCs/>
                <w:color w:val="auto"/>
                <w:highlight w:val="none"/>
                <w:u w:val="single"/>
              </w:rPr>
              <w:t xml:space="preserve"> 10分</w:t>
            </w:r>
          </w:p>
        </w:tc>
        <w:tc>
          <w:tcPr>
            <w:tcW w:w="672" w:type="dxa"/>
            <w:vAlign w:val="center"/>
          </w:tcPr>
          <w:p w14:paraId="691CA94C">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10分</w:t>
            </w:r>
          </w:p>
        </w:tc>
      </w:tr>
      <w:tr w14:paraId="7D75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33CEA660">
            <w:pPr>
              <w:widowControl/>
              <w:autoSpaceDE w:val="0"/>
              <w:spacing w:line="440" w:lineRule="exact"/>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color w:val="auto"/>
                <w:kern w:val="0"/>
                <w:highlight w:val="none"/>
              </w:rPr>
              <w:t>2</w:t>
            </w:r>
          </w:p>
        </w:tc>
        <w:tc>
          <w:tcPr>
            <w:tcW w:w="1341" w:type="dxa"/>
            <w:vAlign w:val="center"/>
          </w:tcPr>
          <w:p w14:paraId="40DE8C61">
            <w:pPr>
              <w:widowControl/>
              <w:autoSpaceDE w:val="0"/>
              <w:spacing w:line="440" w:lineRule="exact"/>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bCs/>
                <w:color w:val="auto"/>
                <w:kern w:val="0"/>
                <w:highlight w:val="none"/>
              </w:rPr>
              <w:t>技术分</w:t>
            </w:r>
          </w:p>
        </w:tc>
        <w:tc>
          <w:tcPr>
            <w:tcW w:w="6539" w:type="dxa"/>
            <w:vAlign w:val="center"/>
          </w:tcPr>
          <w:p w14:paraId="581C8A0F">
            <w:pPr>
              <w:widowControl/>
              <w:autoSpaceDE w:val="0"/>
              <w:spacing w:line="440" w:lineRule="exact"/>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672" w:type="dxa"/>
            <w:vAlign w:val="center"/>
          </w:tcPr>
          <w:p w14:paraId="5444A51D">
            <w:pPr>
              <w:widowControl/>
              <w:autoSpaceDE w:val="0"/>
              <w:spacing w:line="440" w:lineRule="exact"/>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lang w:val="en-US" w:eastAsia="zh-CN"/>
              </w:rPr>
              <w:t>52</w:t>
            </w:r>
            <w:r>
              <w:rPr>
                <w:rFonts w:hint="eastAsia" w:asciiTheme="minorEastAsia" w:hAnsiTheme="minorEastAsia" w:eastAsiaTheme="minorEastAsia" w:cstheme="minorEastAsia"/>
                <w:b/>
                <w:color w:val="auto"/>
                <w:kern w:val="0"/>
                <w:highlight w:val="none"/>
              </w:rPr>
              <w:t>分</w:t>
            </w:r>
          </w:p>
        </w:tc>
      </w:tr>
      <w:tr w14:paraId="49FC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485CBDDB">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2.1</w:t>
            </w:r>
          </w:p>
        </w:tc>
        <w:tc>
          <w:tcPr>
            <w:tcW w:w="1341" w:type="dxa"/>
            <w:vAlign w:val="center"/>
          </w:tcPr>
          <w:p w14:paraId="70C59E6C">
            <w:pPr>
              <w:keepNext w:val="0"/>
              <w:keepLines w:val="0"/>
              <w:pageBreakBefore w:val="0"/>
              <w:kinsoku/>
              <w:wordWrap/>
              <w:overflowPunct/>
              <w:topLinePunct w:val="0"/>
              <w:autoSpaceDE/>
              <w:autoSpaceDN/>
              <w:bidi w:val="0"/>
              <w:adjustRightInd w:val="0"/>
              <w:spacing w:line="320" w:lineRule="exact"/>
              <w:jc w:val="center"/>
              <w:textAlignment w:val="baseline"/>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lang w:eastAsia="zh-CN"/>
              </w:rPr>
              <w:t>勘察设计方案（</w:t>
            </w:r>
            <w:r>
              <w:rPr>
                <w:rFonts w:hint="eastAsia" w:ascii="宋体" w:hAnsi="宋体" w:cs="宋体"/>
                <w:color w:val="auto"/>
                <w:sz w:val="22"/>
                <w:szCs w:val="22"/>
                <w:highlight w:val="none"/>
                <w:lang w:val="en-US" w:eastAsia="zh-CN"/>
              </w:rPr>
              <w:t>20分</w:t>
            </w:r>
            <w:r>
              <w:rPr>
                <w:rFonts w:hint="eastAsia" w:ascii="宋体" w:hAnsi="宋体" w:cs="宋体"/>
                <w:color w:val="auto"/>
                <w:sz w:val="22"/>
                <w:szCs w:val="22"/>
                <w:highlight w:val="none"/>
                <w:lang w:eastAsia="zh-CN"/>
              </w:rPr>
              <w:t>）</w:t>
            </w:r>
          </w:p>
        </w:tc>
        <w:tc>
          <w:tcPr>
            <w:tcW w:w="6539" w:type="dxa"/>
            <w:vAlign w:val="center"/>
          </w:tcPr>
          <w:p w14:paraId="3DD3FB4F">
            <w:pPr>
              <w:pStyle w:val="9"/>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一档（20分）：对项目有全面深入了解，拟开展的勘察设计方案思路清晰，提出的初步方案完全符合项目实际要求；</w:t>
            </w:r>
            <w:r>
              <w:rPr>
                <w:rFonts w:hAnsi="宋体" w:cs="宋体"/>
                <w:color w:val="auto"/>
                <w:sz w:val="22"/>
                <w:szCs w:val="22"/>
                <w:highlight w:val="none"/>
                <w:lang w:val="en-US" w:eastAsia="zh-CN"/>
              </w:rPr>
              <w:t>对项目总体规划布局</w:t>
            </w:r>
            <w:r>
              <w:rPr>
                <w:rFonts w:hint="eastAsia" w:hAnsi="宋体" w:cs="宋体"/>
                <w:color w:val="auto"/>
                <w:sz w:val="22"/>
                <w:szCs w:val="22"/>
                <w:highlight w:val="none"/>
                <w:lang w:val="en-US" w:eastAsia="zh-CN"/>
              </w:rPr>
              <w:t>和</w:t>
            </w:r>
            <w:r>
              <w:rPr>
                <w:rFonts w:hAnsi="宋体" w:cs="宋体"/>
                <w:color w:val="auto"/>
                <w:sz w:val="22"/>
                <w:szCs w:val="22"/>
                <w:highlight w:val="none"/>
                <w:lang w:val="en-US" w:eastAsia="zh-CN"/>
              </w:rPr>
              <w:t>建设内容分析具体</w:t>
            </w:r>
            <w:r>
              <w:rPr>
                <w:rFonts w:hint="eastAsia"/>
                <w:color w:val="auto"/>
                <w:lang w:eastAsia="zh-CN"/>
              </w:rPr>
              <w:t>，</w:t>
            </w:r>
            <w:r>
              <w:rPr>
                <w:rFonts w:hint="eastAsia"/>
                <w:color w:val="auto"/>
                <w:lang w:val="en-US" w:eastAsia="zh-CN"/>
              </w:rPr>
              <w:t>具有针对性</w:t>
            </w:r>
            <w:r>
              <w:rPr>
                <w:rFonts w:hAnsi="宋体" w:cs="宋体"/>
                <w:color w:val="auto"/>
                <w:sz w:val="22"/>
                <w:szCs w:val="22"/>
                <w:highlight w:val="none"/>
                <w:lang w:val="en-US" w:eastAsia="zh-CN"/>
              </w:rPr>
              <w:t>。</w:t>
            </w:r>
          </w:p>
          <w:p w14:paraId="12061CC2">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二档（14分）：对项目有初步了解，拟开展的勘察设计方案思路较为合理，内容较为全面，提出的初步方案较为符合项目实际要求；对项目总体规划布局和建设内容分析较为具体，具有针对性。</w:t>
            </w:r>
          </w:p>
          <w:p w14:paraId="168B991B">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三档（7分）：不了解项目，拟开展的勘察设计方案的思路内容粗略，思路不清晰，提出的初步方案基本符合项目实际要求。对项目总体规划布局和建设内容分析不具体。</w:t>
            </w:r>
          </w:p>
          <w:p w14:paraId="7E53D18F">
            <w:pPr>
              <w:ind w:firstLine="420" w:firstLineChars="200"/>
              <w:rPr>
                <w:color w:val="auto"/>
              </w:rPr>
            </w:pPr>
            <w:r>
              <w:rPr>
                <w:rFonts w:hint="eastAsia" w:asciiTheme="minorEastAsia" w:hAnsiTheme="minorEastAsia" w:eastAsiaTheme="minorEastAsia" w:cstheme="minorEastAsia"/>
                <w:bCs/>
                <w:color w:val="auto"/>
                <w:szCs w:val="21"/>
                <w:highlight w:val="none"/>
              </w:rPr>
              <w:t>备注：未提供或未达到最低档次标准的，得0分。</w:t>
            </w:r>
          </w:p>
        </w:tc>
        <w:tc>
          <w:tcPr>
            <w:tcW w:w="672" w:type="dxa"/>
            <w:vAlign w:val="center"/>
          </w:tcPr>
          <w:p w14:paraId="7736BA9F">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20</w:t>
            </w:r>
            <w:r>
              <w:rPr>
                <w:rFonts w:hint="eastAsia" w:asciiTheme="minorEastAsia" w:hAnsiTheme="minorEastAsia" w:eastAsiaTheme="minorEastAsia" w:cstheme="minorEastAsia"/>
                <w:bCs/>
                <w:color w:val="auto"/>
                <w:szCs w:val="21"/>
                <w:highlight w:val="none"/>
              </w:rPr>
              <w:t>分</w:t>
            </w:r>
          </w:p>
        </w:tc>
      </w:tr>
      <w:tr w14:paraId="64150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51D7E5A4">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w:t>
            </w:r>
          </w:p>
        </w:tc>
        <w:tc>
          <w:tcPr>
            <w:tcW w:w="1341" w:type="dxa"/>
            <w:vAlign w:val="center"/>
          </w:tcPr>
          <w:p w14:paraId="57412C2B">
            <w:pPr>
              <w:keepNext w:val="0"/>
              <w:keepLines w:val="0"/>
              <w:pageBreakBefore w:val="0"/>
              <w:kinsoku/>
              <w:wordWrap/>
              <w:overflowPunct/>
              <w:topLinePunct w:val="0"/>
              <w:autoSpaceDE/>
              <w:autoSpaceDN/>
              <w:bidi w:val="0"/>
              <w:adjustRightInd w:val="0"/>
              <w:snapToGrid w:val="0"/>
              <w:spacing w:line="320" w:lineRule="exact"/>
              <w:jc w:val="center"/>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rPr>
              <w:t>进度计划及其保证措施</w:t>
            </w:r>
            <w:r>
              <w:rPr>
                <w:rFonts w:hint="eastAsia" w:ascii="宋体" w:hAnsi="宋体" w:cs="宋体"/>
                <w:bCs/>
                <w:color w:val="auto"/>
                <w:sz w:val="22"/>
                <w:szCs w:val="22"/>
                <w:highlight w:val="none"/>
              </w:rPr>
              <w:t>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10分</w:t>
            </w:r>
            <w:r>
              <w:rPr>
                <w:rFonts w:hint="eastAsia" w:ascii="宋体" w:hAnsi="宋体" w:cs="宋体"/>
                <w:bCs/>
                <w:color w:val="auto"/>
                <w:sz w:val="22"/>
                <w:szCs w:val="22"/>
                <w:highlight w:val="none"/>
                <w:lang w:eastAsia="zh-CN"/>
              </w:rPr>
              <w:t>）</w:t>
            </w:r>
          </w:p>
        </w:tc>
        <w:tc>
          <w:tcPr>
            <w:tcW w:w="6539" w:type="dxa"/>
            <w:vAlign w:val="center"/>
          </w:tcPr>
          <w:p w14:paraId="623C880E">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一档（10分）：进度计划安排具有针对性、进度计划的各项保证措施详尽周密，完全符合或优于本项目实际要求。</w:t>
            </w:r>
          </w:p>
          <w:p w14:paraId="322BD4BE">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二档（6分）：进度计划安排具有针对性，进度计划的各项保证措施基本得当，符合本项目实际要求。</w:t>
            </w:r>
          </w:p>
          <w:p w14:paraId="3AE16AF0">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三档（3分）：进度计划安排符合项目实际要求，进度计划的各项保证措施有待完善。</w:t>
            </w:r>
          </w:p>
          <w:p w14:paraId="5EDDB0CF">
            <w:pPr>
              <w:pStyle w:val="14"/>
              <w:keepNext w:val="0"/>
              <w:keepLines w:val="0"/>
              <w:pageBreakBefore w:val="0"/>
              <w:kinsoku/>
              <w:wordWrap/>
              <w:overflowPunct/>
              <w:topLinePunct w:val="0"/>
              <w:autoSpaceDE/>
              <w:autoSpaceDN/>
              <w:bidi w:val="0"/>
              <w:spacing w:line="320" w:lineRule="exact"/>
              <w:ind w:firstLine="440" w:firstLineChars="200"/>
              <w:rPr>
                <w:color w:val="auto"/>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05CFE889">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0</w:t>
            </w:r>
            <w:r>
              <w:rPr>
                <w:rFonts w:hint="eastAsia" w:asciiTheme="minorEastAsia" w:hAnsiTheme="minorEastAsia" w:eastAsiaTheme="minorEastAsia" w:cstheme="minorEastAsia"/>
                <w:bCs/>
                <w:color w:val="auto"/>
                <w:szCs w:val="21"/>
                <w:highlight w:val="none"/>
              </w:rPr>
              <w:t>分</w:t>
            </w:r>
          </w:p>
        </w:tc>
      </w:tr>
      <w:tr w14:paraId="6620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492C7964">
            <w:pPr>
              <w:spacing w:line="440" w:lineRule="exact"/>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2.3</w:t>
            </w:r>
          </w:p>
        </w:tc>
        <w:tc>
          <w:tcPr>
            <w:tcW w:w="1341" w:type="dxa"/>
            <w:vAlign w:val="center"/>
          </w:tcPr>
          <w:p w14:paraId="156678F1">
            <w:pPr>
              <w:keepNext w:val="0"/>
              <w:keepLines w:val="0"/>
              <w:pageBreakBefore w:val="0"/>
              <w:kinsoku/>
              <w:wordWrap/>
              <w:overflowPunct/>
              <w:topLinePunct w:val="0"/>
              <w:autoSpaceDE/>
              <w:autoSpaceDN/>
              <w:bidi w:val="0"/>
              <w:spacing w:line="320" w:lineRule="exact"/>
              <w:jc w:val="center"/>
              <w:rPr>
                <w:rFonts w:hint="eastAsia" w:asciiTheme="minorEastAsia" w:hAnsiTheme="minorEastAsia" w:eastAsiaTheme="minorEastAsia" w:cstheme="minorEastAsia"/>
                <w:color w:val="auto"/>
                <w:szCs w:val="21"/>
                <w:highlight w:val="none"/>
              </w:rPr>
            </w:pPr>
            <w:r>
              <w:rPr>
                <w:rFonts w:hint="eastAsia" w:ascii="宋体" w:hAnsi="宋体" w:cs="宋体"/>
                <w:color w:val="auto"/>
                <w:sz w:val="22"/>
                <w:szCs w:val="22"/>
                <w:highlight w:val="none"/>
              </w:rPr>
              <w:t>质量控制措施分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lang w:eastAsia="zh-CN"/>
              </w:rPr>
              <w:t>）</w:t>
            </w:r>
          </w:p>
        </w:tc>
        <w:tc>
          <w:tcPr>
            <w:tcW w:w="6539" w:type="dxa"/>
            <w:vAlign w:val="top"/>
          </w:tcPr>
          <w:p w14:paraId="20295618">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一档（10分）：供应商提供的质量控制措施内容充实，表述清晰、细致，后续服务安排及措施方案合理，可行性强的；</w:t>
            </w:r>
          </w:p>
          <w:p w14:paraId="68EDD1F4">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二档（6分）：供应商提供的质量控制措施内容较充实，表述较清晰，后续服务安排及措施方案合理；</w:t>
            </w:r>
          </w:p>
          <w:p w14:paraId="5E08E3BE">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三档（3分）：供应商提供的质量控制措施内容不够充实，表述不够清晰，后续服务安排及措施方案不够合理，可行性不强的。</w:t>
            </w:r>
          </w:p>
          <w:p w14:paraId="1A96109E">
            <w:pPr>
              <w:pStyle w:val="14"/>
              <w:keepNext w:val="0"/>
              <w:keepLines w:val="0"/>
              <w:pageBreakBefore w:val="0"/>
              <w:kinsoku/>
              <w:wordWrap/>
              <w:overflowPunct/>
              <w:topLinePunct w:val="0"/>
              <w:autoSpaceDE/>
              <w:autoSpaceDN/>
              <w:bidi w:val="0"/>
              <w:spacing w:line="320" w:lineRule="exact"/>
              <w:ind w:firstLine="440" w:firstLineChars="200"/>
              <w:rPr>
                <w:rFonts w:hint="eastAsia"/>
                <w:color w:val="auto"/>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72FCB02D">
            <w:pPr>
              <w:spacing w:line="440" w:lineRule="exact"/>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10分</w:t>
            </w:r>
          </w:p>
        </w:tc>
      </w:tr>
      <w:tr w14:paraId="2A3C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0927F550">
            <w:pPr>
              <w:spacing w:line="440" w:lineRule="exact"/>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4</w:t>
            </w:r>
          </w:p>
        </w:tc>
        <w:tc>
          <w:tcPr>
            <w:tcW w:w="1341" w:type="dxa"/>
            <w:vAlign w:val="center"/>
          </w:tcPr>
          <w:p w14:paraId="7D7B323D">
            <w:pPr>
              <w:keepNext w:val="0"/>
              <w:keepLines w:val="0"/>
              <w:pageBreakBefore w:val="0"/>
              <w:kinsoku/>
              <w:wordWrap/>
              <w:overflowPunct/>
              <w:topLinePunct w:val="0"/>
              <w:autoSpaceDE/>
              <w:autoSpaceDN/>
              <w:bidi w:val="0"/>
              <w:spacing w:line="320" w:lineRule="exact"/>
              <w:jc w:val="center"/>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rPr>
              <w:t>服务质量承诺分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12分</w:t>
            </w:r>
            <w:r>
              <w:rPr>
                <w:rFonts w:hint="eastAsia" w:ascii="宋体" w:hAnsi="宋体" w:cs="宋体"/>
                <w:color w:val="auto"/>
                <w:sz w:val="22"/>
                <w:szCs w:val="22"/>
                <w:highlight w:val="none"/>
                <w:lang w:eastAsia="zh-CN"/>
              </w:rPr>
              <w:t>）</w:t>
            </w:r>
          </w:p>
        </w:tc>
        <w:tc>
          <w:tcPr>
            <w:tcW w:w="6539" w:type="dxa"/>
            <w:vAlign w:val="center"/>
          </w:tcPr>
          <w:p w14:paraId="38369392">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一档（12分）：供应商提供的实施期间和实施后的服务承诺详细且具有针对性，并承诺应采购人需求 1 小时内响应，在 8小时内到达指定现场，24 小时内提出问题解决方案的。</w:t>
            </w:r>
          </w:p>
          <w:p w14:paraId="06FC0D84">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 xml:space="preserve">二档（8分）：供应商提供的实施期间和实施后的服务承诺详细且具有针对性，并承诺应采购人需求4 小时内响应，在 12小时内到达指定现场，36 小时内提出问题解决方案的。 </w:t>
            </w:r>
          </w:p>
          <w:p w14:paraId="70A1B82B">
            <w:pPr>
              <w:pStyle w:val="14"/>
              <w:keepNext w:val="0"/>
              <w:keepLines w:val="0"/>
              <w:pageBreakBefore w:val="0"/>
              <w:kinsoku/>
              <w:wordWrap/>
              <w:overflowPunct/>
              <w:topLinePunct w:val="0"/>
              <w:autoSpaceDE/>
              <w:autoSpaceDN/>
              <w:bidi w:val="0"/>
              <w:spacing w:line="32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三档（4分）：供应商提供的实施期间和实施后的服务承诺满足采购需求的。</w:t>
            </w:r>
          </w:p>
          <w:p w14:paraId="52B6857E">
            <w:pPr>
              <w:pStyle w:val="14"/>
              <w:keepNext w:val="0"/>
              <w:keepLines w:val="0"/>
              <w:pageBreakBefore w:val="0"/>
              <w:kinsoku/>
              <w:wordWrap/>
              <w:overflowPunct/>
              <w:topLinePunct w:val="0"/>
              <w:autoSpaceDE/>
              <w:autoSpaceDN/>
              <w:bidi w:val="0"/>
              <w:spacing w:line="320" w:lineRule="exact"/>
              <w:ind w:firstLine="440" w:firstLineChars="200"/>
              <w:rPr>
                <w:color w:val="auto"/>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1AFC5312">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w:t>
            </w:r>
          </w:p>
        </w:tc>
      </w:tr>
      <w:tr w14:paraId="07E8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38E464C2">
            <w:pPr>
              <w:widowControl/>
              <w:autoSpaceDE w:val="0"/>
              <w:spacing w:line="440" w:lineRule="exact"/>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color w:val="auto"/>
                <w:kern w:val="0"/>
                <w:highlight w:val="none"/>
              </w:rPr>
              <w:t>3</w:t>
            </w:r>
          </w:p>
        </w:tc>
        <w:tc>
          <w:tcPr>
            <w:tcW w:w="1341" w:type="dxa"/>
            <w:vAlign w:val="center"/>
          </w:tcPr>
          <w:p w14:paraId="7B23A7A7">
            <w:pPr>
              <w:widowControl/>
              <w:autoSpaceDE w:val="0"/>
              <w:spacing w:line="440" w:lineRule="exact"/>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bCs/>
                <w:color w:val="auto"/>
                <w:kern w:val="0"/>
                <w:highlight w:val="none"/>
              </w:rPr>
              <w:t>商务分</w:t>
            </w:r>
          </w:p>
        </w:tc>
        <w:tc>
          <w:tcPr>
            <w:tcW w:w="6539" w:type="dxa"/>
            <w:vAlign w:val="center"/>
          </w:tcPr>
          <w:p w14:paraId="69CDA948">
            <w:pPr>
              <w:widowControl/>
              <w:autoSpaceDE w:val="0"/>
              <w:spacing w:line="440" w:lineRule="exact"/>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672" w:type="dxa"/>
            <w:vAlign w:val="center"/>
          </w:tcPr>
          <w:p w14:paraId="6F17D175">
            <w:pPr>
              <w:widowControl/>
              <w:autoSpaceDE w:val="0"/>
              <w:spacing w:line="440" w:lineRule="exact"/>
              <w:jc w:val="center"/>
              <w:rPr>
                <w:rFonts w:hint="eastAsia" w:asciiTheme="minorEastAsia" w:hAnsiTheme="minorEastAsia" w:eastAsiaTheme="minorEastAsia" w:cstheme="minorEastAsia"/>
                <w:b/>
                <w:color w:val="auto"/>
                <w:kern w:val="0"/>
                <w:highlight w:val="none"/>
                <w:lang w:eastAsia="zh-CN"/>
              </w:rPr>
            </w:pPr>
            <w:r>
              <w:rPr>
                <w:rFonts w:hint="eastAsia" w:asciiTheme="minorEastAsia" w:hAnsiTheme="minorEastAsia" w:eastAsiaTheme="minorEastAsia" w:cstheme="minorEastAsia"/>
                <w:b/>
                <w:color w:val="auto"/>
                <w:kern w:val="0"/>
                <w:highlight w:val="none"/>
              </w:rPr>
              <w:t>3</w:t>
            </w:r>
            <w:r>
              <w:rPr>
                <w:rFonts w:hint="eastAsia" w:asciiTheme="minorEastAsia" w:hAnsiTheme="minorEastAsia" w:eastAsiaTheme="minorEastAsia" w:cstheme="minorEastAsia"/>
                <w:b/>
                <w:color w:val="auto"/>
                <w:kern w:val="0"/>
                <w:highlight w:val="none"/>
                <w:lang w:val="en-US" w:eastAsia="zh-CN"/>
              </w:rPr>
              <w:t>8</w:t>
            </w:r>
          </w:p>
        </w:tc>
      </w:tr>
      <w:tr w14:paraId="58CD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209108F9">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w:t>
            </w:r>
          </w:p>
        </w:tc>
        <w:tc>
          <w:tcPr>
            <w:tcW w:w="1341" w:type="dxa"/>
            <w:vAlign w:val="center"/>
          </w:tcPr>
          <w:p w14:paraId="2E6A26D9">
            <w:pPr>
              <w:keepNext w:val="0"/>
              <w:keepLines w:val="0"/>
              <w:pageBreakBefore w:val="0"/>
              <w:kinsoku/>
              <w:wordWrap/>
              <w:overflowPunct/>
              <w:topLinePunct w:val="0"/>
              <w:autoSpaceDE/>
              <w:autoSpaceDN/>
              <w:bidi w:val="0"/>
              <w:snapToGrid w:val="0"/>
              <w:spacing w:line="320" w:lineRule="exact"/>
              <w:jc w:val="center"/>
              <w:rPr>
                <w:rFonts w:hint="default" w:ascii="宋体" w:hAnsi="宋体" w:cs="微软雅黑"/>
                <w:color w:val="auto"/>
                <w:highlight w:val="none"/>
                <w:lang w:val="en-US" w:eastAsia="zh-CN"/>
              </w:rPr>
            </w:pPr>
            <w:r>
              <w:rPr>
                <w:rFonts w:hint="eastAsia" w:ascii="宋体" w:hAnsi="宋体" w:cs="微软雅黑"/>
                <w:color w:val="auto"/>
                <w:highlight w:val="none"/>
              </w:rPr>
              <w:t>信誉</w:t>
            </w:r>
            <w:r>
              <w:rPr>
                <w:rFonts w:hint="eastAsia" w:ascii="宋体" w:hAnsi="宋体" w:cs="微软雅黑"/>
                <w:color w:val="auto"/>
                <w:highlight w:val="none"/>
                <w:lang w:eastAsia="zh-CN"/>
              </w:rPr>
              <w:t>业绩</w:t>
            </w:r>
            <w:r>
              <w:rPr>
                <w:rFonts w:hint="eastAsia" w:ascii="宋体" w:hAnsi="宋体" w:cs="微软雅黑"/>
                <w:color w:val="auto"/>
                <w:highlight w:val="none"/>
              </w:rPr>
              <w:t>分</w:t>
            </w:r>
            <w:r>
              <w:rPr>
                <w:rFonts w:hint="eastAsia" w:ascii="宋体" w:hAnsi="宋体" w:cs="微软雅黑"/>
                <w:color w:val="auto"/>
                <w:highlight w:val="none"/>
                <w:lang w:eastAsia="zh-CN"/>
              </w:rPr>
              <w:t>（</w:t>
            </w:r>
            <w:r>
              <w:rPr>
                <w:rFonts w:hint="eastAsia" w:ascii="宋体" w:hAnsi="宋体" w:cs="微软雅黑"/>
                <w:color w:val="auto"/>
                <w:highlight w:val="none"/>
                <w:lang w:val="en-US" w:eastAsia="zh-CN"/>
              </w:rPr>
              <w:t>18</w:t>
            </w:r>
          </w:p>
          <w:p w14:paraId="07378474">
            <w:pPr>
              <w:keepNext w:val="0"/>
              <w:keepLines w:val="0"/>
              <w:pageBreakBefore w:val="0"/>
              <w:kinsoku/>
              <w:wordWrap/>
              <w:overflowPunct/>
              <w:topLinePunct w:val="0"/>
              <w:autoSpaceDE/>
              <w:autoSpaceDN/>
              <w:bidi w:val="0"/>
              <w:snapToGrid w:val="0"/>
              <w:spacing w:line="320" w:lineRule="exact"/>
              <w:jc w:val="center"/>
              <w:rPr>
                <w:rFonts w:asciiTheme="minorEastAsia" w:hAnsiTheme="minorEastAsia" w:eastAsiaTheme="minorEastAsia" w:cstheme="minorEastAsia"/>
                <w:bCs/>
                <w:color w:val="auto"/>
                <w:szCs w:val="21"/>
                <w:highlight w:val="none"/>
              </w:rPr>
            </w:pPr>
            <w:r>
              <w:rPr>
                <w:rFonts w:hint="eastAsia" w:ascii="宋体" w:hAnsi="宋体" w:cs="微软雅黑"/>
                <w:color w:val="auto"/>
                <w:highlight w:val="none"/>
                <w:lang w:val="en-US" w:eastAsia="zh-CN"/>
              </w:rPr>
              <w:t>分</w:t>
            </w:r>
            <w:r>
              <w:rPr>
                <w:rFonts w:hint="eastAsia" w:ascii="宋体" w:hAnsi="宋体" w:cs="微软雅黑"/>
                <w:color w:val="auto"/>
                <w:highlight w:val="none"/>
                <w:lang w:eastAsia="zh-CN"/>
              </w:rPr>
              <w:t>）</w:t>
            </w:r>
          </w:p>
        </w:tc>
        <w:tc>
          <w:tcPr>
            <w:tcW w:w="6539" w:type="dxa"/>
            <w:vAlign w:val="center"/>
          </w:tcPr>
          <w:p w14:paraId="6E1523A2">
            <w:pPr>
              <w:spacing w:line="400" w:lineRule="exact"/>
              <w:rPr>
                <w:rFonts w:hint="eastAsia" w:ascii="宋体" w:hAnsi="宋体" w:cs="仿宋"/>
                <w:color w:val="auto"/>
                <w:szCs w:val="21"/>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Times New Roman" w:hAnsi="Times New Roman" w:eastAsia="宋体" w:cs="Times New Roman"/>
                <w:bCs/>
                <w:color w:val="auto"/>
                <w:kern w:val="0"/>
                <w:sz w:val="22"/>
                <w:szCs w:val="22"/>
                <w:highlight w:val="none"/>
                <w:lang w:val="en-US" w:eastAsia="zh-CN"/>
              </w:rPr>
              <w:t>2021</w:t>
            </w:r>
            <w:r>
              <w:rPr>
                <w:rFonts w:hint="eastAsia" w:ascii="Times New Roman" w:hAnsi="Times New Roman" w:eastAsia="宋体" w:cs="Times New Roman"/>
                <w:bCs/>
                <w:color w:val="auto"/>
                <w:kern w:val="0"/>
                <w:sz w:val="22"/>
                <w:szCs w:val="22"/>
                <w:highlight w:val="none"/>
              </w:rPr>
              <w:t>年1月1日以来至响应文件递交截止日期止，</w:t>
            </w:r>
            <w:r>
              <w:rPr>
                <w:rFonts w:hint="eastAsia" w:ascii="宋体" w:hAnsi="宋体" w:cs="仿宋"/>
                <w:color w:val="auto"/>
                <w:szCs w:val="21"/>
              </w:rPr>
              <w:t>供应商承担的水利工程勘察设计成果</w:t>
            </w:r>
            <w:r>
              <w:rPr>
                <w:rFonts w:hint="eastAsia" w:ascii="Times New Roman" w:hAnsi="Times New Roman" w:eastAsia="宋体" w:cs="Times New Roman"/>
                <w:bCs/>
                <w:color w:val="auto"/>
                <w:kern w:val="0"/>
                <w:sz w:val="22"/>
                <w:szCs w:val="22"/>
                <w:highlight w:val="none"/>
              </w:rPr>
              <w:t>获得过省级或以上相关主管部门颁发的</w:t>
            </w:r>
            <w:r>
              <w:rPr>
                <w:rFonts w:hint="eastAsia" w:ascii="宋体" w:hAnsi="宋体" w:cs="仿宋"/>
                <w:color w:val="auto"/>
                <w:szCs w:val="21"/>
              </w:rPr>
              <w:t>优秀水利</w:t>
            </w:r>
            <w:r>
              <w:rPr>
                <w:rFonts w:hint="eastAsia" w:ascii="宋体" w:hAnsi="宋体" w:cs="仿宋"/>
                <w:color w:val="auto"/>
                <w:szCs w:val="21"/>
                <w:lang w:val="en-US" w:eastAsia="zh-CN"/>
              </w:rPr>
              <w:t>水电</w:t>
            </w:r>
            <w:r>
              <w:rPr>
                <w:rFonts w:hint="eastAsia" w:ascii="宋体" w:hAnsi="宋体" w:cs="仿宋"/>
                <w:color w:val="auto"/>
                <w:szCs w:val="21"/>
              </w:rPr>
              <w:t>工程勘察设计奖项的，每项得</w:t>
            </w:r>
            <w:r>
              <w:rPr>
                <w:rFonts w:hint="eastAsia" w:ascii="宋体" w:hAnsi="宋体" w:cs="仿宋"/>
                <w:color w:val="auto"/>
                <w:szCs w:val="21"/>
                <w:lang w:val="en-US" w:eastAsia="zh-CN"/>
              </w:rPr>
              <w:t>3</w:t>
            </w:r>
            <w:r>
              <w:rPr>
                <w:rFonts w:hint="eastAsia" w:ascii="宋体" w:hAnsi="宋体" w:cs="仿宋"/>
                <w:color w:val="auto"/>
                <w:szCs w:val="21"/>
              </w:rPr>
              <w:t>分，最高得</w:t>
            </w:r>
            <w:r>
              <w:rPr>
                <w:rFonts w:hint="eastAsia" w:ascii="宋体" w:hAnsi="宋体" w:cs="仿宋"/>
                <w:color w:val="auto"/>
                <w:szCs w:val="21"/>
                <w:lang w:val="en-US" w:eastAsia="zh-CN"/>
              </w:rPr>
              <w:t>3</w:t>
            </w:r>
            <w:r>
              <w:rPr>
                <w:rFonts w:hint="eastAsia" w:ascii="宋体" w:hAnsi="宋体" w:cs="仿宋"/>
                <w:color w:val="auto"/>
                <w:szCs w:val="21"/>
              </w:rPr>
              <w:t>分。</w:t>
            </w:r>
          </w:p>
          <w:p w14:paraId="3C633813">
            <w:pPr>
              <w:keepNext w:val="0"/>
              <w:keepLines w:val="0"/>
              <w:pageBreakBefore w:val="0"/>
              <w:widowControl/>
              <w:kinsoku/>
              <w:wordWrap/>
              <w:overflowPunct/>
              <w:topLinePunct w:val="0"/>
              <w:autoSpaceDE/>
              <w:autoSpaceDN/>
              <w:bidi w:val="0"/>
              <w:spacing w:line="320" w:lineRule="exac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rPr>
              <w:t>年至今承接</w:t>
            </w:r>
            <w:r>
              <w:rPr>
                <w:rFonts w:hint="eastAsia" w:ascii="宋体" w:hAnsi="宋体" w:cs="仿宋"/>
                <w:color w:val="auto"/>
                <w:szCs w:val="21"/>
              </w:rPr>
              <w:t>过水库除险加固勘察设计类项目业绩的</w:t>
            </w:r>
            <w:r>
              <w:rPr>
                <w:rFonts w:hint="eastAsia" w:ascii="宋体" w:hAnsi="宋体" w:eastAsia="宋体" w:cs="宋体"/>
                <w:color w:val="auto"/>
                <w:kern w:val="0"/>
                <w:sz w:val="22"/>
                <w:szCs w:val="22"/>
                <w:highlight w:val="none"/>
              </w:rPr>
              <w:t>（以中标</w:t>
            </w:r>
            <w:r>
              <w:rPr>
                <w:rFonts w:hint="eastAsia" w:ascii="宋体" w:hAnsi="宋体" w:cs="宋体"/>
                <w:color w:val="auto"/>
                <w:kern w:val="0"/>
                <w:sz w:val="22"/>
                <w:szCs w:val="22"/>
                <w:highlight w:val="none"/>
                <w:lang w:val="en-US" w:eastAsia="zh-CN"/>
              </w:rPr>
              <w:t>/成交</w:t>
            </w:r>
            <w:r>
              <w:rPr>
                <w:rFonts w:hint="eastAsia"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lang w:val="en-US" w:eastAsia="zh-CN"/>
              </w:rPr>
              <w:t>或</w:t>
            </w:r>
            <w:r>
              <w:rPr>
                <w:rFonts w:hint="eastAsia" w:ascii="宋体" w:hAnsi="宋体" w:eastAsia="宋体" w:cs="宋体"/>
                <w:color w:val="auto"/>
                <w:kern w:val="0"/>
                <w:sz w:val="22"/>
                <w:szCs w:val="22"/>
                <w:highlight w:val="none"/>
              </w:rPr>
              <w:t>合同证明文件复印件为准），每个</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分，满分</w:t>
            </w:r>
            <w:r>
              <w:rPr>
                <w:rFonts w:hint="eastAsia" w:ascii="宋体" w:hAnsi="宋体" w:eastAsia="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分。</w:t>
            </w:r>
          </w:p>
          <w:p w14:paraId="07D0D562">
            <w:pPr>
              <w:keepNext w:val="0"/>
              <w:keepLines w:val="0"/>
              <w:pageBreakBefore w:val="0"/>
              <w:widowControl/>
              <w:kinsoku/>
              <w:wordWrap/>
              <w:overflowPunct/>
              <w:topLinePunct w:val="0"/>
              <w:autoSpaceDE/>
              <w:autoSpaceDN/>
              <w:bidi w:val="0"/>
              <w:spacing w:line="320" w:lineRule="exact"/>
              <w:jc w:val="left"/>
              <w:rPr>
                <w:color w:val="auto"/>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供应商通过质量管理体系认证的</w:t>
            </w:r>
            <w:r>
              <w:rPr>
                <w:rFonts w:hint="eastAsia" w:ascii="宋体" w:hAnsi="宋体" w:eastAsia="宋体" w:cs="宋体"/>
                <w:color w:val="auto"/>
                <w:kern w:val="0"/>
                <w:sz w:val="22"/>
                <w:szCs w:val="22"/>
                <w:highlight w:val="none"/>
                <w:lang w:val="en-US" w:eastAsia="zh-CN"/>
              </w:rPr>
              <w:t>得3分，满分3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响应文件中提供有效的认证证书，并加盖供应商公章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eastAsia="zh-CN"/>
              </w:rPr>
              <w:t>。</w:t>
            </w:r>
          </w:p>
        </w:tc>
        <w:tc>
          <w:tcPr>
            <w:tcW w:w="672" w:type="dxa"/>
            <w:vAlign w:val="center"/>
          </w:tcPr>
          <w:p w14:paraId="3367A830">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分</w:t>
            </w:r>
          </w:p>
        </w:tc>
      </w:tr>
      <w:tr w14:paraId="06623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08DB6923">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w:t>
            </w:r>
          </w:p>
        </w:tc>
        <w:tc>
          <w:tcPr>
            <w:tcW w:w="1341" w:type="dxa"/>
            <w:vAlign w:val="center"/>
          </w:tcPr>
          <w:p w14:paraId="01AC0F39">
            <w:pPr>
              <w:keepNext w:val="0"/>
              <w:keepLines w:val="0"/>
              <w:pageBreakBefore w:val="0"/>
              <w:widowControl/>
              <w:kinsoku/>
              <w:wordWrap/>
              <w:overflowPunct/>
              <w:topLinePunct w:val="0"/>
              <w:autoSpaceDE/>
              <w:autoSpaceDN/>
              <w:bidi w:val="0"/>
              <w:spacing w:line="32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 w:val="22"/>
                <w:szCs w:val="22"/>
                <w:highlight w:val="none"/>
              </w:rPr>
              <w:t>人员配备</w:t>
            </w:r>
            <w:r>
              <w:rPr>
                <w:rFonts w:hint="eastAsia" w:ascii="宋体" w:hAnsi="宋体" w:cs="宋体"/>
                <w:bCs/>
                <w:color w:val="auto"/>
                <w:sz w:val="22"/>
                <w:szCs w:val="22"/>
                <w:highlight w:val="none"/>
              </w:rPr>
              <w:t>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20分</w:t>
            </w:r>
            <w:r>
              <w:rPr>
                <w:rFonts w:hint="eastAsia" w:ascii="宋体" w:hAnsi="宋体" w:cs="宋体"/>
                <w:bCs/>
                <w:color w:val="auto"/>
                <w:sz w:val="22"/>
                <w:szCs w:val="22"/>
                <w:highlight w:val="none"/>
                <w:lang w:eastAsia="zh-CN"/>
              </w:rPr>
              <w:t>）</w:t>
            </w:r>
          </w:p>
        </w:tc>
        <w:tc>
          <w:tcPr>
            <w:tcW w:w="6539" w:type="dxa"/>
            <w:vAlign w:val="top"/>
          </w:tcPr>
          <w:p w14:paraId="6F87CE9E">
            <w:pPr>
              <w:spacing w:line="400" w:lineRule="exact"/>
              <w:rPr>
                <w:rFonts w:hint="eastAsia" w:ascii="宋体" w:hAnsi="宋体" w:cs="仿宋"/>
                <w:color w:val="auto"/>
                <w:kern w:val="0"/>
                <w:szCs w:val="21"/>
              </w:rPr>
            </w:pPr>
            <w:r>
              <w:rPr>
                <w:rFonts w:hint="eastAsia" w:ascii="宋体" w:hAnsi="宋体" w:cs="仿宋"/>
                <w:color w:val="auto"/>
                <w:kern w:val="0"/>
                <w:szCs w:val="21"/>
              </w:rPr>
              <w:t>拟投入其他人员（不含项目负责人）中，</w:t>
            </w:r>
            <w:r>
              <w:rPr>
                <w:rFonts w:hint="eastAsia" w:ascii="宋体" w:hAnsi="宋体" w:cs="仿宋"/>
                <w:color w:val="auto"/>
                <w:kern w:val="0"/>
                <w:szCs w:val="21"/>
                <w:lang w:val="en-US" w:eastAsia="zh-CN"/>
              </w:rPr>
              <w:t>具</w:t>
            </w:r>
            <w:r>
              <w:rPr>
                <w:rFonts w:hint="eastAsia" w:ascii="宋体" w:hAnsi="宋体" w:cs="仿宋"/>
                <w:color w:val="auto"/>
                <w:kern w:val="0"/>
                <w:szCs w:val="21"/>
              </w:rPr>
              <w:t>备水利水电工程</w:t>
            </w:r>
            <w:r>
              <w:rPr>
                <w:rFonts w:hint="eastAsia" w:ascii="宋体" w:hAnsi="宋体" w:cs="仿宋"/>
                <w:color w:val="auto"/>
                <w:kern w:val="0"/>
                <w:szCs w:val="21"/>
                <w:lang w:val="en-US" w:eastAsia="zh-CN"/>
              </w:rPr>
              <w:t>或</w:t>
            </w:r>
            <w:r>
              <w:rPr>
                <w:rFonts w:hint="eastAsia" w:ascii="宋体" w:hAnsi="宋体" w:cs="仿宋"/>
                <w:color w:val="auto"/>
                <w:kern w:val="0"/>
                <w:szCs w:val="21"/>
              </w:rPr>
              <w:t>水文</w:t>
            </w:r>
            <w:r>
              <w:rPr>
                <w:rFonts w:hint="eastAsia" w:ascii="宋体" w:hAnsi="宋体" w:cs="仿宋"/>
                <w:color w:val="auto"/>
                <w:kern w:val="0"/>
                <w:szCs w:val="21"/>
                <w:lang w:val="en-US" w:eastAsia="zh-CN"/>
              </w:rPr>
              <w:t>与</w:t>
            </w:r>
            <w:r>
              <w:rPr>
                <w:rFonts w:hint="eastAsia" w:ascii="宋体" w:hAnsi="宋体" w:cs="仿宋"/>
                <w:color w:val="auto"/>
                <w:kern w:val="0"/>
                <w:szCs w:val="21"/>
              </w:rPr>
              <w:t>水资源</w:t>
            </w:r>
            <w:r>
              <w:rPr>
                <w:rFonts w:hint="eastAsia" w:ascii="宋体" w:hAnsi="宋体" w:cs="仿宋"/>
                <w:color w:val="auto"/>
                <w:kern w:val="0"/>
                <w:szCs w:val="21"/>
                <w:lang w:val="en-US" w:eastAsia="zh-CN"/>
              </w:rPr>
              <w:t>或水利</w:t>
            </w:r>
            <w:r>
              <w:rPr>
                <w:rFonts w:hint="eastAsia" w:ascii="宋体" w:hAnsi="宋体" w:cs="仿宋"/>
                <w:color w:val="auto"/>
                <w:kern w:val="0"/>
                <w:szCs w:val="21"/>
              </w:rPr>
              <w:t>环境</w:t>
            </w:r>
            <w:r>
              <w:rPr>
                <w:rFonts w:hint="eastAsia" w:ascii="宋体" w:hAnsi="宋体" w:cs="仿宋"/>
                <w:color w:val="auto"/>
                <w:kern w:val="0"/>
                <w:szCs w:val="21"/>
                <w:lang w:val="en-US" w:eastAsia="zh-CN"/>
              </w:rPr>
              <w:t>保护或工程测量或工程</w:t>
            </w:r>
            <w:r>
              <w:rPr>
                <w:rFonts w:hint="eastAsia" w:ascii="宋体" w:hAnsi="宋体" w:cs="仿宋"/>
                <w:color w:val="auto"/>
                <w:kern w:val="0"/>
                <w:szCs w:val="21"/>
              </w:rPr>
              <w:t>地质</w:t>
            </w:r>
            <w:r>
              <w:rPr>
                <w:rFonts w:hint="eastAsia" w:ascii="宋体" w:hAnsi="宋体" w:cs="仿宋"/>
                <w:color w:val="auto"/>
                <w:kern w:val="0"/>
                <w:szCs w:val="21"/>
                <w:lang w:val="en-US" w:eastAsia="zh-CN"/>
              </w:rPr>
              <w:t>或工程</w:t>
            </w:r>
            <w:r>
              <w:rPr>
                <w:rFonts w:hint="eastAsia" w:ascii="宋体" w:hAnsi="宋体" w:cs="仿宋"/>
                <w:color w:val="auto"/>
                <w:kern w:val="0"/>
                <w:szCs w:val="21"/>
              </w:rPr>
              <w:t>造价等相关专业技术人员</w:t>
            </w:r>
            <w:r>
              <w:rPr>
                <w:rFonts w:hint="eastAsia" w:ascii="宋体" w:hAnsi="宋体" w:cs="仿宋"/>
                <w:color w:val="auto"/>
                <w:kern w:val="0"/>
                <w:szCs w:val="21"/>
                <w:lang w:val="en-US" w:eastAsia="zh-CN"/>
              </w:rPr>
              <w:t>具有</w:t>
            </w:r>
            <w:r>
              <w:rPr>
                <w:rFonts w:hint="eastAsia" w:ascii="宋体" w:hAnsi="宋体" w:cs="仿宋"/>
                <w:color w:val="auto"/>
                <w:kern w:val="0"/>
                <w:szCs w:val="21"/>
              </w:rPr>
              <w:t>高级职称</w:t>
            </w:r>
            <w:r>
              <w:rPr>
                <w:rFonts w:hint="eastAsia" w:ascii="宋体" w:hAnsi="宋体" w:cs="仿宋"/>
                <w:color w:val="auto"/>
                <w:kern w:val="0"/>
                <w:szCs w:val="21"/>
                <w:lang w:eastAsia="zh-CN"/>
              </w:rPr>
              <w:t>的，</w:t>
            </w:r>
            <w:r>
              <w:rPr>
                <w:rFonts w:hint="eastAsia" w:ascii="宋体" w:hAnsi="宋体" w:cs="仿宋"/>
                <w:color w:val="auto"/>
                <w:kern w:val="0"/>
                <w:szCs w:val="21"/>
              </w:rPr>
              <w:t>每提供1人得3分，</w:t>
            </w:r>
            <w:r>
              <w:rPr>
                <w:rFonts w:hint="eastAsia" w:ascii="宋体" w:hAnsi="宋体" w:cs="仿宋"/>
                <w:color w:val="auto"/>
                <w:kern w:val="0"/>
                <w:szCs w:val="21"/>
                <w:lang w:val="en-US" w:eastAsia="zh-CN"/>
              </w:rPr>
              <w:t>具有</w:t>
            </w:r>
            <w:r>
              <w:rPr>
                <w:rFonts w:hint="eastAsia" w:ascii="宋体" w:hAnsi="宋体" w:cs="仿宋"/>
                <w:color w:val="auto"/>
                <w:kern w:val="0"/>
                <w:szCs w:val="21"/>
              </w:rPr>
              <w:t>中级职称</w:t>
            </w:r>
            <w:r>
              <w:rPr>
                <w:rFonts w:hint="eastAsia" w:ascii="宋体" w:hAnsi="宋体" w:cs="仿宋"/>
                <w:color w:val="auto"/>
                <w:kern w:val="0"/>
                <w:szCs w:val="21"/>
                <w:lang w:eastAsia="zh-CN"/>
              </w:rPr>
              <w:t>的，</w:t>
            </w:r>
            <w:r>
              <w:rPr>
                <w:rFonts w:hint="eastAsia" w:ascii="宋体" w:hAnsi="宋体" w:cs="仿宋"/>
                <w:color w:val="auto"/>
                <w:kern w:val="0"/>
                <w:szCs w:val="21"/>
              </w:rPr>
              <w:t>每提供1人得1分，满分</w:t>
            </w:r>
            <w:r>
              <w:rPr>
                <w:rFonts w:hint="eastAsia" w:ascii="宋体" w:hAnsi="宋体" w:cs="仿宋"/>
                <w:color w:val="auto"/>
                <w:kern w:val="0"/>
                <w:szCs w:val="21"/>
                <w:lang w:val="en-US" w:eastAsia="zh-CN"/>
              </w:rPr>
              <w:t>20</w:t>
            </w:r>
            <w:r>
              <w:rPr>
                <w:rFonts w:hint="eastAsia" w:ascii="宋体" w:hAnsi="宋体" w:cs="仿宋"/>
                <w:color w:val="auto"/>
                <w:kern w:val="0"/>
                <w:szCs w:val="21"/>
              </w:rPr>
              <w:t>分；</w:t>
            </w:r>
          </w:p>
          <w:p w14:paraId="4F680178">
            <w:pPr>
              <w:keepNext w:val="0"/>
              <w:keepLines w:val="0"/>
              <w:pageBreakBefore w:val="0"/>
              <w:kinsoku/>
              <w:wordWrap/>
              <w:overflowPunct/>
              <w:topLinePunct w:val="0"/>
              <w:autoSpaceDE/>
              <w:autoSpaceDN/>
              <w:bidi w:val="0"/>
              <w:spacing w:line="320" w:lineRule="exact"/>
              <w:rPr>
                <w:rFonts w:asciiTheme="minorEastAsia" w:hAnsiTheme="minorEastAsia" w:eastAsiaTheme="minorEastAsia" w:cstheme="minorEastAsia"/>
                <w:color w:val="auto"/>
                <w:szCs w:val="21"/>
                <w:highlight w:val="none"/>
              </w:rPr>
            </w:pPr>
            <w:r>
              <w:rPr>
                <w:rFonts w:hint="eastAsia" w:ascii="宋体" w:hAnsi="宋体" w:cs="宋体"/>
                <w:color w:val="auto"/>
                <w:sz w:val="22"/>
                <w:szCs w:val="22"/>
                <w:highlight w:val="none"/>
              </w:rPr>
              <w:t>注：响应文件中须附上相关人员职称证书复印件并加盖供应商公章，否则不得分。</w:t>
            </w:r>
          </w:p>
        </w:tc>
        <w:tc>
          <w:tcPr>
            <w:tcW w:w="672" w:type="dxa"/>
            <w:vAlign w:val="center"/>
          </w:tcPr>
          <w:p w14:paraId="75680876">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20分</w:t>
            </w:r>
          </w:p>
        </w:tc>
      </w:tr>
      <w:tr w14:paraId="40A8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04" w:type="dxa"/>
            <w:gridSpan w:val="4"/>
            <w:vAlign w:val="center"/>
          </w:tcPr>
          <w:p w14:paraId="14F0F2F3">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highlight w:val="none"/>
              </w:rPr>
              <w:t>总得分为以上各项评审因素得分合计</w:t>
            </w:r>
          </w:p>
        </w:tc>
      </w:tr>
    </w:tbl>
    <w:p w14:paraId="50D79225">
      <w:pPr>
        <w:spacing w:line="360" w:lineRule="auto"/>
        <w:ind w:firstLine="420" w:firstLineChars="200"/>
        <w:rPr>
          <w:rFonts w:asciiTheme="minorEastAsia" w:hAnsiTheme="minorEastAsia" w:eastAsiaTheme="minorEastAsia" w:cstheme="minorEastAsia"/>
          <w:bCs/>
          <w:color w:val="auto"/>
          <w:szCs w:val="21"/>
          <w:highlight w:val="none"/>
        </w:rPr>
      </w:pPr>
    </w:p>
    <w:p w14:paraId="6FA6568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7.由磋商小组根据综合评分情况，按照评审得分由高到低顺序推荐3名以上成交候选供应商，并编写评审报告，</w:t>
      </w:r>
      <w:r>
        <w:rPr>
          <w:rFonts w:hint="eastAsia" w:asciiTheme="minorEastAsia" w:hAnsiTheme="minorEastAsia" w:eastAsiaTheme="minorEastAsia" w:cstheme="minorEastAsia"/>
          <w:color w:val="auto"/>
          <w:highlight w:val="none"/>
        </w:rPr>
        <w:t>评审报告通过电子交易平台向采购人、采购代理机构提交。</w:t>
      </w:r>
      <w:r>
        <w:rPr>
          <w:rFonts w:hint="eastAsia" w:asciiTheme="minorEastAsia" w:hAnsiTheme="minorEastAsia" w:eastAsiaTheme="minorEastAsia" w:cstheme="minorEastAsia"/>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0A1C9BB8">
      <w:pPr>
        <w:spacing w:line="400" w:lineRule="exact"/>
        <w:ind w:firstLine="420" w:firstLineChars="200"/>
        <w:rPr>
          <w:rFonts w:asciiTheme="minorEastAsia" w:hAnsiTheme="minorEastAsia" w:eastAsiaTheme="minorEastAsia" w:cstheme="minorEastAsia"/>
          <w:color w:val="auto"/>
          <w:highlight w:val="none"/>
        </w:rPr>
      </w:pPr>
    </w:p>
    <w:p w14:paraId="0CF88E10">
      <w:pPr>
        <w:spacing w:line="400" w:lineRule="exact"/>
        <w:ind w:firstLine="420" w:firstLineChars="200"/>
        <w:rPr>
          <w:rFonts w:asciiTheme="minorEastAsia" w:hAnsiTheme="minorEastAsia" w:eastAsiaTheme="minorEastAsia" w:cstheme="minorEastAsia"/>
          <w:color w:val="auto"/>
          <w:highlight w:val="none"/>
        </w:rPr>
      </w:pPr>
    </w:p>
    <w:p w14:paraId="3075F9AA">
      <w:pPr>
        <w:pStyle w:val="3"/>
        <w:jc w:val="center"/>
        <w:rPr>
          <w:rFonts w:ascii="仿宋" w:hAnsi="仿宋" w:eastAsia="仿宋" w:cs="仿宋"/>
          <w:color w:val="auto"/>
          <w:highlight w:val="none"/>
        </w:rPr>
      </w:pPr>
    </w:p>
    <w:p w14:paraId="451249CA">
      <w:pPr>
        <w:rPr>
          <w:rFonts w:ascii="仿宋" w:hAnsi="仿宋" w:eastAsia="仿宋" w:cs="仿宋"/>
          <w:color w:val="auto"/>
          <w:highlight w:val="none"/>
        </w:rPr>
      </w:pPr>
    </w:p>
    <w:p w14:paraId="1667DDB5">
      <w:pPr>
        <w:rPr>
          <w:rFonts w:ascii="仿宋" w:hAnsi="仿宋" w:eastAsia="仿宋" w:cs="仿宋"/>
          <w:color w:val="auto"/>
          <w:highlight w:val="none"/>
        </w:rPr>
      </w:pPr>
    </w:p>
    <w:p w14:paraId="35EE7D5A">
      <w:pPr>
        <w:rPr>
          <w:rFonts w:ascii="仿宋" w:hAnsi="仿宋" w:eastAsia="仿宋" w:cs="仿宋"/>
          <w:color w:val="auto"/>
          <w:highlight w:val="none"/>
        </w:rPr>
      </w:pPr>
    </w:p>
    <w:p w14:paraId="3E43552C">
      <w:pPr>
        <w:rPr>
          <w:rFonts w:ascii="仿宋" w:hAnsi="仿宋" w:eastAsia="仿宋" w:cs="仿宋"/>
          <w:color w:val="auto"/>
          <w:highlight w:val="none"/>
        </w:rPr>
      </w:pPr>
    </w:p>
    <w:p w14:paraId="516E5849">
      <w:pPr>
        <w:rPr>
          <w:rFonts w:ascii="仿宋" w:hAnsi="仿宋" w:eastAsia="仿宋" w:cs="仿宋"/>
          <w:color w:val="auto"/>
          <w:highlight w:val="none"/>
        </w:rPr>
      </w:pPr>
    </w:p>
    <w:p w14:paraId="34D83E01">
      <w:pPr>
        <w:rPr>
          <w:rFonts w:ascii="仿宋" w:hAnsi="仿宋" w:eastAsia="仿宋" w:cs="仿宋"/>
          <w:color w:val="auto"/>
          <w:highlight w:val="none"/>
        </w:rPr>
      </w:pPr>
    </w:p>
    <w:p w14:paraId="5C72CB49">
      <w:pPr>
        <w:rPr>
          <w:rFonts w:ascii="仿宋" w:hAnsi="仿宋" w:eastAsia="仿宋" w:cs="仿宋"/>
          <w:color w:val="auto"/>
          <w:highlight w:val="none"/>
        </w:rPr>
      </w:pPr>
    </w:p>
    <w:p w14:paraId="0E7B1848">
      <w:pPr>
        <w:rPr>
          <w:rFonts w:ascii="仿宋" w:hAnsi="仿宋" w:eastAsia="仿宋" w:cs="仿宋"/>
          <w:color w:val="auto"/>
          <w:highlight w:val="none"/>
        </w:rPr>
      </w:pPr>
    </w:p>
    <w:p w14:paraId="2E287520">
      <w:pPr>
        <w:rPr>
          <w:rFonts w:ascii="仿宋" w:hAnsi="仿宋" w:eastAsia="仿宋" w:cs="仿宋"/>
          <w:color w:val="auto"/>
          <w:highlight w:val="none"/>
        </w:rPr>
      </w:pPr>
    </w:p>
    <w:p w14:paraId="03D97590">
      <w:pPr>
        <w:rPr>
          <w:rFonts w:ascii="仿宋" w:hAnsi="仿宋" w:eastAsia="仿宋" w:cs="仿宋"/>
          <w:color w:val="auto"/>
          <w:highlight w:val="none"/>
        </w:rPr>
      </w:pPr>
    </w:p>
    <w:p w14:paraId="2B3F1520">
      <w:pPr>
        <w:rPr>
          <w:rFonts w:ascii="仿宋" w:hAnsi="仿宋" w:eastAsia="仿宋" w:cs="仿宋"/>
          <w:color w:val="auto"/>
          <w:highlight w:val="none"/>
        </w:rPr>
      </w:pPr>
    </w:p>
    <w:p w14:paraId="6DCD60CD">
      <w:pPr>
        <w:rPr>
          <w:rFonts w:ascii="仿宋" w:hAnsi="仿宋" w:eastAsia="仿宋" w:cs="仿宋"/>
          <w:color w:val="auto"/>
          <w:highlight w:val="none"/>
        </w:rPr>
      </w:pPr>
    </w:p>
    <w:p w14:paraId="345EA3C6">
      <w:pPr>
        <w:rPr>
          <w:rFonts w:ascii="仿宋" w:hAnsi="仿宋" w:eastAsia="仿宋" w:cs="仿宋"/>
          <w:color w:val="auto"/>
          <w:highlight w:val="none"/>
        </w:rPr>
      </w:pPr>
    </w:p>
    <w:p w14:paraId="30585700">
      <w:pPr>
        <w:pStyle w:val="3"/>
        <w:jc w:val="center"/>
        <w:rPr>
          <w:rFonts w:ascii="仿宋" w:hAnsi="仿宋" w:eastAsia="仿宋" w:cs="仿宋"/>
          <w:color w:val="auto"/>
          <w:highlight w:val="none"/>
        </w:rPr>
      </w:pPr>
      <w:bookmarkStart w:id="82" w:name="_Toc74323460"/>
      <w:r>
        <w:rPr>
          <w:rFonts w:hint="eastAsia" w:ascii="仿宋" w:hAnsi="仿宋" w:eastAsia="仿宋" w:cs="仿宋"/>
          <w:color w:val="auto"/>
          <w:highlight w:val="none"/>
        </w:rPr>
        <w:t>第五章 响应文件格式</w:t>
      </w:r>
      <w:bookmarkEnd w:id="82"/>
    </w:p>
    <w:p w14:paraId="12177112">
      <w:pPr>
        <w:spacing w:line="240" w:lineRule="atLeast"/>
        <w:rPr>
          <w:rFonts w:ascii="仿宋" w:hAnsi="仿宋" w:eastAsia="仿宋" w:cs="仿宋"/>
          <w:b/>
          <w:color w:val="auto"/>
          <w:sz w:val="32"/>
          <w:szCs w:val="32"/>
          <w:highlight w:val="none"/>
        </w:rPr>
      </w:pPr>
    </w:p>
    <w:p w14:paraId="7756EF4D">
      <w:pPr>
        <w:spacing w:line="240" w:lineRule="atLeast"/>
        <w:rPr>
          <w:rFonts w:ascii="仿宋" w:hAnsi="仿宋" w:eastAsia="仿宋" w:cs="仿宋"/>
          <w:b/>
          <w:color w:val="auto"/>
          <w:sz w:val="32"/>
          <w:szCs w:val="32"/>
          <w:highlight w:val="none"/>
        </w:rPr>
      </w:pPr>
    </w:p>
    <w:p w14:paraId="52414A5D">
      <w:pPr>
        <w:spacing w:line="240" w:lineRule="atLeast"/>
        <w:rPr>
          <w:rFonts w:ascii="仿宋" w:hAnsi="仿宋" w:eastAsia="仿宋" w:cs="仿宋"/>
          <w:b/>
          <w:color w:val="auto"/>
          <w:sz w:val="32"/>
          <w:szCs w:val="32"/>
          <w:highlight w:val="none"/>
        </w:rPr>
      </w:pPr>
    </w:p>
    <w:p w14:paraId="533EC16B">
      <w:pPr>
        <w:spacing w:line="240" w:lineRule="atLeast"/>
        <w:rPr>
          <w:rFonts w:ascii="仿宋" w:hAnsi="仿宋" w:eastAsia="仿宋" w:cs="仿宋"/>
          <w:b/>
          <w:color w:val="auto"/>
          <w:sz w:val="32"/>
          <w:szCs w:val="32"/>
          <w:highlight w:val="none"/>
        </w:rPr>
      </w:pPr>
    </w:p>
    <w:p w14:paraId="4989720D">
      <w:pPr>
        <w:spacing w:line="240" w:lineRule="atLeast"/>
        <w:rPr>
          <w:rFonts w:ascii="仿宋" w:hAnsi="仿宋" w:eastAsia="仿宋" w:cs="仿宋"/>
          <w:b/>
          <w:color w:val="auto"/>
          <w:sz w:val="32"/>
          <w:szCs w:val="32"/>
          <w:highlight w:val="none"/>
        </w:rPr>
      </w:pPr>
    </w:p>
    <w:p w14:paraId="13AD551C">
      <w:pPr>
        <w:spacing w:line="240" w:lineRule="atLeast"/>
        <w:rPr>
          <w:rFonts w:ascii="仿宋" w:hAnsi="仿宋" w:eastAsia="仿宋" w:cs="仿宋"/>
          <w:b/>
          <w:color w:val="auto"/>
          <w:sz w:val="32"/>
          <w:szCs w:val="32"/>
          <w:highlight w:val="none"/>
        </w:rPr>
      </w:pPr>
    </w:p>
    <w:p w14:paraId="19B82984">
      <w:pPr>
        <w:spacing w:line="240" w:lineRule="atLeast"/>
        <w:rPr>
          <w:rFonts w:ascii="仿宋" w:hAnsi="仿宋" w:eastAsia="仿宋" w:cs="仿宋"/>
          <w:b/>
          <w:color w:val="auto"/>
          <w:sz w:val="32"/>
          <w:szCs w:val="32"/>
          <w:highlight w:val="none"/>
        </w:rPr>
      </w:pPr>
    </w:p>
    <w:p w14:paraId="79CFF9E4">
      <w:pPr>
        <w:spacing w:line="240" w:lineRule="atLeast"/>
        <w:rPr>
          <w:rFonts w:ascii="仿宋" w:hAnsi="仿宋" w:eastAsia="仿宋" w:cs="仿宋"/>
          <w:b/>
          <w:color w:val="auto"/>
          <w:sz w:val="32"/>
          <w:szCs w:val="32"/>
          <w:highlight w:val="none"/>
        </w:rPr>
      </w:pPr>
    </w:p>
    <w:p w14:paraId="0E89AA32">
      <w:pPr>
        <w:spacing w:line="240" w:lineRule="atLeast"/>
        <w:rPr>
          <w:rFonts w:ascii="仿宋" w:hAnsi="仿宋" w:eastAsia="仿宋" w:cs="仿宋"/>
          <w:b/>
          <w:color w:val="auto"/>
          <w:sz w:val="32"/>
          <w:szCs w:val="32"/>
          <w:highlight w:val="none"/>
        </w:rPr>
      </w:pPr>
    </w:p>
    <w:p w14:paraId="6CC1ED0B">
      <w:pPr>
        <w:spacing w:line="240" w:lineRule="atLeast"/>
        <w:rPr>
          <w:rFonts w:ascii="仿宋" w:hAnsi="仿宋" w:eastAsia="仿宋" w:cs="仿宋"/>
          <w:b/>
          <w:color w:val="auto"/>
          <w:sz w:val="32"/>
          <w:szCs w:val="32"/>
          <w:highlight w:val="none"/>
        </w:rPr>
      </w:pPr>
    </w:p>
    <w:p w14:paraId="1DB08C86">
      <w:pPr>
        <w:spacing w:line="240" w:lineRule="atLeast"/>
        <w:rPr>
          <w:rFonts w:ascii="仿宋" w:hAnsi="仿宋" w:eastAsia="仿宋" w:cs="仿宋"/>
          <w:b/>
          <w:color w:val="auto"/>
          <w:sz w:val="32"/>
          <w:szCs w:val="32"/>
          <w:highlight w:val="none"/>
        </w:rPr>
      </w:pPr>
    </w:p>
    <w:p w14:paraId="72E3BF9F">
      <w:pPr>
        <w:snapToGrid w:val="0"/>
        <w:spacing w:before="50" w:after="50"/>
        <w:outlineLvl w:val="1"/>
        <w:rPr>
          <w:rFonts w:ascii="仿宋" w:hAnsi="仿宋" w:eastAsia="仿宋" w:cs="仿宋"/>
          <w:b/>
          <w:bCs/>
          <w:color w:val="auto"/>
          <w:sz w:val="24"/>
          <w:highlight w:val="none"/>
        </w:rPr>
      </w:pPr>
    </w:p>
    <w:p w14:paraId="4986B540">
      <w:pPr>
        <w:snapToGrid w:val="0"/>
        <w:spacing w:beforeLines="50" w:after="50"/>
        <w:jc w:val="center"/>
        <w:rPr>
          <w:rFonts w:ascii="仿宋" w:hAnsi="仿宋" w:eastAsia="仿宋" w:cs="仿宋"/>
          <w:bCs/>
          <w:color w:val="auto"/>
          <w:sz w:val="32"/>
          <w:szCs w:val="32"/>
          <w:highlight w:val="none"/>
        </w:rPr>
      </w:pPr>
    </w:p>
    <w:p w14:paraId="629EA0D4">
      <w:pPr>
        <w:rPr>
          <w:rFonts w:ascii="仿宋" w:hAnsi="仿宋" w:eastAsia="仿宋" w:cs="仿宋"/>
          <w:b/>
          <w:color w:val="auto"/>
          <w:sz w:val="32"/>
          <w:szCs w:val="32"/>
          <w:highlight w:val="none"/>
        </w:rPr>
      </w:pPr>
      <w:bookmarkStart w:id="83" w:name="_Toc71366186"/>
      <w:bookmarkStart w:id="84" w:name="_Toc35611438"/>
      <w:bookmarkStart w:id="85" w:name="_Toc44229899"/>
      <w:bookmarkStart w:id="86" w:name="_Toc31723070"/>
      <w:bookmarkStart w:id="87" w:name="_Toc35611516"/>
      <w:bookmarkStart w:id="88" w:name="_Toc31728084"/>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一、资格证明文件格式</w:t>
      </w:r>
      <w:bookmarkEnd w:id="83"/>
      <w:bookmarkEnd w:id="84"/>
      <w:bookmarkEnd w:id="85"/>
      <w:bookmarkEnd w:id="86"/>
      <w:bookmarkEnd w:id="87"/>
      <w:bookmarkEnd w:id="88"/>
    </w:p>
    <w:p w14:paraId="1E496941">
      <w:pPr>
        <w:snapToGrid w:val="0"/>
        <w:spacing w:beforeLines="50" w:after="50" w:line="360" w:lineRule="auto"/>
        <w:jc w:val="left"/>
        <w:rPr>
          <w:rFonts w:ascii="仿宋" w:hAnsi="仿宋" w:eastAsia="仿宋" w:cs="仿宋"/>
          <w:b/>
          <w:color w:val="auto"/>
          <w:sz w:val="24"/>
          <w:highlight w:val="none"/>
        </w:rPr>
      </w:pPr>
      <w:r>
        <w:rPr>
          <w:rFonts w:hint="eastAsia" w:ascii="仿宋" w:hAnsi="仿宋" w:eastAsia="仿宋" w:cs="仿宋"/>
          <w:b/>
          <w:color w:val="auto"/>
          <w:sz w:val="32"/>
          <w:szCs w:val="32"/>
          <w:highlight w:val="none"/>
        </w:rPr>
        <w:t>1.资格证明文件封面格式：</w:t>
      </w:r>
    </w:p>
    <w:p w14:paraId="32E161E7">
      <w:pPr>
        <w:snapToGrid w:val="0"/>
        <w:spacing w:beforeLines="50" w:after="50"/>
        <w:jc w:val="center"/>
        <w:rPr>
          <w:rFonts w:ascii="仿宋" w:hAnsi="仿宋" w:eastAsia="仿宋" w:cs="仿宋"/>
          <w:color w:val="auto"/>
          <w:sz w:val="44"/>
          <w:szCs w:val="44"/>
          <w:highlight w:val="none"/>
        </w:rPr>
      </w:pPr>
    </w:p>
    <w:p w14:paraId="2DD35B33">
      <w:pPr>
        <w:snapToGrid w:val="0"/>
        <w:spacing w:beforeLines="50" w:after="5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电 子 响 应 文 件</w:t>
      </w:r>
    </w:p>
    <w:p w14:paraId="377D3C75">
      <w:pPr>
        <w:snapToGrid w:val="0"/>
        <w:spacing w:beforeLines="50" w:after="50"/>
        <w:rPr>
          <w:rFonts w:ascii="仿宋" w:hAnsi="仿宋" w:eastAsia="仿宋" w:cs="仿宋"/>
          <w:color w:val="auto"/>
          <w:sz w:val="24"/>
          <w:szCs w:val="20"/>
          <w:highlight w:val="none"/>
        </w:rPr>
      </w:pPr>
    </w:p>
    <w:p w14:paraId="2F654E63">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4CDC5930">
      <w:pPr>
        <w:snapToGrid w:val="0"/>
        <w:spacing w:beforeLines="50" w:after="50"/>
        <w:rPr>
          <w:rFonts w:ascii="仿宋" w:hAnsi="仿宋" w:eastAsia="仿宋" w:cs="仿宋"/>
          <w:bCs/>
          <w:color w:val="auto"/>
          <w:sz w:val="24"/>
          <w:szCs w:val="20"/>
          <w:highlight w:val="none"/>
        </w:rPr>
      </w:pPr>
    </w:p>
    <w:p w14:paraId="201DE7EA">
      <w:pPr>
        <w:snapToGrid w:val="0"/>
        <w:spacing w:beforeLines="50" w:after="50"/>
        <w:rPr>
          <w:rFonts w:ascii="仿宋" w:hAnsi="仿宋" w:eastAsia="仿宋" w:cs="仿宋"/>
          <w:bCs/>
          <w:color w:val="auto"/>
          <w:sz w:val="24"/>
          <w:szCs w:val="20"/>
          <w:highlight w:val="none"/>
        </w:rPr>
      </w:pPr>
    </w:p>
    <w:p w14:paraId="65214E38">
      <w:pPr>
        <w:snapToGrid w:val="0"/>
        <w:spacing w:beforeLines="50" w:after="50"/>
        <w:rPr>
          <w:rFonts w:ascii="仿宋" w:hAnsi="仿宋" w:eastAsia="仿宋" w:cs="仿宋"/>
          <w:bCs/>
          <w:color w:val="auto"/>
          <w:sz w:val="24"/>
          <w:szCs w:val="20"/>
          <w:highlight w:val="none"/>
        </w:rPr>
      </w:pPr>
    </w:p>
    <w:p w14:paraId="6818F8D2">
      <w:pPr>
        <w:snapToGrid w:val="0"/>
        <w:spacing w:beforeLines="50" w:after="50"/>
        <w:rPr>
          <w:rFonts w:ascii="仿宋" w:hAnsi="仿宋" w:eastAsia="仿宋" w:cs="仿宋"/>
          <w:bCs/>
          <w:color w:val="auto"/>
          <w:sz w:val="24"/>
          <w:szCs w:val="20"/>
          <w:highlight w:val="none"/>
        </w:rPr>
      </w:pPr>
    </w:p>
    <w:p w14:paraId="08D97FB8">
      <w:pPr>
        <w:snapToGrid w:val="0"/>
        <w:spacing w:beforeLines="50" w:after="50"/>
        <w:rPr>
          <w:rFonts w:ascii="仿宋" w:hAnsi="仿宋" w:eastAsia="仿宋" w:cs="仿宋"/>
          <w:bCs/>
          <w:color w:val="auto"/>
          <w:sz w:val="24"/>
          <w:szCs w:val="20"/>
          <w:highlight w:val="none"/>
        </w:rPr>
      </w:pPr>
    </w:p>
    <w:p w14:paraId="1280869A">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7F3658DA">
      <w:pPr>
        <w:snapToGrid w:val="0"/>
        <w:spacing w:beforeLines="50" w:after="50"/>
        <w:ind w:firstLine="720" w:firstLineChars="225"/>
        <w:rPr>
          <w:rFonts w:ascii="仿宋" w:hAnsi="仿宋" w:eastAsia="仿宋" w:cs="仿宋"/>
          <w:bCs/>
          <w:color w:val="auto"/>
          <w:sz w:val="32"/>
          <w:szCs w:val="32"/>
          <w:highlight w:val="none"/>
        </w:rPr>
      </w:pPr>
    </w:p>
    <w:p w14:paraId="2288A7D6">
      <w:pPr>
        <w:snapToGrid w:val="0"/>
        <w:spacing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0CBD97DF">
      <w:pPr>
        <w:snapToGrid w:val="0"/>
        <w:spacing w:beforeLines="50" w:after="50"/>
        <w:ind w:firstLine="720" w:firstLineChars="225"/>
        <w:rPr>
          <w:rFonts w:ascii="仿宋" w:hAnsi="仿宋" w:eastAsia="仿宋" w:cs="仿宋"/>
          <w:bCs/>
          <w:color w:val="auto"/>
          <w:sz w:val="32"/>
          <w:szCs w:val="32"/>
          <w:highlight w:val="none"/>
        </w:rPr>
      </w:pPr>
    </w:p>
    <w:p w14:paraId="7FBAB7D3">
      <w:pPr>
        <w:snapToGrid w:val="0"/>
        <w:spacing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51401D63">
      <w:pPr>
        <w:snapToGrid w:val="0"/>
        <w:spacing w:beforeLines="50" w:after="50"/>
        <w:ind w:firstLine="720" w:firstLineChars="225"/>
        <w:rPr>
          <w:rFonts w:ascii="仿宋" w:hAnsi="仿宋" w:eastAsia="仿宋" w:cs="仿宋"/>
          <w:bCs/>
          <w:color w:val="auto"/>
          <w:sz w:val="32"/>
          <w:szCs w:val="32"/>
          <w:highlight w:val="none"/>
        </w:rPr>
      </w:pPr>
    </w:p>
    <w:p w14:paraId="4B5E9781">
      <w:pPr>
        <w:pStyle w:val="6"/>
        <w:snapToGrid w:val="0"/>
        <w:spacing w:before="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1272969">
      <w:pPr>
        <w:snapToGrid w:val="0"/>
        <w:spacing w:beforeLines="50" w:after="50"/>
        <w:ind w:firstLine="640" w:firstLineChars="200"/>
        <w:rPr>
          <w:rFonts w:ascii="仿宋" w:hAnsi="仿宋" w:eastAsia="仿宋" w:cs="仿宋"/>
          <w:bCs/>
          <w:color w:val="auto"/>
          <w:sz w:val="32"/>
          <w:szCs w:val="32"/>
          <w:highlight w:val="none"/>
        </w:rPr>
      </w:pPr>
    </w:p>
    <w:p w14:paraId="2BE7195D">
      <w:pPr>
        <w:pStyle w:val="6"/>
        <w:snapToGrid w:val="0"/>
        <w:spacing w:before="50" w:after="50"/>
        <w:ind w:firstLine="720" w:firstLineChars="225"/>
        <w:rPr>
          <w:rFonts w:ascii="仿宋" w:hAnsi="仿宋" w:eastAsia="仿宋" w:cs="仿宋"/>
          <w:bCs/>
          <w:color w:val="auto"/>
          <w:sz w:val="32"/>
          <w:szCs w:val="32"/>
          <w:highlight w:val="none"/>
        </w:rPr>
      </w:pPr>
    </w:p>
    <w:p w14:paraId="6B8F9343">
      <w:pPr>
        <w:pStyle w:val="6"/>
        <w:snapToGrid w:val="0"/>
        <w:spacing w:before="50" w:after="50"/>
        <w:ind w:firstLine="720" w:firstLineChars="225"/>
        <w:rPr>
          <w:rFonts w:ascii="仿宋" w:hAnsi="仿宋" w:eastAsia="仿宋" w:cs="仿宋"/>
          <w:bCs/>
          <w:color w:val="auto"/>
          <w:sz w:val="32"/>
          <w:szCs w:val="32"/>
          <w:highlight w:val="none"/>
        </w:rPr>
      </w:pPr>
    </w:p>
    <w:p w14:paraId="0C2E568B">
      <w:pPr>
        <w:pStyle w:val="6"/>
        <w:snapToGrid w:val="0"/>
        <w:spacing w:before="50" w:after="50"/>
        <w:ind w:firstLine="1280" w:firstLineChars="400"/>
        <w:rPr>
          <w:rFonts w:ascii="仿宋" w:hAnsi="仿宋" w:eastAsia="仿宋" w:cs="仿宋"/>
          <w:bCs/>
          <w:color w:val="auto"/>
          <w:sz w:val="32"/>
          <w:szCs w:val="32"/>
          <w:highlight w:val="none"/>
        </w:rPr>
      </w:pPr>
    </w:p>
    <w:p w14:paraId="308BD94D">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4DB743E">
      <w:pPr>
        <w:snapToGrid w:val="0"/>
        <w:spacing w:beforeLines="50" w:after="50" w:line="360" w:lineRule="auto"/>
        <w:ind w:left="142"/>
        <w:jc w:val="left"/>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2.资格证明文件目录</w:t>
      </w:r>
    </w:p>
    <w:p w14:paraId="738C2221">
      <w:pPr>
        <w:snapToGrid w:val="0"/>
        <w:spacing w:beforeLines="50" w:after="50" w:line="360" w:lineRule="auto"/>
        <w:ind w:firstLine="64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664EED5D">
      <w:pPr>
        <w:snapToGrid w:val="0"/>
        <w:spacing w:beforeLines="50" w:after="50"/>
        <w:rPr>
          <w:rFonts w:ascii="仿宋" w:hAnsi="仿宋" w:eastAsia="仿宋" w:cs="仿宋"/>
          <w:color w:val="auto"/>
          <w:sz w:val="24"/>
          <w:szCs w:val="20"/>
          <w:highlight w:val="none"/>
        </w:rPr>
      </w:pPr>
    </w:p>
    <w:p w14:paraId="2F9652EB">
      <w:pPr>
        <w:spacing w:line="300" w:lineRule="auto"/>
        <w:rPr>
          <w:rFonts w:ascii="仿宋" w:hAnsi="仿宋" w:eastAsia="仿宋" w:cs="仿宋"/>
          <w:color w:val="auto"/>
          <w:szCs w:val="21"/>
          <w:highlight w:val="none"/>
        </w:rPr>
      </w:pPr>
    </w:p>
    <w:p w14:paraId="029C9E60">
      <w:pPr>
        <w:spacing w:line="300" w:lineRule="auto"/>
        <w:rPr>
          <w:rFonts w:ascii="仿宋" w:hAnsi="仿宋" w:eastAsia="仿宋" w:cs="仿宋"/>
          <w:color w:val="auto"/>
          <w:szCs w:val="21"/>
          <w:highlight w:val="none"/>
        </w:rPr>
      </w:pPr>
    </w:p>
    <w:p w14:paraId="178866B2">
      <w:pPr>
        <w:spacing w:line="300" w:lineRule="auto"/>
        <w:rPr>
          <w:rFonts w:ascii="仿宋" w:hAnsi="仿宋" w:eastAsia="仿宋" w:cs="仿宋"/>
          <w:color w:val="auto"/>
          <w:szCs w:val="21"/>
          <w:highlight w:val="none"/>
        </w:rPr>
      </w:pPr>
    </w:p>
    <w:p w14:paraId="313ABFF3">
      <w:pPr>
        <w:spacing w:line="300" w:lineRule="auto"/>
        <w:rPr>
          <w:rFonts w:ascii="仿宋" w:hAnsi="仿宋" w:eastAsia="仿宋" w:cs="仿宋"/>
          <w:color w:val="auto"/>
          <w:szCs w:val="21"/>
          <w:highlight w:val="none"/>
        </w:rPr>
      </w:pPr>
    </w:p>
    <w:p w14:paraId="137A0E16">
      <w:pPr>
        <w:spacing w:line="300" w:lineRule="auto"/>
        <w:rPr>
          <w:rFonts w:ascii="仿宋" w:hAnsi="仿宋" w:eastAsia="仿宋" w:cs="仿宋"/>
          <w:color w:val="auto"/>
          <w:szCs w:val="21"/>
          <w:highlight w:val="none"/>
        </w:rPr>
      </w:pPr>
    </w:p>
    <w:p w14:paraId="56136947">
      <w:pPr>
        <w:spacing w:line="300" w:lineRule="auto"/>
        <w:rPr>
          <w:rFonts w:ascii="仿宋" w:hAnsi="仿宋" w:eastAsia="仿宋" w:cs="仿宋"/>
          <w:color w:val="auto"/>
          <w:szCs w:val="21"/>
          <w:highlight w:val="none"/>
        </w:rPr>
      </w:pPr>
    </w:p>
    <w:p w14:paraId="219F3DCE">
      <w:pPr>
        <w:spacing w:line="300" w:lineRule="auto"/>
        <w:rPr>
          <w:rFonts w:ascii="仿宋" w:hAnsi="仿宋" w:eastAsia="仿宋" w:cs="仿宋"/>
          <w:color w:val="auto"/>
          <w:szCs w:val="21"/>
          <w:highlight w:val="none"/>
        </w:rPr>
      </w:pPr>
    </w:p>
    <w:p w14:paraId="3FAB6D5D">
      <w:pPr>
        <w:spacing w:line="300" w:lineRule="auto"/>
        <w:rPr>
          <w:rFonts w:ascii="仿宋" w:hAnsi="仿宋" w:eastAsia="仿宋" w:cs="仿宋"/>
          <w:color w:val="auto"/>
          <w:szCs w:val="21"/>
          <w:highlight w:val="none"/>
        </w:rPr>
      </w:pPr>
    </w:p>
    <w:p w14:paraId="1104845F">
      <w:pPr>
        <w:spacing w:line="300" w:lineRule="auto"/>
        <w:rPr>
          <w:rFonts w:ascii="仿宋" w:hAnsi="仿宋" w:eastAsia="仿宋" w:cs="仿宋"/>
          <w:color w:val="auto"/>
          <w:szCs w:val="21"/>
          <w:highlight w:val="none"/>
        </w:rPr>
      </w:pPr>
    </w:p>
    <w:p w14:paraId="43F08FD0">
      <w:pPr>
        <w:spacing w:line="300" w:lineRule="auto"/>
        <w:rPr>
          <w:rFonts w:ascii="仿宋" w:hAnsi="仿宋" w:eastAsia="仿宋" w:cs="仿宋"/>
          <w:color w:val="auto"/>
          <w:szCs w:val="21"/>
          <w:highlight w:val="none"/>
        </w:rPr>
      </w:pPr>
    </w:p>
    <w:p w14:paraId="6FAA7B48">
      <w:pPr>
        <w:spacing w:line="300" w:lineRule="auto"/>
        <w:rPr>
          <w:rFonts w:ascii="仿宋" w:hAnsi="仿宋" w:eastAsia="仿宋" w:cs="仿宋"/>
          <w:color w:val="auto"/>
          <w:szCs w:val="21"/>
          <w:highlight w:val="none"/>
        </w:rPr>
      </w:pPr>
    </w:p>
    <w:p w14:paraId="7D6E7E16">
      <w:pPr>
        <w:spacing w:line="300" w:lineRule="auto"/>
        <w:rPr>
          <w:rFonts w:ascii="仿宋" w:hAnsi="仿宋" w:eastAsia="仿宋" w:cs="仿宋"/>
          <w:color w:val="auto"/>
          <w:szCs w:val="21"/>
          <w:highlight w:val="none"/>
        </w:rPr>
      </w:pPr>
    </w:p>
    <w:p w14:paraId="797399EA">
      <w:pPr>
        <w:spacing w:line="300" w:lineRule="auto"/>
        <w:rPr>
          <w:rFonts w:ascii="仿宋" w:hAnsi="仿宋" w:eastAsia="仿宋" w:cs="仿宋"/>
          <w:color w:val="auto"/>
          <w:szCs w:val="21"/>
          <w:highlight w:val="none"/>
        </w:rPr>
      </w:pPr>
    </w:p>
    <w:p w14:paraId="09A3A202">
      <w:pPr>
        <w:spacing w:line="300" w:lineRule="auto"/>
        <w:rPr>
          <w:rFonts w:ascii="仿宋" w:hAnsi="仿宋" w:eastAsia="仿宋" w:cs="仿宋"/>
          <w:color w:val="auto"/>
          <w:szCs w:val="21"/>
          <w:highlight w:val="none"/>
        </w:rPr>
      </w:pPr>
    </w:p>
    <w:p w14:paraId="2800E84F">
      <w:pPr>
        <w:spacing w:line="300" w:lineRule="auto"/>
        <w:rPr>
          <w:rFonts w:ascii="仿宋" w:hAnsi="仿宋" w:eastAsia="仿宋" w:cs="仿宋"/>
          <w:color w:val="auto"/>
          <w:szCs w:val="21"/>
          <w:highlight w:val="none"/>
        </w:rPr>
      </w:pPr>
    </w:p>
    <w:p w14:paraId="04C2EA3A">
      <w:pPr>
        <w:spacing w:line="32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33673C3C">
      <w:pPr>
        <w:snapToGrid w:val="0"/>
        <w:spacing w:beforeLines="50" w:after="50"/>
        <w:jc w:val="left"/>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8"/>
          <w:szCs w:val="28"/>
          <w:highlight w:val="none"/>
        </w:rPr>
        <w:t>供应商直接控股股东信息表</w:t>
      </w:r>
    </w:p>
    <w:p w14:paraId="79EAA452">
      <w:pPr>
        <w:snapToGrid w:val="0"/>
        <w:spacing w:before="50" w:afterLines="50"/>
        <w:jc w:val="center"/>
        <w:rPr>
          <w:rFonts w:ascii="仿宋" w:hAnsi="仿宋" w:eastAsia="仿宋" w:cs="仿宋"/>
          <w:b/>
          <w:color w:val="auto"/>
          <w:sz w:val="28"/>
          <w:szCs w:val="28"/>
          <w:highlight w:val="none"/>
        </w:rPr>
      </w:pPr>
    </w:p>
    <w:p w14:paraId="1EB0BF91">
      <w:pPr>
        <w:snapToGrid w:val="0"/>
        <w:spacing w:before="50" w:afterLines="50"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A91F43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561725">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6FE55">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F7A14B">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541334">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89EA69">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C39A54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306A2B">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B3F1C8">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5E1118">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EA47C0">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08077B">
            <w:pPr>
              <w:spacing w:line="360" w:lineRule="auto"/>
              <w:jc w:val="center"/>
              <w:rPr>
                <w:rFonts w:ascii="仿宋" w:hAnsi="仿宋" w:eastAsia="仿宋" w:cs="仿宋"/>
                <w:color w:val="auto"/>
                <w:kern w:val="0"/>
                <w:sz w:val="24"/>
                <w:highlight w:val="none"/>
              </w:rPr>
            </w:pPr>
          </w:p>
        </w:tc>
      </w:tr>
      <w:tr w14:paraId="622E2D4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BEAD1">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D5554C">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77739A">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015688">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33011">
            <w:pPr>
              <w:spacing w:line="360" w:lineRule="auto"/>
              <w:jc w:val="center"/>
              <w:rPr>
                <w:rFonts w:ascii="仿宋" w:hAnsi="仿宋" w:eastAsia="仿宋" w:cs="仿宋"/>
                <w:color w:val="auto"/>
                <w:kern w:val="0"/>
                <w:sz w:val="24"/>
                <w:highlight w:val="none"/>
              </w:rPr>
            </w:pPr>
          </w:p>
        </w:tc>
      </w:tr>
      <w:tr w14:paraId="03C3D11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223E8C">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0BD6D">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BF701">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CDE97B">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04C2A">
            <w:pPr>
              <w:spacing w:line="360" w:lineRule="auto"/>
              <w:jc w:val="center"/>
              <w:rPr>
                <w:rFonts w:ascii="仿宋" w:hAnsi="仿宋" w:eastAsia="仿宋" w:cs="仿宋"/>
                <w:color w:val="auto"/>
                <w:kern w:val="0"/>
                <w:sz w:val="24"/>
                <w:highlight w:val="none"/>
              </w:rPr>
            </w:pPr>
          </w:p>
        </w:tc>
      </w:tr>
      <w:tr w14:paraId="1F5DC0F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534E64">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97BD3">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E9582D">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67470">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1C5C69">
            <w:pPr>
              <w:spacing w:line="360" w:lineRule="auto"/>
              <w:jc w:val="center"/>
              <w:rPr>
                <w:rFonts w:ascii="仿宋" w:hAnsi="仿宋" w:eastAsia="仿宋" w:cs="仿宋"/>
                <w:color w:val="auto"/>
                <w:kern w:val="0"/>
                <w:sz w:val="24"/>
                <w:highlight w:val="none"/>
              </w:rPr>
            </w:pPr>
          </w:p>
        </w:tc>
      </w:tr>
    </w:tbl>
    <w:p w14:paraId="7E3C406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1564068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EB7B7B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23DD60B7">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w:t>
      </w:r>
      <w:r>
        <w:rPr>
          <w:rFonts w:hint="eastAsia" w:ascii="仿宋" w:hAnsi="仿宋" w:eastAsia="仿宋" w:cs="仿宋"/>
          <w:b/>
          <w:bCs/>
          <w:color w:val="auto"/>
          <w:kern w:val="0"/>
          <w:sz w:val="24"/>
          <w:highlight w:val="none"/>
        </w:rPr>
        <w:t>直接控股股东名称</w:t>
      </w:r>
      <w:r>
        <w:rPr>
          <w:rFonts w:hint="eastAsia" w:ascii="仿宋" w:hAnsi="仿宋" w:eastAsia="仿宋" w:cs="仿宋"/>
          <w:color w:val="auto"/>
          <w:sz w:val="24"/>
          <w:highlight w:val="none"/>
        </w:rPr>
        <w:t>”中填“无”。</w:t>
      </w:r>
    </w:p>
    <w:p w14:paraId="26B771E2">
      <w:pPr>
        <w:snapToGrid w:val="0"/>
        <w:spacing w:line="360" w:lineRule="auto"/>
        <w:jc w:val="left"/>
        <w:rPr>
          <w:rFonts w:ascii="仿宋" w:hAnsi="仿宋" w:eastAsia="仿宋" w:cs="仿宋"/>
          <w:color w:val="auto"/>
          <w:sz w:val="24"/>
          <w:highlight w:val="none"/>
        </w:rPr>
      </w:pPr>
    </w:p>
    <w:p w14:paraId="5C50CEC3">
      <w:pPr>
        <w:snapToGrid w:val="0"/>
        <w:spacing w:line="360" w:lineRule="auto"/>
        <w:jc w:val="left"/>
        <w:rPr>
          <w:rFonts w:ascii="仿宋" w:hAnsi="仿宋" w:eastAsia="仿宋" w:cs="仿宋"/>
          <w:color w:val="auto"/>
          <w:sz w:val="24"/>
          <w:highlight w:val="none"/>
        </w:rPr>
      </w:pPr>
    </w:p>
    <w:p w14:paraId="2C7FC698">
      <w:pPr>
        <w:snapToGrid w:val="0"/>
        <w:spacing w:line="360" w:lineRule="auto"/>
        <w:jc w:val="left"/>
        <w:rPr>
          <w:rFonts w:ascii="仿宋" w:hAnsi="仿宋" w:eastAsia="仿宋" w:cs="仿宋"/>
          <w:color w:val="auto"/>
          <w:sz w:val="24"/>
          <w:highlight w:val="none"/>
        </w:rPr>
      </w:pPr>
    </w:p>
    <w:p w14:paraId="2E81E4E6">
      <w:pPr>
        <w:snapToGrid w:val="0"/>
        <w:spacing w:line="360" w:lineRule="auto"/>
        <w:ind w:left="-2" w:leftChars="-1" w:right="-817" w:rightChars="-389"/>
        <w:rPr>
          <w:rFonts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法定代表人或者委托代理人（签字或者电子签名）：</w:t>
      </w:r>
    </w:p>
    <w:p w14:paraId="59D35BF0">
      <w:pPr>
        <w:snapToGrid w:val="0"/>
        <w:spacing w:line="360" w:lineRule="auto"/>
        <w:ind w:left="-3" w:leftChars="-15" w:right="-817" w:rightChars="-389" w:hanging="28" w:hangingChars="12"/>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w:t>
      </w:r>
    </w:p>
    <w:p w14:paraId="17E356CB">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 w:val="24"/>
          <w:highlight w:val="none"/>
        </w:rPr>
        <w:t xml:space="preserve">                                    日期：    年   月   日</w:t>
      </w:r>
    </w:p>
    <w:p w14:paraId="56C21418">
      <w:pPr>
        <w:snapToGrid w:val="0"/>
        <w:jc w:val="center"/>
        <w:rPr>
          <w:rFonts w:ascii="仿宋" w:hAnsi="仿宋" w:eastAsia="仿宋" w:cs="仿宋"/>
          <w:b/>
          <w:color w:val="auto"/>
          <w:sz w:val="28"/>
          <w:szCs w:val="28"/>
          <w:highlight w:val="none"/>
        </w:rPr>
      </w:pPr>
    </w:p>
    <w:p w14:paraId="4BC59470">
      <w:pPr>
        <w:snapToGrid w:val="0"/>
        <w:spacing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rPr>
        <w:t>4.</w:t>
      </w:r>
      <w:r>
        <w:rPr>
          <w:rFonts w:hint="eastAsia" w:ascii="仿宋" w:hAnsi="仿宋" w:eastAsia="仿宋" w:cs="仿宋"/>
          <w:b/>
          <w:color w:val="auto"/>
          <w:sz w:val="28"/>
          <w:szCs w:val="28"/>
          <w:highlight w:val="none"/>
        </w:rPr>
        <w:t>供应商直接管理关系信息表</w:t>
      </w:r>
    </w:p>
    <w:p w14:paraId="7E376081">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供应商直接管理关系信息表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164D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FDE956">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56CC75">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C7EFC5">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F11D54">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697007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FF403A">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5A309">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9355E">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DEB5C">
            <w:pPr>
              <w:spacing w:line="360" w:lineRule="auto"/>
              <w:jc w:val="center"/>
              <w:rPr>
                <w:rFonts w:ascii="仿宋" w:hAnsi="仿宋" w:eastAsia="仿宋" w:cs="仿宋"/>
                <w:color w:val="auto"/>
                <w:kern w:val="0"/>
                <w:sz w:val="24"/>
                <w:highlight w:val="none"/>
              </w:rPr>
            </w:pPr>
          </w:p>
        </w:tc>
      </w:tr>
      <w:tr w14:paraId="17AE457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2B78E">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70726F">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E80ECE">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88DC3">
            <w:pPr>
              <w:spacing w:line="360" w:lineRule="auto"/>
              <w:jc w:val="center"/>
              <w:rPr>
                <w:rFonts w:ascii="仿宋" w:hAnsi="仿宋" w:eastAsia="仿宋" w:cs="仿宋"/>
                <w:color w:val="auto"/>
                <w:kern w:val="0"/>
                <w:sz w:val="24"/>
                <w:highlight w:val="none"/>
              </w:rPr>
            </w:pPr>
          </w:p>
        </w:tc>
      </w:tr>
      <w:tr w14:paraId="231BE27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DBDBA">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2A878E">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A3115">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E38623">
            <w:pPr>
              <w:spacing w:line="360" w:lineRule="auto"/>
              <w:jc w:val="center"/>
              <w:rPr>
                <w:rFonts w:ascii="仿宋" w:hAnsi="仿宋" w:eastAsia="仿宋" w:cs="仿宋"/>
                <w:color w:val="auto"/>
                <w:kern w:val="0"/>
                <w:sz w:val="24"/>
                <w:highlight w:val="none"/>
              </w:rPr>
            </w:pPr>
          </w:p>
        </w:tc>
      </w:tr>
      <w:tr w14:paraId="159B489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49ABA">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A4A8D">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BC2EA">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EA847">
            <w:pPr>
              <w:spacing w:line="360" w:lineRule="auto"/>
              <w:jc w:val="center"/>
              <w:rPr>
                <w:rFonts w:ascii="仿宋" w:hAnsi="仿宋" w:eastAsia="仿宋" w:cs="仿宋"/>
                <w:color w:val="auto"/>
                <w:kern w:val="0"/>
                <w:sz w:val="24"/>
                <w:highlight w:val="none"/>
              </w:rPr>
            </w:pPr>
          </w:p>
        </w:tc>
      </w:tr>
    </w:tbl>
    <w:p w14:paraId="79C8765B">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2E202F3C">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17CDFF10">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7276DC81">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w:t>
      </w:r>
      <w:r>
        <w:rPr>
          <w:rFonts w:hint="eastAsia" w:ascii="仿宋" w:hAnsi="仿宋" w:eastAsia="仿宋" w:cs="仿宋"/>
          <w:b/>
          <w:bCs/>
          <w:color w:val="auto"/>
          <w:kern w:val="0"/>
          <w:sz w:val="24"/>
          <w:highlight w:val="none"/>
        </w:rPr>
        <w:t>直接管理关系单位名称</w:t>
      </w:r>
      <w:r>
        <w:rPr>
          <w:rFonts w:hint="eastAsia" w:ascii="仿宋" w:hAnsi="仿宋" w:eastAsia="仿宋" w:cs="仿宋"/>
          <w:color w:val="auto"/>
          <w:sz w:val="24"/>
          <w:highlight w:val="none"/>
        </w:rPr>
        <w:t>”中填“无”。</w:t>
      </w:r>
    </w:p>
    <w:p w14:paraId="3CB8658A">
      <w:pPr>
        <w:snapToGrid w:val="0"/>
        <w:spacing w:line="360" w:lineRule="auto"/>
        <w:jc w:val="left"/>
        <w:rPr>
          <w:rFonts w:ascii="仿宋" w:hAnsi="仿宋" w:eastAsia="仿宋" w:cs="仿宋"/>
          <w:color w:val="auto"/>
          <w:sz w:val="24"/>
          <w:highlight w:val="none"/>
        </w:rPr>
      </w:pPr>
    </w:p>
    <w:p w14:paraId="0DED1FDB">
      <w:pPr>
        <w:snapToGrid w:val="0"/>
        <w:spacing w:line="360" w:lineRule="auto"/>
        <w:jc w:val="left"/>
        <w:rPr>
          <w:rFonts w:ascii="仿宋" w:hAnsi="仿宋" w:eastAsia="仿宋" w:cs="仿宋"/>
          <w:color w:val="auto"/>
          <w:sz w:val="24"/>
          <w:highlight w:val="none"/>
        </w:rPr>
      </w:pPr>
    </w:p>
    <w:p w14:paraId="7B1165D7">
      <w:pPr>
        <w:snapToGrid w:val="0"/>
        <w:spacing w:line="360" w:lineRule="auto"/>
        <w:jc w:val="left"/>
        <w:rPr>
          <w:rFonts w:ascii="仿宋" w:hAnsi="仿宋" w:eastAsia="仿宋" w:cs="仿宋"/>
          <w:color w:val="auto"/>
          <w:sz w:val="24"/>
          <w:highlight w:val="none"/>
        </w:rPr>
      </w:pPr>
    </w:p>
    <w:p w14:paraId="60709688">
      <w:pPr>
        <w:snapToGrid w:val="0"/>
        <w:spacing w:line="360" w:lineRule="auto"/>
        <w:jc w:val="left"/>
        <w:rPr>
          <w:rFonts w:ascii="仿宋" w:hAnsi="仿宋" w:eastAsia="仿宋" w:cs="仿宋"/>
          <w:color w:val="auto"/>
          <w:sz w:val="24"/>
          <w:highlight w:val="none"/>
        </w:rPr>
      </w:pPr>
    </w:p>
    <w:p w14:paraId="7EF9F642">
      <w:pPr>
        <w:snapToGrid w:val="0"/>
        <w:spacing w:line="360" w:lineRule="auto"/>
        <w:ind w:left="-2" w:leftChars="-1" w:right="-817" w:rightChars="-389"/>
        <w:rPr>
          <w:rFonts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法定代表人或者委托代理人（签字或者电子签名）：</w:t>
      </w:r>
    </w:p>
    <w:p w14:paraId="1F460BB0">
      <w:pPr>
        <w:snapToGrid w:val="0"/>
        <w:spacing w:line="360" w:lineRule="auto"/>
        <w:ind w:left="-3" w:leftChars="-15" w:right="-817" w:rightChars="-389" w:hanging="28" w:hangingChars="12"/>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w:t>
      </w:r>
    </w:p>
    <w:p w14:paraId="594B3DC9">
      <w:pPr>
        <w:snapToGrid w:val="0"/>
        <w:spacing w:line="360" w:lineRule="auto"/>
        <w:ind w:right="480" w:firstLine="240" w:firstLineChars="100"/>
        <w:jc w:val="left"/>
        <w:rPr>
          <w:rFonts w:ascii="仿宋" w:hAnsi="仿宋" w:eastAsia="仿宋" w:cs="仿宋"/>
          <w:color w:val="auto"/>
          <w:szCs w:val="21"/>
          <w:highlight w:val="none"/>
        </w:rPr>
      </w:pPr>
      <w:r>
        <w:rPr>
          <w:rFonts w:hint="eastAsia" w:ascii="仿宋" w:hAnsi="仿宋" w:eastAsia="仿宋" w:cs="仿宋"/>
          <w:color w:val="auto"/>
          <w:sz w:val="24"/>
          <w:highlight w:val="none"/>
        </w:rPr>
        <w:t xml:space="preserve">                                日期：    年   月   日</w:t>
      </w:r>
    </w:p>
    <w:p w14:paraId="3E7A4CE5">
      <w:pPr>
        <w:snapToGrid w:val="0"/>
        <w:spacing w:beforeLines="50" w:after="50"/>
        <w:jc w:val="left"/>
        <w:rPr>
          <w:rFonts w:ascii="仿宋" w:hAnsi="仿宋" w:eastAsia="仿宋" w:cs="仿宋"/>
          <w:color w:val="auto"/>
          <w:sz w:val="24"/>
          <w:highlight w:val="none"/>
        </w:rPr>
      </w:pPr>
    </w:p>
    <w:p w14:paraId="10406229">
      <w:pPr>
        <w:snapToGrid w:val="0"/>
        <w:spacing w:before="50" w:afterLines="50"/>
        <w:jc w:val="left"/>
        <w:rPr>
          <w:rFonts w:ascii="仿宋" w:hAnsi="仿宋" w:eastAsia="仿宋" w:cs="仿宋"/>
          <w:color w:val="auto"/>
          <w:szCs w:val="21"/>
          <w:highlight w:val="none"/>
        </w:rPr>
      </w:pPr>
    </w:p>
    <w:p w14:paraId="59AE4E30">
      <w:pPr>
        <w:snapToGrid w:val="0"/>
        <w:spacing w:beforeLines="50" w:after="50"/>
        <w:jc w:val="left"/>
        <w:rPr>
          <w:rFonts w:ascii="仿宋" w:hAnsi="仿宋" w:eastAsia="仿宋" w:cs="仿宋"/>
          <w:b/>
          <w:color w:val="auto"/>
          <w:sz w:val="24"/>
          <w:szCs w:val="20"/>
          <w:highlight w:val="none"/>
        </w:rPr>
      </w:pPr>
    </w:p>
    <w:p w14:paraId="6A99FB8E">
      <w:pPr>
        <w:snapToGrid w:val="0"/>
        <w:spacing w:beforeLines="50" w:after="50"/>
        <w:ind w:left="142"/>
        <w:jc w:val="left"/>
        <w:rPr>
          <w:rFonts w:ascii="仿宋" w:hAnsi="仿宋" w:eastAsia="仿宋" w:cs="仿宋"/>
          <w:b/>
          <w:color w:val="auto"/>
          <w:sz w:val="24"/>
          <w:highlight w:val="none"/>
        </w:rPr>
      </w:pPr>
    </w:p>
    <w:p w14:paraId="062A3347">
      <w:pPr>
        <w:snapToGrid w:val="0"/>
        <w:spacing w:beforeLines="50" w:after="50"/>
        <w:ind w:left="142"/>
        <w:jc w:val="left"/>
        <w:rPr>
          <w:rFonts w:ascii="仿宋" w:hAnsi="仿宋" w:eastAsia="仿宋" w:cs="仿宋"/>
          <w:b/>
          <w:color w:val="auto"/>
          <w:sz w:val="24"/>
          <w:highlight w:val="none"/>
        </w:rPr>
      </w:pPr>
    </w:p>
    <w:p w14:paraId="6381D516">
      <w:pPr>
        <w:snapToGrid w:val="0"/>
        <w:spacing w:beforeLines="50" w:after="50"/>
        <w:ind w:left="142"/>
        <w:jc w:val="left"/>
        <w:rPr>
          <w:rFonts w:ascii="仿宋" w:hAnsi="仿宋" w:eastAsia="仿宋" w:cs="仿宋"/>
          <w:b/>
          <w:color w:val="auto"/>
          <w:sz w:val="24"/>
          <w:highlight w:val="none"/>
        </w:rPr>
      </w:pPr>
    </w:p>
    <w:p w14:paraId="5529B968">
      <w:pPr>
        <w:snapToGrid w:val="0"/>
        <w:spacing w:beforeLines="50" w:after="50"/>
        <w:ind w:left="142"/>
        <w:jc w:val="left"/>
        <w:rPr>
          <w:rFonts w:ascii="仿宋" w:hAnsi="仿宋" w:eastAsia="仿宋" w:cs="仿宋"/>
          <w:b/>
          <w:color w:val="auto"/>
          <w:sz w:val="24"/>
          <w:highlight w:val="none"/>
        </w:rPr>
      </w:pPr>
    </w:p>
    <w:p w14:paraId="7E6868E1">
      <w:pPr>
        <w:snapToGrid w:val="0"/>
        <w:spacing w:beforeLines="50" w:after="50"/>
        <w:ind w:left="142"/>
        <w:jc w:val="left"/>
        <w:rPr>
          <w:rFonts w:ascii="仿宋" w:hAnsi="仿宋" w:eastAsia="仿宋" w:cs="仿宋"/>
          <w:b/>
          <w:color w:val="auto"/>
          <w:sz w:val="24"/>
          <w:highlight w:val="none"/>
        </w:rPr>
      </w:pPr>
    </w:p>
    <w:p w14:paraId="2855349D">
      <w:pPr>
        <w:snapToGrid w:val="0"/>
        <w:spacing w:beforeLines="50" w:after="50"/>
        <w:ind w:left="142"/>
        <w:jc w:val="left"/>
        <w:rPr>
          <w:rFonts w:ascii="仿宋" w:hAnsi="仿宋" w:eastAsia="仿宋" w:cs="仿宋"/>
          <w:b/>
          <w:color w:val="auto"/>
          <w:sz w:val="24"/>
          <w:szCs w:val="20"/>
          <w:highlight w:val="none"/>
        </w:rPr>
      </w:pPr>
      <w:r>
        <w:rPr>
          <w:rFonts w:hint="eastAsia" w:ascii="仿宋" w:hAnsi="仿宋" w:eastAsia="仿宋" w:cs="仿宋"/>
          <w:b/>
          <w:color w:val="auto"/>
          <w:sz w:val="24"/>
          <w:highlight w:val="none"/>
        </w:rPr>
        <w:t>5.竞标声明</w:t>
      </w:r>
    </w:p>
    <w:p w14:paraId="3457023D">
      <w:pPr>
        <w:spacing w:line="320" w:lineRule="exact"/>
        <w:jc w:val="center"/>
        <w:rPr>
          <w:rFonts w:ascii="仿宋" w:hAnsi="仿宋" w:eastAsia="仿宋" w:cs="仿宋"/>
          <w:color w:val="auto"/>
          <w:sz w:val="28"/>
          <w:szCs w:val="28"/>
          <w:highlight w:val="none"/>
        </w:rPr>
      </w:pPr>
    </w:p>
    <w:p w14:paraId="092631DD">
      <w:pPr>
        <w:spacing w:line="32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竞标声明</w:t>
      </w:r>
    </w:p>
    <w:p w14:paraId="191DCB13">
      <w:pPr>
        <w:spacing w:line="320" w:lineRule="exact"/>
        <w:jc w:val="center"/>
        <w:rPr>
          <w:rFonts w:ascii="仿宋" w:hAnsi="仿宋" w:eastAsia="仿宋" w:cs="仿宋"/>
          <w:color w:val="auto"/>
          <w:sz w:val="24"/>
          <w:szCs w:val="20"/>
          <w:highlight w:val="none"/>
        </w:rPr>
      </w:pPr>
    </w:p>
    <w:p w14:paraId="3A7B42DC">
      <w:pPr>
        <w:spacing w:line="360"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7236959F">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w:t>
      </w:r>
    </w:p>
    <w:p w14:paraId="574494D5">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项目的竞标，为便于贵方公正、择优地确定成交供应商及其竞标产品和服务，我方就本次竞标有关事项郑重声明如下：</w:t>
      </w:r>
    </w:p>
    <w:p w14:paraId="5A989DE6">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3D1FE605">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2.我方不是为本次采购项目提供整体设计、规范编制或者项目管理、监理、检测等服务的供应商。</w:t>
      </w:r>
    </w:p>
    <w:p w14:paraId="36C176BC">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236DE7F0">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0E2B1DB9">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6296166A">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（3）同意提供按照贵方可能要求的与磋商有关的一切数据或者资料；</w:t>
      </w:r>
    </w:p>
    <w:p w14:paraId="4F608223">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（4）响应磋商文件规定的竞标有效期。</w:t>
      </w:r>
    </w:p>
    <w:p w14:paraId="26A623C9">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3D7D7D86">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039C6E80">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3DF868A1">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053763F7">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6FFBFCD4">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448355EF">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5F6BB498">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D43D7D">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692699C">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5CA3D23D">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p>
    <w:p w14:paraId="47292803">
      <w:pPr>
        <w:pStyle w:val="14"/>
        <w:spacing w:line="360" w:lineRule="auto"/>
        <w:ind w:firstLine="480" w:firstLineChars="200"/>
        <w:contextualSpacing/>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7.与本磋商有关的一切正式往来信函请寄：邮政编号：</w:t>
      </w:r>
    </w:p>
    <w:p w14:paraId="53A4A678">
      <w:pPr>
        <w:pStyle w:val="14"/>
        <w:spacing w:line="360" w:lineRule="auto"/>
        <w:ind w:firstLine="480" w:firstLineChars="20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 电子邮箱：</w:t>
      </w:r>
    </w:p>
    <w:p w14:paraId="1C419D93">
      <w:pPr>
        <w:pStyle w:val="13"/>
        <w:tabs>
          <w:tab w:val="left" w:pos="939"/>
        </w:tabs>
        <w:spacing w:line="360"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账号：</w:t>
      </w:r>
    </w:p>
    <w:p w14:paraId="24880213">
      <w:pPr>
        <w:pStyle w:val="13"/>
        <w:tabs>
          <w:tab w:val="left" w:pos="939"/>
        </w:tabs>
        <w:spacing w:line="360"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6BB884E1">
      <w:pPr>
        <w:pStyle w:val="13"/>
        <w:tabs>
          <w:tab w:val="left" w:pos="939"/>
        </w:tabs>
        <w:spacing w:line="360"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131B65A3">
      <w:pPr>
        <w:spacing w:line="360" w:lineRule="auto"/>
        <w:contextualSpacing/>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注：如为联合体竞标，盖章处须加盖联合体牵头人电子签章并由联合体牵头人法定代表人分别签字或者盖章或者电子签名，否则响应文件按无效处理。</w:t>
      </w:r>
    </w:p>
    <w:p w14:paraId="056DCFC5">
      <w:pPr>
        <w:spacing w:line="360" w:lineRule="auto"/>
        <w:contextualSpacing/>
        <w:jc w:val="left"/>
        <w:rPr>
          <w:rFonts w:asciiTheme="minorEastAsia" w:hAnsiTheme="minorEastAsia" w:eastAsiaTheme="minorEastAsia" w:cstheme="minorEastAsia"/>
          <w:color w:val="auto"/>
          <w:szCs w:val="21"/>
          <w:highlight w:val="none"/>
        </w:rPr>
      </w:pPr>
    </w:p>
    <w:p w14:paraId="6AB2A2A7">
      <w:pPr>
        <w:spacing w:line="360" w:lineRule="auto"/>
        <w:ind w:firstLine="1575" w:firstLineChars="75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法定代表人或者委托代理人（签字或者电子签名）：</w:t>
      </w:r>
    </w:p>
    <w:p w14:paraId="77A22340">
      <w:pPr>
        <w:spacing w:line="360" w:lineRule="auto"/>
        <w:ind w:firstLine="3780" w:firstLineChars="1800"/>
        <w:contextualSpacing/>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供应商名称（电子签章）：</w:t>
      </w:r>
    </w:p>
    <w:p w14:paraId="7B254838">
      <w:pPr>
        <w:pStyle w:val="13"/>
        <w:tabs>
          <w:tab w:val="left" w:pos="939"/>
        </w:tabs>
        <w:spacing w:line="360" w:lineRule="auto"/>
        <w:ind w:left="0" w:leftChars="0" w:firstLine="420" w:firstLineChars="20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年    月    日</w:t>
      </w:r>
    </w:p>
    <w:p w14:paraId="26E9EEA5">
      <w:pPr>
        <w:pStyle w:val="6"/>
        <w:overflowPunct w:val="0"/>
        <w:spacing w:line="520" w:lineRule="exact"/>
        <w:ind w:firstLine="0"/>
        <w:rPr>
          <w:rFonts w:ascii="仿宋" w:hAnsi="仿宋" w:eastAsia="仿宋" w:cs="仿宋"/>
          <w:b/>
          <w:bCs/>
          <w:color w:val="auto"/>
          <w:sz w:val="32"/>
          <w:szCs w:val="32"/>
          <w:highlight w:val="none"/>
        </w:rPr>
      </w:pPr>
    </w:p>
    <w:p w14:paraId="6513759A">
      <w:pPr>
        <w:rPr>
          <w:rFonts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报价文件格式 </w:t>
      </w:r>
    </w:p>
    <w:p w14:paraId="2B04D767">
      <w:pPr>
        <w:snapToGrid w:val="0"/>
        <w:spacing w:beforeLines="50" w:after="50"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1.报价文件封面格式</w:t>
      </w:r>
    </w:p>
    <w:p w14:paraId="66FEC380">
      <w:pPr>
        <w:snapToGrid w:val="0"/>
        <w:spacing w:beforeLines="50" w:after="50"/>
        <w:rPr>
          <w:rFonts w:ascii="仿宋" w:hAnsi="仿宋" w:eastAsia="仿宋" w:cs="仿宋"/>
          <w:bCs/>
          <w:color w:val="auto"/>
          <w:sz w:val="32"/>
          <w:szCs w:val="20"/>
          <w:highlight w:val="none"/>
        </w:rPr>
      </w:pPr>
    </w:p>
    <w:p w14:paraId="4AA9DC87">
      <w:pPr>
        <w:snapToGrid w:val="0"/>
        <w:spacing w:beforeLines="50" w:after="50"/>
        <w:jc w:val="center"/>
        <w:rPr>
          <w:rFonts w:ascii="仿宋" w:hAnsi="仿宋" w:eastAsia="仿宋" w:cs="仿宋"/>
          <w:color w:val="auto"/>
          <w:sz w:val="24"/>
          <w:szCs w:val="20"/>
          <w:highlight w:val="none"/>
        </w:rPr>
      </w:pPr>
      <w:r>
        <w:rPr>
          <w:rFonts w:hint="eastAsia" w:ascii="仿宋" w:hAnsi="仿宋" w:eastAsia="仿宋" w:cs="仿宋"/>
          <w:color w:val="auto"/>
          <w:sz w:val="44"/>
          <w:szCs w:val="44"/>
          <w:highlight w:val="none"/>
        </w:rPr>
        <w:t>电 子 响 应 文 件</w:t>
      </w:r>
    </w:p>
    <w:p w14:paraId="7FA9FFFA">
      <w:pPr>
        <w:snapToGrid w:val="0"/>
        <w:spacing w:beforeLines="50" w:after="50"/>
        <w:rPr>
          <w:rFonts w:ascii="仿宋" w:hAnsi="仿宋" w:eastAsia="仿宋" w:cs="仿宋"/>
          <w:color w:val="auto"/>
          <w:sz w:val="24"/>
          <w:szCs w:val="20"/>
          <w:highlight w:val="none"/>
        </w:rPr>
      </w:pPr>
    </w:p>
    <w:p w14:paraId="12511FAD">
      <w:pPr>
        <w:snapToGrid w:val="0"/>
        <w:spacing w:beforeLines="50" w:after="50"/>
        <w:rPr>
          <w:rFonts w:ascii="仿宋" w:hAnsi="仿宋" w:eastAsia="仿宋" w:cs="仿宋"/>
          <w:color w:val="auto"/>
          <w:sz w:val="24"/>
          <w:szCs w:val="20"/>
          <w:highlight w:val="none"/>
        </w:rPr>
      </w:pPr>
    </w:p>
    <w:p w14:paraId="32D7CCB3">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23D62523">
      <w:pPr>
        <w:snapToGrid w:val="0"/>
        <w:spacing w:beforeLines="50" w:after="50"/>
        <w:rPr>
          <w:rFonts w:ascii="仿宋" w:hAnsi="仿宋" w:eastAsia="仿宋" w:cs="仿宋"/>
          <w:bCs/>
          <w:color w:val="auto"/>
          <w:sz w:val="24"/>
          <w:szCs w:val="20"/>
          <w:highlight w:val="none"/>
        </w:rPr>
      </w:pPr>
    </w:p>
    <w:p w14:paraId="5344EA43">
      <w:pPr>
        <w:snapToGrid w:val="0"/>
        <w:spacing w:beforeLines="50" w:after="50"/>
        <w:rPr>
          <w:rFonts w:ascii="仿宋" w:hAnsi="仿宋" w:eastAsia="仿宋" w:cs="仿宋"/>
          <w:bCs/>
          <w:color w:val="auto"/>
          <w:sz w:val="24"/>
          <w:szCs w:val="20"/>
          <w:highlight w:val="none"/>
        </w:rPr>
      </w:pPr>
    </w:p>
    <w:p w14:paraId="23C33F2C">
      <w:pPr>
        <w:snapToGrid w:val="0"/>
        <w:spacing w:beforeLines="50" w:after="50"/>
        <w:rPr>
          <w:rFonts w:ascii="仿宋" w:hAnsi="仿宋" w:eastAsia="仿宋" w:cs="仿宋"/>
          <w:bCs/>
          <w:color w:val="auto"/>
          <w:sz w:val="24"/>
          <w:szCs w:val="20"/>
          <w:highlight w:val="none"/>
        </w:rPr>
      </w:pPr>
    </w:p>
    <w:p w14:paraId="79410E49">
      <w:pPr>
        <w:snapToGrid w:val="0"/>
        <w:spacing w:beforeLines="50" w:after="50"/>
        <w:rPr>
          <w:rFonts w:ascii="仿宋" w:hAnsi="仿宋" w:eastAsia="仿宋" w:cs="仿宋"/>
          <w:bCs/>
          <w:color w:val="auto"/>
          <w:sz w:val="24"/>
          <w:szCs w:val="20"/>
          <w:highlight w:val="none"/>
        </w:rPr>
      </w:pPr>
    </w:p>
    <w:p w14:paraId="207D8700">
      <w:pPr>
        <w:snapToGrid w:val="0"/>
        <w:spacing w:beforeLines="50" w:after="50"/>
        <w:rPr>
          <w:rFonts w:ascii="仿宋" w:hAnsi="仿宋" w:eastAsia="仿宋" w:cs="仿宋"/>
          <w:bCs/>
          <w:color w:val="auto"/>
          <w:sz w:val="24"/>
          <w:szCs w:val="20"/>
          <w:highlight w:val="none"/>
        </w:rPr>
      </w:pPr>
    </w:p>
    <w:p w14:paraId="709E5003">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3EFC1465">
      <w:pPr>
        <w:snapToGrid w:val="0"/>
        <w:spacing w:beforeLines="50" w:after="50"/>
        <w:ind w:firstLine="720" w:firstLineChars="225"/>
        <w:rPr>
          <w:rFonts w:ascii="仿宋" w:hAnsi="仿宋" w:eastAsia="仿宋" w:cs="仿宋"/>
          <w:bCs/>
          <w:color w:val="auto"/>
          <w:sz w:val="32"/>
          <w:szCs w:val="32"/>
          <w:highlight w:val="none"/>
        </w:rPr>
      </w:pPr>
    </w:p>
    <w:p w14:paraId="3C6A9E83">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64B228F4">
      <w:pPr>
        <w:snapToGrid w:val="0"/>
        <w:spacing w:beforeLines="50" w:after="50"/>
        <w:ind w:firstLine="720" w:firstLineChars="225"/>
        <w:rPr>
          <w:rFonts w:ascii="仿宋" w:hAnsi="仿宋" w:eastAsia="仿宋" w:cs="仿宋"/>
          <w:bCs/>
          <w:color w:val="auto"/>
          <w:sz w:val="32"/>
          <w:szCs w:val="32"/>
          <w:highlight w:val="none"/>
        </w:rPr>
      </w:pPr>
    </w:p>
    <w:p w14:paraId="69481638">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3C6978EF">
      <w:pPr>
        <w:snapToGrid w:val="0"/>
        <w:spacing w:beforeLines="50" w:after="50"/>
        <w:ind w:firstLine="720" w:firstLineChars="225"/>
        <w:rPr>
          <w:rFonts w:ascii="仿宋" w:hAnsi="仿宋" w:eastAsia="仿宋" w:cs="仿宋"/>
          <w:bCs/>
          <w:color w:val="auto"/>
          <w:sz w:val="32"/>
          <w:szCs w:val="32"/>
          <w:highlight w:val="none"/>
        </w:rPr>
      </w:pPr>
    </w:p>
    <w:p w14:paraId="6C0E9ADF">
      <w:pPr>
        <w:pStyle w:val="6"/>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1C1EBF9">
      <w:pPr>
        <w:pStyle w:val="6"/>
        <w:snapToGrid w:val="0"/>
        <w:spacing w:before="50" w:after="50"/>
        <w:ind w:firstLine="640" w:firstLineChars="200"/>
        <w:rPr>
          <w:rFonts w:ascii="仿宋" w:hAnsi="仿宋" w:eastAsia="仿宋" w:cs="仿宋"/>
          <w:bCs/>
          <w:color w:val="auto"/>
          <w:sz w:val="32"/>
          <w:szCs w:val="32"/>
          <w:highlight w:val="none"/>
        </w:rPr>
      </w:pPr>
    </w:p>
    <w:p w14:paraId="2C745EB8">
      <w:pPr>
        <w:pStyle w:val="6"/>
        <w:snapToGrid w:val="0"/>
        <w:spacing w:before="50" w:after="50"/>
        <w:ind w:firstLine="720" w:firstLineChars="225"/>
        <w:rPr>
          <w:rFonts w:ascii="仿宋" w:hAnsi="仿宋" w:eastAsia="仿宋" w:cs="仿宋"/>
          <w:bCs/>
          <w:color w:val="auto"/>
          <w:sz w:val="32"/>
          <w:szCs w:val="32"/>
          <w:highlight w:val="none"/>
        </w:rPr>
      </w:pPr>
    </w:p>
    <w:p w14:paraId="4738F932">
      <w:pPr>
        <w:pStyle w:val="6"/>
        <w:snapToGrid w:val="0"/>
        <w:spacing w:before="50" w:after="50"/>
        <w:ind w:firstLine="0"/>
        <w:rPr>
          <w:rFonts w:ascii="仿宋" w:hAnsi="仿宋" w:eastAsia="仿宋" w:cs="仿宋"/>
          <w:bCs/>
          <w:color w:val="auto"/>
          <w:sz w:val="32"/>
          <w:szCs w:val="32"/>
          <w:highlight w:val="none"/>
        </w:rPr>
      </w:pPr>
    </w:p>
    <w:p w14:paraId="2B815A09">
      <w:pPr>
        <w:pStyle w:val="6"/>
        <w:snapToGrid w:val="0"/>
        <w:spacing w:before="50" w:after="50"/>
        <w:ind w:firstLine="1280" w:firstLineChars="400"/>
        <w:rPr>
          <w:rFonts w:ascii="仿宋" w:hAnsi="仿宋" w:eastAsia="仿宋" w:cs="仿宋"/>
          <w:bCs/>
          <w:color w:val="auto"/>
          <w:sz w:val="32"/>
          <w:szCs w:val="32"/>
          <w:highlight w:val="none"/>
        </w:rPr>
      </w:pPr>
    </w:p>
    <w:p w14:paraId="7807FB5F">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4C398A1D">
      <w:pPr>
        <w:snapToGrid w:val="0"/>
        <w:spacing w:beforeLines="50" w:after="50" w:line="360" w:lineRule="auto"/>
        <w:ind w:left="142"/>
        <w:jc w:val="left"/>
        <w:rPr>
          <w:rFonts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32"/>
          <w:szCs w:val="32"/>
          <w:highlight w:val="none"/>
        </w:rPr>
        <w:t>2.报价文件目录</w:t>
      </w:r>
    </w:p>
    <w:p w14:paraId="225C59C9">
      <w:pPr>
        <w:spacing w:line="520" w:lineRule="exact"/>
        <w:jc w:val="center"/>
        <w:rPr>
          <w:rFonts w:ascii="仿宋" w:hAnsi="仿宋" w:eastAsia="仿宋" w:cs="仿宋"/>
          <w:bCs/>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r>
        <w:rPr>
          <w:rFonts w:hint="eastAsia" w:ascii="仿宋" w:hAnsi="仿宋" w:eastAsia="仿宋" w:cs="仿宋"/>
          <w:b/>
          <w:bCs/>
          <w:color w:val="auto"/>
          <w:sz w:val="32"/>
          <w:szCs w:val="32"/>
          <w:highlight w:val="none"/>
        </w:rPr>
        <w:br w:type="page"/>
      </w:r>
      <w:r>
        <w:rPr>
          <w:rFonts w:hint="eastAsia" w:ascii="仿宋" w:hAnsi="仿宋" w:eastAsia="仿宋" w:cs="仿宋"/>
          <w:bCs/>
          <w:color w:val="auto"/>
          <w:sz w:val="44"/>
          <w:szCs w:val="44"/>
          <w:highlight w:val="none"/>
        </w:rPr>
        <w:t>竞  标  报  价  表</w:t>
      </w:r>
    </w:p>
    <w:p w14:paraId="24E05B0A">
      <w:pPr>
        <w:spacing w:line="440" w:lineRule="exact"/>
        <w:jc w:val="center"/>
        <w:rPr>
          <w:rFonts w:ascii="仿宋" w:hAnsi="仿宋" w:eastAsia="仿宋" w:cs="仿宋"/>
          <w:bCs/>
          <w:color w:val="auto"/>
          <w:sz w:val="32"/>
          <w:szCs w:val="32"/>
          <w:highlight w:val="none"/>
        </w:rPr>
      </w:pPr>
    </w:p>
    <w:p w14:paraId="7F58E5E7">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项目编号：</w:t>
      </w:r>
    </w:p>
    <w:p w14:paraId="658FC395">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分标（如有）：</w:t>
      </w:r>
    </w:p>
    <w:p w14:paraId="452106F5">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p w14:paraId="27B0B3B5">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D57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A19B6F9">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C86D17D">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315FD52F">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2C002912">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670B2082">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51D87213">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D3CCFDB">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80A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B44408B">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A6EF1F8">
            <w:pPr>
              <w:spacing w:line="360" w:lineRule="auto"/>
              <w:contextualSpacing/>
              <w:jc w:val="center"/>
              <w:rPr>
                <w:rFonts w:ascii="仿宋" w:hAnsi="仿宋" w:eastAsia="仿宋" w:cs="仿宋"/>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7F840E7B">
            <w:pPr>
              <w:spacing w:line="360" w:lineRule="auto"/>
              <w:contextualSpacing/>
              <w:jc w:val="center"/>
              <w:rPr>
                <w:rFonts w:ascii="仿宋" w:hAnsi="仿宋" w:eastAsia="仿宋" w:cs="仿宋"/>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43DACD80">
            <w:pPr>
              <w:spacing w:line="360" w:lineRule="auto"/>
              <w:contextualSpacing/>
              <w:rPr>
                <w:rFonts w:ascii="仿宋" w:hAnsi="仿宋" w:eastAsia="仿宋" w:cs="仿宋"/>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6AD53B3C">
            <w:pPr>
              <w:spacing w:line="360" w:lineRule="auto"/>
              <w:contextualSpacing/>
              <w:rPr>
                <w:rFonts w:ascii="仿宋" w:hAnsi="仿宋" w:eastAsia="仿宋" w:cs="仿宋"/>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6F7D6FE9">
            <w:pPr>
              <w:spacing w:line="360" w:lineRule="auto"/>
              <w:contextualSpacing/>
              <w:rPr>
                <w:rFonts w:ascii="仿宋" w:hAnsi="仿宋" w:eastAsia="仿宋" w:cs="仿宋"/>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74BE55B">
            <w:pPr>
              <w:spacing w:line="360" w:lineRule="auto"/>
              <w:contextualSpacing/>
              <w:rPr>
                <w:rFonts w:ascii="仿宋" w:hAnsi="仿宋" w:eastAsia="仿宋" w:cs="仿宋"/>
                <w:color w:val="auto"/>
                <w:sz w:val="24"/>
                <w:highlight w:val="none"/>
              </w:rPr>
            </w:pPr>
          </w:p>
        </w:tc>
      </w:tr>
      <w:tr w14:paraId="7F9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24E2DF56">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合计金额大写：人民币（¥）</w:t>
            </w:r>
          </w:p>
        </w:tc>
      </w:tr>
    </w:tbl>
    <w:p w14:paraId="24ACA564">
      <w:pPr>
        <w:spacing w:line="360" w:lineRule="auto"/>
        <w:contextualSpacing/>
        <w:jc w:val="left"/>
        <w:rPr>
          <w:rFonts w:ascii="仿宋" w:hAnsi="仿宋" w:eastAsia="仿宋" w:cs="仿宋"/>
          <w:color w:val="auto"/>
          <w:sz w:val="24"/>
          <w:highlight w:val="none"/>
        </w:rPr>
      </w:pPr>
    </w:p>
    <w:p w14:paraId="5E7342A4">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907AB2B">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1. 供应商的报价表必须加盖供应商电子签章并由法定代表人或者委托代理人签字或者电子签名，</w:t>
      </w:r>
      <w:r>
        <w:rPr>
          <w:rFonts w:hint="eastAsia" w:ascii="仿宋" w:hAnsi="仿宋" w:eastAsia="仿宋" w:cs="仿宋"/>
          <w:b/>
          <w:color w:val="auto"/>
          <w:sz w:val="24"/>
          <w:highlight w:val="none"/>
        </w:rPr>
        <w:t>否则其响应文件按无效处理</w:t>
      </w:r>
      <w:r>
        <w:rPr>
          <w:rFonts w:hint="eastAsia" w:ascii="仿宋" w:hAnsi="仿宋" w:eastAsia="仿宋" w:cs="仿宋"/>
          <w:color w:val="auto"/>
          <w:sz w:val="24"/>
          <w:highlight w:val="none"/>
        </w:rPr>
        <w:t>。</w:t>
      </w:r>
    </w:p>
    <w:p w14:paraId="03398946">
      <w:pPr>
        <w:spacing w:line="360" w:lineRule="auto"/>
        <w:ind w:firstLine="480" w:firstLineChars="200"/>
        <w:contextualSpacing/>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 xml:space="preserve"> 报价一经涂改，应在涂改处加盖供应商公章或者加盖电子签章或者由法定代表人或者授权委托人签字（或者电子签名）</w:t>
      </w:r>
      <w:r>
        <w:rPr>
          <w:rFonts w:hint="eastAsia" w:ascii="仿宋" w:hAnsi="仿宋" w:eastAsia="仿宋" w:cs="仿宋"/>
          <w:b/>
          <w:color w:val="auto"/>
          <w:sz w:val="24"/>
          <w:highlight w:val="none"/>
        </w:rPr>
        <w:t>，否则其响应文件按无效处理。</w:t>
      </w:r>
    </w:p>
    <w:p w14:paraId="41D1216E">
      <w:pPr>
        <w:spacing w:line="360" w:lineRule="auto"/>
        <w:ind w:right="-817" w:rightChars="-389"/>
        <w:contextualSpacing/>
        <w:rPr>
          <w:rFonts w:ascii="仿宋" w:hAnsi="仿宋" w:eastAsia="仿宋" w:cs="仿宋"/>
          <w:color w:val="auto"/>
          <w:sz w:val="24"/>
          <w:highlight w:val="none"/>
        </w:rPr>
      </w:pPr>
    </w:p>
    <w:p w14:paraId="42F107BF">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法定代表人或者委托代理人（签字或者电子签名）：                    </w:t>
      </w:r>
    </w:p>
    <w:p w14:paraId="53E1666D">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63B0CB2E">
      <w:pPr>
        <w:spacing w:line="360" w:lineRule="auto"/>
        <w:ind w:right="-817" w:rightChars="-389" w:firstLine="4080" w:firstLineChars="1700"/>
        <w:contextualSpacing/>
        <w:rPr>
          <w:rFonts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761929B4">
      <w:pPr>
        <w:spacing w:line="360" w:lineRule="auto"/>
        <w:ind w:right="420"/>
        <w:contextualSpacing/>
        <w:jc w:val="left"/>
        <w:rPr>
          <w:rFonts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三、</w:t>
      </w:r>
      <w:r>
        <w:rPr>
          <w:rFonts w:hint="eastAsia" w:ascii="仿宋" w:hAnsi="仿宋" w:eastAsia="仿宋" w:cs="仿宋"/>
          <w:b/>
          <w:color w:val="auto"/>
          <w:sz w:val="32"/>
          <w:szCs w:val="32"/>
          <w:highlight w:val="none"/>
        </w:rPr>
        <w:t xml:space="preserve">商务技术文件格式 </w:t>
      </w:r>
    </w:p>
    <w:p w14:paraId="73604011">
      <w:pPr>
        <w:snapToGrid w:val="0"/>
        <w:spacing w:beforeLines="50" w:after="50"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1.商务技术文件封面格式</w:t>
      </w:r>
    </w:p>
    <w:p w14:paraId="0F54AF11">
      <w:pPr>
        <w:snapToGrid w:val="0"/>
        <w:spacing w:beforeLines="50" w:after="50"/>
        <w:rPr>
          <w:rFonts w:ascii="仿宋" w:hAnsi="仿宋" w:eastAsia="仿宋" w:cs="仿宋"/>
          <w:bCs/>
          <w:color w:val="auto"/>
          <w:sz w:val="32"/>
          <w:szCs w:val="20"/>
          <w:highlight w:val="none"/>
        </w:rPr>
      </w:pPr>
    </w:p>
    <w:p w14:paraId="048FAC06">
      <w:pPr>
        <w:snapToGrid w:val="0"/>
        <w:spacing w:beforeLines="50" w:after="50"/>
        <w:jc w:val="center"/>
        <w:rPr>
          <w:rFonts w:ascii="仿宋" w:hAnsi="仿宋" w:eastAsia="仿宋" w:cs="仿宋"/>
          <w:color w:val="auto"/>
          <w:sz w:val="24"/>
          <w:szCs w:val="20"/>
          <w:highlight w:val="none"/>
        </w:rPr>
      </w:pPr>
      <w:r>
        <w:rPr>
          <w:rFonts w:hint="eastAsia" w:ascii="仿宋" w:hAnsi="仿宋" w:eastAsia="仿宋" w:cs="仿宋"/>
          <w:color w:val="auto"/>
          <w:sz w:val="44"/>
          <w:szCs w:val="44"/>
          <w:highlight w:val="none"/>
        </w:rPr>
        <w:t>电 子 响 应 文 件</w:t>
      </w:r>
    </w:p>
    <w:p w14:paraId="006C758B">
      <w:pPr>
        <w:snapToGrid w:val="0"/>
        <w:spacing w:beforeLines="50" w:after="50"/>
        <w:rPr>
          <w:rFonts w:ascii="仿宋" w:hAnsi="仿宋" w:eastAsia="仿宋" w:cs="仿宋"/>
          <w:color w:val="auto"/>
          <w:sz w:val="24"/>
          <w:szCs w:val="20"/>
          <w:highlight w:val="none"/>
        </w:rPr>
      </w:pPr>
    </w:p>
    <w:p w14:paraId="12F8177C">
      <w:pPr>
        <w:snapToGrid w:val="0"/>
        <w:spacing w:beforeLines="50" w:after="50"/>
        <w:rPr>
          <w:rFonts w:ascii="仿宋" w:hAnsi="仿宋" w:eastAsia="仿宋" w:cs="仿宋"/>
          <w:color w:val="auto"/>
          <w:sz w:val="24"/>
          <w:szCs w:val="20"/>
          <w:highlight w:val="none"/>
        </w:rPr>
      </w:pPr>
    </w:p>
    <w:p w14:paraId="03A6F5C0">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1C612746">
      <w:pPr>
        <w:snapToGrid w:val="0"/>
        <w:spacing w:beforeLines="50" w:after="50"/>
        <w:rPr>
          <w:rFonts w:ascii="仿宋" w:hAnsi="仿宋" w:eastAsia="仿宋" w:cs="仿宋"/>
          <w:bCs/>
          <w:color w:val="auto"/>
          <w:sz w:val="24"/>
          <w:szCs w:val="20"/>
          <w:highlight w:val="none"/>
        </w:rPr>
      </w:pPr>
    </w:p>
    <w:p w14:paraId="49F4EFB1">
      <w:pPr>
        <w:snapToGrid w:val="0"/>
        <w:spacing w:beforeLines="50" w:after="50"/>
        <w:rPr>
          <w:rFonts w:ascii="仿宋" w:hAnsi="仿宋" w:eastAsia="仿宋" w:cs="仿宋"/>
          <w:bCs/>
          <w:color w:val="auto"/>
          <w:sz w:val="24"/>
          <w:szCs w:val="20"/>
          <w:highlight w:val="none"/>
        </w:rPr>
      </w:pPr>
    </w:p>
    <w:p w14:paraId="25C15F87">
      <w:pPr>
        <w:snapToGrid w:val="0"/>
        <w:spacing w:beforeLines="50" w:after="50"/>
        <w:rPr>
          <w:rFonts w:ascii="仿宋" w:hAnsi="仿宋" w:eastAsia="仿宋" w:cs="仿宋"/>
          <w:bCs/>
          <w:color w:val="auto"/>
          <w:sz w:val="24"/>
          <w:szCs w:val="20"/>
          <w:highlight w:val="none"/>
        </w:rPr>
      </w:pPr>
    </w:p>
    <w:p w14:paraId="1D6EBEB1">
      <w:pPr>
        <w:snapToGrid w:val="0"/>
        <w:spacing w:beforeLines="50" w:after="50"/>
        <w:rPr>
          <w:rFonts w:ascii="仿宋" w:hAnsi="仿宋" w:eastAsia="仿宋" w:cs="仿宋"/>
          <w:bCs/>
          <w:color w:val="auto"/>
          <w:sz w:val="24"/>
          <w:szCs w:val="20"/>
          <w:highlight w:val="none"/>
        </w:rPr>
      </w:pPr>
    </w:p>
    <w:p w14:paraId="4493C6CB">
      <w:pPr>
        <w:snapToGrid w:val="0"/>
        <w:spacing w:beforeLines="50" w:after="50"/>
        <w:rPr>
          <w:rFonts w:ascii="仿宋" w:hAnsi="仿宋" w:eastAsia="仿宋" w:cs="仿宋"/>
          <w:bCs/>
          <w:color w:val="auto"/>
          <w:sz w:val="24"/>
          <w:szCs w:val="20"/>
          <w:highlight w:val="none"/>
        </w:rPr>
      </w:pPr>
    </w:p>
    <w:p w14:paraId="141AD400">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4D223EBB">
      <w:pPr>
        <w:snapToGrid w:val="0"/>
        <w:spacing w:beforeLines="50" w:after="50"/>
        <w:ind w:firstLine="720" w:firstLineChars="225"/>
        <w:rPr>
          <w:rFonts w:ascii="仿宋" w:hAnsi="仿宋" w:eastAsia="仿宋" w:cs="仿宋"/>
          <w:bCs/>
          <w:color w:val="auto"/>
          <w:sz w:val="32"/>
          <w:szCs w:val="32"/>
          <w:highlight w:val="none"/>
        </w:rPr>
      </w:pPr>
    </w:p>
    <w:p w14:paraId="73FE4C25">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0C930339">
      <w:pPr>
        <w:snapToGrid w:val="0"/>
        <w:spacing w:beforeLines="50" w:after="50"/>
        <w:ind w:firstLine="720" w:firstLineChars="225"/>
        <w:rPr>
          <w:rFonts w:ascii="仿宋" w:hAnsi="仿宋" w:eastAsia="仿宋" w:cs="仿宋"/>
          <w:bCs/>
          <w:color w:val="auto"/>
          <w:sz w:val="32"/>
          <w:szCs w:val="32"/>
          <w:highlight w:val="none"/>
        </w:rPr>
      </w:pPr>
    </w:p>
    <w:p w14:paraId="56C82449">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5D3B3440">
      <w:pPr>
        <w:snapToGrid w:val="0"/>
        <w:spacing w:beforeLines="50" w:after="50"/>
        <w:ind w:firstLine="720" w:firstLineChars="225"/>
        <w:rPr>
          <w:rFonts w:ascii="仿宋" w:hAnsi="仿宋" w:eastAsia="仿宋" w:cs="仿宋"/>
          <w:bCs/>
          <w:color w:val="auto"/>
          <w:sz w:val="32"/>
          <w:szCs w:val="32"/>
          <w:highlight w:val="none"/>
        </w:rPr>
      </w:pPr>
    </w:p>
    <w:p w14:paraId="64C7E17E">
      <w:pPr>
        <w:pStyle w:val="6"/>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93FEAE1">
      <w:pPr>
        <w:pStyle w:val="6"/>
        <w:snapToGrid w:val="0"/>
        <w:spacing w:before="50" w:after="50"/>
        <w:ind w:firstLine="640" w:firstLineChars="200"/>
        <w:rPr>
          <w:rFonts w:ascii="仿宋" w:hAnsi="仿宋" w:eastAsia="仿宋" w:cs="仿宋"/>
          <w:bCs/>
          <w:color w:val="auto"/>
          <w:sz w:val="32"/>
          <w:szCs w:val="32"/>
          <w:highlight w:val="none"/>
        </w:rPr>
      </w:pPr>
    </w:p>
    <w:p w14:paraId="0385E60A">
      <w:pPr>
        <w:pStyle w:val="6"/>
        <w:snapToGrid w:val="0"/>
        <w:spacing w:before="50" w:after="50"/>
        <w:ind w:firstLine="720" w:firstLineChars="225"/>
        <w:rPr>
          <w:rFonts w:ascii="仿宋" w:hAnsi="仿宋" w:eastAsia="仿宋" w:cs="仿宋"/>
          <w:bCs/>
          <w:color w:val="auto"/>
          <w:sz w:val="32"/>
          <w:szCs w:val="32"/>
          <w:highlight w:val="none"/>
        </w:rPr>
      </w:pPr>
    </w:p>
    <w:p w14:paraId="12E550F3">
      <w:pPr>
        <w:pStyle w:val="6"/>
        <w:snapToGrid w:val="0"/>
        <w:spacing w:before="50" w:after="50"/>
        <w:ind w:firstLine="0"/>
        <w:rPr>
          <w:rFonts w:ascii="仿宋" w:hAnsi="仿宋" w:eastAsia="仿宋" w:cs="仿宋"/>
          <w:bCs/>
          <w:color w:val="auto"/>
          <w:sz w:val="32"/>
          <w:szCs w:val="32"/>
          <w:highlight w:val="none"/>
        </w:rPr>
      </w:pPr>
      <w:bookmarkStart w:id="184" w:name="_GoBack"/>
      <w:bookmarkEnd w:id="184"/>
    </w:p>
    <w:p w14:paraId="365BDB1D">
      <w:pPr>
        <w:pStyle w:val="6"/>
        <w:snapToGrid w:val="0"/>
        <w:spacing w:before="50" w:after="50"/>
        <w:ind w:firstLine="1280" w:firstLineChars="400"/>
        <w:rPr>
          <w:rFonts w:ascii="仿宋" w:hAnsi="仿宋" w:eastAsia="仿宋" w:cs="仿宋"/>
          <w:bCs/>
          <w:color w:val="auto"/>
          <w:sz w:val="32"/>
          <w:szCs w:val="32"/>
          <w:highlight w:val="none"/>
        </w:rPr>
      </w:pPr>
    </w:p>
    <w:p w14:paraId="1DD2C2E3">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05464BEA">
      <w:pPr>
        <w:snapToGrid w:val="0"/>
        <w:spacing w:beforeLines="50" w:after="50" w:line="360" w:lineRule="auto"/>
        <w:ind w:right="480" w:firstLine="240" w:firstLineChars="100"/>
        <w:jc w:val="left"/>
        <w:rPr>
          <w:rFonts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2.商务技术文件目录</w:t>
      </w:r>
    </w:p>
    <w:p w14:paraId="36BDEE2D">
      <w:pPr>
        <w:snapToGrid w:val="0"/>
        <w:spacing w:beforeLines="50" w:after="50"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6F78A713">
      <w:pPr>
        <w:spacing w:line="400" w:lineRule="exact"/>
        <w:rPr>
          <w:rFonts w:ascii="仿宋" w:hAnsi="仿宋" w:eastAsia="仿宋" w:cs="仿宋"/>
          <w:color w:val="auto"/>
          <w:sz w:val="32"/>
          <w:szCs w:val="32"/>
          <w:highlight w:val="none"/>
        </w:rPr>
      </w:pPr>
    </w:p>
    <w:p w14:paraId="6F5BC12C">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0144C371">
      <w:pPr>
        <w:spacing w:line="360" w:lineRule="auto"/>
        <w:ind w:firstLine="640" w:firstLineChars="200"/>
        <w:contextualSpacing/>
        <w:rPr>
          <w:rFonts w:ascii="仿宋" w:hAnsi="仿宋" w:eastAsia="仿宋" w:cs="仿宋"/>
          <w:color w:val="auto"/>
          <w:sz w:val="32"/>
          <w:szCs w:val="32"/>
          <w:highlight w:val="none"/>
        </w:rPr>
      </w:pPr>
    </w:p>
    <w:p w14:paraId="380BC304">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018376A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71C2957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563AB9F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08B7250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6A8B0A02">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49E60A54">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7FACE8F2">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01F458E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6B4AF42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5344454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39E60EA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3FC9681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05A4DD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3AFBF164">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05CCE81C">
      <w:pPr>
        <w:spacing w:line="360" w:lineRule="auto"/>
        <w:ind w:firstLine="480" w:firstLineChars="200"/>
        <w:contextualSpacing/>
        <w:rPr>
          <w:rFonts w:ascii="仿宋" w:hAnsi="仿宋" w:eastAsia="仿宋" w:cs="仿宋"/>
          <w:color w:val="auto"/>
          <w:sz w:val="24"/>
          <w:highlight w:val="none"/>
        </w:rPr>
      </w:pPr>
    </w:p>
    <w:p w14:paraId="7909D5D3">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5B75A8B1">
      <w:pPr>
        <w:spacing w:line="360" w:lineRule="auto"/>
        <w:contextualSpacing/>
        <w:rPr>
          <w:rFonts w:ascii="仿宋" w:hAnsi="仿宋" w:eastAsia="仿宋" w:cs="仿宋"/>
          <w:color w:val="auto"/>
          <w:sz w:val="24"/>
          <w:highlight w:val="none"/>
        </w:rPr>
      </w:pPr>
    </w:p>
    <w:p w14:paraId="43DECAB7">
      <w:pPr>
        <w:spacing w:line="360" w:lineRule="auto"/>
        <w:ind w:firstLine="3600" w:firstLineChars="15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195F7134">
      <w:pPr>
        <w:spacing w:line="360" w:lineRule="auto"/>
        <w:ind w:firstLine="480" w:firstLineChars="200"/>
        <w:contextualSpacing/>
        <w:jc w:val="center"/>
        <w:rPr>
          <w:rFonts w:ascii="仿宋" w:hAnsi="仿宋" w:eastAsia="仿宋" w:cs="仿宋"/>
          <w:color w:val="auto"/>
          <w:sz w:val="32"/>
          <w:szCs w:val="32"/>
          <w:highlight w:val="none"/>
        </w:rPr>
      </w:pPr>
      <w:r>
        <w:rPr>
          <w:rFonts w:hint="eastAsia" w:ascii="仿宋" w:hAnsi="仿宋" w:eastAsia="仿宋" w:cs="仿宋"/>
          <w:color w:val="auto"/>
          <w:sz w:val="24"/>
          <w:highlight w:val="none"/>
        </w:rPr>
        <w:t xml:space="preserve">                               年   月   日</w:t>
      </w:r>
    </w:p>
    <w:p w14:paraId="5EA6B77E">
      <w:pPr>
        <w:spacing w:line="520" w:lineRule="exact"/>
        <w:jc w:val="center"/>
        <w:rPr>
          <w:rFonts w:ascii="仿宋" w:hAnsi="仿宋" w:eastAsia="仿宋" w:cs="仿宋"/>
          <w:color w:val="auto"/>
          <w:sz w:val="32"/>
          <w:szCs w:val="32"/>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法定代表人证明书</w:t>
      </w:r>
    </w:p>
    <w:p w14:paraId="6C301AE0">
      <w:pPr>
        <w:spacing w:line="360" w:lineRule="auto"/>
        <w:ind w:left="540"/>
        <w:contextualSpacing/>
        <w:rPr>
          <w:rFonts w:ascii="仿宋" w:hAnsi="仿宋" w:eastAsia="仿宋" w:cs="仿宋"/>
          <w:color w:val="auto"/>
          <w:sz w:val="32"/>
          <w:szCs w:val="32"/>
          <w:highlight w:val="none"/>
        </w:rPr>
      </w:pPr>
    </w:p>
    <w:p w14:paraId="4877EAB5">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p w14:paraId="09DE05EA">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p>
    <w:p w14:paraId="65B75C6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名：性     别：</w:t>
      </w:r>
    </w:p>
    <w:p w14:paraId="5A27C3E2">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龄：职     务：</w:t>
      </w:r>
    </w:p>
    <w:p w14:paraId="56C14827">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p>
    <w:p w14:paraId="333BE597">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6451D84F">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1EAEFBA">
      <w:pPr>
        <w:spacing w:line="360" w:lineRule="auto"/>
        <w:ind w:left="540"/>
        <w:contextualSpacing/>
        <w:rPr>
          <w:rFonts w:ascii="仿宋" w:hAnsi="仿宋" w:eastAsia="仿宋" w:cs="仿宋"/>
          <w:color w:val="auto"/>
          <w:sz w:val="24"/>
          <w:highlight w:val="none"/>
        </w:rPr>
      </w:pPr>
    </w:p>
    <w:p w14:paraId="3163D761">
      <w:pPr>
        <w:spacing w:line="360" w:lineRule="auto"/>
        <w:ind w:left="540"/>
        <w:contextualSpacing/>
        <w:rPr>
          <w:rFonts w:ascii="仿宋" w:hAnsi="仿宋" w:eastAsia="仿宋" w:cs="仿宋"/>
          <w:color w:val="auto"/>
          <w:sz w:val="24"/>
          <w:highlight w:val="none"/>
        </w:rPr>
      </w:pPr>
    </w:p>
    <w:p w14:paraId="3E90D994">
      <w:pPr>
        <w:spacing w:line="360" w:lineRule="auto"/>
        <w:ind w:left="540"/>
        <w:contextualSpacing/>
        <w:rPr>
          <w:rFonts w:ascii="仿宋" w:hAnsi="仿宋" w:eastAsia="仿宋" w:cs="仿宋"/>
          <w:color w:val="auto"/>
          <w:sz w:val="24"/>
          <w:highlight w:val="none"/>
        </w:rPr>
      </w:pPr>
    </w:p>
    <w:p w14:paraId="0647E0B1">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5ABF595A">
      <w:pPr>
        <w:spacing w:line="360" w:lineRule="auto"/>
        <w:ind w:left="540"/>
        <w:contextualSpacing/>
        <w:rPr>
          <w:rFonts w:ascii="仿宋" w:hAnsi="仿宋" w:eastAsia="仿宋" w:cs="仿宋"/>
          <w:color w:val="auto"/>
          <w:sz w:val="24"/>
          <w:highlight w:val="none"/>
        </w:rPr>
      </w:pPr>
    </w:p>
    <w:p w14:paraId="5180E198">
      <w:pPr>
        <w:spacing w:line="360" w:lineRule="auto"/>
        <w:ind w:left="540" w:leftChars="257" w:right="480" w:firstLine="2280" w:firstLineChars="95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46C7A3EA">
      <w:pPr>
        <w:spacing w:line="360" w:lineRule="auto"/>
        <w:ind w:firstLine="5040" w:firstLineChars="2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年月日</w:t>
      </w:r>
    </w:p>
    <w:p w14:paraId="0C223ABE">
      <w:pPr>
        <w:spacing w:line="360" w:lineRule="auto"/>
        <w:contextualSpacing/>
        <w:jc w:val="center"/>
        <w:rPr>
          <w:rFonts w:ascii="仿宋" w:hAnsi="仿宋" w:eastAsia="仿宋" w:cs="仿宋"/>
          <w:b/>
          <w:color w:val="auto"/>
          <w:sz w:val="24"/>
          <w:highlight w:val="none"/>
        </w:rPr>
      </w:pPr>
    </w:p>
    <w:p w14:paraId="7A0CAB90">
      <w:pPr>
        <w:spacing w:line="360" w:lineRule="auto"/>
        <w:contextualSpacing/>
        <w:jc w:val="left"/>
        <w:rPr>
          <w:rFonts w:ascii="仿宋" w:hAnsi="仿宋" w:eastAsia="仿宋" w:cs="仿宋"/>
          <w:color w:val="auto"/>
          <w:sz w:val="24"/>
          <w:highlight w:val="none"/>
        </w:rPr>
      </w:pPr>
    </w:p>
    <w:p w14:paraId="603A463C">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注：联合体竞标的只需牵头人出具。</w:t>
      </w:r>
    </w:p>
    <w:p w14:paraId="08E88218">
      <w:pPr>
        <w:adjustRightInd w:val="0"/>
        <w:snapToGrid w:val="0"/>
        <w:spacing w:line="300" w:lineRule="auto"/>
        <w:jc w:val="left"/>
        <w:rPr>
          <w:rFonts w:ascii="仿宋" w:hAnsi="仿宋" w:eastAsia="仿宋" w:cs="仿宋"/>
          <w:b/>
          <w:color w:val="auto"/>
          <w:szCs w:val="21"/>
          <w:highlight w:val="none"/>
        </w:rPr>
      </w:pPr>
    </w:p>
    <w:p w14:paraId="3EEF63A9">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08DB9D3C">
      <w:pPr>
        <w:spacing w:line="520" w:lineRule="exact"/>
        <w:jc w:val="center"/>
        <w:rPr>
          <w:rFonts w:ascii="仿宋" w:hAnsi="仿宋" w:eastAsia="仿宋" w:cs="仿宋"/>
          <w:color w:val="auto"/>
          <w:sz w:val="44"/>
          <w:szCs w:val="44"/>
          <w:highlight w:val="none"/>
        </w:rPr>
      </w:pPr>
      <w:bookmarkStart w:id="89" w:name="_Hlk65853643"/>
      <w:r>
        <w:rPr>
          <w:rFonts w:hint="eastAsia" w:ascii="仿宋" w:hAnsi="仿宋" w:eastAsia="仿宋" w:cs="仿宋"/>
          <w:color w:val="auto"/>
          <w:sz w:val="44"/>
          <w:szCs w:val="44"/>
          <w:highlight w:val="none"/>
        </w:rPr>
        <w:t>授权委托书</w:t>
      </w:r>
    </w:p>
    <w:p w14:paraId="5A5018B6">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（非联合体竞标格式）</w:t>
      </w:r>
    </w:p>
    <w:p w14:paraId="5D4A408C">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1086D523">
      <w:pPr>
        <w:spacing w:line="520" w:lineRule="exact"/>
        <w:rPr>
          <w:rFonts w:ascii="仿宋" w:hAnsi="仿宋" w:eastAsia="仿宋" w:cs="仿宋"/>
          <w:color w:val="auto"/>
          <w:sz w:val="32"/>
          <w:szCs w:val="32"/>
          <w:highlight w:val="none"/>
        </w:rPr>
      </w:pPr>
    </w:p>
    <w:p w14:paraId="78AE515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p>
    <w:p w14:paraId="0928BE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sym w:font="Wingdings 2" w:char="00A3"/>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以我方的名义参加项目的竞标活动，并代表我方全权办理针对上述项目的所有采购程序和环节的具体事务和签署相关文件。</w:t>
      </w:r>
    </w:p>
    <w:p w14:paraId="27D5F3C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我方对委托代理人的签字或者电子签名事项负全部责任。</w:t>
      </w:r>
    </w:p>
    <w:p w14:paraId="69A9C9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630EE0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57224C4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附：委托代理人有效身份证正反面复印件</w:t>
      </w:r>
    </w:p>
    <w:p w14:paraId="244E3D94">
      <w:pPr>
        <w:spacing w:line="360" w:lineRule="auto"/>
        <w:rPr>
          <w:rFonts w:ascii="仿宋" w:hAnsi="仿宋" w:eastAsia="仿宋" w:cs="仿宋"/>
          <w:color w:val="auto"/>
          <w:sz w:val="24"/>
          <w:highlight w:val="none"/>
        </w:rPr>
      </w:pPr>
    </w:p>
    <w:p w14:paraId="0A7AB543">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委托代理人（签字或者电子签名）：     法定代表人（签字或者盖章或者电子签名）：                    </w:t>
      </w:r>
    </w:p>
    <w:p w14:paraId="70298FD3">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4F5A3A3B">
      <w:pPr>
        <w:spacing w:line="360" w:lineRule="auto"/>
        <w:contextualSpacing/>
        <w:rPr>
          <w:rFonts w:ascii="仿宋" w:hAnsi="仿宋" w:eastAsia="仿宋" w:cs="仿宋"/>
          <w:color w:val="auto"/>
          <w:sz w:val="24"/>
          <w:highlight w:val="none"/>
        </w:rPr>
      </w:pPr>
    </w:p>
    <w:p w14:paraId="17AAE19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                      </w:t>
      </w:r>
    </w:p>
    <w:p w14:paraId="099A5C6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E29538A">
      <w:pPr>
        <w:spacing w:line="360" w:lineRule="auto"/>
        <w:rPr>
          <w:rFonts w:ascii="仿宋" w:hAnsi="仿宋" w:eastAsia="仿宋" w:cs="仿宋"/>
          <w:color w:val="auto"/>
          <w:sz w:val="24"/>
          <w:highlight w:val="none"/>
        </w:rPr>
      </w:pPr>
    </w:p>
    <w:p w14:paraId="37ECAD1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法定代表人必须在授权委托书上签字或者盖章或者电子签名，委托代理人必须在授权委托书上签字或者电子签名，</w:t>
      </w:r>
      <w:r>
        <w:rPr>
          <w:rFonts w:hint="eastAsia" w:ascii="仿宋" w:hAnsi="仿宋" w:eastAsia="仿宋" w:cs="仿宋"/>
          <w:b/>
          <w:color w:val="auto"/>
          <w:sz w:val="24"/>
          <w:highlight w:val="none"/>
        </w:rPr>
        <w:t>否则其响应文件按无效响应处理。</w:t>
      </w:r>
    </w:p>
    <w:p w14:paraId="5DB6EE6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bookmarkStart w:id="90" w:name="_Hlk65853109"/>
      <w:bookmarkStart w:id="91" w:name="_Hlk65853542"/>
      <w:r>
        <w:rPr>
          <w:rFonts w:hint="eastAsia" w:ascii="仿宋" w:hAnsi="仿宋" w:eastAsia="仿宋" w:cs="仿宋"/>
          <w:color w:val="auto"/>
          <w:sz w:val="24"/>
          <w:highlight w:val="none"/>
        </w:rPr>
        <w:t>法人、其他组织竞标时“我方”是指“我单位”，自然人竞标时“我方”是指“本人”。</w:t>
      </w:r>
      <w:bookmarkEnd w:id="90"/>
    </w:p>
    <w:bookmarkEnd w:id="91"/>
    <w:p w14:paraId="327661A5">
      <w:pPr>
        <w:jc w:val="left"/>
        <w:rPr>
          <w:color w:val="auto"/>
          <w:highlight w:val="none"/>
        </w:rPr>
      </w:pPr>
    </w:p>
    <w:p w14:paraId="3C223AAC">
      <w:pPr>
        <w:rPr>
          <w:color w:val="auto"/>
          <w:highlight w:val="none"/>
        </w:rPr>
      </w:pPr>
    </w:p>
    <w:p w14:paraId="415F7950">
      <w:pPr>
        <w:rPr>
          <w:color w:val="auto"/>
          <w:spacing w:val="10"/>
          <w:sz w:val="24"/>
          <w:highlight w:val="none"/>
        </w:rPr>
      </w:pPr>
    </w:p>
    <w:p w14:paraId="012E8274">
      <w:pPr>
        <w:rPr>
          <w:color w:val="auto"/>
          <w:spacing w:val="10"/>
          <w:sz w:val="24"/>
          <w:highlight w:val="none"/>
        </w:rPr>
      </w:pPr>
    </w:p>
    <w:p w14:paraId="3FA6C3A2">
      <w:pPr>
        <w:rPr>
          <w:color w:val="auto"/>
          <w:spacing w:val="10"/>
          <w:sz w:val="24"/>
          <w:highlight w:val="none"/>
        </w:rPr>
      </w:pPr>
    </w:p>
    <w:p w14:paraId="0D09B7A5">
      <w:pPr>
        <w:pStyle w:val="2"/>
        <w:rPr>
          <w:color w:val="auto"/>
          <w:highlight w:val="none"/>
        </w:rPr>
      </w:pPr>
    </w:p>
    <w:p w14:paraId="6F8133E2">
      <w:pPr>
        <w:pStyle w:val="2"/>
        <w:rPr>
          <w:color w:val="auto"/>
          <w:highlight w:val="none"/>
        </w:rPr>
      </w:pPr>
    </w:p>
    <w:p w14:paraId="40473BF4">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18E28535">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4388D649">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254DFAA">
      <w:pPr>
        <w:spacing w:line="500" w:lineRule="exact"/>
        <w:jc w:val="center"/>
        <w:rPr>
          <w:rFonts w:ascii="方正小标宋简体" w:hAnsi="方正小标宋简体" w:eastAsia="方正小标宋简体" w:cs="方正小标宋简体"/>
          <w:color w:val="auto"/>
          <w:sz w:val="44"/>
          <w:szCs w:val="44"/>
          <w:highlight w:val="none"/>
        </w:rPr>
      </w:pPr>
    </w:p>
    <w:p w14:paraId="4C9B14A9">
      <w:pPr>
        <w:spacing w:line="500" w:lineRule="exact"/>
        <w:jc w:val="center"/>
        <w:rPr>
          <w:rFonts w:ascii="仿宋_GB2312" w:hAnsi="仿宋_GB2312" w:eastAsia="仿宋_GB2312" w:cs="仿宋_GB2312"/>
          <w:color w:val="auto"/>
          <w:sz w:val="32"/>
          <w:szCs w:val="32"/>
          <w:highlight w:val="none"/>
        </w:rPr>
      </w:pPr>
    </w:p>
    <w:p w14:paraId="20C29FE2">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5CFB554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DB970A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27AA85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8D94BE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72F0837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1028F5E7">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牵头人名称（电子签章）：</w:t>
      </w:r>
    </w:p>
    <w:p w14:paraId="4B6F601A">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D604161">
      <w:pPr>
        <w:spacing w:line="360" w:lineRule="auto"/>
        <w:contextualSpacing/>
        <w:rPr>
          <w:rFonts w:ascii="宋体" w:hAnsi="宋体" w:cs="仿宋_GB2312"/>
          <w:color w:val="auto"/>
          <w:sz w:val="24"/>
          <w:highlight w:val="none"/>
        </w:rPr>
      </w:pPr>
    </w:p>
    <w:p w14:paraId="3DBE90A7">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7DD71A8D">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7FB2CBE">
      <w:pPr>
        <w:spacing w:line="360" w:lineRule="auto"/>
        <w:contextualSpacing/>
        <w:rPr>
          <w:rFonts w:ascii="宋体" w:hAnsi="宋体" w:cs="仿宋_GB2312"/>
          <w:color w:val="auto"/>
          <w:sz w:val="24"/>
          <w:highlight w:val="none"/>
        </w:rPr>
      </w:pPr>
    </w:p>
    <w:p w14:paraId="209628B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A343E5C">
      <w:pP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9"/>
    <w:p w14:paraId="7215B188">
      <w:pPr>
        <w:spacing w:line="500" w:lineRule="exact"/>
        <w:rPr>
          <w:rFonts w:ascii="仿宋" w:hAnsi="仿宋" w:eastAsia="仿宋" w:cs="仿宋"/>
          <w:bCs/>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44"/>
          <w:szCs w:val="44"/>
          <w:highlight w:val="none"/>
        </w:rPr>
        <w:t>商务要求偏离表格式</w:t>
      </w:r>
    </w:p>
    <w:p w14:paraId="3A06F27C">
      <w:pPr>
        <w:spacing w:line="500" w:lineRule="exact"/>
        <w:jc w:val="center"/>
        <w:rPr>
          <w:rFonts w:ascii="仿宋" w:hAnsi="仿宋" w:eastAsia="仿宋" w:cs="仿宋"/>
          <w:b/>
          <w:i/>
          <w:color w:val="auto"/>
          <w:sz w:val="32"/>
          <w:szCs w:val="32"/>
          <w:highlight w:val="none"/>
        </w:rPr>
      </w:pPr>
      <w:r>
        <w:rPr>
          <w:rFonts w:hint="eastAsia" w:ascii="仿宋" w:hAnsi="仿宋" w:eastAsia="仿宋" w:cs="仿宋"/>
          <w:bCs/>
          <w:i/>
          <w:color w:val="auto"/>
          <w:sz w:val="32"/>
          <w:szCs w:val="32"/>
          <w:highlight w:val="none"/>
        </w:rPr>
        <w:t>（注：按采购需求具体条款修改）</w:t>
      </w:r>
    </w:p>
    <w:p w14:paraId="10895509">
      <w:pPr>
        <w:spacing w:line="360" w:lineRule="auto"/>
        <w:contextualSpacing/>
        <w:jc w:val="left"/>
        <w:rPr>
          <w:rFonts w:ascii="仿宋" w:hAnsi="仿宋" w:eastAsia="仿宋" w:cs="仿宋"/>
          <w:color w:val="auto"/>
          <w:sz w:val="24"/>
          <w:highlight w:val="none"/>
        </w:rPr>
      </w:pPr>
    </w:p>
    <w:p w14:paraId="243CAD2A">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p>
    <w:p w14:paraId="705E078C">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4F7FB944">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p>
    <w:p w14:paraId="6ACBB14F">
      <w:pPr>
        <w:spacing w:line="360" w:lineRule="auto"/>
        <w:contextualSpacing/>
        <w:jc w:val="left"/>
        <w:rPr>
          <w:rFonts w:ascii="仿宋" w:hAnsi="仿宋" w:eastAsia="仿宋" w:cs="仿宋"/>
          <w:color w:val="auto"/>
          <w:sz w:val="24"/>
          <w:highlight w:val="none"/>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AEE3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75F6C279">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1D8FC62">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B8051CE">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3AF088B">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131B0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7B6C03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服务期限和成果文件交付地点</w:t>
            </w:r>
          </w:p>
        </w:tc>
        <w:tc>
          <w:tcPr>
            <w:tcW w:w="2668" w:type="dxa"/>
            <w:tcBorders>
              <w:top w:val="single" w:color="auto" w:sz="4" w:space="0"/>
              <w:left w:val="single" w:color="auto" w:sz="4" w:space="0"/>
              <w:bottom w:val="single" w:color="auto" w:sz="4" w:space="0"/>
              <w:right w:val="single" w:color="auto" w:sz="4" w:space="0"/>
            </w:tcBorders>
            <w:vAlign w:val="center"/>
          </w:tcPr>
          <w:p w14:paraId="66D152DC">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82F7128">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BFC8A33">
            <w:pPr>
              <w:spacing w:line="360" w:lineRule="auto"/>
              <w:contextualSpacing/>
              <w:jc w:val="center"/>
              <w:rPr>
                <w:rFonts w:ascii="仿宋" w:hAnsi="仿宋" w:eastAsia="仿宋" w:cs="仿宋"/>
                <w:color w:val="auto"/>
                <w:sz w:val="24"/>
                <w:highlight w:val="none"/>
              </w:rPr>
            </w:pPr>
          </w:p>
        </w:tc>
      </w:tr>
      <w:tr w14:paraId="6B644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77C7293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0BF5EB1">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80EF18">
            <w:pPr>
              <w:spacing w:line="360" w:lineRule="auto"/>
              <w:ind w:left="43"/>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545DC34">
            <w:pPr>
              <w:spacing w:line="360" w:lineRule="auto"/>
              <w:ind w:left="43"/>
              <w:contextualSpacing/>
              <w:jc w:val="center"/>
              <w:rPr>
                <w:rFonts w:ascii="仿宋" w:hAnsi="仿宋" w:eastAsia="仿宋" w:cs="仿宋"/>
                <w:color w:val="auto"/>
                <w:sz w:val="24"/>
                <w:highlight w:val="none"/>
              </w:rPr>
            </w:pPr>
          </w:p>
        </w:tc>
      </w:tr>
      <w:tr w14:paraId="6B326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365D3EC">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0A82237A">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D165D3C">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22D23E5">
            <w:pPr>
              <w:spacing w:line="360" w:lineRule="auto"/>
              <w:contextualSpacing/>
              <w:jc w:val="center"/>
              <w:rPr>
                <w:rFonts w:ascii="仿宋" w:hAnsi="仿宋" w:eastAsia="仿宋" w:cs="仿宋"/>
                <w:color w:val="auto"/>
                <w:sz w:val="24"/>
                <w:highlight w:val="none"/>
              </w:rPr>
            </w:pPr>
          </w:p>
        </w:tc>
      </w:tr>
    </w:tbl>
    <w:p w14:paraId="59D06563">
      <w:pPr>
        <w:pStyle w:val="10"/>
        <w:spacing w:after="0" w:line="360" w:lineRule="auto"/>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0D9A55C1">
      <w:pPr>
        <w:pStyle w:val="10"/>
        <w:spacing w:after="0" w:line="360" w:lineRule="auto"/>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说明：应对照磋商文件“第三章 采购需求”中的商务要求逐条作出明确响应，并作出偏离说明。</w:t>
      </w:r>
    </w:p>
    <w:p w14:paraId="19DBCA9A">
      <w:pPr>
        <w:spacing w:line="360" w:lineRule="auto"/>
        <w:contextualSpacing/>
        <w:jc w:val="left"/>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2.供应商应根据自身的承诺，对照磋商文件要求在“偏离说明”中注明“正偏离”、“负偏离”或者“无偏离”。既不属于“正偏离”也不属于“负偏离”即为“无偏离”。</w:t>
      </w:r>
    </w:p>
    <w:p w14:paraId="31AC9AB7">
      <w:pPr>
        <w:spacing w:line="360" w:lineRule="auto"/>
        <w:ind w:right="-817" w:rightChars="-389"/>
        <w:contextualSpacing/>
        <w:rPr>
          <w:rFonts w:ascii="仿宋" w:hAnsi="仿宋" w:eastAsia="仿宋" w:cs="仿宋"/>
          <w:color w:val="auto"/>
          <w:sz w:val="24"/>
          <w:highlight w:val="none"/>
        </w:rPr>
      </w:pPr>
    </w:p>
    <w:p w14:paraId="4041116B">
      <w:pPr>
        <w:spacing w:line="360" w:lineRule="auto"/>
        <w:ind w:right="-817" w:rightChars="-389"/>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法定代表人或者委托代理人（签字或者电子签名）：</w:t>
      </w:r>
    </w:p>
    <w:p w14:paraId="5E256F15">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58F9F86F">
      <w:pPr>
        <w:spacing w:line="360" w:lineRule="auto"/>
        <w:ind w:right="-817" w:rightChars="-389" w:firstLine="4080" w:firstLineChars="1700"/>
        <w:contextualSpacing/>
        <w:rPr>
          <w:rFonts w:ascii="仿宋" w:hAnsi="仿宋" w:eastAsia="仿宋" w:cs="仿宋"/>
          <w:b/>
          <w:color w:val="auto"/>
          <w:sz w:val="32"/>
          <w:szCs w:val="32"/>
          <w:highlight w:val="none"/>
        </w:rPr>
      </w:pPr>
      <w:r>
        <w:rPr>
          <w:rFonts w:hint="eastAsia" w:ascii="仿宋" w:hAnsi="仿宋" w:eastAsia="仿宋" w:cs="仿宋"/>
          <w:color w:val="auto"/>
          <w:sz w:val="24"/>
          <w:highlight w:val="none"/>
        </w:rPr>
        <w:t>日期：   年   月   日</w:t>
      </w:r>
    </w:p>
    <w:p w14:paraId="5500444B">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0614DAB0">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75AFE7D0">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3167D459">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2EAD43CE">
      <w:pPr>
        <w:adjustRightInd w:val="0"/>
        <w:snapToGrid w:val="0"/>
        <w:spacing w:line="520" w:lineRule="exact"/>
        <w:rPr>
          <w:rFonts w:ascii="仿宋" w:hAnsi="仿宋" w:eastAsia="仿宋" w:cs="仿宋"/>
          <w:color w:val="auto"/>
          <w:szCs w:val="21"/>
          <w:highlight w:val="none"/>
          <w:u w:val="single"/>
        </w:rPr>
      </w:pPr>
    </w:p>
    <w:p w14:paraId="10837948">
      <w:pPr>
        <w:adjustRightInd w:val="0"/>
        <w:snapToGrid w:val="0"/>
        <w:spacing w:line="30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技术要求偏离表</w:t>
      </w:r>
    </w:p>
    <w:p w14:paraId="6E3B044A">
      <w:pPr>
        <w:spacing w:line="520" w:lineRule="exact"/>
        <w:rPr>
          <w:rFonts w:ascii="仿宋" w:hAnsi="仿宋" w:eastAsia="仿宋" w:cs="仿宋"/>
          <w:color w:val="auto"/>
          <w:sz w:val="32"/>
          <w:szCs w:val="32"/>
          <w:highlight w:val="none"/>
        </w:rPr>
      </w:pPr>
    </w:p>
    <w:p w14:paraId="50FAD414">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p>
    <w:p w14:paraId="60F29F40">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15F083A0">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858"/>
        <w:gridCol w:w="2849"/>
        <w:gridCol w:w="2564"/>
        <w:gridCol w:w="1399"/>
      </w:tblGrid>
      <w:tr w14:paraId="0C1D6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B5AF7DD">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92" w:name="_Toc383699906"/>
            <w:bookmarkStart w:id="93" w:name="_Toc254970588"/>
            <w:bookmarkStart w:id="94" w:name="_Toc254970729"/>
            <w:bookmarkStart w:id="95" w:name="_Toc295404981"/>
            <w:bookmarkStart w:id="96" w:name="_Toc173211900"/>
            <w:bookmarkStart w:id="97" w:name="_Toc373333689"/>
            <w:bookmarkStart w:id="98" w:name="_Toc297193185"/>
            <w:bookmarkStart w:id="99" w:name="_Toc173066401"/>
            <w:bookmarkStart w:id="100" w:name="_Toc301781611"/>
            <w:r>
              <w:rPr>
                <w:rFonts w:hint="eastAsia" w:ascii="仿宋" w:hAnsi="仿宋" w:eastAsia="仿宋" w:cs="仿宋"/>
                <w:color w:val="auto"/>
                <w:kern w:val="2"/>
                <w:sz w:val="24"/>
                <w:szCs w:val="24"/>
                <w:highlight w:val="none"/>
              </w:rPr>
              <w:t>序号</w:t>
            </w:r>
            <w:bookmarkEnd w:id="92"/>
            <w:bookmarkEnd w:id="93"/>
            <w:bookmarkEnd w:id="94"/>
            <w:bookmarkEnd w:id="95"/>
            <w:bookmarkEnd w:id="96"/>
            <w:bookmarkEnd w:id="97"/>
            <w:bookmarkEnd w:id="98"/>
            <w:bookmarkEnd w:id="99"/>
            <w:bookmarkEnd w:id="100"/>
          </w:p>
        </w:tc>
        <w:tc>
          <w:tcPr>
            <w:tcW w:w="503" w:type="pct"/>
            <w:tcBorders>
              <w:right w:val="single" w:color="auto" w:sz="4" w:space="0"/>
            </w:tcBorders>
            <w:vAlign w:val="center"/>
          </w:tcPr>
          <w:p w14:paraId="20CF494E">
            <w:pPr>
              <w:pStyle w:val="12"/>
              <w:spacing w:line="360" w:lineRule="auto"/>
              <w:ind w:firstLine="0" w:firstLineChars="0"/>
              <w:contextualSpacing/>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1670" w:type="pct"/>
            <w:tcBorders>
              <w:left w:val="single" w:color="auto" w:sz="4" w:space="0"/>
            </w:tcBorders>
            <w:vAlign w:val="center"/>
          </w:tcPr>
          <w:p w14:paraId="1E695F16">
            <w:pPr>
              <w:pStyle w:val="12"/>
              <w:spacing w:line="360" w:lineRule="auto"/>
              <w:ind w:firstLine="0" w:firstLineChars="0"/>
              <w:contextualSpacing/>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磋商文件技术要求</w:t>
            </w:r>
          </w:p>
        </w:tc>
        <w:tc>
          <w:tcPr>
            <w:tcW w:w="1503" w:type="pct"/>
            <w:vAlign w:val="center"/>
          </w:tcPr>
          <w:p w14:paraId="11C862B1">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01" w:name="_Toc254970590"/>
            <w:bookmarkStart w:id="102" w:name="_Toc373333691"/>
            <w:bookmarkStart w:id="103" w:name="_Toc383699908"/>
            <w:bookmarkStart w:id="104" w:name="_Toc297193187"/>
            <w:bookmarkStart w:id="105" w:name="_Toc254970731"/>
            <w:bookmarkStart w:id="106" w:name="_Toc295404983"/>
            <w:bookmarkStart w:id="107" w:name="_Toc173211902"/>
            <w:bookmarkStart w:id="108" w:name="_Toc173066403"/>
            <w:bookmarkStart w:id="109" w:name="_Toc301781613"/>
            <w:r>
              <w:rPr>
                <w:rFonts w:hint="eastAsia" w:ascii="仿宋" w:hAnsi="仿宋" w:eastAsia="仿宋" w:cs="仿宋"/>
                <w:color w:val="auto"/>
                <w:kern w:val="2"/>
                <w:sz w:val="24"/>
                <w:szCs w:val="24"/>
                <w:highlight w:val="none"/>
              </w:rPr>
              <w:t>竞标响应</w:t>
            </w:r>
            <w:bookmarkEnd w:id="101"/>
            <w:bookmarkEnd w:id="102"/>
            <w:bookmarkEnd w:id="103"/>
            <w:bookmarkEnd w:id="104"/>
            <w:bookmarkEnd w:id="105"/>
            <w:bookmarkEnd w:id="106"/>
            <w:bookmarkEnd w:id="107"/>
            <w:bookmarkEnd w:id="108"/>
            <w:bookmarkEnd w:id="109"/>
          </w:p>
        </w:tc>
        <w:tc>
          <w:tcPr>
            <w:tcW w:w="820" w:type="pct"/>
            <w:vAlign w:val="center"/>
          </w:tcPr>
          <w:p w14:paraId="302676BA">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10" w:name="_Toc254970732"/>
            <w:bookmarkStart w:id="111" w:name="_Toc297193188"/>
            <w:bookmarkStart w:id="112" w:name="_Toc295404984"/>
            <w:bookmarkStart w:id="113" w:name="_Toc373333692"/>
            <w:bookmarkStart w:id="114" w:name="_Toc383699909"/>
            <w:bookmarkStart w:id="115" w:name="_Toc301781614"/>
            <w:bookmarkStart w:id="116" w:name="_Toc173066404"/>
            <w:bookmarkStart w:id="117" w:name="_Toc254970591"/>
            <w:bookmarkStart w:id="118" w:name="_Toc173211903"/>
            <w:r>
              <w:rPr>
                <w:rFonts w:hint="eastAsia" w:ascii="仿宋" w:hAnsi="仿宋" w:eastAsia="仿宋" w:cs="仿宋"/>
                <w:color w:val="auto"/>
                <w:kern w:val="2"/>
                <w:sz w:val="24"/>
                <w:szCs w:val="24"/>
                <w:highlight w:val="none"/>
              </w:rPr>
              <w:t>偏离</w:t>
            </w:r>
            <w:bookmarkEnd w:id="110"/>
            <w:bookmarkEnd w:id="111"/>
            <w:bookmarkEnd w:id="112"/>
            <w:bookmarkEnd w:id="113"/>
            <w:bookmarkEnd w:id="114"/>
            <w:bookmarkEnd w:id="115"/>
            <w:bookmarkEnd w:id="116"/>
            <w:bookmarkEnd w:id="117"/>
            <w:bookmarkEnd w:id="118"/>
            <w:bookmarkStart w:id="119" w:name="_Toc173066405"/>
            <w:bookmarkStart w:id="120" w:name="_Toc373333693"/>
            <w:bookmarkStart w:id="121" w:name="_Toc254970733"/>
            <w:bookmarkStart w:id="122" w:name="_Toc301781615"/>
            <w:bookmarkStart w:id="123" w:name="_Toc383699910"/>
            <w:bookmarkStart w:id="124" w:name="_Toc295404985"/>
            <w:bookmarkStart w:id="125" w:name="_Toc254970592"/>
            <w:bookmarkStart w:id="126" w:name="_Toc297193189"/>
            <w:bookmarkStart w:id="127" w:name="_Toc173211904"/>
            <w:r>
              <w:rPr>
                <w:rFonts w:hint="eastAsia" w:ascii="仿宋" w:hAnsi="仿宋" w:eastAsia="仿宋" w:cs="仿宋"/>
                <w:color w:val="auto"/>
                <w:kern w:val="2"/>
                <w:sz w:val="24"/>
                <w:szCs w:val="24"/>
                <w:highlight w:val="none"/>
              </w:rPr>
              <w:t>说明</w:t>
            </w:r>
            <w:bookmarkEnd w:id="119"/>
            <w:bookmarkEnd w:id="120"/>
            <w:bookmarkEnd w:id="121"/>
            <w:bookmarkEnd w:id="122"/>
            <w:bookmarkEnd w:id="123"/>
            <w:bookmarkEnd w:id="124"/>
            <w:bookmarkEnd w:id="125"/>
            <w:bookmarkEnd w:id="126"/>
            <w:bookmarkEnd w:id="127"/>
          </w:p>
        </w:tc>
      </w:tr>
      <w:tr w14:paraId="305446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E796B5D">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28" w:name="_Toc254970734"/>
            <w:bookmarkStart w:id="129" w:name="_Toc383699911"/>
            <w:bookmarkStart w:id="130" w:name="_Toc173211905"/>
            <w:bookmarkStart w:id="131" w:name="_Toc254970593"/>
            <w:bookmarkStart w:id="132" w:name="_Toc297193190"/>
            <w:bookmarkStart w:id="133" w:name="_Toc173066406"/>
            <w:bookmarkStart w:id="134" w:name="_Toc373333694"/>
            <w:bookmarkStart w:id="135" w:name="_Toc301781616"/>
            <w:bookmarkStart w:id="136" w:name="_Toc295404986"/>
            <w:r>
              <w:rPr>
                <w:rFonts w:hint="eastAsia" w:ascii="仿宋" w:hAnsi="仿宋" w:eastAsia="仿宋" w:cs="仿宋"/>
                <w:color w:val="auto"/>
                <w:kern w:val="2"/>
                <w:sz w:val="24"/>
                <w:szCs w:val="24"/>
                <w:highlight w:val="none"/>
              </w:rPr>
              <w:t>1</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vAlign w:val="center"/>
          </w:tcPr>
          <w:p w14:paraId="1B51B8FA">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0750E19E">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1B0E121F">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vAlign w:val="center"/>
          </w:tcPr>
          <w:p w14:paraId="4DE30ECE">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r w14:paraId="07690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0C501B6">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37" w:name="_Toc254970594"/>
            <w:bookmarkStart w:id="138" w:name="_Toc173066407"/>
            <w:bookmarkStart w:id="139" w:name="_Toc173211906"/>
            <w:bookmarkStart w:id="140" w:name="_Toc295404987"/>
            <w:bookmarkStart w:id="141" w:name="_Toc297193191"/>
            <w:bookmarkStart w:id="142" w:name="_Toc383699912"/>
            <w:bookmarkStart w:id="143" w:name="_Toc373333695"/>
            <w:bookmarkStart w:id="144" w:name="_Toc254970735"/>
            <w:bookmarkStart w:id="145" w:name="_Toc301781617"/>
            <w:r>
              <w:rPr>
                <w:rFonts w:hint="eastAsia" w:ascii="仿宋" w:hAnsi="仿宋" w:eastAsia="仿宋" w:cs="仿宋"/>
                <w:color w:val="auto"/>
                <w:kern w:val="2"/>
                <w:sz w:val="24"/>
                <w:szCs w:val="24"/>
                <w:highlight w:val="none"/>
              </w:rPr>
              <w:t>2</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vAlign w:val="center"/>
          </w:tcPr>
          <w:p w14:paraId="51C5A4FE">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3A4AA528">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7A246618">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vAlign w:val="center"/>
          </w:tcPr>
          <w:p w14:paraId="1CCA3946">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r w14:paraId="2F459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90C715C">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46" w:name="_Toc295404988"/>
            <w:bookmarkStart w:id="147" w:name="_Toc301781618"/>
            <w:bookmarkStart w:id="148" w:name="_Toc173211907"/>
            <w:bookmarkStart w:id="149" w:name="_Toc373333696"/>
            <w:bookmarkStart w:id="150" w:name="_Toc383699913"/>
            <w:bookmarkStart w:id="151" w:name="_Toc173066408"/>
            <w:bookmarkStart w:id="152" w:name="_Toc297193192"/>
            <w:bookmarkStart w:id="153" w:name="_Toc254970736"/>
            <w:bookmarkStart w:id="154" w:name="_Toc254970595"/>
            <w:r>
              <w:rPr>
                <w:rFonts w:hint="eastAsia" w:ascii="仿宋" w:hAnsi="仿宋" w:eastAsia="仿宋" w:cs="仿宋"/>
                <w:color w:val="auto"/>
                <w:kern w:val="2"/>
                <w:sz w:val="24"/>
                <w:szCs w:val="24"/>
                <w:highlight w:val="none"/>
              </w:rPr>
              <w:t>3</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vAlign w:val="center"/>
          </w:tcPr>
          <w:p w14:paraId="581D8241">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343763F8">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763A969C">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vAlign w:val="center"/>
          </w:tcPr>
          <w:p w14:paraId="18E1017D">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r w14:paraId="11053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398B4A4">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55" w:name="_Toc254970737"/>
            <w:bookmarkStart w:id="156" w:name="_Toc173066409"/>
            <w:bookmarkStart w:id="157" w:name="_Toc173211908"/>
            <w:bookmarkStart w:id="158" w:name="_Toc297193193"/>
            <w:bookmarkStart w:id="159" w:name="_Toc383699914"/>
            <w:bookmarkStart w:id="160" w:name="_Toc295404989"/>
            <w:bookmarkStart w:id="161" w:name="_Toc301781619"/>
            <w:bookmarkStart w:id="162" w:name="_Toc373333697"/>
            <w:bookmarkStart w:id="163" w:name="_Toc254970596"/>
            <w:r>
              <w:rPr>
                <w:rFonts w:hint="eastAsia" w:ascii="仿宋" w:hAnsi="仿宋" w:eastAsia="仿宋" w:cs="仿宋"/>
                <w:color w:val="auto"/>
                <w:kern w:val="2"/>
                <w:sz w:val="24"/>
                <w:szCs w:val="24"/>
                <w:highlight w:val="none"/>
              </w:rPr>
              <w:t>4</w:t>
            </w:r>
            <w:bookmarkEnd w:id="155"/>
            <w:bookmarkEnd w:id="156"/>
            <w:bookmarkEnd w:id="157"/>
            <w:bookmarkEnd w:id="158"/>
            <w:bookmarkEnd w:id="159"/>
            <w:bookmarkEnd w:id="160"/>
            <w:bookmarkEnd w:id="161"/>
            <w:bookmarkEnd w:id="162"/>
            <w:bookmarkEnd w:id="163"/>
          </w:p>
        </w:tc>
        <w:tc>
          <w:tcPr>
            <w:tcW w:w="503" w:type="pct"/>
            <w:tcBorders>
              <w:right w:val="single" w:color="auto" w:sz="4" w:space="0"/>
            </w:tcBorders>
            <w:vAlign w:val="center"/>
          </w:tcPr>
          <w:p w14:paraId="32FC336E">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3BC19C8C">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205FFEEA">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vAlign w:val="center"/>
          </w:tcPr>
          <w:p w14:paraId="4E8C9478">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r w14:paraId="346D6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76F7B75">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64" w:name="_Toc373333698"/>
            <w:bookmarkStart w:id="165" w:name="_Toc173066410"/>
            <w:bookmarkStart w:id="166" w:name="_Toc173211909"/>
            <w:bookmarkStart w:id="167" w:name="_Toc297193194"/>
            <w:bookmarkStart w:id="168" w:name="_Toc254970738"/>
            <w:bookmarkStart w:id="169" w:name="_Toc254970597"/>
            <w:bookmarkStart w:id="170" w:name="_Toc383699915"/>
            <w:bookmarkStart w:id="171" w:name="_Toc295404990"/>
            <w:bookmarkStart w:id="172" w:name="_Toc301781620"/>
            <w:r>
              <w:rPr>
                <w:rFonts w:hint="eastAsia" w:ascii="仿宋" w:hAnsi="仿宋" w:eastAsia="仿宋" w:cs="仿宋"/>
                <w:color w:val="auto"/>
                <w:kern w:val="2"/>
                <w:sz w:val="24"/>
                <w:szCs w:val="24"/>
                <w:highlight w:val="none"/>
              </w:rPr>
              <w:t>5</w:t>
            </w:r>
            <w:bookmarkEnd w:id="164"/>
            <w:bookmarkEnd w:id="165"/>
            <w:bookmarkEnd w:id="166"/>
            <w:bookmarkEnd w:id="167"/>
            <w:bookmarkEnd w:id="168"/>
            <w:bookmarkEnd w:id="169"/>
            <w:bookmarkEnd w:id="170"/>
            <w:bookmarkEnd w:id="171"/>
            <w:bookmarkEnd w:id="172"/>
          </w:p>
        </w:tc>
        <w:tc>
          <w:tcPr>
            <w:tcW w:w="503" w:type="pct"/>
            <w:tcBorders>
              <w:right w:val="single" w:color="auto" w:sz="4" w:space="0"/>
            </w:tcBorders>
            <w:vAlign w:val="center"/>
          </w:tcPr>
          <w:p w14:paraId="0280619F">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2D2C3139">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237489CD">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vAlign w:val="center"/>
          </w:tcPr>
          <w:p w14:paraId="2AAAC39F">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r w14:paraId="0732F5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54994FA3">
            <w:pPr>
              <w:pStyle w:val="12"/>
              <w:spacing w:line="360" w:lineRule="auto"/>
              <w:ind w:firstLine="0" w:firstLineChars="0"/>
              <w:contextualSpacing/>
              <w:jc w:val="center"/>
              <w:rPr>
                <w:rFonts w:ascii="仿宋" w:hAnsi="仿宋" w:eastAsia="仿宋" w:cs="仿宋"/>
                <w:color w:val="auto"/>
                <w:kern w:val="2"/>
                <w:sz w:val="24"/>
                <w:szCs w:val="24"/>
                <w:highlight w:val="none"/>
              </w:rPr>
            </w:pPr>
            <w:bookmarkStart w:id="173" w:name="_Toc373333699"/>
            <w:bookmarkStart w:id="174" w:name="_Toc254970602"/>
            <w:bookmarkStart w:id="175" w:name="_Toc254970743"/>
            <w:bookmarkStart w:id="176" w:name="_Toc173066415"/>
            <w:bookmarkStart w:id="177" w:name="_Toc173211914"/>
            <w:bookmarkStart w:id="178" w:name="_Toc301781621"/>
            <w:bookmarkStart w:id="179" w:name="_Toc295404991"/>
            <w:bookmarkStart w:id="180" w:name="_Toc297193195"/>
            <w:bookmarkStart w:id="181" w:name="_Toc383699916"/>
            <w:r>
              <w:rPr>
                <w:rFonts w:hint="eastAsia" w:ascii="仿宋" w:hAnsi="仿宋" w:eastAsia="仿宋" w:cs="仿宋"/>
                <w:color w:val="auto"/>
                <w:kern w:val="2"/>
                <w:sz w:val="24"/>
                <w:szCs w:val="24"/>
                <w:highlight w:val="none"/>
              </w:rPr>
              <w:t>…</w:t>
            </w:r>
            <w:bookmarkEnd w:id="173"/>
            <w:bookmarkEnd w:id="174"/>
            <w:bookmarkEnd w:id="175"/>
            <w:bookmarkEnd w:id="176"/>
            <w:bookmarkEnd w:id="177"/>
            <w:bookmarkEnd w:id="178"/>
            <w:bookmarkEnd w:id="179"/>
            <w:bookmarkEnd w:id="180"/>
            <w:bookmarkEnd w:id="181"/>
          </w:p>
        </w:tc>
        <w:tc>
          <w:tcPr>
            <w:tcW w:w="503" w:type="pct"/>
            <w:tcBorders>
              <w:right w:val="single" w:color="auto" w:sz="4" w:space="0"/>
            </w:tcBorders>
            <w:vAlign w:val="center"/>
          </w:tcPr>
          <w:p w14:paraId="0B393552">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670" w:type="pct"/>
            <w:tcBorders>
              <w:left w:val="single" w:color="auto" w:sz="4" w:space="0"/>
            </w:tcBorders>
            <w:vAlign w:val="center"/>
          </w:tcPr>
          <w:p w14:paraId="65E420E1">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1503" w:type="pct"/>
            <w:vAlign w:val="center"/>
          </w:tcPr>
          <w:p w14:paraId="3D547BC6">
            <w:pPr>
              <w:pStyle w:val="12"/>
              <w:spacing w:line="360" w:lineRule="auto"/>
              <w:ind w:firstLine="0" w:firstLineChars="0"/>
              <w:contextualSpacing/>
              <w:jc w:val="center"/>
              <w:rPr>
                <w:rFonts w:ascii="仿宋" w:hAnsi="仿宋" w:eastAsia="仿宋" w:cs="仿宋"/>
                <w:color w:val="auto"/>
                <w:kern w:val="2"/>
                <w:sz w:val="24"/>
                <w:szCs w:val="24"/>
                <w:highlight w:val="none"/>
              </w:rPr>
            </w:pPr>
          </w:p>
        </w:tc>
        <w:tc>
          <w:tcPr>
            <w:tcW w:w="820" w:type="pct"/>
            <w:tcBorders>
              <w:right w:val="single" w:color="auto" w:sz="4" w:space="0"/>
            </w:tcBorders>
            <w:vAlign w:val="center"/>
          </w:tcPr>
          <w:p w14:paraId="104FA9E7">
            <w:pPr>
              <w:pStyle w:val="12"/>
              <w:spacing w:line="360" w:lineRule="auto"/>
              <w:ind w:firstLine="0" w:firstLineChars="0"/>
              <w:contextualSpacing/>
              <w:jc w:val="center"/>
              <w:rPr>
                <w:rFonts w:ascii="仿宋" w:hAnsi="仿宋" w:eastAsia="仿宋" w:cs="仿宋"/>
                <w:color w:val="auto"/>
                <w:kern w:val="2"/>
                <w:sz w:val="24"/>
                <w:szCs w:val="24"/>
                <w:highlight w:val="none"/>
              </w:rPr>
            </w:pPr>
          </w:p>
        </w:tc>
      </w:tr>
    </w:tbl>
    <w:p w14:paraId="1DDD2611">
      <w:pPr>
        <w:adjustRightInd w:val="0"/>
        <w:spacing w:line="360" w:lineRule="auto"/>
        <w:contextualSpacing/>
        <w:rPr>
          <w:rFonts w:ascii="仿宋" w:hAnsi="仿宋" w:eastAsia="仿宋" w:cs="仿宋"/>
          <w:color w:val="auto"/>
          <w:sz w:val="24"/>
          <w:highlight w:val="none"/>
        </w:rPr>
      </w:pPr>
    </w:p>
    <w:p w14:paraId="51D35BE0">
      <w:pPr>
        <w:pStyle w:val="12"/>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89AD3A6">
      <w:pPr>
        <w:pStyle w:val="12"/>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说明：应对照磋商文件“第三章 采购需求”中的技术要求逐条作出明确响应，并作出偏离说明。</w:t>
      </w:r>
    </w:p>
    <w:p w14:paraId="099EFCEC">
      <w:pPr>
        <w:pStyle w:val="12"/>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w:t>
      </w:r>
    </w:p>
    <w:p w14:paraId="636EEEB6">
      <w:pPr>
        <w:spacing w:line="360" w:lineRule="auto"/>
        <w:ind w:right="-817" w:rightChars="-389"/>
        <w:contextualSpacing/>
        <w:rPr>
          <w:rFonts w:ascii="仿宋" w:hAnsi="仿宋" w:eastAsia="仿宋" w:cs="仿宋"/>
          <w:color w:val="auto"/>
          <w:sz w:val="24"/>
          <w:highlight w:val="none"/>
        </w:rPr>
      </w:pPr>
    </w:p>
    <w:p w14:paraId="2D82A9B6">
      <w:pPr>
        <w:spacing w:line="360" w:lineRule="auto"/>
        <w:ind w:right="-817" w:rightChars="-389"/>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法定代表人或者委托代理人（签字或者电子签名）：</w:t>
      </w:r>
    </w:p>
    <w:p w14:paraId="15E03C59">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4E065BCA">
      <w:pPr>
        <w:spacing w:line="360" w:lineRule="auto"/>
        <w:ind w:right="-817" w:rightChars="-389" w:firstLine="4080" w:firstLineChars="17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5792362">
      <w:pPr>
        <w:snapToGrid w:val="0"/>
        <w:spacing w:beforeLines="50" w:after="50"/>
        <w:ind w:left="142"/>
        <w:jc w:val="left"/>
        <w:rPr>
          <w:rFonts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项目实施人员一览表格式</w:t>
      </w:r>
    </w:p>
    <w:p w14:paraId="79843915">
      <w:pPr>
        <w:snapToGrid w:val="0"/>
        <w:spacing w:beforeLines="50" w:after="50"/>
        <w:ind w:left="142"/>
        <w:jc w:val="left"/>
        <w:rPr>
          <w:rFonts w:ascii="仿宋" w:hAnsi="仿宋" w:eastAsia="仿宋" w:cs="仿宋"/>
          <w:b/>
          <w:color w:val="auto"/>
          <w:sz w:val="24"/>
          <w:highlight w:val="none"/>
        </w:rPr>
      </w:pPr>
    </w:p>
    <w:p w14:paraId="623535C2">
      <w:pPr>
        <w:spacing w:line="360" w:lineRule="auto"/>
        <w:ind w:left="142"/>
        <w:contextualSpacing/>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61331183">
      <w:pPr>
        <w:pStyle w:val="14"/>
        <w:spacing w:line="360" w:lineRule="auto"/>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所竞分标：分标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3FB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B599E0">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09" w:type="dxa"/>
            <w:vAlign w:val="center"/>
          </w:tcPr>
          <w:p w14:paraId="5987AD03">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1701" w:type="dxa"/>
            <w:vAlign w:val="center"/>
          </w:tcPr>
          <w:p w14:paraId="1C85A300">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420" w:type="dxa"/>
            <w:vAlign w:val="center"/>
          </w:tcPr>
          <w:p w14:paraId="2F41CFBE">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698" w:type="dxa"/>
            <w:vAlign w:val="center"/>
          </w:tcPr>
          <w:p w14:paraId="0F02CE34">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3F0D3FD4">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1843" w:type="dxa"/>
            <w:vAlign w:val="center"/>
          </w:tcPr>
          <w:p w14:paraId="1DE6DA2C">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tc>
      </w:tr>
      <w:tr w14:paraId="56F2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D4BE3E">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2B439268">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189F3B3B">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0F85FBA6">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1817480D">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09C41B0A">
            <w:pPr>
              <w:spacing w:line="360" w:lineRule="auto"/>
              <w:contextualSpacing/>
              <w:jc w:val="center"/>
              <w:rPr>
                <w:rFonts w:ascii="仿宋" w:hAnsi="仿宋" w:eastAsia="仿宋" w:cs="仿宋"/>
                <w:color w:val="auto"/>
                <w:sz w:val="24"/>
                <w:szCs w:val="20"/>
                <w:highlight w:val="none"/>
              </w:rPr>
            </w:pPr>
          </w:p>
        </w:tc>
      </w:tr>
      <w:tr w14:paraId="2551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4DD2FA">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30587223">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6717692F">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01AB5CFC">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77FDA66F">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5D05C664">
            <w:pPr>
              <w:spacing w:line="360" w:lineRule="auto"/>
              <w:contextualSpacing/>
              <w:jc w:val="center"/>
              <w:rPr>
                <w:rFonts w:ascii="仿宋" w:hAnsi="仿宋" w:eastAsia="仿宋" w:cs="仿宋"/>
                <w:color w:val="auto"/>
                <w:sz w:val="24"/>
                <w:szCs w:val="20"/>
                <w:highlight w:val="none"/>
              </w:rPr>
            </w:pPr>
          </w:p>
        </w:tc>
      </w:tr>
      <w:tr w14:paraId="7BE8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1F1FE5">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203600BA">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6F58C0FD">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117F8D4F">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262816AE">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6C75D88D">
            <w:pPr>
              <w:spacing w:line="360" w:lineRule="auto"/>
              <w:contextualSpacing/>
              <w:jc w:val="center"/>
              <w:rPr>
                <w:rFonts w:ascii="仿宋" w:hAnsi="仿宋" w:eastAsia="仿宋" w:cs="仿宋"/>
                <w:color w:val="auto"/>
                <w:sz w:val="24"/>
                <w:szCs w:val="20"/>
                <w:highlight w:val="none"/>
              </w:rPr>
            </w:pPr>
          </w:p>
        </w:tc>
      </w:tr>
    </w:tbl>
    <w:p w14:paraId="635FFBF5">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注：</w:t>
      </w:r>
    </w:p>
    <w:p w14:paraId="5D67F5B1">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1.在填写时，如本表格不适合供应商的实际情况，可根据本表格式自行制表填写。</w:t>
      </w:r>
    </w:p>
    <w:p w14:paraId="64B2CAB3">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2.供应商应当附本表所列证书的复印件并加盖供应商电子签章。</w:t>
      </w:r>
    </w:p>
    <w:p w14:paraId="7752F889">
      <w:pPr>
        <w:spacing w:line="360" w:lineRule="auto"/>
        <w:contextualSpacing/>
        <w:rPr>
          <w:rFonts w:ascii="仿宋" w:hAnsi="仿宋" w:eastAsia="仿宋" w:cs="仿宋"/>
          <w:color w:val="auto"/>
          <w:sz w:val="24"/>
          <w:highlight w:val="none"/>
        </w:rPr>
      </w:pPr>
    </w:p>
    <w:p w14:paraId="0C375E55">
      <w:pPr>
        <w:spacing w:line="360" w:lineRule="auto"/>
        <w:contextualSpacing/>
        <w:rPr>
          <w:rFonts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p>
    <w:p w14:paraId="09B7D073">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pacing w:val="20"/>
          <w:sz w:val="24"/>
          <w:highlight w:val="none"/>
        </w:rPr>
        <w:t>供应商名称（电子签章）：           日 期：</w:t>
      </w:r>
    </w:p>
    <w:p w14:paraId="77828364">
      <w:pPr>
        <w:snapToGrid w:val="0"/>
        <w:spacing w:beforeLines="50" w:after="50"/>
        <w:jc w:val="left"/>
        <w:rPr>
          <w:rFonts w:ascii="仿宋" w:hAnsi="仿宋" w:eastAsia="仿宋" w:cs="仿宋"/>
          <w:bCs/>
          <w:color w:val="auto"/>
          <w:szCs w:val="21"/>
          <w:highlight w:val="none"/>
        </w:rPr>
      </w:pPr>
      <w:r>
        <w:rPr>
          <w:rFonts w:hint="eastAsia" w:ascii="仿宋" w:hAnsi="仿宋" w:eastAsia="仿宋" w:cs="仿宋"/>
          <w:color w:val="auto"/>
          <w:sz w:val="24"/>
          <w:szCs w:val="20"/>
          <w:highlight w:val="none"/>
        </w:rPr>
        <w:br w:type="page"/>
      </w:r>
      <w:r>
        <w:rPr>
          <w:rFonts w:hint="eastAsia" w:ascii="仿宋" w:hAnsi="仿宋" w:eastAsia="仿宋" w:cs="仿宋"/>
          <w:bCs/>
          <w:color w:val="auto"/>
          <w:szCs w:val="21"/>
          <w:highlight w:val="none"/>
        </w:rPr>
        <w:t>代理服务费承诺书（如本项目为采购人支付代理服务费的，无需提供）</w:t>
      </w:r>
    </w:p>
    <w:p w14:paraId="396D8FBC">
      <w:pPr>
        <w:snapToGrid w:val="0"/>
        <w:spacing w:beforeLines="50" w:after="50"/>
        <w:jc w:val="left"/>
        <w:rPr>
          <w:rFonts w:ascii="仿宋" w:hAnsi="仿宋" w:eastAsia="仿宋" w:cs="仿宋"/>
          <w:bCs/>
          <w:color w:val="auto"/>
          <w:szCs w:val="21"/>
          <w:highlight w:val="none"/>
        </w:rPr>
      </w:pPr>
    </w:p>
    <w:p w14:paraId="3F994B0A">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代理服务费承诺书</w:t>
      </w:r>
    </w:p>
    <w:p w14:paraId="0B82E678">
      <w:pPr>
        <w:snapToGrid w:val="0"/>
        <w:spacing w:beforeLines="50" w:after="50"/>
        <w:jc w:val="center"/>
        <w:rPr>
          <w:rFonts w:ascii="仿宋" w:hAnsi="仿宋" w:eastAsia="仿宋" w:cs="仿宋"/>
          <w:b/>
          <w:color w:val="auto"/>
          <w:sz w:val="24"/>
          <w:highlight w:val="none"/>
        </w:rPr>
      </w:pPr>
    </w:p>
    <w:p w14:paraId="2590F6BE">
      <w:pPr>
        <w:spacing w:line="360" w:lineRule="auto"/>
        <w:rPr>
          <w:rFonts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lang w:val="en-US" w:eastAsia="zh-CN"/>
        </w:rPr>
        <w:t>采购</w:t>
      </w:r>
      <w:r>
        <w:rPr>
          <w:rFonts w:hint="eastAsia" w:ascii="仿宋" w:hAnsi="仿宋" w:eastAsia="仿宋" w:cs="仿宋"/>
          <w:color w:val="auto"/>
          <w:sz w:val="24"/>
          <w:highlight w:val="none"/>
          <w:u w:val="single"/>
        </w:rPr>
        <w:t>代理机构名称</w:t>
      </w:r>
      <w:r>
        <w:rPr>
          <w:rFonts w:hint="eastAsia" w:ascii="仿宋" w:hAnsi="仿宋" w:eastAsia="仿宋" w:cs="仿宋"/>
          <w:color w:val="auto"/>
          <w:sz w:val="24"/>
          <w:highlight w:val="none"/>
        </w:rPr>
        <w:t>：</w:t>
      </w:r>
    </w:p>
    <w:p w14:paraId="441C7E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本单位参加了贵方组织的</w:t>
      </w:r>
      <w:r>
        <w:rPr>
          <w:rFonts w:hint="eastAsia" w:ascii="仿宋" w:hAnsi="仿宋" w:eastAsia="仿宋" w:cs="仿宋"/>
          <w:color w:val="auto"/>
          <w:sz w:val="24"/>
          <w:highlight w:val="none"/>
          <w:u w:val="single"/>
        </w:rPr>
        <w:t xml:space="preserve">  项目名称（项目编号）  </w:t>
      </w:r>
      <w:r>
        <w:rPr>
          <w:rFonts w:hint="eastAsia" w:ascii="仿宋" w:hAnsi="仿宋" w:eastAsia="仿宋" w:cs="仿宋"/>
          <w:color w:val="auto"/>
          <w:sz w:val="24"/>
          <w:highlight w:val="none"/>
        </w:rPr>
        <w:t>项目， 在此说明如下：</w:t>
      </w:r>
    </w:p>
    <w:p w14:paraId="05E2C7E5">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3055CB77">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2.本单位选择第种方式作为代理服务费开票类型：</w:t>
      </w:r>
    </w:p>
    <w:p w14:paraId="29B950DC">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第一种方式：开具增值税普通发票。开票信息如下：</w:t>
      </w:r>
    </w:p>
    <w:p w14:paraId="235669E0">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（1）公司名称</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779CA28C">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（2）纳税人识别号</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2F5EAE0D">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第二种方式：开具增值税专用发票，开票信息如下：</w:t>
      </w:r>
    </w:p>
    <w:p w14:paraId="3611526D">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（1）公司名称</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416DCE3C">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（2）纳税人识别号</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5CA09A7F">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（3）在税局登记的地址</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3F1ED34F">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（4）在税局登记的电话</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51FCD3E6">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（5）开户银行</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434A1D30">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（6）银行账户</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w:t>
      </w:r>
    </w:p>
    <w:p w14:paraId="542B1B3A">
      <w:pPr>
        <w:spacing w:line="440" w:lineRule="exact"/>
        <w:rPr>
          <w:rFonts w:ascii="仿宋" w:hAnsi="仿宋" w:eastAsia="仿宋" w:cs="仿宋"/>
          <w:color w:val="auto"/>
          <w:sz w:val="24"/>
          <w:highlight w:val="none"/>
        </w:rPr>
      </w:pPr>
    </w:p>
    <w:p w14:paraId="486CC677">
      <w:pPr>
        <w:spacing w:line="440" w:lineRule="exact"/>
        <w:rPr>
          <w:rFonts w:ascii="仿宋" w:hAnsi="仿宋" w:eastAsia="仿宋" w:cs="仿宋"/>
          <w:color w:val="auto"/>
          <w:sz w:val="24"/>
          <w:highlight w:val="none"/>
        </w:rPr>
      </w:pPr>
    </w:p>
    <w:p w14:paraId="3D6451E3">
      <w:pPr>
        <w:spacing w:line="440" w:lineRule="exact"/>
        <w:rPr>
          <w:rFonts w:ascii="仿宋" w:hAnsi="仿宋" w:eastAsia="仿宋" w:cs="仿宋"/>
          <w:color w:val="auto"/>
          <w:sz w:val="24"/>
          <w:highlight w:val="none"/>
        </w:rPr>
      </w:pPr>
    </w:p>
    <w:p w14:paraId="0B03886B">
      <w:pPr>
        <w:snapToGrid w:val="0"/>
        <w:spacing w:line="360" w:lineRule="auto"/>
        <w:ind w:left="-2" w:leftChars="-1" w:right="-817" w:rightChars="-389" w:firstLine="1920" w:firstLineChars="800"/>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法定代表人或者委托代理人（签字或者电子签名）： </w:t>
      </w:r>
    </w:p>
    <w:p w14:paraId="38F23E85">
      <w:pPr>
        <w:snapToGrid w:val="0"/>
        <w:spacing w:line="360" w:lineRule="auto"/>
        <w:ind w:left="-3" w:leftChars="-15" w:right="-817" w:rightChars="-389" w:hanging="28" w:hangingChars="12"/>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供应商公章（电子签章）：</w:t>
      </w:r>
    </w:p>
    <w:p w14:paraId="4DF7DB94">
      <w:pPr>
        <w:snapToGrid w:val="0"/>
        <w:spacing w:line="360" w:lineRule="auto"/>
        <w:ind w:right="480" w:firstLine="240" w:firstLineChars="100"/>
        <w:jc w:val="left"/>
        <w:rPr>
          <w:rFonts w:ascii="仿宋" w:hAnsi="仿宋" w:eastAsia="仿宋" w:cs="仿宋"/>
          <w:color w:val="auto"/>
          <w:szCs w:val="21"/>
          <w:highlight w:val="none"/>
        </w:rPr>
        <w:sectPr>
          <w:pgSz w:w="11906" w:h="16838"/>
          <w:pgMar w:top="1440" w:right="1797" w:bottom="1440" w:left="1797" w:header="851" w:footer="992" w:gutter="0"/>
          <w:cols w:space="720" w:num="1"/>
        </w:sectPr>
      </w:pPr>
      <w:r>
        <w:rPr>
          <w:rFonts w:hint="eastAsia" w:ascii="仿宋" w:hAnsi="仿宋" w:eastAsia="仿宋" w:cs="仿宋"/>
          <w:color w:val="auto"/>
          <w:sz w:val="24"/>
          <w:highlight w:val="none"/>
        </w:rPr>
        <w:t xml:space="preserve">                                    日期：    年   月   </w:t>
      </w:r>
    </w:p>
    <w:p w14:paraId="0F84C276">
      <w:pPr>
        <w:spacing w:line="300" w:lineRule="auto"/>
        <w:rPr>
          <w:rFonts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376D23A7">
      <w:pPr>
        <w:jc w:val="center"/>
        <w:rPr>
          <w:rFonts w:ascii="仿宋" w:hAnsi="仿宋" w:eastAsia="仿宋" w:cs="仿宋"/>
          <w:color w:val="auto"/>
          <w:sz w:val="44"/>
          <w:szCs w:val="44"/>
          <w:highlight w:val="none"/>
        </w:rPr>
      </w:pPr>
      <w:bookmarkStart w:id="182" w:name="_Toc71365926"/>
    </w:p>
    <w:p w14:paraId="27B26A34">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bookmarkEnd w:id="182"/>
    </w:p>
    <w:p w14:paraId="3F65E17F">
      <w:pPr>
        <w:spacing w:before="2" w:line="500" w:lineRule="exact"/>
        <w:ind w:firstLine="708" w:firstLineChars="294"/>
        <w:rPr>
          <w:rFonts w:ascii="仿宋" w:hAnsi="仿宋" w:eastAsia="仿宋" w:cs="仿宋"/>
          <w:b/>
          <w:bCs/>
          <w:color w:val="auto"/>
          <w:sz w:val="24"/>
          <w:highlight w:val="none"/>
        </w:rPr>
      </w:pPr>
    </w:p>
    <w:p w14:paraId="12CE9E3A">
      <w:pPr>
        <w:pStyle w:val="11"/>
        <w:spacing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0E41A44F">
      <w:pPr>
        <w:tabs>
          <w:tab w:val="left" w:pos="1384"/>
          <w:tab w:val="left" w:pos="4562"/>
          <w:tab w:val="left" w:pos="6803"/>
        </w:tabs>
        <w:spacing w:before="13" w:line="500" w:lineRule="exact"/>
        <w:ind w:right="142" w:firstLine="772" w:firstLineChars="322"/>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406FE76D">
      <w:pPr>
        <w:tabs>
          <w:tab w:val="left" w:pos="1065"/>
          <w:tab w:val="left" w:pos="4262"/>
          <w:tab w:val="left" w:pos="6477"/>
        </w:tabs>
        <w:spacing w:before="20" w:line="500" w:lineRule="exact"/>
        <w:ind w:right="84" w:firstLine="772" w:firstLineChars="322"/>
        <w:rPr>
          <w:rFonts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28690C38">
      <w:pPr>
        <w:pStyle w:val="11"/>
        <w:spacing w:before="34"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8C729E8">
      <w:pPr>
        <w:pStyle w:val="11"/>
        <w:spacing w:before="34"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AD4E64C">
      <w:pPr>
        <w:pStyle w:val="11"/>
        <w:spacing w:before="25"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6504499">
      <w:pPr>
        <w:pStyle w:val="11"/>
        <w:spacing w:before="56" w:line="500" w:lineRule="exact"/>
        <w:ind w:right="1808" w:firstLine="705" w:firstLineChars="294"/>
        <w:rPr>
          <w:rFonts w:ascii="仿宋" w:hAnsi="仿宋" w:eastAsia="仿宋" w:cs="仿宋"/>
          <w:color w:val="auto"/>
          <w:sz w:val="24"/>
          <w:highlight w:val="none"/>
        </w:rPr>
      </w:pPr>
    </w:p>
    <w:p w14:paraId="6F9E1908">
      <w:pPr>
        <w:pStyle w:val="11"/>
        <w:spacing w:before="56" w:line="500" w:lineRule="exact"/>
        <w:ind w:right="650" w:firstLine="5625" w:firstLineChars="2344"/>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企业名称（章）： </w:t>
      </w:r>
    </w:p>
    <w:p w14:paraId="711241C0">
      <w:pPr>
        <w:pStyle w:val="11"/>
        <w:spacing w:before="56" w:line="500" w:lineRule="exact"/>
        <w:ind w:right="1808" w:firstLine="5625" w:firstLineChars="2344"/>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22219B08">
      <w:pPr>
        <w:spacing w:line="52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6298561">
      <w:pPr>
        <w:spacing w:line="5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705E5590">
      <w:pPr>
        <w:spacing w:line="520" w:lineRule="exact"/>
        <w:jc w:val="center"/>
        <w:rPr>
          <w:rFonts w:ascii="仿宋" w:hAnsi="仿宋" w:eastAsia="仿宋" w:cs="仿宋"/>
          <w:color w:val="auto"/>
          <w:sz w:val="24"/>
          <w:highlight w:val="none"/>
        </w:rPr>
      </w:pPr>
    </w:p>
    <w:p w14:paraId="41607DE1">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70FA0E4F">
      <w:pPr>
        <w:spacing w:line="360" w:lineRule="auto"/>
        <w:contextualSpacing/>
        <w:rPr>
          <w:rFonts w:ascii="仿宋" w:hAnsi="仿宋" w:eastAsia="仿宋" w:cs="仿宋"/>
          <w:color w:val="auto"/>
          <w:sz w:val="32"/>
          <w:szCs w:val="32"/>
          <w:highlight w:val="none"/>
        </w:rPr>
      </w:pPr>
    </w:p>
    <w:p w14:paraId="7B44597A">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EF42AE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71689A65">
      <w:pPr>
        <w:spacing w:line="360" w:lineRule="auto"/>
        <w:contextualSpacing/>
        <w:rPr>
          <w:rFonts w:ascii="仿宋" w:hAnsi="仿宋" w:eastAsia="仿宋" w:cs="仿宋"/>
          <w:color w:val="auto"/>
          <w:sz w:val="24"/>
          <w:highlight w:val="none"/>
        </w:rPr>
      </w:pPr>
    </w:p>
    <w:p w14:paraId="5E14883E">
      <w:pPr>
        <w:spacing w:line="360" w:lineRule="auto"/>
        <w:contextualSpacing/>
        <w:rPr>
          <w:rFonts w:ascii="仿宋" w:hAnsi="仿宋" w:eastAsia="仿宋" w:cs="仿宋"/>
          <w:color w:val="auto"/>
          <w:sz w:val="24"/>
          <w:highlight w:val="none"/>
        </w:rPr>
      </w:pPr>
    </w:p>
    <w:p w14:paraId="5F345DEB">
      <w:pPr>
        <w:spacing w:line="360" w:lineRule="auto"/>
        <w:contextualSpacing/>
        <w:rPr>
          <w:rFonts w:ascii="仿宋" w:hAnsi="仿宋" w:eastAsia="仿宋" w:cs="仿宋"/>
          <w:color w:val="auto"/>
          <w:sz w:val="24"/>
          <w:highlight w:val="none"/>
        </w:rPr>
      </w:pPr>
    </w:p>
    <w:p w14:paraId="478C8025">
      <w:pPr>
        <w:spacing w:line="360" w:lineRule="auto"/>
        <w:ind w:firstLine="2400" w:firstLineChars="10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43449EA0">
      <w:pPr>
        <w:spacing w:line="360" w:lineRule="auto"/>
        <w:ind w:firstLine="3600" w:firstLineChars="15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07FADEF1">
      <w:pPr>
        <w:spacing w:line="360" w:lineRule="auto"/>
        <w:contextualSpacing/>
        <w:rPr>
          <w:rFonts w:ascii="仿宋" w:hAnsi="仿宋" w:eastAsia="仿宋" w:cs="仿宋"/>
          <w:color w:val="auto"/>
          <w:sz w:val="24"/>
          <w:highlight w:val="none"/>
        </w:rPr>
      </w:pPr>
    </w:p>
    <w:p w14:paraId="51814EE9">
      <w:pPr>
        <w:spacing w:line="360" w:lineRule="auto"/>
        <w:contextualSpacing/>
        <w:rPr>
          <w:rFonts w:ascii="仿宋" w:hAnsi="仿宋" w:eastAsia="仿宋" w:cs="仿宋"/>
          <w:color w:val="auto"/>
          <w:sz w:val="24"/>
          <w:highlight w:val="none"/>
        </w:rPr>
      </w:pPr>
    </w:p>
    <w:p w14:paraId="1F1C81CA">
      <w:pPr>
        <w:spacing w:line="360" w:lineRule="auto"/>
        <w:contextualSpacing/>
        <w:rPr>
          <w:rFonts w:ascii="仿宋" w:hAnsi="仿宋" w:eastAsia="仿宋" w:cs="仿宋"/>
          <w:color w:val="auto"/>
          <w:sz w:val="24"/>
          <w:highlight w:val="none"/>
        </w:rPr>
      </w:pPr>
    </w:p>
    <w:p w14:paraId="73ABD1B6">
      <w:pPr>
        <w:rPr>
          <w:color w:val="auto"/>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结果时，同时公告其《残疾人福利性单位声明函》，接受社会监督。</w:t>
      </w:r>
    </w:p>
    <w:p w14:paraId="739FA24E">
      <w:pPr>
        <w:spacing w:line="360" w:lineRule="auto"/>
        <w:jc w:val="center"/>
        <w:rPr>
          <w:rFonts w:ascii="仿宋" w:hAnsi="仿宋" w:eastAsia="仿宋" w:cs="仿宋"/>
          <w:color w:val="auto"/>
          <w:sz w:val="44"/>
          <w:szCs w:val="44"/>
          <w:highlight w:val="none"/>
        </w:rPr>
      </w:pPr>
    </w:p>
    <w:p w14:paraId="6D551C66">
      <w:pPr>
        <w:spacing w:line="360" w:lineRule="auto"/>
        <w:jc w:val="center"/>
        <w:rPr>
          <w:rFonts w:ascii="仿宋" w:hAnsi="仿宋" w:eastAsia="仿宋" w:cs="仿宋"/>
          <w:color w:val="auto"/>
          <w:sz w:val="44"/>
          <w:szCs w:val="44"/>
          <w:highlight w:val="none"/>
        </w:rPr>
      </w:pPr>
    </w:p>
    <w:p w14:paraId="75C1C7C0">
      <w:pPr>
        <w:spacing w:line="360" w:lineRule="auto"/>
        <w:jc w:val="center"/>
        <w:rPr>
          <w:rFonts w:ascii="仿宋" w:hAnsi="仿宋" w:eastAsia="仿宋" w:cs="仿宋"/>
          <w:color w:val="auto"/>
          <w:sz w:val="44"/>
          <w:szCs w:val="44"/>
          <w:highlight w:val="none"/>
        </w:rPr>
      </w:pPr>
    </w:p>
    <w:p w14:paraId="7EB49E9F">
      <w:pPr>
        <w:spacing w:line="360" w:lineRule="auto"/>
        <w:jc w:val="center"/>
        <w:rPr>
          <w:rFonts w:ascii="仿宋" w:hAnsi="仿宋" w:eastAsia="仿宋" w:cs="仿宋"/>
          <w:color w:val="auto"/>
          <w:sz w:val="44"/>
          <w:szCs w:val="44"/>
          <w:highlight w:val="none"/>
        </w:rPr>
      </w:pPr>
    </w:p>
    <w:p w14:paraId="57FDD225">
      <w:pPr>
        <w:spacing w:line="360" w:lineRule="auto"/>
        <w:jc w:val="center"/>
        <w:rPr>
          <w:rFonts w:ascii="仿宋" w:hAnsi="仿宋" w:eastAsia="仿宋" w:cs="仿宋"/>
          <w:color w:val="auto"/>
          <w:sz w:val="44"/>
          <w:szCs w:val="44"/>
          <w:highlight w:val="none"/>
        </w:rPr>
      </w:pPr>
    </w:p>
    <w:p w14:paraId="161CD891">
      <w:pPr>
        <w:spacing w:line="360" w:lineRule="auto"/>
        <w:jc w:val="center"/>
        <w:rPr>
          <w:rFonts w:ascii="仿宋" w:hAnsi="仿宋" w:eastAsia="仿宋" w:cs="仿宋"/>
          <w:color w:val="auto"/>
          <w:sz w:val="44"/>
          <w:szCs w:val="44"/>
          <w:highlight w:val="none"/>
        </w:rPr>
      </w:pPr>
    </w:p>
    <w:p w14:paraId="7D10CB3A">
      <w:pPr>
        <w:spacing w:line="360" w:lineRule="auto"/>
        <w:jc w:val="center"/>
        <w:rPr>
          <w:rFonts w:ascii="仿宋" w:hAnsi="仿宋" w:eastAsia="仿宋" w:cs="仿宋"/>
          <w:color w:val="auto"/>
          <w:sz w:val="44"/>
          <w:szCs w:val="44"/>
          <w:highlight w:val="none"/>
        </w:rPr>
      </w:pPr>
    </w:p>
    <w:p w14:paraId="7674988F">
      <w:pPr>
        <w:spacing w:line="360" w:lineRule="auto"/>
        <w:jc w:val="center"/>
        <w:rPr>
          <w:rFonts w:ascii="仿宋" w:hAnsi="仿宋" w:eastAsia="仿宋" w:cs="仿宋"/>
          <w:color w:val="auto"/>
          <w:sz w:val="44"/>
          <w:szCs w:val="44"/>
          <w:highlight w:val="none"/>
        </w:rPr>
      </w:pPr>
    </w:p>
    <w:p w14:paraId="42AA4CDD">
      <w:pP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44"/>
          <w:szCs w:val="44"/>
          <w:highlight w:val="none"/>
        </w:rPr>
        <w:t>质疑函（格式）</w:t>
      </w:r>
    </w:p>
    <w:p w14:paraId="323187D9">
      <w:pPr>
        <w:pStyle w:val="14"/>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3BD6E303">
      <w:pPr>
        <w:pStyle w:val="14"/>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p>
    <w:p w14:paraId="3DD19ECC">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6D168C11">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联系人：联系电话：</w:t>
      </w:r>
    </w:p>
    <w:p w14:paraId="3555CB87">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p>
    <w:p w14:paraId="21E2DB8D">
      <w:pPr>
        <w:pStyle w:val="14"/>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p>
    <w:p w14:paraId="09FA3E31">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475168FF">
      <w:pPr>
        <w:pStyle w:val="14"/>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32E6417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p>
    <w:p w14:paraId="736DC762">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p>
    <w:p w14:paraId="37D04837">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p w14:paraId="5362EE15">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F84CCA4">
      <w:pPr>
        <w:pStyle w:val="14"/>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p>
    <w:p w14:paraId="266718BA">
      <w:pPr>
        <w:pStyle w:val="14"/>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6CAA8F0E">
      <w:pPr>
        <w:pStyle w:val="14"/>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680268B7">
      <w:pPr>
        <w:pStyle w:val="14"/>
        <w:spacing w:line="360" w:lineRule="auto"/>
        <w:ind w:left="25" w:leftChars="12" w:firstLine="472"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52BAF633">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p>
    <w:p w14:paraId="4A2F5E6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p>
    <w:p w14:paraId="3FC4E464">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p>
    <w:p w14:paraId="0F90825D">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1A417038">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BE1ADF">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350B5532">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p>
    <w:p w14:paraId="4D82626F">
      <w:pPr>
        <w:pStyle w:val="14"/>
        <w:spacing w:line="360" w:lineRule="auto"/>
        <w:ind w:left="25" w:leftChars="12" w:firstLine="352" w:firstLineChars="147"/>
        <w:contextualSpacing/>
        <w:rPr>
          <w:rFonts w:ascii="仿宋" w:hAnsi="仿宋" w:eastAsia="仿宋" w:cs="仿宋"/>
          <w:color w:val="auto"/>
          <w:sz w:val="24"/>
          <w:szCs w:val="24"/>
          <w:highlight w:val="none"/>
        </w:rPr>
      </w:pPr>
    </w:p>
    <w:p w14:paraId="1A0CCD96">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1E2DCE3D">
      <w:pPr>
        <w:pStyle w:val="14"/>
        <w:spacing w:line="360" w:lineRule="auto"/>
        <w:ind w:firstLine="480" w:firstLineChars="200"/>
        <w:contextualSpacing/>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22B87361">
      <w:pPr>
        <w:pStyle w:val="14"/>
        <w:spacing w:line="360" w:lineRule="auto"/>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5363139B">
      <w:pPr>
        <w:pStyle w:val="14"/>
        <w:spacing w:line="360" w:lineRule="auto"/>
        <w:ind w:left="25" w:leftChars="12" w:firstLine="354"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679FBBE6">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094D2A">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216E3196">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471D4381">
      <w:pPr>
        <w:pStyle w:val="14"/>
        <w:spacing w:line="360" w:lineRule="auto"/>
        <w:ind w:left="25" w:leftChars="12" w:firstLine="354" w:firstLineChars="147"/>
        <w:contextualSpacing/>
        <w:rPr>
          <w:rFonts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37553CCA">
      <w:pPr>
        <w:pStyle w:val="14"/>
        <w:snapToGrid w:val="0"/>
        <w:rPr>
          <w:rFonts w:ascii="仿宋" w:hAnsi="仿宋" w:eastAsia="仿宋" w:cs="仿宋"/>
          <w:b/>
          <w:color w:val="auto"/>
          <w:sz w:val="24"/>
          <w:szCs w:val="24"/>
          <w:highlight w:val="none"/>
        </w:rPr>
      </w:pPr>
    </w:p>
    <w:p w14:paraId="2A0099CA">
      <w:pPr>
        <w:rPr>
          <w:rFonts w:ascii="仿宋" w:hAnsi="仿宋" w:eastAsia="仿宋" w:cs="仿宋"/>
          <w:color w:val="auto"/>
          <w:sz w:val="32"/>
          <w:szCs w:val="40"/>
          <w:highlight w:val="none"/>
        </w:rPr>
      </w:pPr>
    </w:p>
    <w:p w14:paraId="20F73600">
      <w:pPr>
        <w:rPr>
          <w:rFonts w:ascii="仿宋" w:hAnsi="仿宋" w:eastAsia="仿宋" w:cs="仿宋"/>
          <w:color w:val="auto"/>
          <w:sz w:val="32"/>
          <w:szCs w:val="40"/>
          <w:highlight w:val="none"/>
        </w:rPr>
      </w:pPr>
    </w:p>
    <w:p w14:paraId="71E8DA78">
      <w:pPr>
        <w:rPr>
          <w:rFonts w:ascii="仿宋" w:hAnsi="仿宋" w:eastAsia="仿宋" w:cs="仿宋"/>
          <w:color w:val="auto"/>
          <w:sz w:val="32"/>
          <w:szCs w:val="40"/>
          <w:highlight w:val="none"/>
        </w:rPr>
      </w:pPr>
    </w:p>
    <w:p w14:paraId="4C3DD16E">
      <w:pPr>
        <w:rPr>
          <w:rFonts w:ascii="仿宋" w:hAnsi="仿宋" w:eastAsia="仿宋" w:cs="仿宋"/>
          <w:color w:val="auto"/>
          <w:sz w:val="32"/>
          <w:szCs w:val="40"/>
          <w:highlight w:val="none"/>
        </w:rPr>
      </w:pPr>
    </w:p>
    <w:p w14:paraId="6C504814">
      <w:pPr>
        <w:rPr>
          <w:rFonts w:ascii="仿宋" w:hAnsi="仿宋" w:eastAsia="仿宋" w:cs="仿宋"/>
          <w:color w:val="auto"/>
          <w:sz w:val="32"/>
          <w:szCs w:val="40"/>
          <w:highlight w:val="none"/>
        </w:rPr>
      </w:pPr>
    </w:p>
    <w:p w14:paraId="32B31B59">
      <w:pPr>
        <w:rPr>
          <w:rFonts w:ascii="仿宋" w:hAnsi="仿宋" w:eastAsia="仿宋" w:cs="仿宋"/>
          <w:color w:val="auto"/>
          <w:sz w:val="32"/>
          <w:szCs w:val="40"/>
          <w:highlight w:val="none"/>
        </w:rPr>
      </w:pPr>
    </w:p>
    <w:p w14:paraId="5D1583F6">
      <w:pPr>
        <w:rPr>
          <w:rFonts w:ascii="仿宋" w:hAnsi="仿宋" w:eastAsia="仿宋" w:cs="仿宋"/>
          <w:color w:val="auto"/>
          <w:sz w:val="32"/>
          <w:szCs w:val="40"/>
          <w:highlight w:val="none"/>
        </w:rPr>
      </w:pPr>
    </w:p>
    <w:p w14:paraId="34D0750C">
      <w:pPr>
        <w:rPr>
          <w:rFonts w:ascii="仿宋" w:hAnsi="仿宋" w:eastAsia="仿宋" w:cs="仿宋"/>
          <w:color w:val="auto"/>
          <w:sz w:val="32"/>
          <w:szCs w:val="40"/>
          <w:highlight w:val="none"/>
        </w:rPr>
      </w:pPr>
    </w:p>
    <w:p w14:paraId="6486A4B4">
      <w:pPr>
        <w:rPr>
          <w:rFonts w:ascii="仿宋" w:hAnsi="仿宋" w:eastAsia="仿宋" w:cs="仿宋"/>
          <w:color w:val="auto"/>
          <w:sz w:val="32"/>
          <w:szCs w:val="40"/>
          <w:highlight w:val="none"/>
        </w:rPr>
      </w:pPr>
    </w:p>
    <w:p w14:paraId="2F442677">
      <w:pPr>
        <w:rPr>
          <w:rFonts w:ascii="仿宋" w:hAnsi="仿宋" w:eastAsia="仿宋" w:cs="仿宋"/>
          <w:color w:val="auto"/>
          <w:sz w:val="32"/>
          <w:szCs w:val="40"/>
          <w:highlight w:val="none"/>
        </w:rPr>
      </w:pPr>
    </w:p>
    <w:p w14:paraId="2EB53042">
      <w:pPr>
        <w:rPr>
          <w:rFonts w:ascii="仿宋" w:hAnsi="仿宋" w:eastAsia="仿宋" w:cs="仿宋"/>
          <w:color w:val="auto"/>
          <w:sz w:val="32"/>
          <w:szCs w:val="40"/>
          <w:highlight w:val="none"/>
        </w:rPr>
      </w:pPr>
    </w:p>
    <w:p w14:paraId="20DB284C">
      <w:pPr>
        <w:rPr>
          <w:rFonts w:ascii="仿宋" w:hAnsi="仿宋" w:eastAsia="仿宋" w:cs="仿宋"/>
          <w:color w:val="auto"/>
          <w:sz w:val="32"/>
          <w:szCs w:val="40"/>
          <w:highlight w:val="none"/>
        </w:rPr>
      </w:pPr>
    </w:p>
    <w:p w14:paraId="7D6ED813">
      <w:pPr>
        <w:rPr>
          <w:rFonts w:ascii="仿宋" w:hAnsi="仿宋" w:eastAsia="仿宋" w:cs="仿宋"/>
          <w:color w:val="auto"/>
          <w:sz w:val="32"/>
          <w:szCs w:val="40"/>
          <w:highlight w:val="none"/>
        </w:rPr>
      </w:pPr>
    </w:p>
    <w:p w14:paraId="7D1194E1">
      <w:pPr>
        <w:widowControl/>
        <w:jc w:val="left"/>
        <w:rPr>
          <w:rFonts w:ascii="仿宋" w:hAnsi="仿宋" w:eastAsia="仿宋" w:cs="仿宋"/>
          <w:color w:val="auto"/>
          <w:sz w:val="32"/>
          <w:szCs w:val="40"/>
          <w:highlight w:val="none"/>
        </w:rPr>
      </w:pPr>
      <w:r>
        <w:rPr>
          <w:rFonts w:hint="eastAsia" w:ascii="仿宋" w:hAnsi="仿宋" w:eastAsia="仿宋" w:cs="仿宋"/>
          <w:color w:val="auto"/>
          <w:sz w:val="32"/>
          <w:szCs w:val="40"/>
          <w:highlight w:val="none"/>
        </w:rPr>
        <w:br w:type="page"/>
      </w:r>
    </w:p>
    <w:p w14:paraId="0928BD1C">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30834828">
      <w:pPr>
        <w:pStyle w:val="14"/>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47CB3FDE">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p>
    <w:p w14:paraId="7BB4D2B1">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228FDFC5">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p>
    <w:p w14:paraId="3F9076D8">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p w14:paraId="02D115E7">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授权代表：联系电话：</w:t>
      </w:r>
    </w:p>
    <w:p w14:paraId="276B2CC8">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p>
    <w:p w14:paraId="5673A571">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p>
    <w:p w14:paraId="67DB535B">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0C32312E">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p>
    <w:p w14:paraId="3A061BB8">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p>
    <w:p w14:paraId="240904A7">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联系人：联系电话：</w:t>
      </w:r>
    </w:p>
    <w:p w14:paraId="724391E7">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33D933A1">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271411EE">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p>
    <w:p w14:paraId="5621B8AB">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地址：邮编：</w:t>
      </w:r>
    </w:p>
    <w:p w14:paraId="01A0A76E">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联系人：联系电话：</w:t>
      </w:r>
    </w:p>
    <w:p w14:paraId="161339D5">
      <w:pPr>
        <w:pStyle w:val="14"/>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77F9D33C">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p>
    <w:p w14:paraId="39C6A558">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p>
    <w:p w14:paraId="7FED9F8A">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p>
    <w:p w14:paraId="639413AE">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p>
    <w:p w14:paraId="0EF31E70">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采购文件公告：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p>
    <w:p w14:paraId="2C71CEA6">
      <w:pPr>
        <w:pStyle w:val="14"/>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p>
    <w:p w14:paraId="5EDB8FE4">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4D960781">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投诉人于年月日，向提出质疑，质疑事项为：</w:t>
      </w:r>
    </w:p>
    <w:p w14:paraId="4E3E45A0">
      <w:pPr>
        <w:pStyle w:val="14"/>
        <w:spacing w:line="360" w:lineRule="auto"/>
        <w:ind w:firstLine="241"/>
        <w:rPr>
          <w:rFonts w:ascii="仿宋" w:hAnsi="仿宋" w:eastAsia="仿宋" w:cs="仿宋"/>
          <w:bCs/>
          <w:color w:val="auto"/>
          <w:sz w:val="24"/>
          <w:szCs w:val="24"/>
          <w:highlight w:val="none"/>
          <w:u w:val="single"/>
        </w:rPr>
      </w:pPr>
    </w:p>
    <w:p w14:paraId="3714CDF6">
      <w:pPr>
        <w:pStyle w:val="14"/>
        <w:spacing w:line="360" w:lineRule="auto"/>
        <w:ind w:firstLine="241"/>
        <w:rPr>
          <w:rFonts w:ascii="仿宋" w:hAnsi="仿宋" w:eastAsia="仿宋" w:cs="仿宋"/>
          <w:bCs/>
          <w:color w:val="auto"/>
          <w:sz w:val="24"/>
          <w:szCs w:val="24"/>
          <w:highlight w:val="none"/>
          <w:u w:val="single"/>
        </w:rPr>
      </w:pPr>
    </w:p>
    <w:p w14:paraId="667B28DA">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rPr>
        <w:t>年月日，</w:t>
      </w:r>
      <w:r>
        <w:rPr>
          <w:rFonts w:hint="eastAsia" w:ascii="仿宋" w:hAnsi="仿宋" w:eastAsia="仿宋" w:cs="仿宋"/>
          <w:bCs/>
          <w:color w:val="auto"/>
          <w:sz w:val="24"/>
          <w:szCs w:val="24"/>
          <w:highlight w:val="none"/>
        </w:rPr>
        <w:t xml:space="preserve">就质疑事项作出了答复/没有在法定期限内作出答复。                                                                                             </w:t>
      </w:r>
    </w:p>
    <w:p w14:paraId="3CB67B8A">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4676107">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p>
    <w:p w14:paraId="531CB32D">
      <w:pPr>
        <w:pStyle w:val="14"/>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p>
    <w:p w14:paraId="0BECD090">
      <w:pPr>
        <w:pStyle w:val="14"/>
        <w:spacing w:line="360" w:lineRule="auto"/>
        <w:ind w:left="25" w:leftChars="12" w:firstLine="472" w:firstLineChars="197"/>
        <w:rPr>
          <w:rFonts w:ascii="仿宋" w:hAnsi="仿宋" w:eastAsia="仿宋" w:cs="仿宋"/>
          <w:color w:val="auto"/>
          <w:sz w:val="24"/>
          <w:szCs w:val="24"/>
          <w:highlight w:val="none"/>
        </w:rPr>
      </w:pPr>
    </w:p>
    <w:p w14:paraId="5AB97B35">
      <w:pPr>
        <w:pStyle w:val="14"/>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p>
    <w:p w14:paraId="4F857CF6">
      <w:pPr>
        <w:pStyle w:val="14"/>
        <w:spacing w:line="360" w:lineRule="auto"/>
        <w:ind w:left="25" w:leftChars="12" w:firstLine="352" w:firstLineChars="147"/>
        <w:rPr>
          <w:rFonts w:ascii="仿宋" w:hAnsi="仿宋" w:eastAsia="仿宋" w:cs="仿宋"/>
          <w:bCs/>
          <w:color w:val="auto"/>
          <w:sz w:val="24"/>
          <w:szCs w:val="24"/>
          <w:highlight w:val="none"/>
          <w:u w:val="single"/>
        </w:rPr>
      </w:pPr>
    </w:p>
    <w:p w14:paraId="5CE185EB">
      <w:pPr>
        <w:pStyle w:val="14"/>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p>
    <w:p w14:paraId="0A1FC787">
      <w:pPr>
        <w:pStyle w:val="14"/>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FD9EFA3">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3A7F8D4F">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p>
    <w:p w14:paraId="0E8D5298">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653D4B41">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1FCB9E98">
      <w:pPr>
        <w:pStyle w:val="14"/>
        <w:spacing w:line="360" w:lineRule="auto"/>
        <w:ind w:left="25" w:leftChars="12" w:firstLine="475" w:firstLineChars="197"/>
        <w:rPr>
          <w:rFonts w:ascii="仿宋" w:hAnsi="仿宋" w:eastAsia="仿宋" w:cs="仿宋"/>
          <w:b/>
          <w:color w:val="auto"/>
          <w:sz w:val="24"/>
          <w:szCs w:val="24"/>
          <w:highlight w:val="none"/>
        </w:rPr>
      </w:pPr>
    </w:p>
    <w:p w14:paraId="392C5EAD">
      <w:pPr>
        <w:pStyle w:val="14"/>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267C4CD5">
      <w:pPr>
        <w:pStyle w:val="14"/>
        <w:spacing w:line="360" w:lineRule="auto"/>
        <w:ind w:left="25" w:leftChars="12" w:firstLine="354"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7ABAD282">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51D1B1C">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31DF62A3">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535D6F3A">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2F60B154">
      <w:pPr>
        <w:pStyle w:val="14"/>
        <w:spacing w:line="360" w:lineRule="auto"/>
        <w:ind w:left="25" w:leftChars="12" w:firstLine="354" w:firstLineChars="147"/>
        <w:rPr>
          <w:rFonts w:ascii="仿宋" w:hAnsi="仿宋" w:eastAsia="仿宋" w:cs="仿宋"/>
          <w:b/>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7EDB9F78">
      <w:pPr>
        <w:rPr>
          <w:rFonts w:ascii="仿宋" w:hAnsi="仿宋" w:eastAsia="仿宋" w:cs="仿宋"/>
          <w:color w:val="auto"/>
          <w:highlight w:val="none"/>
        </w:rPr>
      </w:pPr>
      <w:bookmarkStart w:id="183" w:name="_Toc74323461"/>
      <w:r>
        <w:rPr>
          <w:rFonts w:hint="eastAsia" w:ascii="仿宋" w:hAnsi="仿宋" w:eastAsia="仿宋" w:cs="仿宋"/>
          <w:color w:val="auto"/>
          <w:highlight w:val="none"/>
        </w:rPr>
        <w:br w:type="page"/>
      </w:r>
    </w:p>
    <w:p w14:paraId="1EE01EF7">
      <w:pPr>
        <w:pStyle w:val="3"/>
        <w:jc w:val="center"/>
        <w:rPr>
          <w:rFonts w:ascii="仿宋" w:hAnsi="仿宋" w:eastAsia="仿宋" w:cs="仿宋"/>
          <w:color w:val="auto"/>
          <w:highlight w:val="none"/>
        </w:rPr>
      </w:pPr>
    </w:p>
    <w:p w14:paraId="540F78EE">
      <w:pPr>
        <w:pStyle w:val="3"/>
        <w:jc w:val="center"/>
        <w:rPr>
          <w:rFonts w:ascii="仿宋" w:hAnsi="仿宋" w:eastAsia="仿宋" w:cs="仿宋"/>
          <w:color w:val="auto"/>
          <w:highlight w:val="none"/>
        </w:rPr>
      </w:pPr>
      <w:r>
        <w:rPr>
          <w:rFonts w:hint="eastAsia" w:ascii="仿宋" w:hAnsi="仿宋" w:eastAsia="仿宋" w:cs="仿宋"/>
          <w:color w:val="auto"/>
          <w:highlight w:val="none"/>
        </w:rPr>
        <w:t>第六章 合同文本</w:t>
      </w:r>
      <w:bookmarkEnd w:id="183"/>
    </w:p>
    <w:p w14:paraId="18A2D433">
      <w:pPr>
        <w:pStyle w:val="14"/>
        <w:rPr>
          <w:color w:val="auto"/>
          <w:sz w:val="28"/>
          <w:highlight w:val="none"/>
        </w:rPr>
      </w:pPr>
    </w:p>
    <w:p w14:paraId="7DE743F8">
      <w:pPr>
        <w:pStyle w:val="14"/>
        <w:jc w:val="center"/>
        <w:rPr>
          <w:b/>
          <w:color w:val="auto"/>
          <w:sz w:val="48"/>
          <w:highlight w:val="none"/>
        </w:rPr>
      </w:pPr>
    </w:p>
    <w:p w14:paraId="47EAF941">
      <w:pPr>
        <w:pStyle w:val="29"/>
        <w:rPr>
          <w:b/>
          <w:color w:val="auto"/>
          <w:sz w:val="48"/>
          <w:highlight w:val="none"/>
        </w:rPr>
      </w:pPr>
    </w:p>
    <w:p w14:paraId="00B49677">
      <w:pPr>
        <w:rPr>
          <w:b/>
          <w:color w:val="auto"/>
          <w:sz w:val="48"/>
          <w:highlight w:val="none"/>
        </w:rPr>
      </w:pPr>
    </w:p>
    <w:p w14:paraId="703BC576">
      <w:pPr>
        <w:pStyle w:val="17"/>
        <w:rPr>
          <w:b/>
          <w:color w:val="auto"/>
          <w:sz w:val="48"/>
          <w:highlight w:val="none"/>
        </w:rPr>
      </w:pPr>
    </w:p>
    <w:p w14:paraId="75ACA704">
      <w:pPr>
        <w:pStyle w:val="17"/>
        <w:rPr>
          <w:b/>
          <w:color w:val="auto"/>
          <w:sz w:val="48"/>
          <w:highlight w:val="none"/>
        </w:rPr>
      </w:pPr>
    </w:p>
    <w:p w14:paraId="7645DAD6">
      <w:pPr>
        <w:pStyle w:val="17"/>
        <w:rPr>
          <w:b/>
          <w:color w:val="auto"/>
          <w:sz w:val="48"/>
          <w:highlight w:val="none"/>
        </w:rPr>
      </w:pPr>
    </w:p>
    <w:p w14:paraId="309068B7">
      <w:pPr>
        <w:pStyle w:val="17"/>
        <w:rPr>
          <w:b/>
          <w:color w:val="auto"/>
          <w:sz w:val="48"/>
          <w:highlight w:val="none"/>
        </w:rPr>
      </w:pPr>
    </w:p>
    <w:p w14:paraId="265FD3E5">
      <w:pPr>
        <w:pStyle w:val="17"/>
        <w:rPr>
          <w:b/>
          <w:color w:val="auto"/>
          <w:sz w:val="48"/>
          <w:highlight w:val="none"/>
        </w:rPr>
      </w:pPr>
    </w:p>
    <w:p w14:paraId="489AAE1F">
      <w:pPr>
        <w:pStyle w:val="17"/>
        <w:rPr>
          <w:b/>
          <w:color w:val="auto"/>
          <w:sz w:val="48"/>
          <w:highlight w:val="none"/>
        </w:rPr>
      </w:pPr>
    </w:p>
    <w:p w14:paraId="615B0BF9">
      <w:pPr>
        <w:pStyle w:val="17"/>
        <w:rPr>
          <w:b/>
          <w:color w:val="auto"/>
          <w:sz w:val="48"/>
          <w:highlight w:val="none"/>
        </w:rPr>
      </w:pPr>
    </w:p>
    <w:p w14:paraId="2E5E608C">
      <w:pPr>
        <w:pStyle w:val="17"/>
        <w:rPr>
          <w:b/>
          <w:color w:val="auto"/>
          <w:sz w:val="48"/>
          <w:highlight w:val="none"/>
        </w:rPr>
      </w:pPr>
    </w:p>
    <w:p w14:paraId="74A162CD">
      <w:pPr>
        <w:pStyle w:val="17"/>
        <w:rPr>
          <w:b/>
          <w:color w:val="auto"/>
          <w:sz w:val="48"/>
          <w:highlight w:val="none"/>
        </w:rPr>
      </w:pPr>
    </w:p>
    <w:p w14:paraId="5E6AF25D">
      <w:pPr>
        <w:pStyle w:val="17"/>
        <w:rPr>
          <w:b/>
          <w:color w:val="auto"/>
          <w:sz w:val="48"/>
          <w:highlight w:val="none"/>
        </w:rPr>
      </w:pPr>
    </w:p>
    <w:p w14:paraId="031BC722">
      <w:pPr>
        <w:pStyle w:val="17"/>
        <w:rPr>
          <w:b/>
          <w:color w:val="auto"/>
          <w:sz w:val="48"/>
          <w:highlight w:val="none"/>
        </w:rPr>
      </w:pPr>
    </w:p>
    <w:p w14:paraId="4D7CB5EA">
      <w:pPr>
        <w:pStyle w:val="17"/>
        <w:rPr>
          <w:b/>
          <w:color w:val="auto"/>
          <w:sz w:val="48"/>
          <w:highlight w:val="none"/>
        </w:rPr>
      </w:pPr>
    </w:p>
    <w:p w14:paraId="48BA570B">
      <w:pPr>
        <w:pStyle w:val="17"/>
        <w:rPr>
          <w:b/>
          <w:color w:val="auto"/>
          <w:sz w:val="48"/>
          <w:highlight w:val="none"/>
        </w:rPr>
      </w:pPr>
    </w:p>
    <w:p w14:paraId="2244EBB6">
      <w:pPr>
        <w:pStyle w:val="17"/>
        <w:rPr>
          <w:b/>
          <w:color w:val="auto"/>
          <w:sz w:val="48"/>
          <w:highlight w:val="none"/>
        </w:rPr>
      </w:pPr>
    </w:p>
    <w:p w14:paraId="360E3E0B">
      <w:pPr>
        <w:pStyle w:val="17"/>
        <w:rPr>
          <w:b/>
          <w:color w:val="auto"/>
          <w:sz w:val="48"/>
          <w:highlight w:val="none"/>
        </w:rPr>
      </w:pPr>
    </w:p>
    <w:p w14:paraId="33E47497">
      <w:pPr>
        <w:pStyle w:val="17"/>
        <w:rPr>
          <w:b/>
          <w:color w:val="auto"/>
          <w:sz w:val="48"/>
          <w:highlight w:val="none"/>
        </w:rPr>
      </w:pPr>
    </w:p>
    <w:p w14:paraId="7820F7D7">
      <w:pPr>
        <w:rPr>
          <w:color w:val="auto"/>
        </w:rPr>
      </w:pPr>
    </w:p>
    <w:p w14:paraId="06FF219D">
      <w:pPr>
        <w:spacing w:line="360" w:lineRule="auto"/>
        <w:ind w:right="800"/>
        <w:rPr>
          <w:rFonts w:ascii="宋体" w:hAnsi="宋体" w:cs="宋体"/>
          <w:bCs/>
          <w:color w:val="auto"/>
          <w:sz w:val="22"/>
          <w:szCs w:val="22"/>
          <w:highlight w:val="none"/>
          <w:u w:val="single"/>
        </w:rPr>
      </w:pPr>
      <w:r>
        <w:rPr>
          <w:rFonts w:hint="eastAsia" w:ascii="宋体" w:hAnsi="宋体" w:cs="宋体"/>
          <w:color w:val="auto"/>
          <w:sz w:val="22"/>
          <w:szCs w:val="22"/>
          <w:highlight w:val="none"/>
        </w:rPr>
        <w:t>采购计划号：</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w:t>
      </w:r>
      <w:r>
        <w:rPr>
          <w:rFonts w:hint="eastAsia" w:ascii="宋体" w:hAnsi="宋体" w:cs="宋体"/>
          <w:bCs/>
          <w:color w:val="auto"/>
          <w:sz w:val="22"/>
          <w:szCs w:val="22"/>
          <w:highlight w:val="none"/>
        </w:rPr>
        <w:t>合同编号：</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p>
    <w:p w14:paraId="1571C8DB">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采购人（甲方）：</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供应商（乙方）：</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5391000A">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项目编号：</w:t>
      </w:r>
      <w:r>
        <w:rPr>
          <w:rFonts w:ascii="宋体" w:hAnsi="宋体" w:cs="宋体"/>
          <w:color w:val="auto"/>
          <w:sz w:val="22"/>
          <w:szCs w:val="22"/>
          <w:highlight w:val="none"/>
          <w:u w:val="single"/>
        </w:rPr>
        <w:t xml:space="preserve">                          </w:t>
      </w:r>
    </w:p>
    <w:p w14:paraId="3E328ED6">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签订地点：</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签订时间：</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 xml:space="preserve">     </w:t>
      </w:r>
    </w:p>
    <w:p w14:paraId="2EC1A7D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本合同为中小企业预留合同：</w:t>
      </w:r>
      <w:r>
        <w:rPr>
          <w:rFonts w:hint="eastAsia" w:ascii="宋体" w:hAnsi="宋体" w:cs="宋体"/>
          <w:color w:val="auto"/>
          <w:sz w:val="22"/>
          <w:szCs w:val="22"/>
          <w:highlight w:val="none"/>
          <w:u w:val="single"/>
        </w:rPr>
        <w:t>（是/否）</w:t>
      </w:r>
      <w:r>
        <w:rPr>
          <w:rFonts w:hint="eastAsia" w:ascii="宋体" w:hAnsi="宋体" w:cs="宋体"/>
          <w:color w:val="auto"/>
          <w:sz w:val="22"/>
          <w:szCs w:val="22"/>
          <w:highlight w:val="none"/>
        </w:rPr>
        <w:t>。</w:t>
      </w:r>
    </w:p>
    <w:p w14:paraId="11277D1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根据《中华人民共和国政府采购法》、《中华人民共和国民法典》等法律、法规规定，按照</w:t>
      </w:r>
      <w:r>
        <w:rPr>
          <w:rFonts w:hint="eastAsia" w:ascii="宋体" w:hAnsi="宋体"/>
          <w:color w:val="auto"/>
          <w:sz w:val="22"/>
          <w:szCs w:val="22"/>
          <w:highlight w:val="none"/>
        </w:rPr>
        <w:t>磋商文件规定条款和乙方响应文件及其承诺，甲乙双方签订本合同。</w:t>
      </w:r>
    </w:p>
    <w:p w14:paraId="146643F9">
      <w:pPr>
        <w:snapToGrid w:val="0"/>
        <w:spacing w:line="360" w:lineRule="exact"/>
        <w:ind w:firstLine="418" w:firstLineChars="200"/>
        <w:rPr>
          <w:rFonts w:hint="eastAsia" w:ascii="宋体" w:hAnsi="宋体" w:eastAsia="宋体" w:cs="宋体"/>
          <w:b/>
          <w:color w:val="auto"/>
          <w:spacing w:val="-6"/>
          <w:sz w:val="22"/>
          <w:szCs w:val="22"/>
          <w:highlight w:val="none"/>
          <w:lang w:eastAsia="zh-CN"/>
        </w:rPr>
      </w:pPr>
      <w:r>
        <w:rPr>
          <w:rFonts w:hint="eastAsia" w:ascii="宋体" w:hAnsi="宋体" w:eastAsia="宋体" w:cs="宋体"/>
          <w:b/>
          <w:color w:val="auto"/>
          <w:spacing w:val="-6"/>
          <w:sz w:val="22"/>
          <w:szCs w:val="22"/>
          <w:highlight w:val="none"/>
        </w:rPr>
        <w:t>第</w:t>
      </w:r>
      <w:r>
        <w:rPr>
          <w:rFonts w:hint="eastAsia" w:ascii="宋体" w:hAnsi="宋体" w:eastAsia="宋体" w:cs="宋体"/>
          <w:b/>
          <w:color w:val="auto"/>
          <w:spacing w:val="-6"/>
          <w:sz w:val="22"/>
          <w:szCs w:val="22"/>
          <w:highlight w:val="none"/>
          <w:lang w:eastAsia="zh-CN"/>
        </w:rPr>
        <w:t>一</w:t>
      </w:r>
      <w:r>
        <w:rPr>
          <w:rFonts w:hint="eastAsia" w:ascii="宋体" w:hAnsi="宋体" w:eastAsia="宋体" w:cs="宋体"/>
          <w:b/>
          <w:color w:val="auto"/>
          <w:spacing w:val="-6"/>
          <w:sz w:val="22"/>
          <w:szCs w:val="22"/>
          <w:highlight w:val="none"/>
        </w:rPr>
        <w:t>条　</w:t>
      </w:r>
      <w:r>
        <w:rPr>
          <w:rFonts w:hint="eastAsia" w:ascii="宋体" w:hAnsi="宋体" w:eastAsia="宋体" w:cs="宋体"/>
          <w:b/>
          <w:color w:val="auto"/>
          <w:spacing w:val="-6"/>
          <w:sz w:val="22"/>
          <w:szCs w:val="22"/>
          <w:highlight w:val="none"/>
          <w:lang w:eastAsia="zh-CN"/>
        </w:rPr>
        <w:t>项目概况</w:t>
      </w:r>
    </w:p>
    <w:p w14:paraId="26D9C2F4">
      <w:pPr>
        <w:snapToGrid w:val="0"/>
        <w:spacing w:line="360" w:lineRule="exact"/>
        <w:ind w:firstLine="418" w:firstLineChars="200"/>
        <w:rPr>
          <w:rFonts w:hint="default" w:ascii="宋体" w:hAnsi="宋体" w:eastAsia="宋体" w:cs="宋体"/>
          <w:b/>
          <w:color w:val="auto"/>
          <w:spacing w:val="-6"/>
          <w:sz w:val="22"/>
          <w:szCs w:val="22"/>
          <w:highlight w:val="none"/>
          <w:u w:val="single"/>
          <w:lang w:val="en-US" w:eastAsia="zh-CN"/>
        </w:rPr>
      </w:pPr>
      <w:r>
        <w:rPr>
          <w:rFonts w:hint="eastAsia" w:ascii="宋体" w:hAnsi="宋体" w:eastAsia="宋体" w:cs="宋体"/>
          <w:b/>
          <w:color w:val="auto"/>
          <w:spacing w:val="-6"/>
          <w:sz w:val="22"/>
          <w:szCs w:val="22"/>
          <w:highlight w:val="none"/>
          <w:lang w:val="en-US" w:eastAsia="zh-CN"/>
        </w:rPr>
        <w:t>（一）项目名称：</w:t>
      </w:r>
      <w:r>
        <w:rPr>
          <w:rFonts w:hint="eastAsia" w:ascii="宋体" w:hAnsi="宋体" w:eastAsia="宋体" w:cs="宋体"/>
          <w:b/>
          <w:color w:val="auto"/>
          <w:spacing w:val="-6"/>
          <w:sz w:val="22"/>
          <w:szCs w:val="22"/>
          <w:highlight w:val="none"/>
          <w:u w:val="single"/>
          <w:lang w:val="en-US" w:eastAsia="zh-CN"/>
        </w:rPr>
        <w:t xml:space="preserve">                                </w:t>
      </w:r>
    </w:p>
    <w:p w14:paraId="7754846A">
      <w:pPr>
        <w:snapToGrid w:val="0"/>
        <w:spacing w:line="360" w:lineRule="exact"/>
        <w:ind w:firstLine="418" w:firstLineChars="200"/>
        <w:rPr>
          <w:rFonts w:hint="default" w:ascii="宋体" w:hAnsi="宋体" w:eastAsia="宋体" w:cs="宋体"/>
          <w:b w:val="0"/>
          <w:bCs w:val="0"/>
          <w:color w:val="auto"/>
          <w:spacing w:val="-6"/>
          <w:sz w:val="22"/>
          <w:szCs w:val="22"/>
          <w:highlight w:val="none"/>
          <w:u w:val="single"/>
          <w:lang w:val="en-US" w:eastAsia="zh-CN"/>
        </w:rPr>
      </w:pPr>
      <w:r>
        <w:rPr>
          <w:rFonts w:hint="eastAsia" w:ascii="宋体" w:hAnsi="宋体" w:eastAsia="宋体" w:cs="宋体"/>
          <w:b/>
          <w:color w:val="auto"/>
          <w:spacing w:val="-6"/>
          <w:sz w:val="22"/>
          <w:szCs w:val="22"/>
          <w:highlight w:val="none"/>
          <w:lang w:eastAsia="zh-CN"/>
        </w:rPr>
        <w:t>（二）项目概况：</w:t>
      </w:r>
      <w:r>
        <w:rPr>
          <w:rFonts w:hint="eastAsia" w:ascii="宋体" w:hAnsi="宋体" w:eastAsia="宋体" w:cs="宋体"/>
          <w:b/>
          <w:color w:val="auto"/>
          <w:spacing w:val="-6"/>
          <w:sz w:val="22"/>
          <w:szCs w:val="22"/>
          <w:highlight w:val="none"/>
          <w:u w:val="single"/>
          <w:lang w:val="en-US" w:eastAsia="zh-CN"/>
        </w:rPr>
        <w:t xml:space="preserve">                                </w:t>
      </w:r>
    </w:p>
    <w:p w14:paraId="2EB3134A">
      <w:pPr>
        <w:snapToGrid w:val="0"/>
        <w:spacing w:line="360" w:lineRule="exact"/>
        <w:ind w:firstLine="418" w:firstLineChars="200"/>
        <w:rPr>
          <w:rFonts w:hint="eastAsia" w:ascii="宋体" w:hAnsi="宋体" w:eastAsia="宋体" w:cs="宋体"/>
          <w:b/>
          <w:color w:val="auto"/>
          <w:spacing w:val="-6"/>
          <w:sz w:val="22"/>
          <w:szCs w:val="22"/>
          <w:highlight w:val="none"/>
          <w:lang w:eastAsia="zh-CN"/>
        </w:rPr>
      </w:pPr>
      <w:r>
        <w:rPr>
          <w:rFonts w:hint="eastAsia" w:ascii="宋体" w:hAnsi="宋体" w:eastAsia="宋体" w:cs="宋体"/>
          <w:b/>
          <w:color w:val="auto"/>
          <w:spacing w:val="-6"/>
          <w:sz w:val="22"/>
          <w:szCs w:val="22"/>
          <w:highlight w:val="none"/>
          <w:lang w:eastAsia="zh-CN"/>
        </w:rPr>
        <w:t>（三）工作内容包括：</w:t>
      </w:r>
      <w:r>
        <w:rPr>
          <w:rFonts w:hint="eastAsia" w:ascii="宋体" w:hAnsi="宋体" w:eastAsia="宋体" w:cs="宋体"/>
          <w:color w:val="auto"/>
          <w:spacing w:val="-6"/>
          <w:kern w:val="0"/>
          <w:sz w:val="22"/>
          <w:szCs w:val="22"/>
          <w:highlight w:val="none"/>
          <w:lang w:val="en-US" w:eastAsia="zh-CN"/>
        </w:rPr>
        <w:t xml:space="preserve"> </w:t>
      </w:r>
      <w:r>
        <w:rPr>
          <w:rFonts w:hint="eastAsia" w:ascii="宋体" w:hAnsi="宋体" w:eastAsia="宋体" w:cs="宋体"/>
          <w:color w:val="auto"/>
          <w:spacing w:val="-6"/>
          <w:kern w:val="0"/>
          <w:sz w:val="22"/>
          <w:szCs w:val="22"/>
          <w:highlight w:val="none"/>
          <w:u w:val="single"/>
          <w:lang w:val="en-US" w:eastAsia="zh-CN"/>
        </w:rPr>
        <w:t xml:space="preserve">                           </w:t>
      </w:r>
    </w:p>
    <w:p w14:paraId="26F9F50B">
      <w:pPr>
        <w:spacing w:line="360" w:lineRule="auto"/>
        <w:ind w:firstLine="418" w:firstLineChars="200"/>
        <w:rPr>
          <w:rFonts w:hint="default" w:ascii="宋体" w:hAnsi="宋体" w:eastAsia="宋体" w:cs="宋体"/>
          <w:b/>
          <w:color w:val="auto"/>
          <w:spacing w:val="-6"/>
          <w:sz w:val="22"/>
          <w:szCs w:val="22"/>
          <w:highlight w:val="none"/>
          <w:u w:val="single"/>
          <w:lang w:val="en-US" w:eastAsia="zh-CN"/>
        </w:rPr>
      </w:pPr>
      <w:r>
        <w:rPr>
          <w:rFonts w:hint="eastAsia" w:ascii="宋体" w:hAnsi="宋体" w:eastAsia="宋体" w:cs="宋体"/>
          <w:b/>
          <w:color w:val="auto"/>
          <w:spacing w:val="-6"/>
          <w:sz w:val="22"/>
          <w:szCs w:val="22"/>
          <w:highlight w:val="none"/>
          <w:lang w:eastAsia="zh-CN"/>
        </w:rPr>
        <w:t>（四）工作期限：</w:t>
      </w:r>
      <w:r>
        <w:rPr>
          <w:rFonts w:hint="eastAsia" w:ascii="宋体" w:hAnsi="宋体" w:eastAsia="宋体" w:cs="宋体"/>
          <w:b/>
          <w:color w:val="auto"/>
          <w:spacing w:val="-6"/>
          <w:sz w:val="22"/>
          <w:szCs w:val="22"/>
          <w:highlight w:val="none"/>
          <w:u w:val="single"/>
          <w:lang w:val="en-US" w:eastAsia="zh-CN"/>
        </w:rPr>
        <w:t xml:space="preserve">                                </w:t>
      </w:r>
    </w:p>
    <w:p w14:paraId="148CE001">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eastAsia="zh-CN"/>
        </w:rPr>
        <w:t>二</w:t>
      </w:r>
      <w:r>
        <w:rPr>
          <w:rFonts w:hint="eastAsia" w:ascii="宋体" w:hAnsi="宋体" w:cs="宋体"/>
          <w:b/>
          <w:color w:val="auto"/>
          <w:spacing w:val="-6"/>
          <w:sz w:val="22"/>
          <w:szCs w:val="22"/>
          <w:highlight w:val="none"/>
        </w:rPr>
        <w:t>条　合同标的</w:t>
      </w:r>
    </w:p>
    <w:p w14:paraId="578248B9">
      <w:pPr>
        <w:spacing w:line="360" w:lineRule="auto"/>
        <w:ind w:firstLine="416"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项目一览表</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26"/>
        <w:gridCol w:w="1787"/>
        <w:gridCol w:w="1325"/>
        <w:gridCol w:w="1195"/>
        <w:gridCol w:w="1305"/>
        <w:gridCol w:w="5"/>
        <w:gridCol w:w="1202"/>
      </w:tblGrid>
      <w:tr w14:paraId="5633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508F85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26CB0C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93E83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服务内容</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8BCEF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数  量</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7B731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CA1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  价</w:t>
            </w:r>
          </w:p>
          <w:p w14:paraId="184D12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14:paraId="0AF55E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总  价</w:t>
            </w:r>
          </w:p>
          <w:p w14:paraId="4F3E80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r>
      <w:tr w14:paraId="574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613B5E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50BB5B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highlight w:val="none"/>
                <w:lang w:eastAsia="zh-CN"/>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707E49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43360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10A29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10" w:type="dxa"/>
            <w:gridSpan w:val="2"/>
            <w:tcBorders>
              <w:top w:val="single" w:color="auto" w:sz="4" w:space="0"/>
              <w:left w:val="single" w:color="auto" w:sz="4" w:space="0"/>
              <w:bottom w:val="single" w:color="auto" w:sz="4" w:space="0"/>
              <w:right w:val="single" w:color="auto" w:sz="4" w:space="0"/>
            </w:tcBorders>
            <w:noWrap w:val="0"/>
            <w:vAlign w:val="center"/>
          </w:tcPr>
          <w:p w14:paraId="0CE3F8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BE7AB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r>
      <w:tr w14:paraId="2376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7E3BEF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6C3627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highlight w:val="none"/>
                <w:lang w:eastAsia="zh-CN"/>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A7DD4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0895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C125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10" w:type="dxa"/>
            <w:gridSpan w:val="2"/>
            <w:tcBorders>
              <w:top w:val="single" w:color="auto" w:sz="4" w:space="0"/>
              <w:left w:val="single" w:color="auto" w:sz="4" w:space="0"/>
              <w:bottom w:val="single" w:color="auto" w:sz="4" w:space="0"/>
              <w:right w:val="single" w:color="auto" w:sz="4" w:space="0"/>
            </w:tcBorders>
            <w:noWrap w:val="0"/>
            <w:vAlign w:val="center"/>
          </w:tcPr>
          <w:p w14:paraId="42F91A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4B0E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r>
      <w:tr w14:paraId="44C5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DCA0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74022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highlight w:val="none"/>
                <w:lang w:eastAsia="zh-CN"/>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EE8AB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D22B4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8C231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310" w:type="dxa"/>
            <w:gridSpan w:val="2"/>
            <w:tcBorders>
              <w:top w:val="single" w:color="auto" w:sz="4" w:space="0"/>
              <w:left w:val="single" w:color="auto" w:sz="4" w:space="0"/>
              <w:bottom w:val="single" w:color="auto" w:sz="4" w:space="0"/>
              <w:right w:val="single" w:color="auto" w:sz="4" w:space="0"/>
            </w:tcBorders>
            <w:noWrap w:val="0"/>
            <w:vAlign w:val="center"/>
          </w:tcPr>
          <w:p w14:paraId="54CF4D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D33E6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2"/>
                <w:szCs w:val="22"/>
                <w:highlight w:val="none"/>
              </w:rPr>
            </w:pPr>
          </w:p>
        </w:tc>
      </w:tr>
      <w:tr w14:paraId="1953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8"/>
            <w:tcBorders>
              <w:top w:val="single" w:color="auto" w:sz="4" w:space="0"/>
              <w:left w:val="single" w:color="auto" w:sz="4" w:space="0"/>
              <w:bottom w:val="single" w:color="auto" w:sz="4" w:space="0"/>
              <w:right w:val="single" w:color="auto" w:sz="4" w:space="0"/>
            </w:tcBorders>
            <w:noWrap w:val="0"/>
            <w:vAlign w:val="center"/>
          </w:tcPr>
          <w:p w14:paraId="614F70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人民币合计金额（大写）：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tc>
      </w:tr>
      <w:tr w14:paraId="210F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8"/>
            <w:tcBorders>
              <w:top w:val="single" w:color="auto" w:sz="4" w:space="0"/>
              <w:left w:val="single" w:color="auto" w:sz="4" w:space="0"/>
              <w:bottom w:val="single" w:color="auto" w:sz="4" w:space="0"/>
              <w:right w:val="single" w:color="auto" w:sz="4" w:space="0"/>
            </w:tcBorders>
            <w:noWrap w:val="0"/>
            <w:vAlign w:val="center"/>
          </w:tcPr>
          <w:p w14:paraId="007944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交付时间：</w:t>
            </w:r>
          </w:p>
        </w:tc>
      </w:tr>
    </w:tbl>
    <w:p w14:paraId="12EAD799">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合同合计金额包括但不限于满足本次竞标全部采购需求所应提供的服务，</w:t>
      </w:r>
      <w:r>
        <w:rPr>
          <w:rFonts w:hint="eastAsia" w:asciiTheme="minorEastAsia" w:hAnsiTheme="minorEastAsia" w:eastAsiaTheme="minorEastAsia" w:cstheme="minorEastAsia"/>
          <w:bCs/>
          <w:color w:val="auto"/>
          <w:szCs w:val="21"/>
          <w:highlight w:val="none"/>
        </w:rPr>
        <w:t>即满足本次全部采购需求所应提供的服务的价格；包含但不限于编制费、专家咨询费、劳务费、差旅费、调研费、文献资料费、材料印制费、报告评审费、税费等完成本合同约定义务所需一切费用</w:t>
      </w:r>
      <w:r>
        <w:rPr>
          <w:rFonts w:hint="eastAsia" w:ascii="宋体" w:hAnsi="宋体" w:cs="宋体"/>
          <w:color w:val="auto"/>
          <w:spacing w:val="-6"/>
          <w:sz w:val="22"/>
          <w:szCs w:val="22"/>
          <w:highlight w:val="none"/>
        </w:rPr>
        <w:t>。如磋商文件对其另有规定的，从其规定。</w:t>
      </w:r>
    </w:p>
    <w:p w14:paraId="25CD2F54">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eastAsia="zh-CN"/>
        </w:rPr>
        <w:t>三</w:t>
      </w:r>
      <w:r>
        <w:rPr>
          <w:rFonts w:hint="eastAsia" w:ascii="宋体" w:hAnsi="宋体" w:cs="宋体"/>
          <w:b/>
          <w:color w:val="auto"/>
          <w:spacing w:val="-6"/>
          <w:sz w:val="22"/>
          <w:szCs w:val="22"/>
          <w:highlight w:val="none"/>
        </w:rPr>
        <w:t>条　质量保证</w:t>
      </w:r>
    </w:p>
    <w:p w14:paraId="126EF3AF">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D05F1C6">
      <w:pPr>
        <w:spacing w:line="360" w:lineRule="auto"/>
        <w:ind w:firstLine="418" w:firstLineChars="200"/>
        <w:rPr>
          <w:rFonts w:hint="eastAsia" w:ascii="宋体" w:hAnsi="宋体" w:cs="宋体"/>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eastAsia="zh-CN"/>
        </w:rPr>
        <w:t>四</w:t>
      </w:r>
      <w:r>
        <w:rPr>
          <w:rFonts w:hint="eastAsia" w:ascii="宋体" w:hAnsi="宋体" w:cs="宋体"/>
          <w:b/>
          <w:color w:val="auto"/>
          <w:spacing w:val="-6"/>
          <w:sz w:val="22"/>
          <w:szCs w:val="22"/>
          <w:highlight w:val="none"/>
        </w:rPr>
        <w:t>条　权利保证</w:t>
      </w:r>
    </w:p>
    <w:p w14:paraId="3C3C423F">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乙方应保证所提供服务在使用时不会侵犯任何第三方的专利权、商标权、工业设计权等知识产权及其他合法权利，且所有权、处分权等没有受到任何限制。</w:t>
      </w:r>
    </w:p>
    <w:p w14:paraId="02CDCB6A">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F98DB29">
      <w:pPr>
        <w:spacing w:line="360" w:lineRule="auto"/>
        <w:ind w:firstLine="418" w:firstLineChars="200"/>
        <w:rPr>
          <w:rFonts w:hint="eastAsia" w:ascii="宋体" w:hAnsi="宋体" w:cs="宋体"/>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eastAsia="zh-CN"/>
        </w:rPr>
        <w:t>五</w:t>
      </w:r>
      <w:r>
        <w:rPr>
          <w:rFonts w:hint="eastAsia" w:ascii="宋体" w:hAnsi="宋体" w:cs="宋体"/>
          <w:b/>
          <w:color w:val="auto"/>
          <w:spacing w:val="-6"/>
          <w:sz w:val="22"/>
          <w:szCs w:val="22"/>
          <w:highlight w:val="none"/>
        </w:rPr>
        <w:t>条　交付和验收</w:t>
      </w:r>
    </w:p>
    <w:p w14:paraId="596DF861">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.交付时间</w:t>
      </w:r>
      <w:r>
        <w:rPr>
          <w:rFonts w:hint="eastAsia" w:ascii="宋体" w:hAnsi="宋体" w:cs="宋体"/>
          <w:color w:val="auto"/>
          <w:spacing w:val="-6"/>
          <w:sz w:val="22"/>
          <w:szCs w:val="22"/>
          <w:highlight w:val="none"/>
        </w:rPr>
        <w:t>：</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，服务地点：</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w:t>
      </w:r>
    </w:p>
    <w:p w14:paraId="7F864F8D">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乙方应按响应文件的承诺向甲方提供相应的服务，并提供所服务内容的相关技术资料。</w:t>
      </w:r>
    </w:p>
    <w:p w14:paraId="5439B513">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乙方提供不符合响应文件和本合同规定的服务成果，甲方有权拒绝接受。</w:t>
      </w:r>
    </w:p>
    <w:p w14:paraId="349A7DE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4</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66332BCB">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5</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甲乙双方应按照《广西壮族自治区政府采购项目履约验收管理办法》、双方合同、响应文件验收。</w:t>
      </w:r>
    </w:p>
    <w:p w14:paraId="3027BAC1">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6</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51C0674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7</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甲方验收时以书面形式提出异议的，乙方应自收到甲方书面异议后五个工作日内及时予以解决，否则甲方有权不出具服务验收合格单。</w:t>
      </w:r>
    </w:p>
    <w:p w14:paraId="15464A95">
      <w:pPr>
        <w:keepNext w:val="0"/>
        <w:keepLines w:val="0"/>
        <w:pageBreakBefore w:val="0"/>
        <w:widowControl w:val="0"/>
        <w:kinsoku/>
        <w:wordWrap/>
        <w:overflowPunct/>
        <w:topLinePunct w:val="0"/>
        <w:autoSpaceDE/>
        <w:autoSpaceDN/>
        <w:bidi w:val="0"/>
        <w:adjustRightInd/>
        <w:snapToGrid w:val="0"/>
        <w:spacing w:line="360" w:lineRule="auto"/>
        <w:ind w:firstLine="418" w:firstLineChars="200"/>
        <w:textAlignment w:val="auto"/>
        <w:rPr>
          <w:rFonts w:hint="eastAsia" w:ascii="宋体" w:hAnsi="宋体" w:cs="宋体"/>
          <w:color w:val="auto"/>
          <w:spacing w:val="-6"/>
          <w:sz w:val="22"/>
          <w:szCs w:val="22"/>
          <w:highlight w:val="none"/>
          <w:u w:val="singl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val="en-US" w:eastAsia="zh-CN"/>
        </w:rPr>
        <w:t>六</w:t>
      </w:r>
      <w:r>
        <w:rPr>
          <w:rFonts w:hint="eastAsia" w:ascii="宋体" w:hAnsi="宋体" w:cs="宋体"/>
          <w:b/>
          <w:color w:val="auto"/>
          <w:spacing w:val="-6"/>
          <w:sz w:val="22"/>
          <w:szCs w:val="22"/>
          <w:highlight w:val="none"/>
        </w:rPr>
        <w:t>条　付款方式</w:t>
      </w:r>
    </w:p>
    <w:p w14:paraId="2B6DAA17">
      <w:pPr>
        <w:keepNext w:val="0"/>
        <w:keepLines w:val="0"/>
        <w:pageBreakBefore w:val="0"/>
        <w:widowControl w:val="0"/>
        <w:kinsoku/>
        <w:wordWrap/>
        <w:overflowPunct/>
        <w:topLinePunct w:val="0"/>
        <w:autoSpaceDE/>
        <w:autoSpaceDN/>
        <w:bidi w:val="0"/>
        <w:adjustRightInd/>
        <w:spacing w:line="360" w:lineRule="auto"/>
        <w:ind w:firstLine="418" w:firstLineChars="200"/>
        <w:textAlignment w:val="auto"/>
        <w:rPr>
          <w:rFonts w:hint="default" w:ascii="宋体" w:hAnsi="宋体" w:eastAsia="宋体" w:cs="宋体"/>
          <w:b/>
          <w:bCs/>
          <w:color w:val="auto"/>
          <w:spacing w:val="-6"/>
          <w:sz w:val="22"/>
          <w:szCs w:val="22"/>
          <w:highlight w:val="none"/>
          <w:u w:val="single"/>
          <w:lang w:val="en-US" w:eastAsia="zh-CN"/>
        </w:rPr>
      </w:pPr>
      <w:r>
        <w:rPr>
          <w:rFonts w:hint="eastAsia" w:ascii="宋体" w:hAnsi="宋体" w:cs="宋体"/>
          <w:b/>
          <w:color w:val="auto"/>
          <w:spacing w:val="-6"/>
          <w:sz w:val="22"/>
          <w:szCs w:val="22"/>
          <w:highlight w:val="none"/>
        </w:rPr>
        <w:t>1</w:t>
      </w:r>
      <w:r>
        <w:rPr>
          <w:rFonts w:hint="eastAsia" w:ascii="宋体" w:hAnsi="宋体" w:cs="宋体"/>
          <w:b/>
          <w:color w:val="auto"/>
          <w:spacing w:val="-6"/>
          <w:sz w:val="22"/>
          <w:szCs w:val="22"/>
          <w:highlight w:val="none"/>
          <w:lang w:eastAsia="zh-CN"/>
        </w:rPr>
        <w:t>.</w:t>
      </w:r>
      <w:r>
        <w:rPr>
          <w:rFonts w:hint="eastAsia" w:ascii="宋体" w:hAnsi="宋体" w:cs="宋体"/>
          <w:b/>
          <w:bCs/>
          <w:color w:val="auto"/>
          <w:spacing w:val="-6"/>
          <w:sz w:val="22"/>
          <w:szCs w:val="22"/>
          <w:highlight w:val="none"/>
          <w:lang w:eastAsia="zh-CN"/>
        </w:rPr>
        <w:t>本合同总金额按成交金额为人民币</w:t>
      </w:r>
      <w:r>
        <w:rPr>
          <w:rFonts w:hint="eastAsia" w:ascii="宋体" w:hAnsi="宋体" w:cs="宋体"/>
          <w:b/>
          <w:bCs/>
          <w:color w:val="auto"/>
          <w:spacing w:val="-6"/>
          <w:sz w:val="22"/>
          <w:szCs w:val="22"/>
          <w:highlight w:val="none"/>
        </w:rPr>
        <w:t>：</w:t>
      </w:r>
      <w:r>
        <w:rPr>
          <w:rFonts w:hint="eastAsia" w:ascii="宋体" w:hAnsi="宋体" w:cs="宋体"/>
          <w:b w:val="0"/>
          <w:bCs w:val="0"/>
          <w:color w:val="auto"/>
          <w:spacing w:val="-6"/>
          <w:sz w:val="22"/>
          <w:szCs w:val="22"/>
          <w:highlight w:val="none"/>
          <w:u w:val="single"/>
          <w:lang w:val="en-US" w:eastAsia="zh-CN"/>
        </w:rPr>
        <w:t xml:space="preserve">         </w:t>
      </w:r>
      <w:r>
        <w:rPr>
          <w:rFonts w:hint="eastAsia" w:ascii="宋体" w:hAnsi="宋体" w:cs="宋体"/>
          <w:b w:val="0"/>
          <w:bCs w:val="0"/>
          <w:color w:val="auto"/>
          <w:spacing w:val="-6"/>
          <w:sz w:val="22"/>
          <w:szCs w:val="22"/>
          <w:highlight w:val="none"/>
        </w:rPr>
        <w:t>。</w:t>
      </w:r>
    </w:p>
    <w:p w14:paraId="40B9D6D0">
      <w:pPr>
        <w:keepNext w:val="0"/>
        <w:keepLines w:val="0"/>
        <w:pageBreakBefore w:val="0"/>
        <w:widowControl w:val="0"/>
        <w:kinsoku/>
        <w:wordWrap/>
        <w:overflowPunct/>
        <w:topLinePunct w:val="0"/>
        <w:autoSpaceDE/>
        <w:autoSpaceDN/>
        <w:bidi w:val="0"/>
        <w:adjustRightInd/>
        <w:snapToGrid w:val="0"/>
        <w:spacing w:line="360" w:lineRule="auto"/>
        <w:ind w:firstLine="418" w:firstLineChars="200"/>
        <w:textAlignment w:val="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lang w:val="en-US" w:eastAsia="zh-CN"/>
        </w:rPr>
        <w:t>2</w:t>
      </w:r>
      <w:r>
        <w:rPr>
          <w:rFonts w:hint="eastAsia" w:ascii="宋体" w:hAnsi="宋体" w:cs="宋体"/>
          <w:b/>
          <w:color w:val="auto"/>
          <w:spacing w:val="-6"/>
          <w:sz w:val="22"/>
          <w:szCs w:val="22"/>
          <w:highlight w:val="none"/>
          <w:lang w:eastAsia="zh-CN"/>
        </w:rPr>
        <w:t>.</w:t>
      </w:r>
      <w:r>
        <w:rPr>
          <w:rFonts w:hint="eastAsia" w:ascii="宋体" w:hAnsi="宋体" w:cs="宋体"/>
          <w:b/>
          <w:bCs/>
          <w:color w:val="auto"/>
          <w:spacing w:val="-6"/>
          <w:sz w:val="22"/>
          <w:szCs w:val="22"/>
          <w:highlight w:val="none"/>
        </w:rPr>
        <w:t>付款方式：</w:t>
      </w:r>
      <w:r>
        <w:rPr>
          <w:rFonts w:hint="eastAsia" w:ascii="宋体" w:hAnsi="宋体" w:eastAsia="宋体" w:cs="宋体"/>
          <w:color w:val="auto"/>
          <w:spacing w:val="-6"/>
          <w:sz w:val="22"/>
          <w:szCs w:val="22"/>
          <w:highlight w:val="none"/>
          <w:lang w:val="en-US" w:eastAsia="zh-CN"/>
        </w:rPr>
        <w:t xml:space="preserve"> </w:t>
      </w:r>
      <w:r>
        <w:rPr>
          <w:rFonts w:hint="eastAsia" w:ascii="宋体" w:hAnsi="宋体" w:cs="宋体"/>
          <w:color w:val="auto"/>
          <w:spacing w:val="-6"/>
          <w:sz w:val="22"/>
          <w:szCs w:val="22"/>
          <w:highlight w:val="none"/>
          <w:lang w:eastAsia="zh-CN"/>
        </w:rPr>
        <w:t>完成项目初步设计工作</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甲方</w:t>
      </w:r>
      <w:r>
        <w:rPr>
          <w:rFonts w:hint="eastAsia" w:ascii="宋体" w:hAnsi="宋体" w:eastAsia="宋体" w:cs="宋体"/>
          <w:color w:val="auto"/>
          <w:spacing w:val="-6"/>
          <w:sz w:val="22"/>
          <w:szCs w:val="22"/>
          <w:highlight w:val="none"/>
        </w:rPr>
        <w:t>支付50%合同款项；完成项目所有设计编制工作并提交所有最终成果后，</w:t>
      </w:r>
      <w:r>
        <w:rPr>
          <w:rFonts w:hint="eastAsia" w:ascii="宋体" w:hAnsi="宋体" w:cs="宋体"/>
          <w:color w:val="auto"/>
          <w:spacing w:val="-6"/>
          <w:sz w:val="22"/>
          <w:szCs w:val="22"/>
          <w:highlight w:val="none"/>
          <w:lang w:val="en-US" w:eastAsia="zh-CN"/>
        </w:rPr>
        <w:t>甲方</w:t>
      </w:r>
      <w:r>
        <w:rPr>
          <w:rFonts w:hint="eastAsia" w:ascii="宋体" w:hAnsi="宋体" w:eastAsia="宋体" w:cs="宋体"/>
          <w:color w:val="auto"/>
          <w:spacing w:val="-6"/>
          <w:sz w:val="22"/>
          <w:szCs w:val="22"/>
          <w:highlight w:val="none"/>
        </w:rPr>
        <w:t>支付余下 50%合同款项。</w:t>
      </w:r>
      <w:r>
        <w:rPr>
          <w:rFonts w:hint="eastAsia" w:ascii="宋体" w:hAnsi="宋体" w:eastAsia="宋体" w:cs="宋体"/>
          <w:color w:val="auto"/>
          <w:spacing w:val="-6"/>
          <w:sz w:val="22"/>
          <w:szCs w:val="22"/>
          <w:highlight w:val="none"/>
          <w:lang w:val="en-US" w:eastAsia="zh-CN"/>
        </w:rPr>
        <w:t xml:space="preserve"> </w:t>
      </w:r>
    </w:p>
    <w:p w14:paraId="549DDDA7">
      <w:pPr>
        <w:snapToGrid w:val="0"/>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val="en-US" w:eastAsia="zh-CN"/>
        </w:rPr>
        <w:t>七</w:t>
      </w:r>
      <w:r>
        <w:rPr>
          <w:rFonts w:hint="eastAsia" w:ascii="宋体" w:hAnsi="宋体" w:cs="宋体"/>
          <w:b/>
          <w:color w:val="auto"/>
          <w:spacing w:val="-6"/>
          <w:sz w:val="22"/>
          <w:szCs w:val="22"/>
          <w:highlight w:val="none"/>
        </w:rPr>
        <w:t>条　履约保证金</w:t>
      </w:r>
    </w:p>
    <w:p w14:paraId="271327D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履约保证金金额：无。</w:t>
      </w:r>
    </w:p>
    <w:p w14:paraId="54BB2C2D">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val="en-US" w:eastAsia="zh-CN"/>
        </w:rPr>
        <w:t>八</w:t>
      </w:r>
      <w:r>
        <w:rPr>
          <w:rFonts w:hint="eastAsia" w:ascii="宋体" w:hAnsi="宋体" w:cs="宋体"/>
          <w:b/>
          <w:color w:val="auto"/>
          <w:spacing w:val="-6"/>
          <w:sz w:val="22"/>
          <w:szCs w:val="22"/>
          <w:highlight w:val="none"/>
        </w:rPr>
        <w:t>条  税费</w:t>
      </w:r>
    </w:p>
    <w:p w14:paraId="0E5249FF">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本合同执行中相关的一切税费均由乙方负担，合同另有约定的除外。</w:t>
      </w:r>
    </w:p>
    <w:p w14:paraId="5F47C7BD">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w:t>
      </w:r>
      <w:r>
        <w:rPr>
          <w:rFonts w:hint="eastAsia" w:ascii="宋体" w:hAnsi="宋体" w:cs="宋体"/>
          <w:b/>
          <w:color w:val="auto"/>
          <w:spacing w:val="-6"/>
          <w:sz w:val="22"/>
          <w:szCs w:val="22"/>
          <w:highlight w:val="none"/>
          <w:lang w:val="en-US" w:eastAsia="zh-CN"/>
        </w:rPr>
        <w:t>九</w:t>
      </w:r>
      <w:r>
        <w:rPr>
          <w:rFonts w:hint="eastAsia" w:ascii="宋体" w:hAnsi="宋体" w:cs="宋体"/>
          <w:b/>
          <w:color w:val="auto"/>
          <w:spacing w:val="-6"/>
          <w:sz w:val="22"/>
          <w:szCs w:val="22"/>
          <w:highlight w:val="none"/>
        </w:rPr>
        <w:t>条　违约责任</w:t>
      </w:r>
    </w:p>
    <w:p w14:paraId="39C32809">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 xml:space="preserve">除不可抗力原因外，乙方没有按照合同规定的时间提供服务的，甲方可要求乙方支付违约金。每推迟一天按合同金额的3‰支付违约金，该违约金累计不超过合同金额的10%。                                  </w:t>
      </w:r>
    </w:p>
    <w:p w14:paraId="6A95CA9E">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乙方提供的服务如侵犯了第三方合法权益而引发的任何纠纷或者诉讼，均由乙方负责交涉并承担全部责任。</w:t>
      </w:r>
    </w:p>
    <w:p w14:paraId="49F54950">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甲方延期付款的，每天向乙方偿付延期款额3‰滞纳金，但滞纳金累计不得超过延期款额5%。</w:t>
      </w:r>
    </w:p>
    <w:p w14:paraId="479A27A2">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第十条  不可抗力事件处理</w:t>
      </w:r>
    </w:p>
    <w:p w14:paraId="46945065">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在合同有效期内，任何一方因不可抗力事件</w:t>
      </w:r>
      <w:r>
        <w:rPr>
          <w:rFonts w:hint="eastAsia" w:ascii="宋体" w:hAnsi="宋体" w:cs="宋体"/>
          <w:color w:val="auto"/>
          <w:spacing w:val="-6"/>
          <w:sz w:val="22"/>
          <w:szCs w:val="22"/>
          <w:highlight w:val="none"/>
          <w:lang w:eastAsia="zh-CN"/>
        </w:rPr>
        <w:t>或发生政策变化</w:t>
      </w:r>
      <w:r>
        <w:rPr>
          <w:rFonts w:hint="eastAsia" w:ascii="宋体" w:hAnsi="宋体" w:cs="宋体"/>
          <w:color w:val="auto"/>
          <w:spacing w:val="-6"/>
          <w:sz w:val="22"/>
          <w:szCs w:val="22"/>
          <w:highlight w:val="none"/>
        </w:rPr>
        <w:t>导致不能履行合同，则合同履行期可延长，其延长期与不可抗力影响期相同。</w:t>
      </w:r>
    </w:p>
    <w:p w14:paraId="140D95F9">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不可抗力事件发生后，应立即通知对方，并寄送有关权威机构出具的证明。</w:t>
      </w:r>
    </w:p>
    <w:p w14:paraId="1A9BFDD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不可抗力事件延续一百二十天以上，双方应通过友好协商，确定是否继续履行合同。</w:t>
      </w:r>
    </w:p>
    <w:p w14:paraId="2B18CF85">
      <w:pPr>
        <w:spacing w:line="360" w:lineRule="auto"/>
        <w:ind w:firstLine="418" w:firstLineChars="200"/>
        <w:rPr>
          <w:rFonts w:hint="eastAsia" w:ascii="宋体" w:hAnsi="宋体" w:cs="宋体"/>
          <w:color w:val="auto"/>
          <w:spacing w:val="-6"/>
          <w:sz w:val="22"/>
          <w:szCs w:val="22"/>
          <w:highlight w:val="none"/>
        </w:rPr>
      </w:pPr>
      <w:r>
        <w:rPr>
          <w:rFonts w:hint="eastAsia" w:ascii="宋体" w:hAnsi="宋体" w:cs="宋体"/>
          <w:b/>
          <w:color w:val="auto"/>
          <w:spacing w:val="-6"/>
          <w:sz w:val="22"/>
          <w:szCs w:val="22"/>
          <w:highlight w:val="none"/>
        </w:rPr>
        <w:t>第十</w:t>
      </w:r>
      <w:r>
        <w:rPr>
          <w:rFonts w:hint="eastAsia" w:ascii="宋体" w:hAnsi="宋体" w:cs="宋体"/>
          <w:b/>
          <w:color w:val="auto"/>
          <w:spacing w:val="-6"/>
          <w:sz w:val="22"/>
          <w:szCs w:val="22"/>
          <w:highlight w:val="none"/>
          <w:lang w:val="en-US" w:eastAsia="zh-CN"/>
        </w:rPr>
        <w:t>一</w:t>
      </w:r>
      <w:r>
        <w:rPr>
          <w:rFonts w:hint="eastAsia" w:ascii="宋体" w:hAnsi="宋体" w:cs="宋体"/>
          <w:b/>
          <w:color w:val="auto"/>
          <w:spacing w:val="-6"/>
          <w:sz w:val="22"/>
          <w:szCs w:val="22"/>
          <w:highlight w:val="none"/>
        </w:rPr>
        <w:t>条  合同争议解决</w:t>
      </w:r>
    </w:p>
    <w:p w14:paraId="11843E70">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因服务质量问题发生争议的，应邀请国家认可的质量检测机构进行鉴定。服务符合标准的，鉴定费由甲方承担；服务不符合标准的，鉴定费由乙方承担。</w:t>
      </w:r>
    </w:p>
    <w:p w14:paraId="218BFEC4">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因履行本合同引起的或者与本合同有关的争议，甲乙双方应首先通过友好协商解决，如果协商不能解决，可向甲方所在地有管辖权的人民法院提起诉讼。</w:t>
      </w:r>
    </w:p>
    <w:p w14:paraId="48D4A026">
      <w:pPr>
        <w:snapToGrid w:val="0"/>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诉讼期间，本合同继续履行。</w:t>
      </w:r>
    </w:p>
    <w:p w14:paraId="1B590CB0">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第十</w:t>
      </w:r>
      <w:r>
        <w:rPr>
          <w:rFonts w:hint="eastAsia" w:ascii="宋体" w:hAnsi="宋体" w:cs="宋体"/>
          <w:b/>
          <w:color w:val="auto"/>
          <w:spacing w:val="-6"/>
          <w:sz w:val="22"/>
          <w:szCs w:val="22"/>
          <w:highlight w:val="none"/>
          <w:lang w:val="en-US" w:eastAsia="zh-CN"/>
        </w:rPr>
        <w:t>二</w:t>
      </w:r>
      <w:r>
        <w:rPr>
          <w:rFonts w:hint="eastAsia" w:ascii="宋体" w:hAnsi="宋体" w:cs="宋体"/>
          <w:b/>
          <w:color w:val="auto"/>
          <w:spacing w:val="-6"/>
          <w:sz w:val="22"/>
          <w:szCs w:val="22"/>
          <w:highlight w:val="none"/>
        </w:rPr>
        <w:t>条  合同生效及其它</w:t>
      </w:r>
    </w:p>
    <w:p w14:paraId="0B222D71">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合同经双方法定代表人或者授权代表签字并加盖单位公章后生效（委托代理人签字的需后附法定代表人授权委托书，格式自拟）。</w:t>
      </w:r>
    </w:p>
    <w:p w14:paraId="0FF6206F">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合同执行中涉及采购资金和采购内容修改或者补充的，须经财政部门审批，并签书面补充协议报财政部门备案，方可作为主合同不可分割的一部分。</w:t>
      </w:r>
    </w:p>
    <w:p w14:paraId="358C31C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本合同未尽事宜，遵照《</w:t>
      </w:r>
      <w:r>
        <w:rPr>
          <w:rFonts w:hint="eastAsia" w:ascii="宋体" w:hAnsi="宋体" w:cs="宋体"/>
          <w:color w:val="auto"/>
          <w:spacing w:val="-6"/>
          <w:sz w:val="22"/>
          <w:szCs w:val="22"/>
          <w:highlight w:val="none"/>
          <w:lang w:val="en-US" w:eastAsia="zh-CN"/>
        </w:rPr>
        <w:t>中华人民共和国</w:t>
      </w:r>
      <w:r>
        <w:rPr>
          <w:rFonts w:hint="eastAsia" w:ascii="宋体" w:hAnsi="宋体" w:cs="宋体"/>
          <w:color w:val="auto"/>
          <w:spacing w:val="-6"/>
          <w:sz w:val="22"/>
          <w:szCs w:val="22"/>
          <w:highlight w:val="none"/>
        </w:rPr>
        <w:t>民法典》有关条文执行。</w:t>
      </w:r>
    </w:p>
    <w:p w14:paraId="510B9123">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第十</w:t>
      </w:r>
      <w:r>
        <w:rPr>
          <w:rFonts w:hint="eastAsia" w:ascii="宋体" w:hAnsi="宋体" w:cs="宋体"/>
          <w:b/>
          <w:color w:val="auto"/>
          <w:spacing w:val="-6"/>
          <w:sz w:val="22"/>
          <w:szCs w:val="22"/>
          <w:highlight w:val="none"/>
          <w:lang w:val="en-US" w:eastAsia="zh-CN"/>
        </w:rPr>
        <w:t>三</w:t>
      </w:r>
      <w:r>
        <w:rPr>
          <w:rFonts w:hint="eastAsia" w:ascii="宋体" w:hAnsi="宋体" w:cs="宋体"/>
          <w:b/>
          <w:color w:val="auto"/>
          <w:spacing w:val="-6"/>
          <w:sz w:val="22"/>
          <w:szCs w:val="22"/>
          <w:highlight w:val="none"/>
        </w:rPr>
        <w:t>条　合同的变更、终止与转让</w:t>
      </w:r>
    </w:p>
    <w:p w14:paraId="50E0114C">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除《中华人民共和国政府采购法》第五十条规定的情形外，本合同一经签订，甲乙双方不得擅自变更、中止或者终止。</w:t>
      </w:r>
    </w:p>
    <w:p w14:paraId="6AF42263">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乙方不得擅自转让其应履行的合同义务。</w:t>
      </w:r>
    </w:p>
    <w:p w14:paraId="3A8ADDF6">
      <w:pPr>
        <w:spacing w:line="360" w:lineRule="auto"/>
        <w:ind w:firstLine="416" w:firstLineChars="200"/>
        <w:rPr>
          <w:rFonts w:hint="eastAsia" w:ascii="宋体" w:hAnsi="宋体" w:cs="宋体"/>
          <w:b/>
          <w:color w:val="auto"/>
          <w:spacing w:val="-6"/>
          <w:sz w:val="22"/>
          <w:szCs w:val="22"/>
          <w:highlight w:val="none"/>
        </w:rPr>
      </w:pPr>
      <w:r>
        <w:rPr>
          <w:rFonts w:hint="eastAsia" w:ascii="宋体" w:hAnsi="宋体"/>
          <w:color w:val="auto"/>
          <w:spacing w:val="-6"/>
          <w:sz w:val="22"/>
          <w:szCs w:val="22"/>
          <w:highlight w:val="none"/>
          <w:lang w:val="en-US" w:eastAsia="zh-CN"/>
        </w:rPr>
        <w:t>3.乙方为</w:t>
      </w:r>
      <w:r>
        <w:rPr>
          <w:rFonts w:hint="eastAsia" w:ascii="宋体" w:hAnsi="宋体"/>
          <w:color w:val="auto"/>
          <w:spacing w:val="-6"/>
          <w:sz w:val="22"/>
          <w:szCs w:val="22"/>
          <w:highlight w:val="none"/>
        </w:rPr>
        <w:t>本合同项目的服务至</w:t>
      </w:r>
      <w:r>
        <w:rPr>
          <w:rFonts w:hint="eastAsia" w:ascii="宋体" w:hAnsi="宋体"/>
          <w:color w:val="auto"/>
          <w:spacing w:val="-6"/>
          <w:sz w:val="22"/>
          <w:szCs w:val="22"/>
          <w:highlight w:val="none"/>
          <w:lang w:eastAsia="zh-CN"/>
        </w:rPr>
        <w:t>所有子</w:t>
      </w:r>
      <w:r>
        <w:rPr>
          <w:rFonts w:hint="eastAsia" w:ascii="宋体" w:hAnsi="宋体"/>
          <w:color w:val="auto"/>
          <w:spacing w:val="-6"/>
          <w:sz w:val="22"/>
          <w:szCs w:val="22"/>
          <w:highlight w:val="none"/>
        </w:rPr>
        <w:t>项目整体验收并</w:t>
      </w:r>
      <w:r>
        <w:rPr>
          <w:rFonts w:hint="eastAsia" w:ascii="宋体" w:hAnsi="宋体"/>
          <w:color w:val="auto"/>
          <w:spacing w:val="-6"/>
          <w:sz w:val="22"/>
          <w:szCs w:val="22"/>
          <w:highlight w:val="none"/>
          <w:lang w:eastAsia="zh-CN"/>
        </w:rPr>
        <w:t>通过有关部门批复为止。</w:t>
      </w:r>
    </w:p>
    <w:p w14:paraId="5F93EB3C">
      <w:pPr>
        <w:spacing w:line="360" w:lineRule="auto"/>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第十</w:t>
      </w:r>
      <w:r>
        <w:rPr>
          <w:rFonts w:hint="eastAsia" w:ascii="宋体" w:hAnsi="宋体" w:cs="宋体"/>
          <w:b/>
          <w:color w:val="auto"/>
          <w:spacing w:val="-6"/>
          <w:sz w:val="22"/>
          <w:szCs w:val="22"/>
          <w:highlight w:val="none"/>
          <w:lang w:val="en-US" w:eastAsia="zh-CN"/>
        </w:rPr>
        <w:t>四</w:t>
      </w:r>
      <w:r>
        <w:rPr>
          <w:rFonts w:hint="eastAsia" w:ascii="宋体" w:hAnsi="宋体" w:cs="宋体"/>
          <w:b/>
          <w:color w:val="auto"/>
          <w:spacing w:val="-6"/>
          <w:sz w:val="22"/>
          <w:szCs w:val="22"/>
          <w:highlight w:val="none"/>
        </w:rPr>
        <w:t>条　签订本合同依据</w:t>
      </w:r>
    </w:p>
    <w:p w14:paraId="45E75180">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1</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成交通知书；</w:t>
      </w:r>
    </w:p>
    <w:p w14:paraId="2C53C3F7">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2</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竞标报价表；</w:t>
      </w:r>
    </w:p>
    <w:p w14:paraId="27D2CEBA">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3</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商务条款偏离表和技术需求偏离表；</w:t>
      </w:r>
    </w:p>
    <w:p w14:paraId="59D6D466">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lang w:val="en-US" w:eastAsia="zh-CN"/>
        </w:rPr>
        <w:t>4</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响应文件中的其他相关文件。</w:t>
      </w:r>
    </w:p>
    <w:p w14:paraId="0F5BA7C8">
      <w:pPr>
        <w:spacing w:line="360" w:lineRule="auto"/>
        <w:ind w:firstLine="416"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lang w:val="en-US" w:eastAsia="zh-CN"/>
        </w:rPr>
        <w:t>5</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rPr>
        <w:t>上述合同文件互相补充和解释。如果合同文件之间存在矛盾或者不一致之处，以上述文件的排列顺序在先者为准。</w:t>
      </w:r>
    </w:p>
    <w:p w14:paraId="00B26569">
      <w:pPr>
        <w:spacing w:line="360" w:lineRule="auto"/>
        <w:ind w:firstLine="418" w:firstLineChars="200"/>
        <w:rPr>
          <w:rFonts w:hint="eastAsia" w:ascii="宋体" w:hAnsi="宋体" w:cs="宋体"/>
          <w:color w:val="auto"/>
          <w:spacing w:val="-6"/>
          <w:sz w:val="22"/>
          <w:szCs w:val="22"/>
          <w:highlight w:val="none"/>
        </w:rPr>
      </w:pPr>
      <w:r>
        <w:rPr>
          <w:rFonts w:hint="eastAsia" w:ascii="宋体" w:hAnsi="宋体" w:cs="宋体"/>
          <w:b/>
          <w:color w:val="auto"/>
          <w:spacing w:val="-6"/>
          <w:sz w:val="22"/>
          <w:szCs w:val="22"/>
          <w:highlight w:val="none"/>
        </w:rPr>
        <w:t>第十</w:t>
      </w:r>
      <w:r>
        <w:rPr>
          <w:rFonts w:hint="eastAsia" w:ascii="宋体" w:hAnsi="宋体" w:cs="宋体"/>
          <w:b/>
          <w:color w:val="auto"/>
          <w:spacing w:val="-6"/>
          <w:sz w:val="22"/>
          <w:szCs w:val="22"/>
          <w:highlight w:val="none"/>
          <w:lang w:val="en-US" w:eastAsia="zh-CN"/>
        </w:rPr>
        <w:t>五</w:t>
      </w:r>
      <w:r>
        <w:rPr>
          <w:rFonts w:hint="eastAsia" w:ascii="宋体" w:hAnsi="宋体" w:cs="宋体"/>
          <w:b/>
          <w:color w:val="auto"/>
          <w:spacing w:val="-6"/>
          <w:sz w:val="22"/>
          <w:szCs w:val="22"/>
          <w:highlight w:val="none"/>
        </w:rPr>
        <w:t>条　</w:t>
      </w:r>
      <w:r>
        <w:rPr>
          <w:rFonts w:hint="eastAsia" w:ascii="宋体" w:hAnsi="宋体" w:cs="宋体"/>
          <w:color w:val="auto"/>
          <w:spacing w:val="-6"/>
          <w:sz w:val="22"/>
          <w:szCs w:val="22"/>
          <w:highlight w:val="none"/>
        </w:rPr>
        <w:t>本合同一式六份，具有同等法律效力，采购代理机构一份，甲方执</w:t>
      </w:r>
      <w:r>
        <w:rPr>
          <w:rFonts w:hint="eastAsia" w:ascii="宋体" w:hAnsi="宋体" w:cs="宋体"/>
          <w:color w:val="auto"/>
          <w:spacing w:val="-6"/>
          <w:sz w:val="22"/>
          <w:szCs w:val="22"/>
          <w:highlight w:val="none"/>
          <w:lang w:eastAsia="zh-CN"/>
        </w:rPr>
        <w:t>三</w:t>
      </w:r>
      <w:r>
        <w:rPr>
          <w:rFonts w:hint="eastAsia" w:ascii="宋体" w:hAnsi="宋体" w:cs="宋体"/>
          <w:color w:val="auto"/>
          <w:spacing w:val="-6"/>
          <w:sz w:val="22"/>
          <w:szCs w:val="22"/>
          <w:highlight w:val="none"/>
        </w:rPr>
        <w:t>份，乙方执</w:t>
      </w:r>
      <w:r>
        <w:rPr>
          <w:rFonts w:hint="eastAsia" w:ascii="宋体" w:hAnsi="宋体" w:cs="宋体"/>
          <w:color w:val="auto"/>
          <w:spacing w:val="-6"/>
          <w:sz w:val="22"/>
          <w:szCs w:val="22"/>
          <w:highlight w:val="none"/>
          <w:lang w:eastAsia="zh-CN"/>
        </w:rPr>
        <w:t>二</w:t>
      </w:r>
      <w:r>
        <w:rPr>
          <w:rFonts w:hint="eastAsia" w:ascii="宋体" w:hAnsi="宋体" w:cs="宋体"/>
          <w:color w:val="auto"/>
          <w:spacing w:val="-6"/>
          <w:sz w:val="22"/>
          <w:szCs w:val="22"/>
          <w:highlight w:val="none"/>
        </w:rPr>
        <w:t>份（可根据需要另增加）。</w:t>
      </w:r>
    </w:p>
    <w:p w14:paraId="37C8C435">
      <w:pPr>
        <w:spacing w:line="360" w:lineRule="auto"/>
        <w:ind w:firstLine="416"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本合同自签订之日起2个工作日内，甲方应当将采购合同在广西壮族自治区财政厅指定的媒体上公告。</w:t>
      </w:r>
    </w:p>
    <w:tbl>
      <w:tblPr>
        <w:tblStyle w:val="23"/>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AEB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6963B2C">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甲方：（章）</w:t>
            </w:r>
          </w:p>
          <w:p w14:paraId="746D46AB">
            <w:pPr>
              <w:pStyle w:val="2"/>
              <w:rPr>
                <w:rFonts w:hint="eastAsia" w:ascii="宋体" w:hAnsi="宋体" w:cs="宋体"/>
                <w:color w:val="auto"/>
                <w:sz w:val="22"/>
                <w:szCs w:val="22"/>
                <w:highlight w:val="none"/>
              </w:rPr>
            </w:pPr>
          </w:p>
          <w:p w14:paraId="78967559">
            <w:pPr>
              <w:snapToGrid w:val="0"/>
              <w:spacing w:line="360" w:lineRule="auto"/>
              <w:ind w:firstLine="990" w:firstLineChars="4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9751304">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乙方：（章）</w:t>
            </w:r>
          </w:p>
          <w:p w14:paraId="217B45B4">
            <w:pPr>
              <w:pStyle w:val="2"/>
              <w:rPr>
                <w:rFonts w:hint="eastAsia" w:ascii="宋体" w:hAnsi="宋体" w:cs="宋体"/>
                <w:color w:val="auto"/>
                <w:sz w:val="22"/>
                <w:szCs w:val="22"/>
                <w:highlight w:val="none"/>
              </w:rPr>
            </w:pPr>
          </w:p>
          <w:p w14:paraId="45EFC013">
            <w:pPr>
              <w:snapToGrid w:val="0"/>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08AC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80F2406">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2BE3E7C">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r>
      <w:tr w14:paraId="1B6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5A111CD">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F664F58">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4999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8E01B81">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8DEFAA3">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1345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62A2C8D">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56AF07A">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r>
      <w:tr w14:paraId="01E3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4E9EDFDF">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55F9EA7">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r>
      <w:tr w14:paraId="6B4A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987B630">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B929841">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r>
      <w:tr w14:paraId="48B9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3A65789">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A757510">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r>
    </w:tbl>
    <w:p w14:paraId="48A83F36">
      <w:pPr>
        <w:rPr>
          <w:color w:val="auto"/>
          <w:highlight w:val="none"/>
        </w:rPr>
      </w:pPr>
    </w:p>
    <w:sectPr>
      <w:footerReference r:id="rId10" w:type="firs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AFE">
    <w:pPr>
      <w:pStyle w:val="17"/>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4378F1B">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P1llYBECAAATBAAADgAAAAAAAAABACAA&#10;AAAfAQAAZHJzL2Uyb0RvYy54bWxQSwUGAAAAAAYABgBZAQAAogUAAAAA&#10;">
              <v:fill on="f" focussize="0,0"/>
              <v:stroke on="f"/>
              <v:imagedata o:title=""/>
              <o:lock v:ext="edit" aspectratio="f"/>
              <v:textbox inset="0mm,0mm,0mm,0mm" style="mso-fit-shape-to-text:t;">
                <w:txbxContent>
                  <w:p w14:paraId="34378F1B">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4AE7D2E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45CA">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7C4C00D"/>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57C4C00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15B7">
    <w:pPr>
      <w:pStyle w:val="17"/>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E61DD80">
                          <w:pPr>
                            <w:pStyle w:val="17"/>
                          </w:pPr>
                          <w:r>
                            <w:fldChar w:fldCharType="begin"/>
                          </w:r>
                          <w:r>
                            <w:instrText xml:space="preserve"> PAGE  \* MERGEFORMAT </w:instrText>
                          </w:r>
                          <w:r>
                            <w:fldChar w:fldCharType="separate"/>
                          </w:r>
                          <w:r>
                            <w:t>69</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AP95SEAIAABMEAAAOAAAAAAAAAAEAIAAA&#10;AB8BAABkcnMvZTJvRG9jLnhtbFBLBQYAAAAABgAGAFkBAAChBQAAAAA=&#10;">
              <v:fill on="f" focussize="0,0"/>
              <v:stroke on="f"/>
              <v:imagedata o:title=""/>
              <o:lock v:ext="edit" aspectratio="f"/>
              <v:textbox inset="0mm,0mm,0mm,0mm" style="mso-fit-shape-to-text:t;">
                <w:txbxContent>
                  <w:p w14:paraId="7E61DD80">
                    <w:pPr>
                      <w:pStyle w:val="17"/>
                    </w:pPr>
                    <w:r>
                      <w:fldChar w:fldCharType="begin"/>
                    </w:r>
                    <w:r>
                      <w:instrText xml:space="preserve"> PAGE  \* MERGEFORMAT </w:instrText>
                    </w:r>
                    <w:r>
                      <w:fldChar w:fldCharType="separate"/>
                    </w:r>
                    <w:r>
                      <w:t>69</w:t>
                    </w:r>
                    <w:r>
                      <w:fldChar w:fldCharType="end"/>
                    </w:r>
                  </w:p>
                </w:txbxContent>
              </v:textbox>
            </v:shape>
          </w:pict>
        </mc:Fallback>
      </mc:AlternateContent>
    </w:r>
  </w:p>
  <w:p w14:paraId="7E1DA0BA">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4F7F">
    <w:pPr>
      <w:pStyle w:val="17"/>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0DFF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0B0DFFD">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6"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78062BF"/>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CjcXqqEAIAABMEAAAOAAAAAAAAAAEAIAAA&#10;AB8BAABkcnMvZTJvRG9jLnhtbFBLBQYAAAAABgAGAFkBAAChBQAAAAA=&#10;">
              <v:fill on="f" focussize="0,0"/>
              <v:stroke on="f"/>
              <v:imagedata o:title=""/>
              <o:lock v:ext="edit" aspectratio="f"/>
              <v:textbox inset="0mm,0mm,0mm,0mm" style="mso-fit-shape-to-text:t;">
                <w:txbxContent>
                  <w:p w14:paraId="578062B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9673">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6BBC05F">
                          <w:pPr>
                            <w:pStyle w:val="17"/>
                            <w:jc w:val="center"/>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77+fHhECAAATBAAADgAAAAAAAAABACAA&#10;AAAfAQAAZHJzL2Uyb0RvYy54bWxQSwUGAAAAAAYABgBZAQAAogUAAAAA&#10;">
              <v:fill on="f" focussize="0,0"/>
              <v:stroke on="f"/>
              <v:imagedata o:title=""/>
              <o:lock v:ext="edit" aspectratio="f"/>
              <v:textbox inset="0mm,0mm,0mm,0mm" style="mso-fit-shape-to-text:t;">
                <w:txbxContent>
                  <w:p w14:paraId="06BBC05F">
                    <w:pPr>
                      <w:pStyle w:val="17"/>
                      <w:jc w:val="center"/>
                    </w:pPr>
                    <w:r>
                      <w:fldChar w:fldCharType="begin"/>
                    </w:r>
                    <w:r>
                      <w:instrText xml:space="preserve"> PAGE  \* MERGEFORMAT </w:instrText>
                    </w:r>
                    <w:r>
                      <w:fldChar w:fldCharType="separate"/>
                    </w:r>
                    <w:r>
                      <w:t>74</w:t>
                    </w:r>
                    <w:r>
                      <w:fldChar w:fldCharType="end"/>
                    </w:r>
                  </w:p>
                </w:txbxContent>
              </v:textbox>
            </v:shape>
          </w:pict>
        </mc:Fallback>
      </mc:AlternateContent>
    </w:r>
  </w:p>
  <w:p w14:paraId="419239CE">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31F3">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1BAA2C1">
                          <w:pPr>
                            <w:pStyle w:val="17"/>
                          </w:pPr>
                          <w:r>
                            <w:fldChar w:fldCharType="begin"/>
                          </w:r>
                          <w:r>
                            <w:instrText xml:space="preserve"> PAGE  \* MERGEFORMAT </w:instrText>
                          </w:r>
                          <w:r>
                            <w:fldChar w:fldCharType="separate"/>
                          </w:r>
                          <w:r>
                            <w:t>84</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01BAA2C1">
                    <w:pPr>
                      <w:pStyle w:val="1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D4E3">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1D4E">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082"/>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2B7"/>
    <w:rsid w:val="00094428"/>
    <w:rsid w:val="0009560F"/>
    <w:rsid w:val="0009588E"/>
    <w:rsid w:val="000959EE"/>
    <w:rsid w:val="00096DB9"/>
    <w:rsid w:val="00097183"/>
    <w:rsid w:val="000972CB"/>
    <w:rsid w:val="00097608"/>
    <w:rsid w:val="000A0F35"/>
    <w:rsid w:val="000A1175"/>
    <w:rsid w:val="000A13F3"/>
    <w:rsid w:val="000A1C18"/>
    <w:rsid w:val="000A1EBE"/>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607"/>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096"/>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66F"/>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77E"/>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69D4"/>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5657"/>
    <w:rsid w:val="00197EDD"/>
    <w:rsid w:val="001A02B3"/>
    <w:rsid w:val="001A04BB"/>
    <w:rsid w:val="001A08D0"/>
    <w:rsid w:val="001A1B39"/>
    <w:rsid w:val="001A2120"/>
    <w:rsid w:val="001A28C6"/>
    <w:rsid w:val="001A2E69"/>
    <w:rsid w:val="001A3C34"/>
    <w:rsid w:val="001A3EDE"/>
    <w:rsid w:val="001A4222"/>
    <w:rsid w:val="001A4EBA"/>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5D8"/>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875"/>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4E7"/>
    <w:rsid w:val="00265A12"/>
    <w:rsid w:val="00266165"/>
    <w:rsid w:val="00266F2C"/>
    <w:rsid w:val="0027125E"/>
    <w:rsid w:val="00271319"/>
    <w:rsid w:val="00271767"/>
    <w:rsid w:val="002721BB"/>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06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20"/>
    <w:rsid w:val="00377E3C"/>
    <w:rsid w:val="00380874"/>
    <w:rsid w:val="00380BBE"/>
    <w:rsid w:val="00381D70"/>
    <w:rsid w:val="0038235E"/>
    <w:rsid w:val="003829D0"/>
    <w:rsid w:val="0038326A"/>
    <w:rsid w:val="0038444F"/>
    <w:rsid w:val="00384B9C"/>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638B"/>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9F7"/>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B2C"/>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B68"/>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CE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2B21"/>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62E0"/>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3EB0"/>
    <w:rsid w:val="00524B23"/>
    <w:rsid w:val="00525098"/>
    <w:rsid w:val="0052570E"/>
    <w:rsid w:val="005260CD"/>
    <w:rsid w:val="00526265"/>
    <w:rsid w:val="0052655D"/>
    <w:rsid w:val="005265E0"/>
    <w:rsid w:val="00526BC3"/>
    <w:rsid w:val="00526D62"/>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6ECD"/>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1A8D"/>
    <w:rsid w:val="0058289C"/>
    <w:rsid w:val="005836C7"/>
    <w:rsid w:val="0058408E"/>
    <w:rsid w:val="005844C3"/>
    <w:rsid w:val="00585374"/>
    <w:rsid w:val="005854CA"/>
    <w:rsid w:val="00585FAB"/>
    <w:rsid w:val="00590B77"/>
    <w:rsid w:val="00590D9A"/>
    <w:rsid w:val="00590FD3"/>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B7D9E"/>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3D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DCC"/>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29A"/>
    <w:rsid w:val="00743360"/>
    <w:rsid w:val="00743818"/>
    <w:rsid w:val="00743857"/>
    <w:rsid w:val="00743A1F"/>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78B"/>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881"/>
    <w:rsid w:val="007E194F"/>
    <w:rsid w:val="007E32DA"/>
    <w:rsid w:val="007E4998"/>
    <w:rsid w:val="007E4A9C"/>
    <w:rsid w:val="007E6914"/>
    <w:rsid w:val="007E7F78"/>
    <w:rsid w:val="007F0179"/>
    <w:rsid w:val="007F2C13"/>
    <w:rsid w:val="007F2CEC"/>
    <w:rsid w:val="007F2E2E"/>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3E3B"/>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6FE"/>
    <w:rsid w:val="008448F1"/>
    <w:rsid w:val="0084519E"/>
    <w:rsid w:val="00845B64"/>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374E"/>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138C"/>
    <w:rsid w:val="008D2050"/>
    <w:rsid w:val="008D3B2D"/>
    <w:rsid w:val="008D58D9"/>
    <w:rsid w:val="008D5AD4"/>
    <w:rsid w:val="008D695E"/>
    <w:rsid w:val="008D6DD5"/>
    <w:rsid w:val="008D6E59"/>
    <w:rsid w:val="008D7155"/>
    <w:rsid w:val="008D76E0"/>
    <w:rsid w:val="008E0B29"/>
    <w:rsid w:val="008E141A"/>
    <w:rsid w:val="008E1A44"/>
    <w:rsid w:val="008E26F2"/>
    <w:rsid w:val="008E28E6"/>
    <w:rsid w:val="008E3232"/>
    <w:rsid w:val="008E3674"/>
    <w:rsid w:val="008E3B6C"/>
    <w:rsid w:val="008E3DE7"/>
    <w:rsid w:val="008E5227"/>
    <w:rsid w:val="008E562C"/>
    <w:rsid w:val="008E6540"/>
    <w:rsid w:val="008E6FBE"/>
    <w:rsid w:val="008E77D4"/>
    <w:rsid w:val="008E7ADD"/>
    <w:rsid w:val="008E7E95"/>
    <w:rsid w:val="008F091F"/>
    <w:rsid w:val="008F17B2"/>
    <w:rsid w:val="008F22B3"/>
    <w:rsid w:val="008F357B"/>
    <w:rsid w:val="008F44CA"/>
    <w:rsid w:val="008F49D3"/>
    <w:rsid w:val="008F6519"/>
    <w:rsid w:val="008F7012"/>
    <w:rsid w:val="008F7ADA"/>
    <w:rsid w:val="008F7B17"/>
    <w:rsid w:val="00900042"/>
    <w:rsid w:val="0090032C"/>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0E5E"/>
    <w:rsid w:val="009B1584"/>
    <w:rsid w:val="009B18F0"/>
    <w:rsid w:val="009B1F4C"/>
    <w:rsid w:val="009B2471"/>
    <w:rsid w:val="009B314F"/>
    <w:rsid w:val="009B439C"/>
    <w:rsid w:val="009B4541"/>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5429"/>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5BAE"/>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263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81E"/>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0963"/>
    <w:rsid w:val="00AB2000"/>
    <w:rsid w:val="00AB38CB"/>
    <w:rsid w:val="00AB3BEC"/>
    <w:rsid w:val="00AB44E4"/>
    <w:rsid w:val="00AB4AEB"/>
    <w:rsid w:val="00AB4E5F"/>
    <w:rsid w:val="00AB5352"/>
    <w:rsid w:val="00AB56AE"/>
    <w:rsid w:val="00AB62D5"/>
    <w:rsid w:val="00AB65B5"/>
    <w:rsid w:val="00AB6DCD"/>
    <w:rsid w:val="00AB6EE0"/>
    <w:rsid w:val="00AB779F"/>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3D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4E6B"/>
    <w:rsid w:val="00B003FF"/>
    <w:rsid w:val="00B0098A"/>
    <w:rsid w:val="00B00A5F"/>
    <w:rsid w:val="00B01980"/>
    <w:rsid w:val="00B029B8"/>
    <w:rsid w:val="00B02F60"/>
    <w:rsid w:val="00B02F94"/>
    <w:rsid w:val="00B032B8"/>
    <w:rsid w:val="00B04721"/>
    <w:rsid w:val="00B04B15"/>
    <w:rsid w:val="00B04B46"/>
    <w:rsid w:val="00B0534D"/>
    <w:rsid w:val="00B05685"/>
    <w:rsid w:val="00B05F9F"/>
    <w:rsid w:val="00B06368"/>
    <w:rsid w:val="00B0645B"/>
    <w:rsid w:val="00B068DA"/>
    <w:rsid w:val="00B06A00"/>
    <w:rsid w:val="00B06FC6"/>
    <w:rsid w:val="00B074C9"/>
    <w:rsid w:val="00B07D9D"/>
    <w:rsid w:val="00B11AE5"/>
    <w:rsid w:val="00B1222C"/>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3CCB"/>
    <w:rsid w:val="00B35A15"/>
    <w:rsid w:val="00B35B45"/>
    <w:rsid w:val="00B36165"/>
    <w:rsid w:val="00B363AF"/>
    <w:rsid w:val="00B36A99"/>
    <w:rsid w:val="00B36F98"/>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498"/>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643"/>
    <w:rsid w:val="00B821E4"/>
    <w:rsid w:val="00B823E0"/>
    <w:rsid w:val="00B8260D"/>
    <w:rsid w:val="00B82B78"/>
    <w:rsid w:val="00B83A95"/>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7BC"/>
    <w:rsid w:val="00BE6D47"/>
    <w:rsid w:val="00BE7032"/>
    <w:rsid w:val="00BE7330"/>
    <w:rsid w:val="00BF0100"/>
    <w:rsid w:val="00BF01C5"/>
    <w:rsid w:val="00BF061A"/>
    <w:rsid w:val="00BF066A"/>
    <w:rsid w:val="00BF14CC"/>
    <w:rsid w:val="00BF1821"/>
    <w:rsid w:val="00BF22E9"/>
    <w:rsid w:val="00BF4342"/>
    <w:rsid w:val="00BF4704"/>
    <w:rsid w:val="00BF4FFC"/>
    <w:rsid w:val="00BF5050"/>
    <w:rsid w:val="00BF50D1"/>
    <w:rsid w:val="00BF5422"/>
    <w:rsid w:val="00BF59B1"/>
    <w:rsid w:val="00BF6303"/>
    <w:rsid w:val="00BF6625"/>
    <w:rsid w:val="00BF6A78"/>
    <w:rsid w:val="00BF7695"/>
    <w:rsid w:val="00BF79B4"/>
    <w:rsid w:val="00BF7C61"/>
    <w:rsid w:val="00BF7E98"/>
    <w:rsid w:val="00C01427"/>
    <w:rsid w:val="00C014C7"/>
    <w:rsid w:val="00C02D65"/>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0FF2"/>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86E2F"/>
    <w:rsid w:val="00C90372"/>
    <w:rsid w:val="00C9041F"/>
    <w:rsid w:val="00C90A64"/>
    <w:rsid w:val="00C9166B"/>
    <w:rsid w:val="00C91945"/>
    <w:rsid w:val="00C91A45"/>
    <w:rsid w:val="00C91BE9"/>
    <w:rsid w:val="00C91FB4"/>
    <w:rsid w:val="00C92150"/>
    <w:rsid w:val="00C92328"/>
    <w:rsid w:val="00C92D42"/>
    <w:rsid w:val="00C938C2"/>
    <w:rsid w:val="00C93EE4"/>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1A6"/>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2D9"/>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0823"/>
    <w:rsid w:val="00D81AFA"/>
    <w:rsid w:val="00D81EAA"/>
    <w:rsid w:val="00D81FE2"/>
    <w:rsid w:val="00D8259F"/>
    <w:rsid w:val="00D825F2"/>
    <w:rsid w:val="00D8285C"/>
    <w:rsid w:val="00D828B1"/>
    <w:rsid w:val="00D82A55"/>
    <w:rsid w:val="00D830F8"/>
    <w:rsid w:val="00D8337C"/>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4BF9"/>
    <w:rsid w:val="00DD4CFC"/>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6D5"/>
    <w:rsid w:val="00DE6792"/>
    <w:rsid w:val="00DE6AA1"/>
    <w:rsid w:val="00DE7730"/>
    <w:rsid w:val="00DE7EF0"/>
    <w:rsid w:val="00DE7EF7"/>
    <w:rsid w:val="00DF015B"/>
    <w:rsid w:val="00DF02EC"/>
    <w:rsid w:val="00DF0A97"/>
    <w:rsid w:val="00DF10FC"/>
    <w:rsid w:val="00DF1185"/>
    <w:rsid w:val="00DF1299"/>
    <w:rsid w:val="00DF1A70"/>
    <w:rsid w:val="00DF1E5F"/>
    <w:rsid w:val="00DF23A8"/>
    <w:rsid w:val="00DF2F27"/>
    <w:rsid w:val="00DF363F"/>
    <w:rsid w:val="00DF36B6"/>
    <w:rsid w:val="00DF4296"/>
    <w:rsid w:val="00DF5267"/>
    <w:rsid w:val="00DF53F0"/>
    <w:rsid w:val="00DF5F38"/>
    <w:rsid w:val="00DF6608"/>
    <w:rsid w:val="00DF6CCC"/>
    <w:rsid w:val="00DF6D0C"/>
    <w:rsid w:val="00DF6F64"/>
    <w:rsid w:val="00DF721E"/>
    <w:rsid w:val="00DF7549"/>
    <w:rsid w:val="00DF7570"/>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5958"/>
    <w:rsid w:val="00E46013"/>
    <w:rsid w:val="00E462E5"/>
    <w:rsid w:val="00E47099"/>
    <w:rsid w:val="00E47284"/>
    <w:rsid w:val="00E477C3"/>
    <w:rsid w:val="00E506F1"/>
    <w:rsid w:val="00E51E16"/>
    <w:rsid w:val="00E52DED"/>
    <w:rsid w:val="00E53730"/>
    <w:rsid w:val="00E5438D"/>
    <w:rsid w:val="00E54511"/>
    <w:rsid w:val="00E54E50"/>
    <w:rsid w:val="00E55288"/>
    <w:rsid w:val="00E57577"/>
    <w:rsid w:val="00E61693"/>
    <w:rsid w:val="00E62043"/>
    <w:rsid w:val="00E626B9"/>
    <w:rsid w:val="00E627C9"/>
    <w:rsid w:val="00E630F3"/>
    <w:rsid w:val="00E6332F"/>
    <w:rsid w:val="00E637C9"/>
    <w:rsid w:val="00E63B54"/>
    <w:rsid w:val="00E6402D"/>
    <w:rsid w:val="00E6680A"/>
    <w:rsid w:val="00E66ACC"/>
    <w:rsid w:val="00E66F0D"/>
    <w:rsid w:val="00E70615"/>
    <w:rsid w:val="00E7161E"/>
    <w:rsid w:val="00E7207B"/>
    <w:rsid w:val="00E72DCE"/>
    <w:rsid w:val="00E7347A"/>
    <w:rsid w:val="00E75A47"/>
    <w:rsid w:val="00E75BB6"/>
    <w:rsid w:val="00E75D8C"/>
    <w:rsid w:val="00E76155"/>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967A4"/>
    <w:rsid w:val="00EA14C8"/>
    <w:rsid w:val="00EA2110"/>
    <w:rsid w:val="00EA283A"/>
    <w:rsid w:val="00EA2C90"/>
    <w:rsid w:val="00EA2E07"/>
    <w:rsid w:val="00EA383B"/>
    <w:rsid w:val="00EA48F3"/>
    <w:rsid w:val="00EA60BF"/>
    <w:rsid w:val="00EA7365"/>
    <w:rsid w:val="00EA763F"/>
    <w:rsid w:val="00EA77E9"/>
    <w:rsid w:val="00EB000D"/>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73"/>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6FA7"/>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26DC8"/>
    <w:rsid w:val="00F30B83"/>
    <w:rsid w:val="00F30BDB"/>
    <w:rsid w:val="00F30CF8"/>
    <w:rsid w:val="00F31EDF"/>
    <w:rsid w:val="00F32CDE"/>
    <w:rsid w:val="00F32D4C"/>
    <w:rsid w:val="00F3327E"/>
    <w:rsid w:val="00F338C3"/>
    <w:rsid w:val="00F342BB"/>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153"/>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6E"/>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306"/>
    <w:rsid w:val="00F84802"/>
    <w:rsid w:val="00F85B72"/>
    <w:rsid w:val="00F86540"/>
    <w:rsid w:val="00F8656F"/>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61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6C52"/>
    <w:rsid w:val="00FF78E5"/>
    <w:rsid w:val="012C5FAF"/>
    <w:rsid w:val="013435B5"/>
    <w:rsid w:val="01702FB1"/>
    <w:rsid w:val="01916C5A"/>
    <w:rsid w:val="01AF3D99"/>
    <w:rsid w:val="01DA5E9C"/>
    <w:rsid w:val="02026862"/>
    <w:rsid w:val="02425698"/>
    <w:rsid w:val="02511F9D"/>
    <w:rsid w:val="02581525"/>
    <w:rsid w:val="0261662C"/>
    <w:rsid w:val="026779BA"/>
    <w:rsid w:val="02714395"/>
    <w:rsid w:val="02E4100B"/>
    <w:rsid w:val="02F474A0"/>
    <w:rsid w:val="035241C7"/>
    <w:rsid w:val="035C6DF3"/>
    <w:rsid w:val="036839EA"/>
    <w:rsid w:val="03791753"/>
    <w:rsid w:val="037A568A"/>
    <w:rsid w:val="03800D34"/>
    <w:rsid w:val="03A314B8"/>
    <w:rsid w:val="03D82B98"/>
    <w:rsid w:val="03F83E8B"/>
    <w:rsid w:val="041E22FB"/>
    <w:rsid w:val="04367644"/>
    <w:rsid w:val="044B7594"/>
    <w:rsid w:val="04506958"/>
    <w:rsid w:val="04A647CA"/>
    <w:rsid w:val="04B0389B"/>
    <w:rsid w:val="04B50046"/>
    <w:rsid w:val="04B54A0D"/>
    <w:rsid w:val="04B844FD"/>
    <w:rsid w:val="04E23328"/>
    <w:rsid w:val="04EE7F1F"/>
    <w:rsid w:val="04F27A0F"/>
    <w:rsid w:val="05502988"/>
    <w:rsid w:val="05573D16"/>
    <w:rsid w:val="05A14F91"/>
    <w:rsid w:val="05AD7DDA"/>
    <w:rsid w:val="05C56868"/>
    <w:rsid w:val="06233CB8"/>
    <w:rsid w:val="062E067F"/>
    <w:rsid w:val="06364CC5"/>
    <w:rsid w:val="06936FD0"/>
    <w:rsid w:val="06B331CE"/>
    <w:rsid w:val="06B84C89"/>
    <w:rsid w:val="06F15AA5"/>
    <w:rsid w:val="070103DE"/>
    <w:rsid w:val="074327A4"/>
    <w:rsid w:val="07464042"/>
    <w:rsid w:val="07630750"/>
    <w:rsid w:val="076646E5"/>
    <w:rsid w:val="078F59E9"/>
    <w:rsid w:val="079B438E"/>
    <w:rsid w:val="079D6CB9"/>
    <w:rsid w:val="079F3753"/>
    <w:rsid w:val="07A539BD"/>
    <w:rsid w:val="07B0770E"/>
    <w:rsid w:val="07B72767"/>
    <w:rsid w:val="07B90CB8"/>
    <w:rsid w:val="07C75183"/>
    <w:rsid w:val="07CC279A"/>
    <w:rsid w:val="07F27D26"/>
    <w:rsid w:val="07FB4E2D"/>
    <w:rsid w:val="08077E72"/>
    <w:rsid w:val="08882DD0"/>
    <w:rsid w:val="088F37C7"/>
    <w:rsid w:val="08B80F70"/>
    <w:rsid w:val="09216B15"/>
    <w:rsid w:val="093F51ED"/>
    <w:rsid w:val="095073FA"/>
    <w:rsid w:val="095F763D"/>
    <w:rsid w:val="0970184A"/>
    <w:rsid w:val="097C3D4B"/>
    <w:rsid w:val="09CC2AAC"/>
    <w:rsid w:val="09D9119E"/>
    <w:rsid w:val="09F4422A"/>
    <w:rsid w:val="0A40121D"/>
    <w:rsid w:val="0A652D3E"/>
    <w:rsid w:val="0A762E91"/>
    <w:rsid w:val="0AEA1189"/>
    <w:rsid w:val="0B326F2A"/>
    <w:rsid w:val="0B330D82"/>
    <w:rsid w:val="0B81389B"/>
    <w:rsid w:val="0B837613"/>
    <w:rsid w:val="0B8C4068"/>
    <w:rsid w:val="0BB5200E"/>
    <w:rsid w:val="0BCB720C"/>
    <w:rsid w:val="0BD42958"/>
    <w:rsid w:val="0BE856C8"/>
    <w:rsid w:val="0BED0F30"/>
    <w:rsid w:val="0C0369A6"/>
    <w:rsid w:val="0C1E2888"/>
    <w:rsid w:val="0C3703FE"/>
    <w:rsid w:val="0C3C3C66"/>
    <w:rsid w:val="0C41302A"/>
    <w:rsid w:val="0C601702"/>
    <w:rsid w:val="0C92213C"/>
    <w:rsid w:val="0CC2027E"/>
    <w:rsid w:val="0CEE4F60"/>
    <w:rsid w:val="0D1D3A97"/>
    <w:rsid w:val="0D42705A"/>
    <w:rsid w:val="0D584ACF"/>
    <w:rsid w:val="0D5A25F6"/>
    <w:rsid w:val="0D664FAF"/>
    <w:rsid w:val="0D84032B"/>
    <w:rsid w:val="0D95362E"/>
    <w:rsid w:val="0DED6FC6"/>
    <w:rsid w:val="0E19425F"/>
    <w:rsid w:val="0E372937"/>
    <w:rsid w:val="0E4214F1"/>
    <w:rsid w:val="0E5057A7"/>
    <w:rsid w:val="0E884F40"/>
    <w:rsid w:val="0EE52393"/>
    <w:rsid w:val="0EF56A7A"/>
    <w:rsid w:val="0EF95E3E"/>
    <w:rsid w:val="0F19203C"/>
    <w:rsid w:val="0F2A74C4"/>
    <w:rsid w:val="0F2F360E"/>
    <w:rsid w:val="0F5D63CD"/>
    <w:rsid w:val="0F64150A"/>
    <w:rsid w:val="0FBA55CD"/>
    <w:rsid w:val="0FCD5301"/>
    <w:rsid w:val="10260EB5"/>
    <w:rsid w:val="10A27F31"/>
    <w:rsid w:val="1122342A"/>
    <w:rsid w:val="116C0B49"/>
    <w:rsid w:val="11836238"/>
    <w:rsid w:val="11927058"/>
    <w:rsid w:val="11B61DC5"/>
    <w:rsid w:val="11C95F9C"/>
    <w:rsid w:val="120E171E"/>
    <w:rsid w:val="12307E53"/>
    <w:rsid w:val="1235718D"/>
    <w:rsid w:val="12413D84"/>
    <w:rsid w:val="12577104"/>
    <w:rsid w:val="125C0BBE"/>
    <w:rsid w:val="126006AE"/>
    <w:rsid w:val="127B54E8"/>
    <w:rsid w:val="12940358"/>
    <w:rsid w:val="12A85BB1"/>
    <w:rsid w:val="12B96010"/>
    <w:rsid w:val="12E666D9"/>
    <w:rsid w:val="13294F44"/>
    <w:rsid w:val="132A0CBC"/>
    <w:rsid w:val="13743CE5"/>
    <w:rsid w:val="13960100"/>
    <w:rsid w:val="13A4281C"/>
    <w:rsid w:val="13AF4F03"/>
    <w:rsid w:val="13C133CE"/>
    <w:rsid w:val="14496F20"/>
    <w:rsid w:val="146E6986"/>
    <w:rsid w:val="14736E66"/>
    <w:rsid w:val="147F458F"/>
    <w:rsid w:val="14A64372"/>
    <w:rsid w:val="14CF58BA"/>
    <w:rsid w:val="14DF1632"/>
    <w:rsid w:val="14E530ED"/>
    <w:rsid w:val="14F055ED"/>
    <w:rsid w:val="1534169A"/>
    <w:rsid w:val="155E69FB"/>
    <w:rsid w:val="156F5D1A"/>
    <w:rsid w:val="15897F1C"/>
    <w:rsid w:val="15916DD0"/>
    <w:rsid w:val="15995C85"/>
    <w:rsid w:val="15A44D56"/>
    <w:rsid w:val="15C03E03"/>
    <w:rsid w:val="16084170"/>
    <w:rsid w:val="16135A37"/>
    <w:rsid w:val="1615355E"/>
    <w:rsid w:val="161C2B3E"/>
    <w:rsid w:val="162A25EB"/>
    <w:rsid w:val="162D4D4B"/>
    <w:rsid w:val="16421E79"/>
    <w:rsid w:val="16735895"/>
    <w:rsid w:val="168E1562"/>
    <w:rsid w:val="16900E36"/>
    <w:rsid w:val="169923E1"/>
    <w:rsid w:val="16B234A2"/>
    <w:rsid w:val="16B34B25"/>
    <w:rsid w:val="16D231FD"/>
    <w:rsid w:val="16FD2A55"/>
    <w:rsid w:val="17033CFE"/>
    <w:rsid w:val="17067C1A"/>
    <w:rsid w:val="170A0BE8"/>
    <w:rsid w:val="17366761"/>
    <w:rsid w:val="174A5489"/>
    <w:rsid w:val="175A674B"/>
    <w:rsid w:val="176D1177"/>
    <w:rsid w:val="177C01F0"/>
    <w:rsid w:val="179E3EFA"/>
    <w:rsid w:val="17B9167F"/>
    <w:rsid w:val="17CE6630"/>
    <w:rsid w:val="17F11DA8"/>
    <w:rsid w:val="17F44CBB"/>
    <w:rsid w:val="17FF2717"/>
    <w:rsid w:val="18504D21"/>
    <w:rsid w:val="18890233"/>
    <w:rsid w:val="18A20392"/>
    <w:rsid w:val="18A84B5D"/>
    <w:rsid w:val="18AF3F4E"/>
    <w:rsid w:val="18BA663E"/>
    <w:rsid w:val="18E436BB"/>
    <w:rsid w:val="190855FC"/>
    <w:rsid w:val="191B532F"/>
    <w:rsid w:val="192D5062"/>
    <w:rsid w:val="193C7053"/>
    <w:rsid w:val="194A5C14"/>
    <w:rsid w:val="19636CD6"/>
    <w:rsid w:val="19B200B0"/>
    <w:rsid w:val="19F416DC"/>
    <w:rsid w:val="1A1E49AB"/>
    <w:rsid w:val="1A2C356C"/>
    <w:rsid w:val="1A6E5932"/>
    <w:rsid w:val="1A7A42D7"/>
    <w:rsid w:val="1A89451A"/>
    <w:rsid w:val="1AB33345"/>
    <w:rsid w:val="1AB835BF"/>
    <w:rsid w:val="1AC75042"/>
    <w:rsid w:val="1AE31E7C"/>
    <w:rsid w:val="1AFF0AFE"/>
    <w:rsid w:val="1B216501"/>
    <w:rsid w:val="1B330988"/>
    <w:rsid w:val="1B430B6D"/>
    <w:rsid w:val="1B4D379A"/>
    <w:rsid w:val="1B4F19F8"/>
    <w:rsid w:val="1B803B6F"/>
    <w:rsid w:val="1B9E5DA3"/>
    <w:rsid w:val="1BA3785E"/>
    <w:rsid w:val="1BE22134"/>
    <w:rsid w:val="1C1918CE"/>
    <w:rsid w:val="1C1F5136"/>
    <w:rsid w:val="1CA76EDA"/>
    <w:rsid w:val="1CAC44F0"/>
    <w:rsid w:val="1CB87339"/>
    <w:rsid w:val="1CBF5FD1"/>
    <w:rsid w:val="1CCC06EE"/>
    <w:rsid w:val="1D36736C"/>
    <w:rsid w:val="1D4110DC"/>
    <w:rsid w:val="1D4666F2"/>
    <w:rsid w:val="1D5C5F16"/>
    <w:rsid w:val="1DAD6772"/>
    <w:rsid w:val="1DAE73A2"/>
    <w:rsid w:val="1DFB128B"/>
    <w:rsid w:val="1E022868"/>
    <w:rsid w:val="1E1C7C59"/>
    <w:rsid w:val="1E1D56A5"/>
    <w:rsid w:val="1E3649B9"/>
    <w:rsid w:val="1E3D7AF5"/>
    <w:rsid w:val="1E85324A"/>
    <w:rsid w:val="1E870D71"/>
    <w:rsid w:val="1E984D2C"/>
    <w:rsid w:val="1ECC44FA"/>
    <w:rsid w:val="1F063325"/>
    <w:rsid w:val="1F2B3DF2"/>
    <w:rsid w:val="1F8B4890"/>
    <w:rsid w:val="1FA94D17"/>
    <w:rsid w:val="1FB65DB1"/>
    <w:rsid w:val="1FBC5DF5"/>
    <w:rsid w:val="1FE47AFC"/>
    <w:rsid w:val="1FEF4E1F"/>
    <w:rsid w:val="1FF90588"/>
    <w:rsid w:val="1FF93EF0"/>
    <w:rsid w:val="20084133"/>
    <w:rsid w:val="204C04C4"/>
    <w:rsid w:val="204D5FEA"/>
    <w:rsid w:val="205E3D53"/>
    <w:rsid w:val="20994D8B"/>
    <w:rsid w:val="20A83220"/>
    <w:rsid w:val="20AA2072"/>
    <w:rsid w:val="20B00A53"/>
    <w:rsid w:val="20C3623F"/>
    <w:rsid w:val="20DA787E"/>
    <w:rsid w:val="20FB5A46"/>
    <w:rsid w:val="212E7BC9"/>
    <w:rsid w:val="214116AB"/>
    <w:rsid w:val="2144119B"/>
    <w:rsid w:val="215D04AF"/>
    <w:rsid w:val="21611D4D"/>
    <w:rsid w:val="21781212"/>
    <w:rsid w:val="21817CF9"/>
    <w:rsid w:val="218E2416"/>
    <w:rsid w:val="21AE2AB8"/>
    <w:rsid w:val="21B83F86"/>
    <w:rsid w:val="221178A8"/>
    <w:rsid w:val="221213CF"/>
    <w:rsid w:val="221548E5"/>
    <w:rsid w:val="22327A92"/>
    <w:rsid w:val="22394A78"/>
    <w:rsid w:val="227C4964"/>
    <w:rsid w:val="22A65C4D"/>
    <w:rsid w:val="22B67E76"/>
    <w:rsid w:val="22CE4C10"/>
    <w:rsid w:val="22F83FEB"/>
    <w:rsid w:val="23111551"/>
    <w:rsid w:val="231D53A2"/>
    <w:rsid w:val="23503E27"/>
    <w:rsid w:val="23533917"/>
    <w:rsid w:val="235C6C70"/>
    <w:rsid w:val="236D5383"/>
    <w:rsid w:val="23953F30"/>
    <w:rsid w:val="239A32F4"/>
    <w:rsid w:val="239D4B92"/>
    <w:rsid w:val="23A10313"/>
    <w:rsid w:val="23A10B26"/>
    <w:rsid w:val="23A203FB"/>
    <w:rsid w:val="23B7504C"/>
    <w:rsid w:val="23BC326A"/>
    <w:rsid w:val="23DA5DE6"/>
    <w:rsid w:val="24174945"/>
    <w:rsid w:val="242B219E"/>
    <w:rsid w:val="24390D5F"/>
    <w:rsid w:val="24571307"/>
    <w:rsid w:val="247B3126"/>
    <w:rsid w:val="2483022C"/>
    <w:rsid w:val="24B30B11"/>
    <w:rsid w:val="24C20D54"/>
    <w:rsid w:val="24D40A88"/>
    <w:rsid w:val="25110A2A"/>
    <w:rsid w:val="2527505B"/>
    <w:rsid w:val="252F5CBE"/>
    <w:rsid w:val="2541442B"/>
    <w:rsid w:val="256C0944"/>
    <w:rsid w:val="25B508B9"/>
    <w:rsid w:val="261A071C"/>
    <w:rsid w:val="261C4494"/>
    <w:rsid w:val="262E41C8"/>
    <w:rsid w:val="26325A66"/>
    <w:rsid w:val="26347A30"/>
    <w:rsid w:val="263E08AF"/>
    <w:rsid w:val="263E440B"/>
    <w:rsid w:val="26445799"/>
    <w:rsid w:val="26446DE3"/>
    <w:rsid w:val="264E6079"/>
    <w:rsid w:val="26597496"/>
    <w:rsid w:val="265F25D3"/>
    <w:rsid w:val="26877DFE"/>
    <w:rsid w:val="269669E7"/>
    <w:rsid w:val="26A270C1"/>
    <w:rsid w:val="26AA1AA0"/>
    <w:rsid w:val="26D7699F"/>
    <w:rsid w:val="271635D9"/>
    <w:rsid w:val="27286E69"/>
    <w:rsid w:val="274A6DDF"/>
    <w:rsid w:val="27572BC5"/>
    <w:rsid w:val="277F2F2D"/>
    <w:rsid w:val="27802801"/>
    <w:rsid w:val="27934C2A"/>
    <w:rsid w:val="27AC5CEC"/>
    <w:rsid w:val="28866AD7"/>
    <w:rsid w:val="289C366A"/>
    <w:rsid w:val="289C7B0E"/>
    <w:rsid w:val="28B97A1A"/>
    <w:rsid w:val="28DE3C83"/>
    <w:rsid w:val="28EF1739"/>
    <w:rsid w:val="28EF40E2"/>
    <w:rsid w:val="29177195"/>
    <w:rsid w:val="29AD7B9B"/>
    <w:rsid w:val="29CF2E37"/>
    <w:rsid w:val="29D75F7F"/>
    <w:rsid w:val="29E629B1"/>
    <w:rsid w:val="2A1738F0"/>
    <w:rsid w:val="2A1E5950"/>
    <w:rsid w:val="2A3011C3"/>
    <w:rsid w:val="2A32111D"/>
    <w:rsid w:val="2A4E4E38"/>
    <w:rsid w:val="2A7523C5"/>
    <w:rsid w:val="2A762BE5"/>
    <w:rsid w:val="2A781EB5"/>
    <w:rsid w:val="2A803645"/>
    <w:rsid w:val="2AA809EC"/>
    <w:rsid w:val="2AC31891"/>
    <w:rsid w:val="2AC6337B"/>
    <w:rsid w:val="2ACB6489"/>
    <w:rsid w:val="2AE632C3"/>
    <w:rsid w:val="2AE9690F"/>
    <w:rsid w:val="2AFA28CA"/>
    <w:rsid w:val="2B2135D8"/>
    <w:rsid w:val="2B4D3342"/>
    <w:rsid w:val="2B5C5333"/>
    <w:rsid w:val="2B744C90"/>
    <w:rsid w:val="2B774624"/>
    <w:rsid w:val="2BB331A5"/>
    <w:rsid w:val="2BE05F64"/>
    <w:rsid w:val="2C6C77F8"/>
    <w:rsid w:val="2C6D3C9C"/>
    <w:rsid w:val="2C7A72BE"/>
    <w:rsid w:val="2C9A7D75"/>
    <w:rsid w:val="2CA84CD4"/>
    <w:rsid w:val="2CC17412"/>
    <w:rsid w:val="2CD930DF"/>
    <w:rsid w:val="2CE33F5E"/>
    <w:rsid w:val="2D0E1106"/>
    <w:rsid w:val="2D104BC8"/>
    <w:rsid w:val="2D7746A6"/>
    <w:rsid w:val="2D7C1E99"/>
    <w:rsid w:val="2E0C3040"/>
    <w:rsid w:val="2E19750B"/>
    <w:rsid w:val="2E1F2D74"/>
    <w:rsid w:val="2E224612"/>
    <w:rsid w:val="2E344345"/>
    <w:rsid w:val="2E693FEF"/>
    <w:rsid w:val="2E7C01C6"/>
    <w:rsid w:val="2E8B0409"/>
    <w:rsid w:val="2E905A1F"/>
    <w:rsid w:val="2E9976CE"/>
    <w:rsid w:val="2EA63495"/>
    <w:rsid w:val="2EA96A36"/>
    <w:rsid w:val="2EF01DEE"/>
    <w:rsid w:val="2F0B32F8"/>
    <w:rsid w:val="2F146650"/>
    <w:rsid w:val="2F2919D0"/>
    <w:rsid w:val="2F2A7C22"/>
    <w:rsid w:val="2F401D3C"/>
    <w:rsid w:val="2F5B24E1"/>
    <w:rsid w:val="2F601896"/>
    <w:rsid w:val="2F6173BC"/>
    <w:rsid w:val="2F8A06C1"/>
    <w:rsid w:val="2F8F5CD7"/>
    <w:rsid w:val="2FA95C88"/>
    <w:rsid w:val="2FAD0853"/>
    <w:rsid w:val="2FB83480"/>
    <w:rsid w:val="2FD434F3"/>
    <w:rsid w:val="2FDE0A0C"/>
    <w:rsid w:val="30077F63"/>
    <w:rsid w:val="300C3455"/>
    <w:rsid w:val="302D729E"/>
    <w:rsid w:val="3041370F"/>
    <w:rsid w:val="305C2AA5"/>
    <w:rsid w:val="307849BD"/>
    <w:rsid w:val="30A13F14"/>
    <w:rsid w:val="30AB4D93"/>
    <w:rsid w:val="30B87FED"/>
    <w:rsid w:val="30E81B43"/>
    <w:rsid w:val="30F8768E"/>
    <w:rsid w:val="30FF50DE"/>
    <w:rsid w:val="312B50A3"/>
    <w:rsid w:val="3135465C"/>
    <w:rsid w:val="314B50C8"/>
    <w:rsid w:val="31501496"/>
    <w:rsid w:val="31894FD2"/>
    <w:rsid w:val="318D6246"/>
    <w:rsid w:val="319677F1"/>
    <w:rsid w:val="319F5F79"/>
    <w:rsid w:val="31AB491E"/>
    <w:rsid w:val="31B77767"/>
    <w:rsid w:val="31C3610C"/>
    <w:rsid w:val="31CC3212"/>
    <w:rsid w:val="31F664E1"/>
    <w:rsid w:val="320209E2"/>
    <w:rsid w:val="32340DB8"/>
    <w:rsid w:val="32382656"/>
    <w:rsid w:val="32453A27"/>
    <w:rsid w:val="3263064A"/>
    <w:rsid w:val="327F2033"/>
    <w:rsid w:val="32933D30"/>
    <w:rsid w:val="32A43132"/>
    <w:rsid w:val="32AC0C06"/>
    <w:rsid w:val="331F7372"/>
    <w:rsid w:val="33344EF5"/>
    <w:rsid w:val="33DC1707"/>
    <w:rsid w:val="341E1D1F"/>
    <w:rsid w:val="3434509F"/>
    <w:rsid w:val="34367069"/>
    <w:rsid w:val="34692F9B"/>
    <w:rsid w:val="34D47EF9"/>
    <w:rsid w:val="3537750C"/>
    <w:rsid w:val="3537798C"/>
    <w:rsid w:val="353F5AA9"/>
    <w:rsid w:val="357C6CFE"/>
    <w:rsid w:val="35971ECB"/>
    <w:rsid w:val="35C13FC9"/>
    <w:rsid w:val="35CD57AB"/>
    <w:rsid w:val="35D703D8"/>
    <w:rsid w:val="36372B05"/>
    <w:rsid w:val="36373D14"/>
    <w:rsid w:val="364257B6"/>
    <w:rsid w:val="36785717"/>
    <w:rsid w:val="368A71F8"/>
    <w:rsid w:val="369D6F2B"/>
    <w:rsid w:val="36B67FED"/>
    <w:rsid w:val="36C97D20"/>
    <w:rsid w:val="36DA0180"/>
    <w:rsid w:val="36EF52AD"/>
    <w:rsid w:val="370074BA"/>
    <w:rsid w:val="37490D43"/>
    <w:rsid w:val="37EA5922"/>
    <w:rsid w:val="38003C16"/>
    <w:rsid w:val="38276B93"/>
    <w:rsid w:val="3828316D"/>
    <w:rsid w:val="382E58B8"/>
    <w:rsid w:val="384855BD"/>
    <w:rsid w:val="38521F98"/>
    <w:rsid w:val="38887767"/>
    <w:rsid w:val="38AC3431"/>
    <w:rsid w:val="38C369F1"/>
    <w:rsid w:val="391E1E7A"/>
    <w:rsid w:val="392F2E16"/>
    <w:rsid w:val="39812B34"/>
    <w:rsid w:val="39E00529"/>
    <w:rsid w:val="3A0B64A7"/>
    <w:rsid w:val="3A125E82"/>
    <w:rsid w:val="3A30455A"/>
    <w:rsid w:val="3A574DDA"/>
    <w:rsid w:val="3A5B3385"/>
    <w:rsid w:val="3A816B64"/>
    <w:rsid w:val="3A9B7C26"/>
    <w:rsid w:val="3AC54CA3"/>
    <w:rsid w:val="3AD3075A"/>
    <w:rsid w:val="3ADE5D64"/>
    <w:rsid w:val="3AF74C02"/>
    <w:rsid w:val="3B626C10"/>
    <w:rsid w:val="3B806E1C"/>
    <w:rsid w:val="3BE253E0"/>
    <w:rsid w:val="3BE63123"/>
    <w:rsid w:val="3C0059A5"/>
    <w:rsid w:val="3C134E78"/>
    <w:rsid w:val="3C94492D"/>
    <w:rsid w:val="3C97441D"/>
    <w:rsid w:val="3CA07775"/>
    <w:rsid w:val="3CA23AC8"/>
    <w:rsid w:val="3CF950D8"/>
    <w:rsid w:val="3CFE26EE"/>
    <w:rsid w:val="3D015D3A"/>
    <w:rsid w:val="3D1D2B74"/>
    <w:rsid w:val="3D204412"/>
    <w:rsid w:val="3D211F38"/>
    <w:rsid w:val="3D4E5423"/>
    <w:rsid w:val="3D9A2417"/>
    <w:rsid w:val="3D9D3CB5"/>
    <w:rsid w:val="3DB334D8"/>
    <w:rsid w:val="3DB66B25"/>
    <w:rsid w:val="3DD05E38"/>
    <w:rsid w:val="3DD31485"/>
    <w:rsid w:val="3DD516A1"/>
    <w:rsid w:val="3DE90CA8"/>
    <w:rsid w:val="3DF6345D"/>
    <w:rsid w:val="3E2B5515"/>
    <w:rsid w:val="3E3839DE"/>
    <w:rsid w:val="3E4D4F28"/>
    <w:rsid w:val="3E5A0B3E"/>
    <w:rsid w:val="3E815385"/>
    <w:rsid w:val="3E92277C"/>
    <w:rsid w:val="3EA177D5"/>
    <w:rsid w:val="3EC139D3"/>
    <w:rsid w:val="3ECA2888"/>
    <w:rsid w:val="3ED92EC4"/>
    <w:rsid w:val="3ED96F6F"/>
    <w:rsid w:val="3EE13701"/>
    <w:rsid w:val="3F1A4BB3"/>
    <w:rsid w:val="3F453F77"/>
    <w:rsid w:val="3F555576"/>
    <w:rsid w:val="3F906814"/>
    <w:rsid w:val="3FC90D91"/>
    <w:rsid w:val="3FD140EA"/>
    <w:rsid w:val="3FD57736"/>
    <w:rsid w:val="40093884"/>
    <w:rsid w:val="40192BA6"/>
    <w:rsid w:val="4022763E"/>
    <w:rsid w:val="412169AB"/>
    <w:rsid w:val="41272213"/>
    <w:rsid w:val="413B31CF"/>
    <w:rsid w:val="41766EA9"/>
    <w:rsid w:val="41967399"/>
    <w:rsid w:val="41A01FC6"/>
    <w:rsid w:val="41D67795"/>
    <w:rsid w:val="420E5181"/>
    <w:rsid w:val="42154762"/>
    <w:rsid w:val="42550A18"/>
    <w:rsid w:val="42576B28"/>
    <w:rsid w:val="42642FF3"/>
    <w:rsid w:val="426E3E72"/>
    <w:rsid w:val="42755200"/>
    <w:rsid w:val="429D496A"/>
    <w:rsid w:val="42F473A1"/>
    <w:rsid w:val="42FB3958"/>
    <w:rsid w:val="430B7913"/>
    <w:rsid w:val="43100A85"/>
    <w:rsid w:val="4315253F"/>
    <w:rsid w:val="431A1904"/>
    <w:rsid w:val="43346E69"/>
    <w:rsid w:val="433B01F8"/>
    <w:rsid w:val="43446568"/>
    <w:rsid w:val="434A21E9"/>
    <w:rsid w:val="43572B58"/>
    <w:rsid w:val="43672D9B"/>
    <w:rsid w:val="437217EA"/>
    <w:rsid w:val="4392593E"/>
    <w:rsid w:val="43AB7156"/>
    <w:rsid w:val="43FB7987"/>
    <w:rsid w:val="441E62C0"/>
    <w:rsid w:val="445A46AE"/>
    <w:rsid w:val="44BA15F0"/>
    <w:rsid w:val="44CD30D2"/>
    <w:rsid w:val="44EE4DF6"/>
    <w:rsid w:val="44FF1E94"/>
    <w:rsid w:val="45126D36"/>
    <w:rsid w:val="45325D14"/>
    <w:rsid w:val="454113CA"/>
    <w:rsid w:val="454D5FC1"/>
    <w:rsid w:val="45811C7C"/>
    <w:rsid w:val="458F482B"/>
    <w:rsid w:val="45906116"/>
    <w:rsid w:val="45931B8C"/>
    <w:rsid w:val="45CC5137"/>
    <w:rsid w:val="45EF2552"/>
    <w:rsid w:val="461E170B"/>
    <w:rsid w:val="46207231"/>
    <w:rsid w:val="465D2233"/>
    <w:rsid w:val="468B3EFB"/>
    <w:rsid w:val="46E14C12"/>
    <w:rsid w:val="46F34946"/>
    <w:rsid w:val="470A6193"/>
    <w:rsid w:val="472B0583"/>
    <w:rsid w:val="47385210"/>
    <w:rsid w:val="475510F8"/>
    <w:rsid w:val="475A2C17"/>
    <w:rsid w:val="476C6A32"/>
    <w:rsid w:val="477B5067"/>
    <w:rsid w:val="479C6D8B"/>
    <w:rsid w:val="47B16CDB"/>
    <w:rsid w:val="47CA1B4A"/>
    <w:rsid w:val="47DC4F5C"/>
    <w:rsid w:val="47F72214"/>
    <w:rsid w:val="47F866B8"/>
    <w:rsid w:val="48254FD3"/>
    <w:rsid w:val="48B40671"/>
    <w:rsid w:val="48BA1BBF"/>
    <w:rsid w:val="48CC14FD"/>
    <w:rsid w:val="48E876C0"/>
    <w:rsid w:val="490270C2"/>
    <w:rsid w:val="49282FCC"/>
    <w:rsid w:val="49431BB4"/>
    <w:rsid w:val="49675177"/>
    <w:rsid w:val="499B5738"/>
    <w:rsid w:val="499F244D"/>
    <w:rsid w:val="49B20AE8"/>
    <w:rsid w:val="49E8275C"/>
    <w:rsid w:val="4A266DE0"/>
    <w:rsid w:val="4A645093"/>
    <w:rsid w:val="4A8204BA"/>
    <w:rsid w:val="4A973F3F"/>
    <w:rsid w:val="4AB12B4E"/>
    <w:rsid w:val="4ABE526B"/>
    <w:rsid w:val="4ACA1E61"/>
    <w:rsid w:val="4AF96BC7"/>
    <w:rsid w:val="4B0F7BF9"/>
    <w:rsid w:val="4B1F03FF"/>
    <w:rsid w:val="4B296B88"/>
    <w:rsid w:val="4B4845F5"/>
    <w:rsid w:val="4B5819E1"/>
    <w:rsid w:val="4B7C315C"/>
    <w:rsid w:val="4B862A85"/>
    <w:rsid w:val="4B9A1834"/>
    <w:rsid w:val="4BA34B8C"/>
    <w:rsid w:val="4BB24DCF"/>
    <w:rsid w:val="4BD44D46"/>
    <w:rsid w:val="4BEA27BB"/>
    <w:rsid w:val="4C1635B0"/>
    <w:rsid w:val="4C3279E8"/>
    <w:rsid w:val="4C3D6D8F"/>
    <w:rsid w:val="4C433C79"/>
    <w:rsid w:val="4C4F0870"/>
    <w:rsid w:val="4C6F0F12"/>
    <w:rsid w:val="4CA23096"/>
    <w:rsid w:val="4CD47A85"/>
    <w:rsid w:val="4CEF36E2"/>
    <w:rsid w:val="4CEF4DC5"/>
    <w:rsid w:val="4D021D86"/>
    <w:rsid w:val="4D0B0C3B"/>
    <w:rsid w:val="4D5F2D35"/>
    <w:rsid w:val="4D9F75D5"/>
    <w:rsid w:val="4DDF5C24"/>
    <w:rsid w:val="4E0F02B7"/>
    <w:rsid w:val="4E10402F"/>
    <w:rsid w:val="4E1C6E78"/>
    <w:rsid w:val="4E257655"/>
    <w:rsid w:val="4E261AA5"/>
    <w:rsid w:val="4E656129"/>
    <w:rsid w:val="4E78429A"/>
    <w:rsid w:val="4E7C16C5"/>
    <w:rsid w:val="4E994025"/>
    <w:rsid w:val="4EAC3D58"/>
    <w:rsid w:val="4ECA2430"/>
    <w:rsid w:val="4ECF5C98"/>
    <w:rsid w:val="4F165675"/>
    <w:rsid w:val="4F244236"/>
    <w:rsid w:val="4F363F69"/>
    <w:rsid w:val="4F372380"/>
    <w:rsid w:val="4F372FFB"/>
    <w:rsid w:val="4F7D3946"/>
    <w:rsid w:val="4FB31116"/>
    <w:rsid w:val="4FF903B3"/>
    <w:rsid w:val="5019366F"/>
    <w:rsid w:val="5023004A"/>
    <w:rsid w:val="5025116D"/>
    <w:rsid w:val="50257B32"/>
    <w:rsid w:val="502E69EF"/>
    <w:rsid w:val="50577CF3"/>
    <w:rsid w:val="50854860"/>
    <w:rsid w:val="50D77086"/>
    <w:rsid w:val="50E517A3"/>
    <w:rsid w:val="512F0A70"/>
    <w:rsid w:val="515801C7"/>
    <w:rsid w:val="5167665C"/>
    <w:rsid w:val="51694182"/>
    <w:rsid w:val="51786173"/>
    <w:rsid w:val="51AC22C1"/>
    <w:rsid w:val="51AE7DE7"/>
    <w:rsid w:val="51C615D4"/>
    <w:rsid w:val="51E41A5B"/>
    <w:rsid w:val="51FA302C"/>
    <w:rsid w:val="520E6AD8"/>
    <w:rsid w:val="521C7446"/>
    <w:rsid w:val="52395ECD"/>
    <w:rsid w:val="524349D3"/>
    <w:rsid w:val="52884ADC"/>
    <w:rsid w:val="52906AFF"/>
    <w:rsid w:val="529C40E3"/>
    <w:rsid w:val="529E42FF"/>
    <w:rsid w:val="52C10D75"/>
    <w:rsid w:val="534D1B37"/>
    <w:rsid w:val="53650979"/>
    <w:rsid w:val="536A41E2"/>
    <w:rsid w:val="536F35A6"/>
    <w:rsid w:val="53B11E10"/>
    <w:rsid w:val="53C27FF8"/>
    <w:rsid w:val="54322F51"/>
    <w:rsid w:val="54532EC8"/>
    <w:rsid w:val="546E7D01"/>
    <w:rsid w:val="546F7678"/>
    <w:rsid w:val="54806794"/>
    <w:rsid w:val="54866DF9"/>
    <w:rsid w:val="549E1A80"/>
    <w:rsid w:val="54A31759"/>
    <w:rsid w:val="54C0055D"/>
    <w:rsid w:val="54C658F4"/>
    <w:rsid w:val="55052414"/>
    <w:rsid w:val="550C4BD7"/>
    <w:rsid w:val="5527238A"/>
    <w:rsid w:val="554C1D56"/>
    <w:rsid w:val="554D5105"/>
    <w:rsid w:val="554D7917"/>
    <w:rsid w:val="55572986"/>
    <w:rsid w:val="555D2250"/>
    <w:rsid w:val="559E63C4"/>
    <w:rsid w:val="55F83D27"/>
    <w:rsid w:val="56023F9F"/>
    <w:rsid w:val="565340FA"/>
    <w:rsid w:val="567809C3"/>
    <w:rsid w:val="568D4765"/>
    <w:rsid w:val="56AD5F59"/>
    <w:rsid w:val="56BF65F2"/>
    <w:rsid w:val="56C60774"/>
    <w:rsid w:val="56E36785"/>
    <w:rsid w:val="571E156B"/>
    <w:rsid w:val="57672F12"/>
    <w:rsid w:val="577F1308"/>
    <w:rsid w:val="57877110"/>
    <w:rsid w:val="57B10B5B"/>
    <w:rsid w:val="57B12A52"/>
    <w:rsid w:val="57DD1426"/>
    <w:rsid w:val="57EC1669"/>
    <w:rsid w:val="57FA3D86"/>
    <w:rsid w:val="58013706"/>
    <w:rsid w:val="580C3AB9"/>
    <w:rsid w:val="580C5867"/>
    <w:rsid w:val="581F559B"/>
    <w:rsid w:val="58321D0D"/>
    <w:rsid w:val="5847689F"/>
    <w:rsid w:val="58507E4A"/>
    <w:rsid w:val="58906498"/>
    <w:rsid w:val="58BD6B62"/>
    <w:rsid w:val="58DF11CE"/>
    <w:rsid w:val="58F702C5"/>
    <w:rsid w:val="590A624B"/>
    <w:rsid w:val="591250FF"/>
    <w:rsid w:val="5915699E"/>
    <w:rsid w:val="596F60AE"/>
    <w:rsid w:val="59AA17DC"/>
    <w:rsid w:val="59D14FBA"/>
    <w:rsid w:val="5A0013FC"/>
    <w:rsid w:val="5A0A5DD6"/>
    <w:rsid w:val="5A2F2CC8"/>
    <w:rsid w:val="5A9304C2"/>
    <w:rsid w:val="5ABE5351"/>
    <w:rsid w:val="5AE96334"/>
    <w:rsid w:val="5B1C235B"/>
    <w:rsid w:val="5B243823"/>
    <w:rsid w:val="5B3A093D"/>
    <w:rsid w:val="5B5A4B3C"/>
    <w:rsid w:val="5B8F47E5"/>
    <w:rsid w:val="5BA62B15"/>
    <w:rsid w:val="5BD26DC8"/>
    <w:rsid w:val="5BE72873"/>
    <w:rsid w:val="5C0276AD"/>
    <w:rsid w:val="5C0E42C2"/>
    <w:rsid w:val="5C10702D"/>
    <w:rsid w:val="5C152601"/>
    <w:rsid w:val="5C2E04A2"/>
    <w:rsid w:val="5C317B5E"/>
    <w:rsid w:val="5C591F03"/>
    <w:rsid w:val="5C8A1B2F"/>
    <w:rsid w:val="5CD93599"/>
    <w:rsid w:val="5CF54A63"/>
    <w:rsid w:val="5CFF599B"/>
    <w:rsid w:val="5D0905C7"/>
    <w:rsid w:val="5D2B2C34"/>
    <w:rsid w:val="5DDB01B6"/>
    <w:rsid w:val="5DDC52DD"/>
    <w:rsid w:val="5E086AD1"/>
    <w:rsid w:val="5E115985"/>
    <w:rsid w:val="5E850121"/>
    <w:rsid w:val="5EA66A16"/>
    <w:rsid w:val="5EF62DCD"/>
    <w:rsid w:val="5EFB03E4"/>
    <w:rsid w:val="5F1C3E11"/>
    <w:rsid w:val="5F3D27AA"/>
    <w:rsid w:val="5F531564"/>
    <w:rsid w:val="5F561B72"/>
    <w:rsid w:val="5F8403D9"/>
    <w:rsid w:val="5F864151"/>
    <w:rsid w:val="5F8E2E0A"/>
    <w:rsid w:val="5F97010C"/>
    <w:rsid w:val="5FBC5DC5"/>
    <w:rsid w:val="602B6AA7"/>
    <w:rsid w:val="605E50CE"/>
    <w:rsid w:val="606007BB"/>
    <w:rsid w:val="606C1599"/>
    <w:rsid w:val="60787F3E"/>
    <w:rsid w:val="60AC7F66"/>
    <w:rsid w:val="60C413D5"/>
    <w:rsid w:val="60EC092C"/>
    <w:rsid w:val="610572F8"/>
    <w:rsid w:val="61120392"/>
    <w:rsid w:val="61873034"/>
    <w:rsid w:val="619C7C5C"/>
    <w:rsid w:val="61BF10D9"/>
    <w:rsid w:val="61D763CE"/>
    <w:rsid w:val="61EA56B3"/>
    <w:rsid w:val="61EC37E3"/>
    <w:rsid w:val="62061579"/>
    <w:rsid w:val="622E7C5F"/>
    <w:rsid w:val="629C2017"/>
    <w:rsid w:val="62AC22DC"/>
    <w:rsid w:val="62B9483E"/>
    <w:rsid w:val="62C0797A"/>
    <w:rsid w:val="62C54F90"/>
    <w:rsid w:val="62D502BE"/>
    <w:rsid w:val="62D96C8E"/>
    <w:rsid w:val="62E96ED1"/>
    <w:rsid w:val="630E2DDB"/>
    <w:rsid w:val="63212B0F"/>
    <w:rsid w:val="632437C1"/>
    <w:rsid w:val="633D0FCB"/>
    <w:rsid w:val="633D546F"/>
    <w:rsid w:val="634B7B8C"/>
    <w:rsid w:val="636C18B0"/>
    <w:rsid w:val="637F5A87"/>
    <w:rsid w:val="639257BA"/>
    <w:rsid w:val="63A22BFD"/>
    <w:rsid w:val="63A56FE1"/>
    <w:rsid w:val="63AE3C76"/>
    <w:rsid w:val="643447E4"/>
    <w:rsid w:val="64694B64"/>
    <w:rsid w:val="646F78AA"/>
    <w:rsid w:val="64A5151D"/>
    <w:rsid w:val="64DF4A2F"/>
    <w:rsid w:val="64E45EF7"/>
    <w:rsid w:val="650224CC"/>
    <w:rsid w:val="65273CE0"/>
    <w:rsid w:val="654E74BF"/>
    <w:rsid w:val="655B398A"/>
    <w:rsid w:val="656A18C5"/>
    <w:rsid w:val="656E2415"/>
    <w:rsid w:val="658904F7"/>
    <w:rsid w:val="6589499B"/>
    <w:rsid w:val="65B65064"/>
    <w:rsid w:val="66104CAF"/>
    <w:rsid w:val="664A412A"/>
    <w:rsid w:val="6691014E"/>
    <w:rsid w:val="66951925"/>
    <w:rsid w:val="66C87CCE"/>
    <w:rsid w:val="66F978FF"/>
    <w:rsid w:val="671D35ED"/>
    <w:rsid w:val="672F3320"/>
    <w:rsid w:val="6739419F"/>
    <w:rsid w:val="6773145F"/>
    <w:rsid w:val="677435B2"/>
    <w:rsid w:val="678E0047"/>
    <w:rsid w:val="6796514D"/>
    <w:rsid w:val="679715F1"/>
    <w:rsid w:val="67A930D3"/>
    <w:rsid w:val="67CC0B6F"/>
    <w:rsid w:val="67EF75F1"/>
    <w:rsid w:val="67F00D02"/>
    <w:rsid w:val="68262975"/>
    <w:rsid w:val="6841155D"/>
    <w:rsid w:val="684F4F11"/>
    <w:rsid w:val="685E5C6B"/>
    <w:rsid w:val="68896A60"/>
    <w:rsid w:val="68A815DC"/>
    <w:rsid w:val="68BE2BAE"/>
    <w:rsid w:val="6908207B"/>
    <w:rsid w:val="690C1B6B"/>
    <w:rsid w:val="69124F16"/>
    <w:rsid w:val="692D1AE1"/>
    <w:rsid w:val="696100FD"/>
    <w:rsid w:val="698C4A5A"/>
    <w:rsid w:val="69CD5C14"/>
    <w:rsid w:val="69CF0D33"/>
    <w:rsid w:val="69D837FB"/>
    <w:rsid w:val="6A325601"/>
    <w:rsid w:val="6A440E91"/>
    <w:rsid w:val="6A667059"/>
    <w:rsid w:val="6AA47B81"/>
    <w:rsid w:val="6AD65CC7"/>
    <w:rsid w:val="6AD71D05"/>
    <w:rsid w:val="6AE83F12"/>
    <w:rsid w:val="6AEA7C8A"/>
    <w:rsid w:val="6B20545A"/>
    <w:rsid w:val="6B2667E8"/>
    <w:rsid w:val="6B2F38EF"/>
    <w:rsid w:val="6B361121"/>
    <w:rsid w:val="6B3E1D84"/>
    <w:rsid w:val="6B6C4B43"/>
    <w:rsid w:val="6B8F0831"/>
    <w:rsid w:val="6B9946B3"/>
    <w:rsid w:val="6BAC3191"/>
    <w:rsid w:val="6BB64010"/>
    <w:rsid w:val="6BE518DA"/>
    <w:rsid w:val="6BEF7B26"/>
    <w:rsid w:val="6BF32B6E"/>
    <w:rsid w:val="6C276F3A"/>
    <w:rsid w:val="6C2E1DF8"/>
    <w:rsid w:val="6C472EBA"/>
    <w:rsid w:val="6C615D2A"/>
    <w:rsid w:val="6C7007C7"/>
    <w:rsid w:val="6C7A6DEC"/>
    <w:rsid w:val="6CA67BE1"/>
    <w:rsid w:val="6CC83FFB"/>
    <w:rsid w:val="6CE16E6B"/>
    <w:rsid w:val="6D170ADE"/>
    <w:rsid w:val="6DB77BCC"/>
    <w:rsid w:val="6DE76850"/>
    <w:rsid w:val="6E9A5523"/>
    <w:rsid w:val="6EB56801"/>
    <w:rsid w:val="6EBC7B8F"/>
    <w:rsid w:val="6ED053E9"/>
    <w:rsid w:val="6ED502F2"/>
    <w:rsid w:val="6ED6775B"/>
    <w:rsid w:val="6EF015E7"/>
    <w:rsid w:val="6EF2535F"/>
    <w:rsid w:val="6F062BB9"/>
    <w:rsid w:val="6F751AEC"/>
    <w:rsid w:val="6F9B59F7"/>
    <w:rsid w:val="6FB20BD4"/>
    <w:rsid w:val="6FBA59BE"/>
    <w:rsid w:val="6FCF56A0"/>
    <w:rsid w:val="6FF41F1C"/>
    <w:rsid w:val="6FF869A5"/>
    <w:rsid w:val="70090BB2"/>
    <w:rsid w:val="70296B3E"/>
    <w:rsid w:val="702C664F"/>
    <w:rsid w:val="70611204"/>
    <w:rsid w:val="70691651"/>
    <w:rsid w:val="70A46B2D"/>
    <w:rsid w:val="70AB3A18"/>
    <w:rsid w:val="70B07280"/>
    <w:rsid w:val="70B623BC"/>
    <w:rsid w:val="70F3716D"/>
    <w:rsid w:val="715440AF"/>
    <w:rsid w:val="7165620F"/>
    <w:rsid w:val="717039F8"/>
    <w:rsid w:val="719A3A8C"/>
    <w:rsid w:val="71BC3A02"/>
    <w:rsid w:val="71C34D91"/>
    <w:rsid w:val="71CC23A3"/>
    <w:rsid w:val="72247F25"/>
    <w:rsid w:val="724C09B1"/>
    <w:rsid w:val="724C7A91"/>
    <w:rsid w:val="725D6F93"/>
    <w:rsid w:val="72624BCA"/>
    <w:rsid w:val="726A16B0"/>
    <w:rsid w:val="726B5B54"/>
    <w:rsid w:val="7278201F"/>
    <w:rsid w:val="72966949"/>
    <w:rsid w:val="72C32F52"/>
    <w:rsid w:val="73137F9A"/>
    <w:rsid w:val="73D94D40"/>
    <w:rsid w:val="74177616"/>
    <w:rsid w:val="741B0EB4"/>
    <w:rsid w:val="742D0BE7"/>
    <w:rsid w:val="74477EFB"/>
    <w:rsid w:val="74582108"/>
    <w:rsid w:val="746F7452"/>
    <w:rsid w:val="747E1443"/>
    <w:rsid w:val="74D13AD5"/>
    <w:rsid w:val="74D379E1"/>
    <w:rsid w:val="74FA2C30"/>
    <w:rsid w:val="75137DDD"/>
    <w:rsid w:val="75153B55"/>
    <w:rsid w:val="754D5C4B"/>
    <w:rsid w:val="75614FED"/>
    <w:rsid w:val="75780C69"/>
    <w:rsid w:val="75836366"/>
    <w:rsid w:val="758D7B90"/>
    <w:rsid w:val="75CF01A8"/>
    <w:rsid w:val="75EA5E2A"/>
    <w:rsid w:val="75F95225"/>
    <w:rsid w:val="760C31AA"/>
    <w:rsid w:val="76514AC5"/>
    <w:rsid w:val="76A2766B"/>
    <w:rsid w:val="76C240A7"/>
    <w:rsid w:val="76D65566"/>
    <w:rsid w:val="76DA416A"/>
    <w:rsid w:val="77112A42"/>
    <w:rsid w:val="775246B7"/>
    <w:rsid w:val="77822FF8"/>
    <w:rsid w:val="778E7BEF"/>
    <w:rsid w:val="77C81353"/>
    <w:rsid w:val="77CB2BF1"/>
    <w:rsid w:val="77DF044B"/>
    <w:rsid w:val="77EE17B1"/>
    <w:rsid w:val="780103C1"/>
    <w:rsid w:val="781E69D1"/>
    <w:rsid w:val="783C764B"/>
    <w:rsid w:val="7866291A"/>
    <w:rsid w:val="788A03B6"/>
    <w:rsid w:val="78C7160B"/>
    <w:rsid w:val="78E33F6B"/>
    <w:rsid w:val="78F10436"/>
    <w:rsid w:val="7901747F"/>
    <w:rsid w:val="79343286"/>
    <w:rsid w:val="79795DED"/>
    <w:rsid w:val="79876FEC"/>
    <w:rsid w:val="799B65F3"/>
    <w:rsid w:val="79BA4CCB"/>
    <w:rsid w:val="79CD0EA3"/>
    <w:rsid w:val="79D51B05"/>
    <w:rsid w:val="79FC3536"/>
    <w:rsid w:val="7A0128FA"/>
    <w:rsid w:val="7A102B3D"/>
    <w:rsid w:val="7A263B6B"/>
    <w:rsid w:val="7A293BFF"/>
    <w:rsid w:val="7A5213A8"/>
    <w:rsid w:val="7A5B4D40"/>
    <w:rsid w:val="7AA240DD"/>
    <w:rsid w:val="7ACA53E2"/>
    <w:rsid w:val="7AF46346"/>
    <w:rsid w:val="7B0F5219"/>
    <w:rsid w:val="7B0F5EBF"/>
    <w:rsid w:val="7B130FB9"/>
    <w:rsid w:val="7B1C44EF"/>
    <w:rsid w:val="7B580C40"/>
    <w:rsid w:val="7B580DFE"/>
    <w:rsid w:val="7B5F3D7C"/>
    <w:rsid w:val="7B6E3FBF"/>
    <w:rsid w:val="7B7A6E08"/>
    <w:rsid w:val="7B9A6B62"/>
    <w:rsid w:val="7BAB6FC2"/>
    <w:rsid w:val="7BAE0860"/>
    <w:rsid w:val="7BD71E38"/>
    <w:rsid w:val="7BF64EDE"/>
    <w:rsid w:val="7C014E34"/>
    <w:rsid w:val="7C321491"/>
    <w:rsid w:val="7C400C1E"/>
    <w:rsid w:val="7C75312C"/>
    <w:rsid w:val="7C95557C"/>
    <w:rsid w:val="7CE35F46"/>
    <w:rsid w:val="7CED360A"/>
    <w:rsid w:val="7D11554A"/>
    <w:rsid w:val="7D24431C"/>
    <w:rsid w:val="7D553689"/>
    <w:rsid w:val="7D5C4C23"/>
    <w:rsid w:val="7D7B29C4"/>
    <w:rsid w:val="7DC0487A"/>
    <w:rsid w:val="7DD11708"/>
    <w:rsid w:val="7DDF11A4"/>
    <w:rsid w:val="7DEE4A4F"/>
    <w:rsid w:val="7DF12C86"/>
    <w:rsid w:val="7E062BD5"/>
    <w:rsid w:val="7E2E3EDA"/>
    <w:rsid w:val="7E865AC4"/>
    <w:rsid w:val="7E90249F"/>
    <w:rsid w:val="7E957AB5"/>
    <w:rsid w:val="7EAE6230"/>
    <w:rsid w:val="7EBD579E"/>
    <w:rsid w:val="7EBE0DBA"/>
    <w:rsid w:val="7EC167BD"/>
    <w:rsid w:val="7ECD724F"/>
    <w:rsid w:val="7ED44A81"/>
    <w:rsid w:val="7EE2719E"/>
    <w:rsid w:val="7F1E57C9"/>
    <w:rsid w:val="7F272D9E"/>
    <w:rsid w:val="7F3878BD"/>
    <w:rsid w:val="7F6A0F42"/>
    <w:rsid w:val="7F703E09"/>
    <w:rsid w:val="7F855D7C"/>
    <w:rsid w:val="7FE01204"/>
    <w:rsid w:val="7FE74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5">
    <w:name w:val="heading 5"/>
    <w:basedOn w:val="1"/>
    <w:next w:val="6"/>
    <w:link w:val="32"/>
    <w:qFormat/>
    <w:uiPriority w:val="9"/>
    <w:pPr>
      <w:keepNext/>
      <w:keepLines/>
      <w:spacing w:before="280" w:after="290" w:line="376" w:lineRule="auto"/>
      <w:outlineLvl w:val="4"/>
    </w:pPr>
    <w:rPr>
      <w:b/>
      <w:bCs/>
      <w:sz w:val="28"/>
      <w:szCs w:val="28"/>
    </w:rPr>
  </w:style>
  <w:style w:type="paragraph" w:styleId="7">
    <w:name w:val="heading 8"/>
    <w:basedOn w:val="1"/>
    <w:next w:val="1"/>
    <w:link w:val="33"/>
    <w:qFormat/>
    <w:uiPriority w:val="9"/>
    <w:pPr>
      <w:keepNext/>
      <w:keepLines/>
      <w:spacing w:before="240" w:after="64" w:line="320" w:lineRule="auto"/>
      <w:outlineLvl w:val="7"/>
    </w:pPr>
    <w:rPr>
      <w:rFonts w:ascii="等线 Light" w:hAnsi="等线 Light" w:eastAsia="等线 Light"/>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kern w:val="0"/>
      <w:sz w:val="24"/>
    </w:r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4"/>
    <w:qFormat/>
    <w:uiPriority w:val="0"/>
    <w:pPr>
      <w:jc w:val="left"/>
    </w:pPr>
  </w:style>
  <w:style w:type="paragraph" w:styleId="10">
    <w:name w:val="Body Text 3"/>
    <w:basedOn w:val="1"/>
    <w:link w:val="35"/>
    <w:unhideWhenUsed/>
    <w:qFormat/>
    <w:uiPriority w:val="99"/>
    <w:pPr>
      <w:spacing w:after="120"/>
    </w:pPr>
    <w:rPr>
      <w:sz w:val="16"/>
      <w:szCs w:val="16"/>
    </w:rPr>
  </w:style>
  <w:style w:type="paragraph" w:styleId="11">
    <w:name w:val="Body Text"/>
    <w:basedOn w:val="1"/>
    <w:link w:val="36"/>
    <w:unhideWhenUsed/>
    <w:qFormat/>
    <w:uiPriority w:val="0"/>
    <w:pPr>
      <w:spacing w:after="120"/>
    </w:pPr>
  </w:style>
  <w:style w:type="paragraph" w:styleId="12">
    <w:name w:val="Body Text Indent"/>
    <w:basedOn w:val="1"/>
    <w:link w:val="37"/>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link w:val="38"/>
    <w:qFormat/>
    <w:uiPriority w:val="0"/>
    <w:rPr>
      <w:rFonts w:ascii="宋体" w:hAnsi="Courier New"/>
      <w:kern w:val="0"/>
      <w:sz w:val="20"/>
      <w:szCs w:val="21"/>
    </w:rPr>
  </w:style>
  <w:style w:type="paragraph" w:styleId="15">
    <w:name w:val="Date"/>
    <w:basedOn w:val="1"/>
    <w:next w:val="1"/>
    <w:link w:val="39"/>
    <w:unhideWhenUsed/>
    <w:qFormat/>
    <w:uiPriority w:val="99"/>
    <w:pPr>
      <w:ind w:left="100" w:leftChars="2500"/>
    </w:pPr>
  </w:style>
  <w:style w:type="paragraph" w:styleId="16">
    <w:name w:val="Balloon Text"/>
    <w:basedOn w:val="1"/>
    <w:semiHidden/>
    <w:qFormat/>
    <w:uiPriority w:val="0"/>
    <w:rPr>
      <w:sz w:val="18"/>
      <w:szCs w:val="18"/>
    </w:rPr>
  </w:style>
  <w:style w:type="paragraph" w:styleId="17">
    <w:name w:val="footer"/>
    <w:basedOn w:val="1"/>
    <w:next w:val="1"/>
    <w:link w:val="40"/>
    <w:unhideWhenUsed/>
    <w:qFormat/>
    <w:uiPriority w:val="99"/>
    <w:pPr>
      <w:tabs>
        <w:tab w:val="center" w:pos="4153"/>
        <w:tab w:val="right" w:pos="8306"/>
      </w:tabs>
      <w:snapToGrid w:val="0"/>
      <w:jc w:val="left"/>
    </w:pPr>
    <w:rPr>
      <w:kern w:val="0"/>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unhideWhenUsed/>
    <w:qFormat/>
    <w:uiPriority w:val="99"/>
    <w:rPr>
      <w:rFonts w:ascii="Calibri" w:hAnsi="Calibri"/>
      <w:kern w:val="0"/>
      <w:sz w:val="24"/>
    </w:rPr>
  </w:style>
  <w:style w:type="paragraph" w:styleId="22">
    <w:name w:val="annotation subject"/>
    <w:basedOn w:val="9"/>
    <w:next w:val="9"/>
    <w:link w:val="42"/>
    <w:qFormat/>
    <w:uiPriority w:val="99"/>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endnote reference"/>
    <w:unhideWhenUsed/>
    <w:qFormat/>
    <w:uiPriority w:val="99"/>
    <w:rPr>
      <w:vertAlign w:val="superscript"/>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paragraph" w:customStyle="1" w:styleId="29">
    <w:name w:val="toc 12"/>
    <w:next w:val="1"/>
    <w:autoRedefine/>
    <w:qFormat/>
    <w:uiPriority w:val="0"/>
    <w:pPr>
      <w:wordWrap w:val="0"/>
      <w:jc w:val="both"/>
    </w:pPr>
    <w:rPr>
      <w:rFonts w:ascii="宋体" w:hAnsi="宋体" w:eastAsia="宋体" w:cs="Times New Roman"/>
      <w:sz w:val="21"/>
      <w:lang w:val="en-US" w:eastAsia="zh-CN" w:bidi="ar-SA"/>
    </w:rPr>
  </w:style>
  <w:style w:type="character" w:customStyle="1" w:styleId="30">
    <w:name w:val="标题 1 Char"/>
    <w:link w:val="3"/>
    <w:qFormat/>
    <w:uiPriority w:val="9"/>
    <w:rPr>
      <w:b/>
      <w:bCs/>
      <w:kern w:val="44"/>
      <w:sz w:val="44"/>
      <w:szCs w:val="44"/>
    </w:rPr>
  </w:style>
  <w:style w:type="character" w:customStyle="1" w:styleId="31">
    <w:name w:val="标题 2 Char1"/>
    <w:link w:val="4"/>
    <w:qFormat/>
    <w:uiPriority w:val="9"/>
    <w:rPr>
      <w:rFonts w:ascii="Cambria" w:hAnsi="Cambria" w:eastAsia="宋体" w:cs="Times New Roman"/>
      <w:b/>
      <w:bCs/>
      <w:kern w:val="2"/>
      <w:sz w:val="32"/>
      <w:szCs w:val="32"/>
    </w:rPr>
  </w:style>
  <w:style w:type="character" w:customStyle="1" w:styleId="32">
    <w:name w:val="标题 5 Char"/>
    <w:link w:val="5"/>
    <w:semiHidden/>
    <w:qFormat/>
    <w:uiPriority w:val="9"/>
    <w:rPr>
      <w:rFonts w:ascii="Times New Roman" w:hAnsi="Times New Roman"/>
      <w:b/>
      <w:bCs/>
      <w:kern w:val="2"/>
      <w:sz w:val="28"/>
      <w:szCs w:val="28"/>
    </w:rPr>
  </w:style>
  <w:style w:type="character" w:customStyle="1" w:styleId="33">
    <w:name w:val="标题 8 Char1"/>
    <w:link w:val="7"/>
    <w:semiHidden/>
    <w:qFormat/>
    <w:uiPriority w:val="9"/>
    <w:rPr>
      <w:rFonts w:ascii="等线 Light" w:hAnsi="等线 Light" w:eastAsia="等线 Light" w:cs="Times New Roman"/>
      <w:kern w:val="2"/>
      <w:sz w:val="24"/>
      <w:szCs w:val="24"/>
    </w:rPr>
  </w:style>
  <w:style w:type="character" w:customStyle="1" w:styleId="34">
    <w:name w:val="批注文字 Char1"/>
    <w:link w:val="9"/>
    <w:qFormat/>
    <w:uiPriority w:val="0"/>
    <w:rPr>
      <w:rFonts w:ascii="Times New Roman" w:hAnsi="Times New Roman"/>
      <w:kern w:val="2"/>
      <w:sz w:val="21"/>
      <w:szCs w:val="24"/>
    </w:rPr>
  </w:style>
  <w:style w:type="character" w:customStyle="1" w:styleId="35">
    <w:name w:val="正文文本 3 Char"/>
    <w:link w:val="10"/>
    <w:semiHidden/>
    <w:qFormat/>
    <w:uiPriority w:val="99"/>
    <w:rPr>
      <w:kern w:val="2"/>
      <w:sz w:val="16"/>
      <w:szCs w:val="16"/>
    </w:rPr>
  </w:style>
  <w:style w:type="character" w:customStyle="1" w:styleId="36">
    <w:name w:val="正文文本 Char1"/>
    <w:link w:val="11"/>
    <w:qFormat/>
    <w:uiPriority w:val="0"/>
    <w:rPr>
      <w:rFonts w:ascii="Times New Roman" w:hAnsi="Times New Roman"/>
      <w:kern w:val="2"/>
      <w:sz w:val="21"/>
      <w:szCs w:val="24"/>
    </w:rPr>
  </w:style>
  <w:style w:type="character" w:customStyle="1" w:styleId="37">
    <w:name w:val="正文文本缩进 Char"/>
    <w:link w:val="12"/>
    <w:qFormat/>
    <w:uiPriority w:val="0"/>
    <w:rPr>
      <w:rFonts w:ascii="仿宋_GB2312" w:hAnsi="Times New Roman" w:eastAsia="仿宋_GB2312" w:cs="Times New Roman"/>
      <w:sz w:val="32"/>
      <w:szCs w:val="20"/>
    </w:rPr>
  </w:style>
  <w:style w:type="character" w:customStyle="1" w:styleId="38">
    <w:name w:val="纯文本 Char1"/>
    <w:link w:val="14"/>
    <w:qFormat/>
    <w:uiPriority w:val="0"/>
    <w:rPr>
      <w:rFonts w:ascii="宋体" w:hAnsi="Courier New" w:eastAsia="宋体" w:cs="Courier New"/>
      <w:szCs w:val="21"/>
    </w:rPr>
  </w:style>
  <w:style w:type="character" w:customStyle="1" w:styleId="39">
    <w:name w:val="日期 Char"/>
    <w:link w:val="15"/>
    <w:semiHidden/>
    <w:qFormat/>
    <w:uiPriority w:val="99"/>
    <w:rPr>
      <w:rFonts w:ascii="Times New Roman" w:hAnsi="Times New Roman"/>
      <w:kern w:val="2"/>
      <w:sz w:val="21"/>
      <w:szCs w:val="24"/>
    </w:rPr>
  </w:style>
  <w:style w:type="character" w:customStyle="1" w:styleId="40">
    <w:name w:val="页脚 Char"/>
    <w:link w:val="17"/>
    <w:qFormat/>
    <w:uiPriority w:val="99"/>
    <w:rPr>
      <w:sz w:val="18"/>
      <w:szCs w:val="18"/>
    </w:rPr>
  </w:style>
  <w:style w:type="character" w:customStyle="1" w:styleId="41">
    <w:name w:val="页眉 Char"/>
    <w:link w:val="18"/>
    <w:qFormat/>
    <w:uiPriority w:val="99"/>
    <w:rPr>
      <w:sz w:val="18"/>
      <w:szCs w:val="18"/>
    </w:rPr>
  </w:style>
  <w:style w:type="character" w:customStyle="1" w:styleId="42">
    <w:name w:val="批注主题 Char"/>
    <w:link w:val="22"/>
    <w:qFormat/>
    <w:uiPriority w:val="99"/>
    <w:rPr>
      <w:rFonts w:ascii="Times New Roman" w:hAnsi="Times New Roman"/>
      <w:b/>
      <w:bCs/>
      <w:kern w:val="2"/>
      <w:sz w:val="21"/>
      <w:szCs w:val="24"/>
    </w:rPr>
  </w:style>
  <w:style w:type="character" w:customStyle="1" w:styleId="43">
    <w:name w:val="标题 1 字符1"/>
    <w:qFormat/>
    <w:uiPriority w:val="0"/>
    <w:rPr>
      <w:b/>
      <w:bCs/>
      <w:kern w:val="44"/>
      <w:sz w:val="44"/>
      <w:szCs w:val="44"/>
    </w:rPr>
  </w:style>
  <w:style w:type="character" w:customStyle="1" w:styleId="44">
    <w:name w:val="textcontents"/>
    <w:qFormat/>
    <w:uiPriority w:val="0"/>
  </w:style>
  <w:style w:type="character" w:customStyle="1" w:styleId="45">
    <w:name w:val="批注文字 Char"/>
    <w:qFormat/>
    <w:uiPriority w:val="0"/>
    <w:rPr>
      <w:rFonts w:ascii="Times New Roman" w:hAnsi="Times New Roman"/>
      <w:kern w:val="2"/>
      <w:sz w:val="21"/>
      <w:szCs w:val="24"/>
    </w:rPr>
  </w:style>
  <w:style w:type="character" w:customStyle="1" w:styleId="46">
    <w:name w:val="纯文本 字符"/>
    <w:qFormat/>
    <w:uiPriority w:val="0"/>
    <w:rPr>
      <w:rFonts w:ascii="宋体" w:hAnsi="Courier New" w:eastAsia="宋体" w:cs="Courier New"/>
      <w:szCs w:val="21"/>
    </w:rPr>
  </w:style>
  <w:style w:type="character" w:customStyle="1" w:styleId="47">
    <w:name w:val="纯文本 Char"/>
    <w:qFormat/>
    <w:uiPriority w:val="0"/>
    <w:rPr>
      <w:rFonts w:ascii="宋体" w:hAnsi="Courier New" w:eastAsia="宋体" w:cs="Courier New"/>
      <w:szCs w:val="21"/>
    </w:rPr>
  </w:style>
  <w:style w:type="character" w:customStyle="1" w:styleId="48">
    <w:name w:val="纯文本 字符2"/>
    <w:qFormat/>
    <w:uiPriority w:val="0"/>
    <w:rPr>
      <w:rFonts w:ascii="宋体" w:hAnsi="Courier New" w:eastAsia="宋体" w:cs="Courier New"/>
      <w:szCs w:val="21"/>
    </w:rPr>
  </w:style>
  <w:style w:type="character" w:customStyle="1" w:styleId="49">
    <w:name w:val="批注文字 字符1"/>
    <w:qFormat/>
    <w:uiPriority w:val="0"/>
    <w:rPr>
      <w:rFonts w:ascii="Times New Roman" w:hAnsi="Times New Roman"/>
      <w:kern w:val="2"/>
      <w:sz w:val="21"/>
      <w:szCs w:val="24"/>
    </w:rPr>
  </w:style>
  <w:style w:type="character" w:customStyle="1" w:styleId="5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1">
    <w:name w:val="纯文本 字符1"/>
    <w:qFormat/>
    <w:uiPriority w:val="0"/>
    <w:rPr>
      <w:rFonts w:ascii="宋体" w:hAnsi="Courier New"/>
    </w:rPr>
  </w:style>
  <w:style w:type="character" w:customStyle="1" w:styleId="52">
    <w:name w:val="正文文本 Char"/>
    <w:qFormat/>
    <w:uiPriority w:val="99"/>
    <w:rPr>
      <w:rFonts w:ascii="Times New Roman" w:hAnsi="Times New Roman"/>
      <w:kern w:val="2"/>
      <w:sz w:val="21"/>
      <w:szCs w:val="24"/>
    </w:rPr>
  </w:style>
  <w:style w:type="character" w:customStyle="1" w:styleId="53">
    <w:name w:val="批注文字 字符"/>
    <w:qFormat/>
    <w:uiPriority w:val="0"/>
    <w:rPr>
      <w:rFonts w:ascii="Times New Roman" w:hAnsi="Times New Roman"/>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标题 8 Char"/>
    <w:qFormat/>
    <w:uiPriority w:val="0"/>
    <w:rPr>
      <w:rFonts w:ascii="Arial" w:hAnsi="Arial" w:eastAsia="黑体"/>
      <w:kern w:val="2"/>
      <w:sz w:val="24"/>
      <w:szCs w:val="24"/>
    </w:rPr>
  </w:style>
  <w:style w:type="character" w:customStyle="1" w:styleId="56">
    <w:name w:val="apple-style-span"/>
    <w:qFormat/>
    <w:uiPriority w:val="0"/>
  </w:style>
  <w:style w:type="paragraph" w:customStyle="1" w:styleId="57">
    <w:name w:val="默认段落字体 Para Char Char Char Char Char Char Char Char Char1 Char Char Char Char"/>
    <w:basedOn w:val="1"/>
    <w:qFormat/>
    <w:uiPriority w:val="0"/>
    <w:rPr>
      <w:rFonts w:ascii="Tahoma" w:hAnsi="Tahoma"/>
      <w:sz w:val="24"/>
      <w:szCs w:val="20"/>
    </w:rPr>
  </w:style>
  <w:style w:type="paragraph" w:customStyle="1" w:styleId="5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9">
    <w:name w:val="List Paragraph"/>
    <w:basedOn w:val="1"/>
    <w:qFormat/>
    <w:uiPriority w:val="34"/>
    <w:pPr>
      <w:ind w:firstLine="420" w:firstLineChars="200"/>
    </w:pPr>
  </w:style>
  <w:style w:type="paragraph" w:customStyle="1" w:styleId="60">
    <w:name w:val="Table Paragraph"/>
    <w:basedOn w:val="1"/>
    <w:qFormat/>
    <w:uiPriority w:val="1"/>
    <w:pPr>
      <w:jc w:val="left"/>
    </w:pPr>
    <w:rPr>
      <w:rFonts w:ascii="Calibri" w:hAnsi="Calibri"/>
      <w:kern w:val="0"/>
      <w:sz w:val="22"/>
      <w:szCs w:val="22"/>
      <w:lang w:eastAsia="en-US"/>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Char2"/>
    <w:qFormat/>
    <w:uiPriority w:val="0"/>
    <w:rPr>
      <w:rFonts w:ascii="Times New Roman" w:hAnsi="Times New Roman"/>
      <w:kern w:val="2"/>
      <w:sz w:val="21"/>
      <w:szCs w:val="24"/>
    </w:rPr>
  </w:style>
  <w:style w:type="character" w:customStyle="1" w:styleId="63">
    <w:name w:val="正文2 Char Char"/>
    <w:link w:val="64"/>
    <w:qFormat/>
    <w:uiPriority w:val="0"/>
    <w:rPr>
      <w:kern w:val="2"/>
      <w:sz w:val="24"/>
    </w:rPr>
  </w:style>
  <w:style w:type="paragraph" w:customStyle="1" w:styleId="64">
    <w:name w:val="正文2"/>
    <w:basedOn w:val="1"/>
    <w:link w:val="63"/>
    <w:qFormat/>
    <w:uiPriority w:val="0"/>
    <w:pPr>
      <w:adjustRightInd w:val="0"/>
      <w:spacing w:before="156" w:line="360" w:lineRule="auto"/>
      <w:ind w:firstLine="510" w:firstLineChars="200"/>
    </w:pPr>
    <w:rPr>
      <w:sz w:val="24"/>
      <w:szCs w:val="20"/>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列出段落1"/>
    <w:basedOn w:val="1"/>
    <w:qFormat/>
    <w:uiPriority w:val="0"/>
    <w:pPr>
      <w:ind w:firstLine="420" w:firstLineChars="200"/>
    </w:pPr>
    <w:rPr>
      <w:szCs w:val="21"/>
    </w:rPr>
  </w:style>
  <w:style w:type="paragraph" w:customStyle="1" w:styleId="67">
    <w:name w:val="p_MsoNormal"/>
    <w:basedOn w:val="1"/>
    <w:qFormat/>
    <w:uiPriority w:val="0"/>
    <w:rPr>
      <w:rFonts w:ascii="Calibri" w:hAnsi="Calibri" w:eastAsia="Calibri" w:cs="Calibri"/>
      <w:szCs w:val="21"/>
    </w:rPr>
  </w:style>
  <w:style w:type="paragraph" w:customStyle="1" w:styleId="68">
    <w:name w:val="正文文本_1_0_0"/>
    <w:basedOn w:val="69"/>
    <w:next w:val="69"/>
    <w:qFormat/>
    <w:uiPriority w:val="1"/>
    <w:rPr>
      <w:sz w:val="21"/>
      <w:szCs w:val="21"/>
    </w:rPr>
  </w:style>
  <w:style w:type="paragraph" w:customStyle="1" w:styleId="69">
    <w:name w:val="正文_1_0_0"/>
    <w:next w:val="70"/>
    <w:qFormat/>
    <w:uiPriority w:val="1"/>
    <w:pPr>
      <w:widowControl w:val="0"/>
    </w:pPr>
    <w:rPr>
      <w:rFonts w:ascii="宋体" w:hAnsi="宋体" w:eastAsia="宋体" w:cs="宋体"/>
      <w:sz w:val="22"/>
      <w:szCs w:val="22"/>
      <w:lang w:val="en-US" w:eastAsia="en-US" w:bidi="ar-SA"/>
    </w:rPr>
  </w:style>
  <w:style w:type="paragraph" w:customStyle="1" w:styleId="70">
    <w:name w:val="正文_2_0"/>
    <w:qFormat/>
    <w:uiPriority w:val="1"/>
    <w:pPr>
      <w:widowControl w:val="0"/>
    </w:pPr>
    <w:rPr>
      <w:rFonts w:ascii="宋体" w:hAnsi="宋体" w:eastAsia="宋体" w:cs="宋体"/>
      <w:sz w:val="22"/>
      <w:szCs w:val="22"/>
      <w:lang w:val="en-US" w:eastAsia="en-US" w:bidi="ar-SA"/>
    </w:rPr>
  </w:style>
  <w:style w:type="paragraph" w:customStyle="1" w:styleId="71">
    <w:name w:val="标题 3_1"/>
    <w:basedOn w:val="69"/>
    <w:next w:val="69"/>
    <w:qFormat/>
    <w:uiPriority w:val="1"/>
    <w:pPr>
      <w:ind w:left="237" w:right="108"/>
      <w:outlineLvl w:val="2"/>
    </w:pPr>
    <w:rPr>
      <w:rFonts w:cs="Times New Roman"/>
      <w:sz w:val="28"/>
      <w:szCs w:val="28"/>
    </w:rPr>
  </w:style>
  <w:style w:type="paragraph" w:customStyle="1" w:styleId="72">
    <w:name w:val="正文文本_1_0"/>
    <w:basedOn w:val="73"/>
    <w:next w:val="73"/>
    <w:qFormat/>
    <w:uiPriority w:val="1"/>
    <w:rPr>
      <w:sz w:val="21"/>
      <w:szCs w:val="21"/>
    </w:rPr>
  </w:style>
  <w:style w:type="paragraph" w:customStyle="1" w:styleId="73">
    <w:name w:val="正文_1_0"/>
    <w:next w:val="74"/>
    <w:qFormat/>
    <w:uiPriority w:val="1"/>
    <w:pPr>
      <w:widowControl w:val="0"/>
    </w:pPr>
    <w:rPr>
      <w:rFonts w:ascii="宋体" w:hAnsi="宋体" w:eastAsia="宋体" w:cs="宋体"/>
      <w:sz w:val="22"/>
      <w:szCs w:val="22"/>
      <w:lang w:val="en-US" w:eastAsia="en-US" w:bidi="ar-SA"/>
    </w:rPr>
  </w:style>
  <w:style w:type="paragraph" w:customStyle="1" w:styleId="74">
    <w:name w:val="正文_2"/>
    <w:qFormat/>
    <w:uiPriority w:val="1"/>
    <w:pPr>
      <w:widowControl w:val="0"/>
    </w:pPr>
    <w:rPr>
      <w:rFonts w:ascii="宋体" w:hAnsi="宋体" w:eastAsia="宋体" w:cs="宋体"/>
      <w:sz w:val="22"/>
      <w:szCs w:val="22"/>
      <w:lang w:val="en-US" w:eastAsia="en-US" w:bidi="ar-SA"/>
    </w:rPr>
  </w:style>
  <w:style w:type="paragraph" w:customStyle="1" w:styleId="75">
    <w:name w:val="Normal_0"/>
    <w:qFormat/>
    <w:uiPriority w:val="0"/>
    <w:rPr>
      <w:rFonts w:ascii="Times New Roman" w:hAnsi="Times New Roman" w:eastAsia="Times New Roman" w:cs="Times New Roman"/>
      <w:sz w:val="24"/>
      <w:szCs w:val="24"/>
      <w:lang w:val="en-US" w:eastAsia="zh-CN" w:bidi="ar-SA"/>
    </w:rPr>
  </w:style>
  <w:style w:type="paragraph" w:customStyle="1" w:styleId="76">
    <w:name w:val="Table Text"/>
    <w:basedOn w:val="1"/>
    <w:semiHidden/>
    <w:qFormat/>
    <w:uiPriority w:val="0"/>
    <w:rPr>
      <w:rFonts w:ascii="宋体" w:hAnsi="宋体" w:cs="宋体"/>
      <w:szCs w:val="21"/>
      <w:lang w:eastAsia="en-US"/>
    </w:rPr>
  </w:style>
  <w:style w:type="paragraph" w:customStyle="1" w:styleId="77">
    <w:name w:val="_Style 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68</Pages>
  <Words>6917</Words>
  <Characters>7570</Characters>
  <Lines>321</Lines>
  <Paragraphs>90</Paragraphs>
  <TotalTime>10</TotalTime>
  <ScaleCrop>false</ScaleCrop>
  <LinksUpToDate>false</LinksUpToDate>
  <CharactersWithSpaces>7719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2025-08-22T09:14:00Z</dcterms:created>
  <dc:creator>唐冰</dc:creator>
  <cp:lastModifiedBy>QQ</cp:lastModifiedBy>
  <cp:lastPrinted>2025-08-15T07:50:00Z</cp:lastPrinted>
  <dcterms:modified xsi:type="dcterms:W3CDTF">2025-12-26T01:19:01Z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74222FCFDD884FE2AD5AA88432030FF4_13</vt:lpwstr>
  </property>
  <property fmtid="{D5CDD505-2E9C-101B-9397-08002B2CF9AE}" pid="4" name="KSOTemplateDocerSaveRecord">
    <vt:lpwstr>eyJoZGlkIjoiZTljNTc1NGMyMGIyN2RmOTZmMjliMWRkZDI0Njk3NTciLCJ1c2VySWQiOiIyNjk4Mjc3NjMifQ==</vt:lpwstr>
  </property>
</Properties>
</file>