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D67A6E">
      <w:pPr>
        <w:spacing w:line="360" w:lineRule="auto"/>
        <w:jc w:val="center"/>
        <w:rPr>
          <w:rFonts w:hint="eastAsia" w:ascii="方正小标宋简体" w:hAnsi="宋体" w:eastAsia="方正小标宋简体"/>
          <w:color w:val="000000" w:themeColor="text1"/>
          <w:sz w:val="52"/>
          <w:szCs w:val="52"/>
          <w:highlight w:val="none"/>
          <w:lang w:eastAsia="zh-CN"/>
          <w14:textFill>
            <w14:solidFill>
              <w14:schemeClr w14:val="tx1"/>
            </w14:solidFill>
          </w14:textFill>
        </w:rPr>
      </w:pPr>
    </w:p>
    <w:p w14:paraId="58350C43">
      <w:pPr>
        <w:spacing w:line="360" w:lineRule="auto"/>
        <w:jc w:val="center"/>
        <w:rPr>
          <w:rFonts w:hint="eastAsia" w:ascii="方正小标宋简体" w:hAnsi="宋体" w:eastAsia="方正小标宋简体"/>
          <w:color w:val="000000" w:themeColor="text1"/>
          <w:sz w:val="52"/>
          <w:szCs w:val="52"/>
          <w:highlight w:val="none"/>
          <w14:textFill>
            <w14:solidFill>
              <w14:schemeClr w14:val="tx1"/>
            </w14:solidFill>
          </w14:textFill>
        </w:rPr>
      </w:pPr>
      <w:r>
        <w:rPr>
          <w:rFonts w:hint="eastAsia" w:ascii="方正小标宋简体" w:hAnsi="宋体" w:eastAsia="方正小标宋简体"/>
          <w:color w:val="000000" w:themeColor="text1"/>
          <w:sz w:val="52"/>
          <w:szCs w:val="52"/>
          <w:highlight w:val="none"/>
          <w14:textFill>
            <w14:solidFill>
              <w14:schemeClr w14:val="tx1"/>
            </w14:solidFill>
          </w14:textFill>
        </w:rPr>
        <w:t>云之龙咨询集团有限公司</w:t>
      </w:r>
    </w:p>
    <w:p w14:paraId="5DB39D11">
      <w:pPr>
        <w:spacing w:line="360" w:lineRule="auto"/>
        <w:rPr>
          <w:rFonts w:hint="eastAsia" w:ascii="仿宋_GB2312" w:hAnsi="宋体" w:eastAsia="仿宋_GB2312"/>
          <w:b/>
          <w:color w:val="000000" w:themeColor="text1"/>
          <w:sz w:val="48"/>
          <w:szCs w:val="48"/>
          <w:highlight w:val="none"/>
          <w14:textFill>
            <w14:solidFill>
              <w14:schemeClr w14:val="tx1"/>
            </w14:solidFill>
          </w14:textFill>
        </w:rPr>
      </w:pPr>
    </w:p>
    <w:p w14:paraId="66519E38">
      <w:pPr>
        <w:snapToGrid w:val="0"/>
        <w:spacing w:before="120" w:beforeLines="50" w:line="360" w:lineRule="auto"/>
        <w:jc w:val="center"/>
        <w:rPr>
          <w:rFonts w:hint="eastAsia" w:ascii="华文新魏" w:hAnsi="宋体" w:eastAsia="华文新魏"/>
          <w:color w:val="000000" w:themeColor="text1"/>
          <w:sz w:val="120"/>
          <w:szCs w:val="120"/>
          <w:highlight w:val="none"/>
          <w14:textFill>
            <w14:solidFill>
              <w14:schemeClr w14:val="tx1"/>
            </w14:solidFill>
          </w14:textFill>
        </w:rPr>
      </w:pPr>
      <w:r>
        <w:rPr>
          <w:rFonts w:hint="eastAsia" w:ascii="华文新魏" w:hAnsi="宋体" w:eastAsia="华文新魏"/>
          <w:color w:val="000000" w:themeColor="text1"/>
          <w:sz w:val="120"/>
          <w:szCs w:val="120"/>
          <w:highlight w:val="none"/>
          <w14:textFill>
            <w14:solidFill>
              <w14:schemeClr w14:val="tx1"/>
            </w14:solidFill>
          </w14:textFill>
        </w:rPr>
        <w:t>招 标 文 件</w:t>
      </w:r>
    </w:p>
    <w:p w14:paraId="41E6B856">
      <w:pPr>
        <w:snapToGrid w:val="0"/>
        <w:spacing w:before="120" w:beforeLines="50" w:line="360" w:lineRule="auto"/>
        <w:jc w:val="center"/>
        <w:rPr>
          <w:rFonts w:hint="eastAsia" w:ascii="仿宋_GB2312" w:hAnsi="宋体" w:eastAsia="仿宋_GB2312"/>
          <w:b/>
          <w:color w:val="000000" w:themeColor="text1"/>
          <w:sz w:val="48"/>
          <w:szCs w:val="48"/>
          <w:highlight w:val="none"/>
          <w14:textFill>
            <w14:solidFill>
              <w14:schemeClr w14:val="tx1"/>
            </w14:solidFill>
          </w14:textFill>
        </w:rPr>
      </w:pPr>
      <w:r>
        <w:rPr>
          <w:rFonts w:hint="eastAsia" w:ascii="仿宋_GB2312" w:hAnsi="宋体" w:eastAsia="仿宋_GB2312"/>
          <w:b/>
          <w:color w:val="000000" w:themeColor="text1"/>
          <w:sz w:val="48"/>
          <w:szCs w:val="48"/>
          <w:highlight w:val="none"/>
          <w14:textFill>
            <w14:solidFill>
              <w14:schemeClr w14:val="tx1"/>
            </w14:solidFill>
          </w14:textFill>
        </w:rPr>
        <w:t>（全流程电子化采购）</w:t>
      </w:r>
    </w:p>
    <w:p w14:paraId="28104FB5">
      <w:pPr>
        <w:snapToGrid w:val="0"/>
        <w:spacing w:line="360" w:lineRule="auto"/>
        <w:rPr>
          <w:rFonts w:hint="eastAsia" w:ascii="仿宋_GB2312" w:hAnsi="宋体" w:eastAsia="仿宋_GB2312"/>
          <w:color w:val="000000" w:themeColor="text1"/>
          <w:sz w:val="30"/>
          <w:szCs w:val="72"/>
          <w:highlight w:val="none"/>
          <w14:textFill>
            <w14:solidFill>
              <w14:schemeClr w14:val="tx1"/>
            </w14:solidFill>
          </w14:textFill>
        </w:rPr>
      </w:pPr>
    </w:p>
    <w:p w14:paraId="34689091">
      <w:pPr>
        <w:snapToGrid w:val="0"/>
        <w:spacing w:line="360" w:lineRule="auto"/>
        <w:ind w:firstLine="1205" w:firstLineChars="400"/>
        <w:rPr>
          <w:rFonts w:hint="eastAsia" w:ascii="仿宋_GB2312" w:hAnsi="宋体" w:eastAsia="仿宋_GB2312"/>
          <w:b/>
          <w:bCs/>
          <w:color w:val="000000" w:themeColor="text1"/>
          <w:sz w:val="30"/>
          <w:szCs w:val="30"/>
          <w:highlight w:val="none"/>
          <w:lang w:eastAsia="zh-CN"/>
          <w14:textFill>
            <w14:solidFill>
              <w14:schemeClr w14:val="tx1"/>
            </w14:solidFill>
          </w14:textFill>
        </w:rPr>
      </w:pPr>
      <w:r>
        <w:rPr>
          <w:rFonts w:hint="eastAsia" w:ascii="仿宋_GB2312" w:hAnsi="宋体" w:eastAsia="仿宋_GB2312"/>
          <w:b/>
          <w:bCs/>
          <w:color w:val="000000" w:themeColor="text1"/>
          <w:sz w:val="30"/>
          <w:szCs w:val="30"/>
          <w:highlight w:val="none"/>
          <w14:textFill>
            <w14:solidFill>
              <w14:schemeClr w14:val="tx1"/>
            </w14:solidFill>
          </w14:textFill>
        </w:rPr>
        <w:t>项目</w:t>
      </w:r>
      <w:r>
        <w:rPr>
          <w:rFonts w:hint="eastAsia" w:ascii="仿宋_GB2312" w:hAnsi="宋体" w:eastAsia="仿宋_GB2312" w:cs="Courier New"/>
          <w:b/>
          <w:bCs/>
          <w:color w:val="000000" w:themeColor="text1"/>
          <w:w w:val="95"/>
          <w:sz w:val="30"/>
          <w:szCs w:val="30"/>
          <w:highlight w:val="none"/>
          <w14:textFill>
            <w14:solidFill>
              <w14:schemeClr w14:val="tx1"/>
            </w14:solidFill>
          </w14:textFill>
        </w:rPr>
        <w:t>名称</w:t>
      </w:r>
      <w:r>
        <w:rPr>
          <w:rFonts w:hint="eastAsia" w:ascii="仿宋_GB2312" w:hAnsi="宋体" w:eastAsia="仿宋_GB2312"/>
          <w:b/>
          <w:bCs/>
          <w:color w:val="000000" w:themeColor="text1"/>
          <w:sz w:val="30"/>
          <w:szCs w:val="30"/>
          <w:highlight w:val="none"/>
          <w14:textFill>
            <w14:solidFill>
              <w14:schemeClr w14:val="tx1"/>
            </w14:solidFill>
          </w14:textFill>
        </w:rPr>
        <w:t>：</w:t>
      </w:r>
      <w:r>
        <w:rPr>
          <w:rFonts w:hint="eastAsia" w:ascii="仿宋_GB2312" w:hAnsi="宋体" w:eastAsia="仿宋_GB2312"/>
          <w:b/>
          <w:bCs/>
          <w:color w:val="000000" w:themeColor="text1"/>
          <w:sz w:val="30"/>
          <w:szCs w:val="30"/>
          <w:highlight w:val="none"/>
          <w:lang w:eastAsia="zh-CN"/>
          <w14:textFill>
            <w14:solidFill>
              <w14:schemeClr w14:val="tx1"/>
            </w14:solidFill>
          </w14:textFill>
        </w:rPr>
        <w:t>钦州市第二人民医院高清电子鼻咽喉镜</w:t>
      </w:r>
    </w:p>
    <w:p w14:paraId="2130ACF2">
      <w:pPr>
        <w:snapToGrid w:val="0"/>
        <w:spacing w:line="360" w:lineRule="auto"/>
        <w:ind w:firstLine="2711" w:firstLineChars="900"/>
        <w:rPr>
          <w:rFonts w:hint="eastAsia" w:ascii="仿宋_GB2312" w:hAnsi="宋体" w:eastAsia="仿宋_GB2312"/>
          <w:b/>
          <w:bCs/>
          <w:color w:val="000000" w:themeColor="text1"/>
          <w:sz w:val="30"/>
          <w:szCs w:val="30"/>
          <w:highlight w:val="none"/>
          <w:lang w:eastAsia="zh-CN"/>
          <w14:textFill>
            <w14:solidFill>
              <w14:schemeClr w14:val="tx1"/>
            </w14:solidFill>
          </w14:textFill>
        </w:rPr>
      </w:pPr>
      <w:r>
        <w:rPr>
          <w:rFonts w:hint="eastAsia" w:ascii="仿宋_GB2312" w:hAnsi="宋体" w:eastAsia="仿宋_GB2312"/>
          <w:b/>
          <w:bCs/>
          <w:color w:val="000000" w:themeColor="text1"/>
          <w:sz w:val="30"/>
          <w:szCs w:val="30"/>
          <w:highlight w:val="none"/>
          <w:lang w:eastAsia="zh-CN"/>
          <w14:textFill>
            <w14:solidFill>
              <w14:schemeClr w14:val="tx1"/>
            </w14:solidFill>
          </w14:textFill>
        </w:rPr>
        <w:t>等医疗设备采购</w:t>
      </w:r>
    </w:p>
    <w:p w14:paraId="12156261">
      <w:pPr>
        <w:snapToGrid w:val="0"/>
        <w:spacing w:line="360" w:lineRule="auto"/>
        <w:ind w:firstLine="1145" w:firstLineChars="400"/>
        <w:rPr>
          <w:rFonts w:hint="eastAsia" w:ascii="仿宋_GB2312" w:hAnsi="宋体" w:eastAsia="仿宋_GB2312"/>
          <w:color w:val="000000" w:themeColor="text1"/>
          <w:sz w:val="30"/>
          <w:szCs w:val="72"/>
          <w:highlight w:val="none"/>
          <w:lang w:eastAsia="zh-CN"/>
          <w14:textFill>
            <w14:solidFill>
              <w14:schemeClr w14:val="tx1"/>
            </w14:solidFill>
          </w14:textFill>
        </w:rPr>
      </w:pPr>
      <w:r>
        <w:rPr>
          <w:rFonts w:hint="eastAsia" w:ascii="仿宋_GB2312" w:hAnsi="宋体" w:eastAsia="仿宋_GB2312" w:cs="Courier New"/>
          <w:b/>
          <w:bCs/>
          <w:color w:val="000000" w:themeColor="text1"/>
          <w:w w:val="95"/>
          <w:sz w:val="30"/>
          <w:szCs w:val="30"/>
          <w:highlight w:val="none"/>
          <w14:textFill>
            <w14:solidFill>
              <w14:schemeClr w14:val="tx1"/>
            </w14:solidFill>
          </w14:textFill>
        </w:rPr>
        <w:t>项目</w:t>
      </w:r>
      <w:r>
        <w:rPr>
          <w:rFonts w:hint="eastAsia" w:ascii="仿宋_GB2312" w:hAnsi="宋体" w:eastAsia="仿宋_GB2312"/>
          <w:b/>
          <w:bCs/>
          <w:color w:val="000000" w:themeColor="text1"/>
          <w:sz w:val="30"/>
          <w:szCs w:val="30"/>
          <w:highlight w:val="none"/>
          <w14:textFill>
            <w14:solidFill>
              <w14:schemeClr w14:val="tx1"/>
            </w14:solidFill>
          </w14:textFill>
        </w:rPr>
        <w:t>编号</w:t>
      </w:r>
      <w:r>
        <w:rPr>
          <w:rFonts w:hint="eastAsia" w:ascii="仿宋_GB2312" w:hAnsi="宋体" w:eastAsia="仿宋_GB2312" w:cs="Courier New"/>
          <w:b/>
          <w:bCs/>
          <w:color w:val="000000" w:themeColor="text1"/>
          <w:w w:val="95"/>
          <w:sz w:val="30"/>
          <w:szCs w:val="30"/>
          <w:highlight w:val="none"/>
          <w14:textFill>
            <w14:solidFill>
              <w14:schemeClr w14:val="tx1"/>
            </w14:solidFill>
          </w14:textFill>
        </w:rPr>
        <w:t>：QZZC2026-G1-990056-YZLZ</w:t>
      </w:r>
    </w:p>
    <w:p w14:paraId="4D51683D">
      <w:pPr>
        <w:pStyle w:val="27"/>
        <w:snapToGrid w:val="0"/>
        <w:spacing w:line="360" w:lineRule="auto"/>
        <w:ind w:firstLine="1125" w:firstLineChars="393"/>
        <w:rPr>
          <w:rFonts w:hint="eastAsia" w:ascii="仿宋_GB2312" w:hAnsi="宋体" w:eastAsia="仿宋_GB2312"/>
          <w:b/>
          <w:bCs/>
          <w:color w:val="000000" w:themeColor="text1"/>
          <w:w w:val="95"/>
          <w:sz w:val="30"/>
          <w:szCs w:val="30"/>
          <w:highlight w:val="none"/>
          <w:lang w:eastAsia="zh-CN"/>
          <w14:textFill>
            <w14:solidFill>
              <w14:schemeClr w14:val="tx1"/>
            </w14:solidFill>
          </w14:textFill>
        </w:rPr>
      </w:pPr>
      <w:r>
        <w:rPr>
          <w:rFonts w:hint="eastAsia" w:ascii="仿宋_GB2312" w:hAnsi="宋体" w:eastAsia="仿宋_GB2312"/>
          <w:b/>
          <w:bCs/>
          <w:color w:val="000000" w:themeColor="text1"/>
          <w:w w:val="95"/>
          <w:sz w:val="30"/>
          <w:szCs w:val="30"/>
          <w:highlight w:val="none"/>
          <w14:textFill>
            <w14:solidFill>
              <w14:schemeClr w14:val="tx1"/>
            </w14:solidFill>
          </w14:textFill>
        </w:rPr>
        <w:t>采 购 人：</w:t>
      </w:r>
      <w:r>
        <w:rPr>
          <w:rFonts w:hint="eastAsia" w:ascii="仿宋_GB2312" w:hAnsi="宋体" w:eastAsia="仿宋_GB2312"/>
          <w:b/>
          <w:bCs/>
          <w:color w:val="000000" w:themeColor="text1"/>
          <w:sz w:val="30"/>
          <w:szCs w:val="30"/>
          <w:highlight w:val="none"/>
          <w:lang w:eastAsia="zh-CN"/>
          <w14:textFill>
            <w14:solidFill>
              <w14:schemeClr w14:val="tx1"/>
            </w14:solidFill>
          </w14:textFill>
        </w:rPr>
        <w:t xml:space="preserve"> 钦州市第二人民医院</w:t>
      </w:r>
    </w:p>
    <w:p w14:paraId="452D6831">
      <w:pPr>
        <w:pStyle w:val="27"/>
        <w:snapToGrid w:val="0"/>
        <w:spacing w:line="360" w:lineRule="auto"/>
        <w:ind w:firstLine="1125" w:firstLineChars="393"/>
        <w:rPr>
          <w:rFonts w:hint="eastAsia" w:ascii="仿宋_GB2312" w:hAnsi="宋体" w:eastAsia="仿宋_GB2312"/>
          <w:b/>
          <w:bCs/>
          <w:color w:val="000000" w:themeColor="text1"/>
          <w:w w:val="95"/>
          <w:sz w:val="30"/>
          <w:szCs w:val="30"/>
          <w:highlight w:val="none"/>
          <w14:textFill>
            <w14:solidFill>
              <w14:schemeClr w14:val="tx1"/>
            </w14:solidFill>
          </w14:textFill>
        </w:rPr>
      </w:pPr>
      <w:r>
        <w:rPr>
          <w:rFonts w:hint="eastAsia" w:ascii="仿宋_GB2312" w:hAnsi="宋体" w:eastAsia="仿宋_GB2312"/>
          <w:b/>
          <w:bCs/>
          <w:color w:val="000000" w:themeColor="text1"/>
          <w:w w:val="95"/>
          <w:sz w:val="30"/>
          <w:szCs w:val="30"/>
          <w:highlight w:val="none"/>
          <w14:textFill>
            <w14:solidFill>
              <w14:schemeClr w14:val="tx1"/>
            </w14:solidFill>
          </w14:textFill>
        </w:rPr>
        <w:t>采购代理机构：云之龙咨询集团有限公司</w:t>
      </w:r>
    </w:p>
    <w:p w14:paraId="11BF6F34">
      <w:pPr>
        <w:pStyle w:val="27"/>
        <w:snapToGrid w:val="0"/>
        <w:spacing w:line="360" w:lineRule="auto"/>
        <w:ind w:firstLine="1125" w:firstLineChars="393"/>
        <w:rPr>
          <w:rFonts w:hint="eastAsia" w:ascii="仿宋_GB2312" w:hAnsi="宋体" w:eastAsia="仿宋_GB2312"/>
          <w:b/>
          <w:bCs/>
          <w:color w:val="000000" w:themeColor="text1"/>
          <w:w w:val="95"/>
          <w:sz w:val="30"/>
          <w:szCs w:val="30"/>
          <w:highlight w:val="none"/>
          <w14:textFill>
            <w14:solidFill>
              <w14:schemeClr w14:val="tx1"/>
            </w14:solidFill>
          </w14:textFill>
        </w:rPr>
      </w:pPr>
    </w:p>
    <w:p w14:paraId="4F80199B">
      <w:pPr>
        <w:pStyle w:val="27"/>
        <w:snapToGrid w:val="0"/>
        <w:spacing w:line="360" w:lineRule="auto"/>
        <w:ind w:firstLine="841" w:firstLineChars="294"/>
        <w:rPr>
          <w:rFonts w:hint="eastAsia" w:ascii="仿宋_GB2312" w:hAnsi="宋体" w:eastAsia="仿宋_GB2312"/>
          <w:b/>
          <w:bCs/>
          <w:color w:val="000000" w:themeColor="text1"/>
          <w:w w:val="95"/>
          <w:sz w:val="30"/>
          <w:szCs w:val="30"/>
          <w:highlight w:val="none"/>
          <w14:textFill>
            <w14:solidFill>
              <w14:schemeClr w14:val="tx1"/>
            </w14:solidFill>
          </w14:textFill>
        </w:rPr>
      </w:pPr>
    </w:p>
    <w:p w14:paraId="42E1777A">
      <w:pPr>
        <w:pStyle w:val="27"/>
        <w:snapToGrid w:val="0"/>
        <w:spacing w:line="360" w:lineRule="auto"/>
        <w:ind w:firstLine="841" w:firstLineChars="294"/>
        <w:rPr>
          <w:rFonts w:hint="eastAsia" w:ascii="仿宋_GB2312" w:eastAsia="仿宋_GB2312"/>
          <w:color w:val="000000" w:themeColor="text1"/>
          <w:szCs w:val="20"/>
          <w:highlight w:val="none"/>
          <w14:textFill>
            <w14:solidFill>
              <w14:schemeClr w14:val="tx1"/>
            </w14:solidFill>
          </w14:textFill>
        </w:rPr>
      </w:pPr>
      <w:r>
        <w:rPr>
          <w:rFonts w:hint="eastAsia" w:ascii="仿宋_GB2312" w:hAnsi="宋体" w:eastAsia="仿宋_GB2312"/>
          <w:b/>
          <w:bCs/>
          <w:color w:val="000000" w:themeColor="text1"/>
          <w:w w:val="95"/>
          <w:sz w:val="30"/>
          <w:szCs w:val="30"/>
          <w:highlight w:val="none"/>
          <w14:textFill>
            <w14:solidFill>
              <w14:schemeClr w14:val="tx1"/>
            </w14:solidFill>
          </w14:textFill>
        </w:rPr>
        <w:t xml:space="preserve">              202</w:t>
      </w:r>
      <w:r>
        <w:rPr>
          <w:rFonts w:hint="eastAsia" w:ascii="仿宋_GB2312" w:hAnsi="宋体" w:eastAsia="仿宋_GB2312"/>
          <w:b/>
          <w:bCs/>
          <w:color w:val="000000" w:themeColor="text1"/>
          <w:w w:val="95"/>
          <w:sz w:val="30"/>
          <w:szCs w:val="30"/>
          <w:highlight w:val="none"/>
          <w:lang w:val="en-US" w:eastAsia="zh-CN"/>
          <w14:textFill>
            <w14:solidFill>
              <w14:schemeClr w14:val="tx1"/>
            </w14:solidFill>
          </w14:textFill>
        </w:rPr>
        <w:t>6</w:t>
      </w:r>
      <w:r>
        <w:rPr>
          <w:rFonts w:hint="eastAsia" w:ascii="仿宋_GB2312" w:hAnsi="宋体" w:eastAsia="仿宋_GB2312"/>
          <w:b/>
          <w:bCs/>
          <w:color w:val="000000" w:themeColor="text1"/>
          <w:w w:val="95"/>
          <w:sz w:val="30"/>
          <w:szCs w:val="30"/>
          <w:highlight w:val="none"/>
          <w14:textFill>
            <w14:solidFill>
              <w14:schemeClr w14:val="tx1"/>
            </w14:solidFill>
          </w14:textFill>
        </w:rPr>
        <w:t>年</w:t>
      </w:r>
      <w:r>
        <w:rPr>
          <w:rFonts w:hint="eastAsia" w:ascii="仿宋_GB2312" w:hAnsi="宋体" w:eastAsia="仿宋_GB2312"/>
          <w:b/>
          <w:bCs/>
          <w:color w:val="000000" w:themeColor="text1"/>
          <w:w w:val="95"/>
          <w:sz w:val="30"/>
          <w:szCs w:val="30"/>
          <w:highlight w:val="none"/>
          <w:lang w:val="en-US" w:eastAsia="zh-CN"/>
          <w14:textFill>
            <w14:solidFill>
              <w14:schemeClr w14:val="tx1"/>
            </w14:solidFill>
          </w14:textFill>
        </w:rPr>
        <w:t>3</w:t>
      </w:r>
      <w:r>
        <w:rPr>
          <w:rFonts w:hint="eastAsia" w:ascii="仿宋_GB2312" w:hAnsi="宋体" w:eastAsia="仿宋_GB2312"/>
          <w:b/>
          <w:bCs/>
          <w:color w:val="000000" w:themeColor="text1"/>
          <w:w w:val="95"/>
          <w:sz w:val="30"/>
          <w:szCs w:val="30"/>
          <w:highlight w:val="none"/>
          <w14:textFill>
            <w14:solidFill>
              <w14:schemeClr w14:val="tx1"/>
            </w14:solidFill>
          </w14:textFill>
        </w:rPr>
        <w:t>月</w:t>
      </w:r>
      <w:r>
        <w:rPr>
          <w:rFonts w:hint="eastAsia" w:ascii="仿宋_GB2312" w:hAnsi="宋体" w:eastAsia="仿宋_GB2312"/>
          <w:b/>
          <w:bCs/>
          <w:color w:val="000000" w:themeColor="text1"/>
          <w:w w:val="95"/>
          <w:sz w:val="30"/>
          <w:szCs w:val="30"/>
          <w:highlight w:val="none"/>
          <w:lang w:val="en-US" w:eastAsia="zh-CN"/>
          <w14:textFill>
            <w14:solidFill>
              <w14:schemeClr w14:val="tx1"/>
            </w14:solidFill>
          </w14:textFill>
        </w:rPr>
        <w:t>9</w:t>
      </w:r>
      <w:r>
        <w:rPr>
          <w:rFonts w:hint="eastAsia" w:ascii="仿宋_GB2312" w:hAnsi="宋体" w:eastAsia="仿宋_GB2312"/>
          <w:b/>
          <w:bCs/>
          <w:color w:val="000000" w:themeColor="text1"/>
          <w:w w:val="95"/>
          <w:sz w:val="30"/>
          <w:szCs w:val="30"/>
          <w:highlight w:val="none"/>
          <w14:textFill>
            <w14:solidFill>
              <w14:schemeClr w14:val="tx1"/>
            </w14:solidFill>
          </w14:textFill>
        </w:rPr>
        <w:t>日</w:t>
      </w:r>
    </w:p>
    <w:p w14:paraId="670586B2">
      <w:pPr>
        <w:pStyle w:val="19"/>
        <w:ind w:firstLine="803"/>
        <w:jc w:val="center"/>
        <w:rPr>
          <w:rFonts w:hint="eastAsia" w:ascii="Arial" w:hAnsi="Arial" w:eastAsia="黑体"/>
          <w:bCs/>
          <w:color w:val="000000" w:themeColor="text1"/>
          <w:kern w:val="0"/>
          <w:sz w:val="32"/>
          <w:szCs w:val="32"/>
          <w:highlight w:val="none"/>
          <w14:textFill>
            <w14:solidFill>
              <w14:schemeClr w14:val="tx1"/>
            </w14:solidFill>
          </w14:textFill>
        </w:rPr>
      </w:pPr>
      <w:r>
        <w:rPr>
          <w:rFonts w:ascii="Arial" w:hAnsi="Arial" w:eastAsia="黑体"/>
          <w:bCs/>
          <w:color w:val="000000" w:themeColor="text1"/>
          <w:kern w:val="0"/>
          <w:sz w:val="32"/>
          <w:szCs w:val="32"/>
          <w:highlight w:val="none"/>
          <w14:textFill>
            <w14:solidFill>
              <w14:schemeClr w14:val="tx1"/>
            </w14:solidFill>
          </w14:textFill>
        </w:rPr>
        <w:br w:type="page"/>
      </w:r>
    </w:p>
    <w:p w14:paraId="1141721A">
      <w:pPr>
        <w:pStyle w:val="19"/>
        <w:ind w:firstLine="803"/>
        <w:jc w:val="center"/>
        <w:rPr>
          <w:b/>
          <w:color w:val="000000" w:themeColor="text1"/>
          <w:sz w:val="40"/>
          <w:highlight w:val="none"/>
          <w14:textFill>
            <w14:solidFill>
              <w14:schemeClr w14:val="tx1"/>
            </w14:solidFill>
          </w14:textFill>
        </w:rPr>
      </w:pPr>
    </w:p>
    <w:p w14:paraId="5691442D">
      <w:pPr>
        <w:pStyle w:val="27"/>
        <w:spacing w:before="120" w:after="120" w:line="360" w:lineRule="auto"/>
        <w:jc w:val="center"/>
        <w:rPr>
          <w:rFonts w:hint="eastAsia" w:ascii="仿宋_GB2312" w:hAnsi="宋体" w:eastAsia="仿宋_GB2312"/>
          <w:color w:val="000000" w:themeColor="text1"/>
          <w:highlight w:val="none"/>
          <w14:textFill>
            <w14:solidFill>
              <w14:schemeClr w14:val="tx1"/>
            </w14:solidFill>
          </w14:textFill>
        </w:rPr>
      </w:pPr>
    </w:p>
    <w:p w14:paraId="6DFFF0B6">
      <w:pPr>
        <w:spacing w:line="360" w:lineRule="auto"/>
        <w:jc w:val="center"/>
        <w:rPr>
          <w:rFonts w:hint="eastAsia" w:ascii="宋体" w:hAnsi="宋体"/>
          <w:b/>
          <w:color w:val="000000" w:themeColor="text1"/>
          <w:sz w:val="44"/>
          <w:szCs w:val="44"/>
          <w:highlight w:val="none"/>
          <w14:textFill>
            <w14:solidFill>
              <w14:schemeClr w14:val="tx1"/>
            </w14:solidFill>
          </w14:textFill>
        </w:rPr>
      </w:pPr>
      <w:r>
        <w:rPr>
          <w:rFonts w:hint="eastAsia" w:ascii="宋体" w:hAnsi="宋体"/>
          <w:b/>
          <w:color w:val="000000" w:themeColor="text1"/>
          <w:sz w:val="44"/>
          <w:szCs w:val="44"/>
          <w:highlight w:val="none"/>
          <w14:textFill>
            <w14:solidFill>
              <w14:schemeClr w14:val="tx1"/>
            </w14:solidFill>
          </w14:textFill>
        </w:rPr>
        <w:t>目  录</w:t>
      </w:r>
    </w:p>
    <w:p w14:paraId="30768200">
      <w:pPr>
        <w:pStyle w:val="35"/>
        <w:rPr>
          <w:rFonts w:ascii="Calibri" w:hAnsi="Calibri"/>
          <w:b w:val="0"/>
          <w:bCs w:val="0"/>
          <w:caps w:val="0"/>
          <w:color w:val="000000" w:themeColor="text1"/>
          <w:sz w:val="21"/>
          <w:szCs w:val="22"/>
          <w:highlight w:val="none"/>
          <w:lang w:val="en-US" w:eastAsia="zh-CN"/>
          <w14:textFill>
            <w14:solidFill>
              <w14:schemeClr w14:val="tx1"/>
            </w14:solidFill>
          </w14:textFill>
        </w:rPr>
      </w:pPr>
      <w:r>
        <w:rPr>
          <w:rFonts w:ascii="仿宋_GB2312" w:eastAsia="仿宋_GB2312"/>
          <w:b w:val="0"/>
          <w:color w:val="000000" w:themeColor="text1"/>
          <w:highlight w:val="none"/>
          <w14:textFill>
            <w14:solidFill>
              <w14:schemeClr w14:val="tx1"/>
            </w14:solidFill>
          </w14:textFill>
        </w:rPr>
        <w:fldChar w:fldCharType="begin"/>
      </w:r>
      <w:r>
        <w:rPr>
          <w:rFonts w:ascii="仿宋_GB2312" w:eastAsia="仿宋_GB2312"/>
          <w:b w:val="0"/>
          <w:color w:val="000000" w:themeColor="text1"/>
          <w:highlight w:val="none"/>
          <w14:textFill>
            <w14:solidFill>
              <w14:schemeClr w14:val="tx1"/>
            </w14:solidFill>
          </w14:textFill>
        </w:rPr>
        <w:instrText xml:space="preserve"> </w:instrText>
      </w:r>
      <w:r>
        <w:rPr>
          <w:rFonts w:hint="eastAsia" w:ascii="仿宋_GB2312" w:eastAsia="仿宋_GB2312"/>
          <w:b w:val="0"/>
          <w:color w:val="000000" w:themeColor="text1"/>
          <w:highlight w:val="none"/>
          <w14:textFill>
            <w14:solidFill>
              <w14:schemeClr w14:val="tx1"/>
            </w14:solidFill>
          </w14:textFill>
        </w:rPr>
        <w:instrText xml:space="preserve">TOC \o "1-2" \h \z \u</w:instrText>
      </w:r>
      <w:r>
        <w:rPr>
          <w:rFonts w:ascii="仿宋_GB2312" w:eastAsia="仿宋_GB2312"/>
          <w:b w:val="0"/>
          <w:color w:val="000000" w:themeColor="text1"/>
          <w:highlight w:val="none"/>
          <w14:textFill>
            <w14:solidFill>
              <w14:schemeClr w14:val="tx1"/>
            </w14:solidFill>
          </w14:textFill>
        </w:rPr>
        <w:instrText xml:space="preserve"> </w:instrText>
      </w:r>
      <w:r>
        <w:rPr>
          <w:rFonts w:ascii="仿宋_GB2312" w:eastAsia="仿宋_GB2312"/>
          <w:b w:val="0"/>
          <w:color w:val="000000" w:themeColor="text1"/>
          <w:highlight w:val="none"/>
          <w14:textFill>
            <w14:solidFill>
              <w14:schemeClr w14:val="tx1"/>
            </w14:solidFill>
          </w14:textFill>
        </w:rPr>
        <w:fldChar w:fldCharType="separate"/>
      </w:r>
      <w:r>
        <w:rPr>
          <w:rStyle w:val="60"/>
          <w:color w:val="000000" w:themeColor="text1"/>
          <w:highlight w:val="none"/>
          <w14:textFill>
            <w14:solidFill>
              <w14:schemeClr w14:val="tx1"/>
            </w14:solidFill>
          </w14:textFill>
        </w:rPr>
        <w:fldChar w:fldCharType="begin"/>
      </w:r>
      <w:r>
        <w:rPr>
          <w:rStyle w:val="60"/>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"_Toc74320800"</w:instrText>
      </w:r>
      <w:r>
        <w:rPr>
          <w:rStyle w:val="60"/>
          <w:color w:val="000000" w:themeColor="text1"/>
          <w:highlight w:val="none"/>
          <w14:textFill>
            <w14:solidFill>
              <w14:schemeClr w14:val="tx1"/>
            </w14:solidFill>
          </w14:textFill>
        </w:rPr>
        <w:instrText xml:space="preserve"> </w:instrText>
      </w:r>
      <w:r>
        <w:rPr>
          <w:rStyle w:val="60"/>
          <w:color w:val="000000" w:themeColor="text1"/>
          <w:highlight w:val="none"/>
          <w14:textFill>
            <w14:solidFill>
              <w14:schemeClr w14:val="tx1"/>
            </w14:solidFill>
          </w14:textFill>
        </w:rPr>
        <w:fldChar w:fldCharType="separate"/>
      </w:r>
      <w:r>
        <w:rPr>
          <w:rStyle w:val="60"/>
          <w:rFonts w:hint="eastAsia"/>
          <w:color w:val="000000" w:themeColor="text1"/>
          <w:highlight w:val="none"/>
          <w14:textFill>
            <w14:solidFill>
              <w14:schemeClr w14:val="tx1"/>
            </w14:solidFill>
          </w14:textFill>
        </w:rPr>
        <w:t>第一章</w:t>
      </w:r>
      <w:r>
        <w:rPr>
          <w:rStyle w:val="60"/>
          <w:color w:val="000000" w:themeColor="text1"/>
          <w:highlight w:val="none"/>
          <w14:textFill>
            <w14:solidFill>
              <w14:schemeClr w14:val="tx1"/>
            </w14:solidFill>
          </w14:textFill>
        </w:rPr>
        <w:t xml:space="preserve"> </w:t>
      </w:r>
      <w:r>
        <w:rPr>
          <w:rStyle w:val="60"/>
          <w:rFonts w:hint="eastAsia"/>
          <w:color w:val="000000" w:themeColor="text1"/>
          <w:highlight w:val="none"/>
          <w:lang w:val="en-US" w:eastAsia="zh-CN"/>
          <w14:textFill>
            <w14:solidFill>
              <w14:schemeClr w14:val="tx1"/>
            </w14:solidFill>
          </w14:textFill>
        </w:rPr>
        <w:t xml:space="preserve"> </w:t>
      </w:r>
      <w:r>
        <w:rPr>
          <w:rStyle w:val="60"/>
          <w:rFonts w:hint="eastAsia"/>
          <w:color w:val="000000" w:themeColor="text1"/>
          <w:highlight w:val="none"/>
          <w14:textFill>
            <w14:solidFill>
              <w14:schemeClr w14:val="tx1"/>
            </w14:solidFill>
          </w14:textFill>
        </w:rPr>
        <w:t>招标公告</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_Toc74320800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fldChar w:fldCharType="end"/>
      </w:r>
      <w:r>
        <w:rPr>
          <w:rStyle w:val="60"/>
          <w:color w:val="000000" w:themeColor="text1"/>
          <w:highlight w:val="none"/>
          <w14:textFill>
            <w14:solidFill>
              <w14:schemeClr w14:val="tx1"/>
            </w14:solidFill>
          </w14:textFill>
        </w:rPr>
        <w:fldChar w:fldCharType="end"/>
      </w:r>
    </w:p>
    <w:p w14:paraId="0F67293D">
      <w:pPr>
        <w:pStyle w:val="35"/>
        <w:ind w:firstLine="241"/>
        <w:rPr>
          <w:rFonts w:ascii="Calibri" w:hAnsi="Calibri"/>
          <w:b w:val="0"/>
          <w:bCs w:val="0"/>
          <w:caps w:val="0"/>
          <w:color w:val="000000" w:themeColor="text1"/>
          <w:sz w:val="21"/>
          <w:szCs w:val="22"/>
          <w:highlight w:val="none"/>
          <w:lang w:val="en-US" w:eastAsia="zh-CN"/>
          <w14:textFill>
            <w14:solidFill>
              <w14:schemeClr w14:val="tx1"/>
            </w14:solidFill>
          </w14:textFill>
        </w:rPr>
      </w:pPr>
      <w:r>
        <w:rPr>
          <w:rStyle w:val="60"/>
          <w:color w:val="000000" w:themeColor="text1"/>
          <w:highlight w:val="none"/>
          <w14:textFill>
            <w14:solidFill>
              <w14:schemeClr w14:val="tx1"/>
            </w14:solidFill>
          </w14:textFill>
        </w:rPr>
        <w:fldChar w:fldCharType="begin"/>
      </w:r>
      <w:r>
        <w:rPr>
          <w:rStyle w:val="60"/>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"_Toc74320801"</w:instrText>
      </w:r>
      <w:r>
        <w:rPr>
          <w:rStyle w:val="60"/>
          <w:color w:val="000000" w:themeColor="text1"/>
          <w:highlight w:val="none"/>
          <w14:textFill>
            <w14:solidFill>
              <w14:schemeClr w14:val="tx1"/>
            </w14:solidFill>
          </w14:textFill>
        </w:rPr>
        <w:instrText xml:space="preserve"> </w:instrText>
      </w:r>
      <w:r>
        <w:rPr>
          <w:rStyle w:val="60"/>
          <w:color w:val="000000" w:themeColor="text1"/>
          <w:highlight w:val="none"/>
          <w14:textFill>
            <w14:solidFill>
              <w14:schemeClr w14:val="tx1"/>
            </w14:solidFill>
          </w14:textFill>
        </w:rPr>
        <w:fldChar w:fldCharType="separate"/>
      </w:r>
      <w:r>
        <w:rPr>
          <w:rStyle w:val="60"/>
          <w:rFonts w:hint="eastAsia"/>
          <w:color w:val="000000" w:themeColor="text1"/>
          <w:highlight w:val="none"/>
          <w14:textFill>
            <w14:solidFill>
              <w14:schemeClr w14:val="tx1"/>
            </w14:solidFill>
          </w14:textFill>
        </w:rPr>
        <w:t>第二章</w:t>
      </w:r>
      <w:r>
        <w:rPr>
          <w:rStyle w:val="60"/>
          <w:color w:val="000000" w:themeColor="text1"/>
          <w:highlight w:val="none"/>
          <w14:textFill>
            <w14:solidFill>
              <w14:schemeClr w14:val="tx1"/>
            </w14:solidFill>
          </w14:textFill>
        </w:rPr>
        <w:t xml:space="preserve">  </w:t>
      </w:r>
      <w:r>
        <w:rPr>
          <w:rStyle w:val="60"/>
          <w:rFonts w:hint="eastAsia"/>
          <w:color w:val="000000" w:themeColor="text1"/>
          <w:highlight w:val="none"/>
          <w14:textFill>
            <w14:solidFill>
              <w14:schemeClr w14:val="tx1"/>
            </w14:solidFill>
          </w14:textFill>
        </w:rPr>
        <w:t>采购需求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_Toc74320801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Style w:val="60"/>
          <w:color w:val="000000" w:themeColor="text1"/>
          <w:highlight w:val="none"/>
          <w14:textFill>
            <w14:solidFill>
              <w14:schemeClr w14:val="tx1"/>
            </w14:solidFill>
          </w14:textFill>
        </w:rPr>
        <w:fldChar w:fldCharType="end"/>
      </w:r>
    </w:p>
    <w:p w14:paraId="6122FF20">
      <w:pPr>
        <w:pStyle w:val="35"/>
        <w:ind w:firstLine="241"/>
        <w:rPr>
          <w:rFonts w:ascii="Calibri" w:hAnsi="Calibri"/>
          <w:b w:val="0"/>
          <w:bCs w:val="0"/>
          <w:caps w:val="0"/>
          <w:color w:val="000000" w:themeColor="text1"/>
          <w:sz w:val="21"/>
          <w:szCs w:val="22"/>
          <w:highlight w:val="none"/>
          <w:lang w:val="en-US" w:eastAsia="zh-CN"/>
          <w14:textFill>
            <w14:solidFill>
              <w14:schemeClr w14:val="tx1"/>
            </w14:solidFill>
          </w14:textFill>
        </w:rPr>
      </w:pPr>
      <w:r>
        <w:rPr>
          <w:rStyle w:val="60"/>
          <w:color w:val="000000" w:themeColor="text1"/>
          <w:highlight w:val="none"/>
          <w14:textFill>
            <w14:solidFill>
              <w14:schemeClr w14:val="tx1"/>
            </w14:solidFill>
          </w14:textFill>
        </w:rPr>
        <w:fldChar w:fldCharType="begin"/>
      </w:r>
      <w:r>
        <w:rPr>
          <w:rStyle w:val="60"/>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"_Toc74320802"</w:instrText>
      </w:r>
      <w:r>
        <w:rPr>
          <w:rStyle w:val="60"/>
          <w:color w:val="000000" w:themeColor="text1"/>
          <w:highlight w:val="none"/>
          <w14:textFill>
            <w14:solidFill>
              <w14:schemeClr w14:val="tx1"/>
            </w14:solidFill>
          </w14:textFill>
        </w:rPr>
        <w:instrText xml:space="preserve"> </w:instrText>
      </w:r>
      <w:r>
        <w:rPr>
          <w:rStyle w:val="60"/>
          <w:color w:val="000000" w:themeColor="text1"/>
          <w:highlight w:val="none"/>
          <w14:textFill>
            <w14:solidFill>
              <w14:schemeClr w14:val="tx1"/>
            </w14:solidFill>
          </w14:textFill>
        </w:rPr>
        <w:fldChar w:fldCharType="separate"/>
      </w:r>
      <w:r>
        <w:rPr>
          <w:rStyle w:val="60"/>
          <w:rFonts w:hint="eastAsia"/>
          <w:color w:val="000000" w:themeColor="text1"/>
          <w:highlight w:val="none"/>
          <w14:textFill>
            <w14:solidFill>
              <w14:schemeClr w14:val="tx1"/>
            </w14:solidFill>
          </w14:textFill>
        </w:rPr>
        <w:t>第三章</w:t>
      </w:r>
      <w:r>
        <w:rPr>
          <w:rStyle w:val="60"/>
          <w:color w:val="000000" w:themeColor="text1"/>
          <w:highlight w:val="none"/>
          <w14:textFill>
            <w14:solidFill>
              <w14:schemeClr w14:val="tx1"/>
            </w14:solidFill>
          </w14:textFill>
        </w:rPr>
        <w:t xml:space="preserve">  </w:t>
      </w:r>
      <w:r>
        <w:rPr>
          <w:rStyle w:val="60"/>
          <w:rFonts w:hint="eastAsia"/>
          <w:color w:val="000000" w:themeColor="text1"/>
          <w:highlight w:val="none"/>
          <w14:textFill>
            <w14:solidFill>
              <w14:schemeClr w14:val="tx1"/>
            </w14:solidFill>
          </w14:textFill>
        </w:rPr>
        <w:t>投标人须</w:t>
      </w:r>
      <w:bookmarkStart w:id="0" w:name="_Hlt79572745"/>
      <w:bookmarkStart w:id="1" w:name="_Hlt79572744"/>
      <w:r>
        <w:rPr>
          <w:rStyle w:val="60"/>
          <w:rFonts w:hint="eastAsia"/>
          <w:color w:val="000000" w:themeColor="text1"/>
          <w:highlight w:val="none"/>
          <w14:textFill>
            <w14:solidFill>
              <w14:schemeClr w14:val="tx1"/>
            </w14:solidFill>
          </w14:textFill>
        </w:rPr>
        <w:t>知</w:t>
      </w:r>
      <w:bookmarkEnd w:id="0"/>
      <w:bookmarkEnd w:id="1"/>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_Toc74320802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rStyle w:val="60"/>
          <w:color w:val="000000" w:themeColor="text1"/>
          <w:highlight w:val="none"/>
          <w14:textFill>
            <w14:solidFill>
              <w14:schemeClr w14:val="tx1"/>
            </w14:solidFill>
          </w14:textFill>
        </w:rPr>
        <w:fldChar w:fldCharType="end"/>
      </w:r>
    </w:p>
    <w:p w14:paraId="103AEA33">
      <w:pPr>
        <w:pStyle w:val="35"/>
        <w:ind w:firstLine="241"/>
        <w:rPr>
          <w:rFonts w:ascii="Calibri" w:hAnsi="Calibri"/>
          <w:b w:val="0"/>
          <w:bCs w:val="0"/>
          <w:caps w:val="0"/>
          <w:color w:val="000000" w:themeColor="text1"/>
          <w:sz w:val="21"/>
          <w:szCs w:val="22"/>
          <w:highlight w:val="none"/>
          <w:lang w:val="en-US" w:eastAsia="zh-CN"/>
          <w14:textFill>
            <w14:solidFill>
              <w14:schemeClr w14:val="tx1"/>
            </w14:solidFill>
          </w14:textFill>
        </w:rPr>
      </w:pPr>
      <w:r>
        <w:rPr>
          <w:rStyle w:val="60"/>
          <w:color w:val="000000" w:themeColor="text1"/>
          <w:highlight w:val="none"/>
          <w14:textFill>
            <w14:solidFill>
              <w14:schemeClr w14:val="tx1"/>
            </w14:solidFill>
          </w14:textFill>
        </w:rPr>
        <w:fldChar w:fldCharType="begin"/>
      </w:r>
      <w:r>
        <w:rPr>
          <w:rStyle w:val="60"/>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"_Toc74320803"</w:instrText>
      </w:r>
      <w:r>
        <w:rPr>
          <w:rStyle w:val="60"/>
          <w:color w:val="000000" w:themeColor="text1"/>
          <w:highlight w:val="none"/>
          <w14:textFill>
            <w14:solidFill>
              <w14:schemeClr w14:val="tx1"/>
            </w14:solidFill>
          </w14:textFill>
        </w:rPr>
        <w:instrText xml:space="preserve"> </w:instrText>
      </w:r>
      <w:r>
        <w:rPr>
          <w:rStyle w:val="60"/>
          <w:color w:val="000000" w:themeColor="text1"/>
          <w:highlight w:val="none"/>
          <w14:textFill>
            <w14:solidFill>
              <w14:schemeClr w14:val="tx1"/>
            </w14:solidFill>
          </w14:textFill>
        </w:rPr>
        <w:fldChar w:fldCharType="separate"/>
      </w:r>
      <w:r>
        <w:rPr>
          <w:rStyle w:val="60"/>
          <w:rFonts w:hint="eastAsia"/>
          <w:color w:val="000000" w:themeColor="text1"/>
          <w:highlight w:val="none"/>
          <w14:textFill>
            <w14:solidFill>
              <w14:schemeClr w14:val="tx1"/>
            </w14:solidFill>
          </w14:textFill>
        </w:rPr>
        <w:t>第四章</w:t>
      </w:r>
      <w:r>
        <w:rPr>
          <w:rStyle w:val="60"/>
          <w:color w:val="000000" w:themeColor="text1"/>
          <w:highlight w:val="none"/>
          <w14:textFill>
            <w14:solidFill>
              <w14:schemeClr w14:val="tx1"/>
            </w14:solidFill>
          </w14:textFill>
        </w:rPr>
        <w:t xml:space="preserve">  </w:t>
      </w:r>
      <w:r>
        <w:rPr>
          <w:rStyle w:val="60"/>
          <w:rFonts w:hint="eastAsia"/>
          <w:color w:val="000000" w:themeColor="text1"/>
          <w:highlight w:val="none"/>
          <w14:textFill>
            <w14:solidFill>
              <w14:schemeClr w14:val="tx1"/>
            </w14:solidFill>
          </w14:textFill>
        </w:rPr>
        <w:t>评标方</w:t>
      </w:r>
      <w:bookmarkStart w:id="2" w:name="_Hlt82186274"/>
      <w:bookmarkStart w:id="3" w:name="_Hlt82186273"/>
      <w:r>
        <w:rPr>
          <w:rStyle w:val="60"/>
          <w:rFonts w:hint="eastAsia"/>
          <w:color w:val="000000" w:themeColor="text1"/>
          <w:highlight w:val="none"/>
          <w14:textFill>
            <w14:solidFill>
              <w14:schemeClr w14:val="tx1"/>
            </w14:solidFill>
          </w14:textFill>
        </w:rPr>
        <w:t>法</w:t>
      </w:r>
      <w:bookmarkEnd w:id="2"/>
      <w:bookmarkEnd w:id="3"/>
      <w:r>
        <w:rPr>
          <w:rStyle w:val="60"/>
          <w:rFonts w:hint="eastAsia"/>
          <w:color w:val="000000" w:themeColor="text1"/>
          <w:highlight w:val="none"/>
          <w14:textFill>
            <w14:solidFill>
              <w14:schemeClr w14:val="tx1"/>
            </w14:solidFill>
          </w14:textFill>
        </w:rPr>
        <w:t>及评标标准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_Toc74320803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70</w:t>
      </w:r>
      <w:r>
        <w:rPr>
          <w:color w:val="000000" w:themeColor="text1"/>
          <w:highlight w:val="none"/>
          <w14:textFill>
            <w14:solidFill>
              <w14:schemeClr w14:val="tx1"/>
            </w14:solidFill>
          </w14:textFill>
        </w:rPr>
        <w:fldChar w:fldCharType="end"/>
      </w:r>
      <w:r>
        <w:rPr>
          <w:rStyle w:val="60"/>
          <w:color w:val="000000" w:themeColor="text1"/>
          <w:highlight w:val="none"/>
          <w14:textFill>
            <w14:solidFill>
              <w14:schemeClr w14:val="tx1"/>
            </w14:solidFill>
          </w14:textFill>
        </w:rPr>
        <w:fldChar w:fldCharType="end"/>
      </w:r>
    </w:p>
    <w:p w14:paraId="7574F726">
      <w:pPr>
        <w:pStyle w:val="35"/>
        <w:ind w:firstLine="241"/>
        <w:rPr>
          <w:rFonts w:ascii="Calibri" w:hAnsi="Calibri"/>
          <w:b w:val="0"/>
          <w:bCs w:val="0"/>
          <w:caps w:val="0"/>
          <w:color w:val="000000" w:themeColor="text1"/>
          <w:sz w:val="21"/>
          <w:szCs w:val="22"/>
          <w:highlight w:val="none"/>
          <w:lang w:val="en-US" w:eastAsia="zh-CN"/>
          <w14:textFill>
            <w14:solidFill>
              <w14:schemeClr w14:val="tx1"/>
            </w14:solidFill>
          </w14:textFill>
        </w:rPr>
      </w:pPr>
      <w:r>
        <w:rPr>
          <w:rStyle w:val="60"/>
          <w:color w:val="000000" w:themeColor="text1"/>
          <w:highlight w:val="none"/>
          <w14:textFill>
            <w14:solidFill>
              <w14:schemeClr w14:val="tx1"/>
            </w14:solidFill>
          </w14:textFill>
        </w:rPr>
        <w:fldChar w:fldCharType="begin"/>
      </w:r>
      <w:r>
        <w:rPr>
          <w:rStyle w:val="60"/>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"_Toc74320804"</w:instrText>
      </w:r>
      <w:r>
        <w:rPr>
          <w:rStyle w:val="60"/>
          <w:color w:val="000000" w:themeColor="text1"/>
          <w:highlight w:val="none"/>
          <w14:textFill>
            <w14:solidFill>
              <w14:schemeClr w14:val="tx1"/>
            </w14:solidFill>
          </w14:textFill>
        </w:rPr>
        <w:instrText xml:space="preserve"> </w:instrText>
      </w:r>
      <w:r>
        <w:rPr>
          <w:rStyle w:val="60"/>
          <w:color w:val="000000" w:themeColor="text1"/>
          <w:highlight w:val="none"/>
          <w14:textFill>
            <w14:solidFill>
              <w14:schemeClr w14:val="tx1"/>
            </w14:solidFill>
          </w14:textFill>
        </w:rPr>
        <w:fldChar w:fldCharType="separate"/>
      </w:r>
      <w:r>
        <w:rPr>
          <w:rStyle w:val="60"/>
          <w:rFonts w:hint="eastAsia"/>
          <w:color w:val="000000" w:themeColor="text1"/>
          <w:highlight w:val="none"/>
          <w14:textFill>
            <w14:solidFill>
              <w14:schemeClr w14:val="tx1"/>
            </w14:solidFill>
          </w14:textFill>
        </w:rPr>
        <w:t>第五章</w:t>
      </w:r>
      <w:r>
        <w:rPr>
          <w:rStyle w:val="60"/>
          <w:color w:val="000000" w:themeColor="text1"/>
          <w:highlight w:val="none"/>
          <w14:textFill>
            <w14:solidFill>
              <w14:schemeClr w14:val="tx1"/>
            </w14:solidFill>
          </w14:textFill>
        </w:rPr>
        <w:t xml:space="preserve">  </w:t>
      </w:r>
      <w:r>
        <w:rPr>
          <w:rStyle w:val="60"/>
          <w:rFonts w:hint="eastAsia"/>
          <w:color w:val="000000" w:themeColor="text1"/>
          <w:highlight w:val="none"/>
          <w14:textFill>
            <w14:solidFill>
              <w14:schemeClr w14:val="tx1"/>
            </w14:solidFill>
          </w14:textFill>
        </w:rPr>
        <w:t>拟签订的合同文本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_Toc74320804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79</w:t>
      </w:r>
      <w:r>
        <w:rPr>
          <w:color w:val="000000" w:themeColor="text1"/>
          <w:highlight w:val="none"/>
          <w14:textFill>
            <w14:solidFill>
              <w14:schemeClr w14:val="tx1"/>
            </w14:solidFill>
          </w14:textFill>
        </w:rPr>
        <w:fldChar w:fldCharType="end"/>
      </w:r>
      <w:r>
        <w:rPr>
          <w:rStyle w:val="60"/>
          <w:color w:val="000000" w:themeColor="text1"/>
          <w:highlight w:val="none"/>
          <w14:textFill>
            <w14:solidFill>
              <w14:schemeClr w14:val="tx1"/>
            </w14:solidFill>
          </w14:textFill>
        </w:rPr>
        <w:fldChar w:fldCharType="end"/>
      </w:r>
    </w:p>
    <w:p w14:paraId="4AB794F1">
      <w:pPr>
        <w:pStyle w:val="35"/>
        <w:ind w:firstLine="241"/>
        <w:rPr>
          <w:rFonts w:ascii="Calibri" w:hAnsi="Calibri"/>
          <w:b w:val="0"/>
          <w:bCs w:val="0"/>
          <w:caps w:val="0"/>
          <w:color w:val="000000" w:themeColor="text1"/>
          <w:sz w:val="21"/>
          <w:szCs w:val="22"/>
          <w:highlight w:val="none"/>
          <w:lang w:val="en-US" w:eastAsia="zh-CN"/>
          <w14:textFill>
            <w14:solidFill>
              <w14:schemeClr w14:val="tx1"/>
            </w14:solidFill>
          </w14:textFill>
        </w:rPr>
      </w:pPr>
      <w:r>
        <w:rPr>
          <w:rStyle w:val="60"/>
          <w:color w:val="000000" w:themeColor="text1"/>
          <w:highlight w:val="none"/>
          <w14:textFill>
            <w14:solidFill>
              <w14:schemeClr w14:val="tx1"/>
            </w14:solidFill>
          </w14:textFill>
        </w:rPr>
        <w:fldChar w:fldCharType="begin"/>
      </w:r>
      <w:r>
        <w:rPr>
          <w:rStyle w:val="60"/>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"_Toc74320805"</w:instrText>
      </w:r>
      <w:r>
        <w:rPr>
          <w:rStyle w:val="60"/>
          <w:color w:val="000000" w:themeColor="text1"/>
          <w:highlight w:val="none"/>
          <w14:textFill>
            <w14:solidFill>
              <w14:schemeClr w14:val="tx1"/>
            </w14:solidFill>
          </w14:textFill>
        </w:rPr>
        <w:instrText xml:space="preserve"> </w:instrText>
      </w:r>
      <w:r>
        <w:rPr>
          <w:rStyle w:val="60"/>
          <w:color w:val="000000" w:themeColor="text1"/>
          <w:highlight w:val="none"/>
          <w14:textFill>
            <w14:solidFill>
              <w14:schemeClr w14:val="tx1"/>
            </w14:solidFill>
          </w14:textFill>
        </w:rPr>
        <w:fldChar w:fldCharType="separate"/>
      </w:r>
      <w:r>
        <w:rPr>
          <w:rStyle w:val="60"/>
          <w:rFonts w:hint="eastAsia"/>
          <w:color w:val="000000" w:themeColor="text1"/>
          <w:highlight w:val="none"/>
          <w14:textFill>
            <w14:solidFill>
              <w14:schemeClr w14:val="tx1"/>
            </w14:solidFill>
          </w14:textFill>
        </w:rPr>
        <w:t>第六章　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_Toc74320805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88</w:t>
      </w:r>
      <w:r>
        <w:rPr>
          <w:color w:val="000000" w:themeColor="text1"/>
          <w:highlight w:val="none"/>
          <w14:textFill>
            <w14:solidFill>
              <w14:schemeClr w14:val="tx1"/>
            </w14:solidFill>
          </w14:textFill>
        </w:rPr>
        <w:fldChar w:fldCharType="end"/>
      </w:r>
      <w:r>
        <w:rPr>
          <w:rStyle w:val="60"/>
          <w:color w:val="000000" w:themeColor="text1"/>
          <w:highlight w:val="none"/>
          <w14:textFill>
            <w14:solidFill>
              <w14:schemeClr w14:val="tx1"/>
            </w14:solidFill>
          </w14:textFill>
        </w:rPr>
        <w:fldChar w:fldCharType="end"/>
      </w:r>
    </w:p>
    <w:p w14:paraId="0F4140C8">
      <w:pPr>
        <w:spacing w:before="120" w:beforeLines="50" w:line="480" w:lineRule="exact"/>
        <w:rPr>
          <w:rFonts w:hint="eastAsia" w:ascii="仿宋_GB2312" w:hAnsi="宋体" w:eastAsia="仿宋_GB2312"/>
          <w:color w:val="000000" w:themeColor="text1"/>
          <w:sz w:val="24"/>
          <w:highlight w:val="none"/>
          <w14:textFill>
            <w14:solidFill>
              <w14:schemeClr w14:val="tx1"/>
            </w14:solidFill>
          </w14:textFill>
        </w:rPr>
      </w:pPr>
      <w:r>
        <w:rPr>
          <w:rFonts w:ascii="仿宋_GB2312" w:hAnsi="宋体" w:eastAsia="仿宋_GB2312"/>
          <w:b/>
          <w:color w:val="000000" w:themeColor="text1"/>
          <w:sz w:val="24"/>
          <w:highlight w:val="none"/>
          <w14:textFill>
            <w14:solidFill>
              <w14:schemeClr w14:val="tx1"/>
            </w14:solidFill>
          </w14:textFill>
        </w:rPr>
        <w:fldChar w:fldCharType="end"/>
      </w:r>
    </w:p>
    <w:p w14:paraId="4CC55858">
      <w:pPr>
        <w:spacing w:before="120" w:beforeLines="50" w:line="480" w:lineRule="exact"/>
        <w:rPr>
          <w:rFonts w:hint="eastAsia" w:ascii="仿宋_GB2312" w:hAnsi="宋体" w:eastAsia="仿宋_GB2312"/>
          <w:color w:val="000000" w:themeColor="text1"/>
          <w:sz w:val="30"/>
          <w:highlight w:val="none"/>
          <w14:textFill>
            <w14:solidFill>
              <w14:schemeClr w14:val="tx1"/>
            </w14:solidFill>
          </w14:textFill>
        </w:rPr>
      </w:pPr>
    </w:p>
    <w:p w14:paraId="4192A5A0">
      <w:pPr>
        <w:rPr>
          <w:rFonts w:hint="eastAsia"/>
          <w:color w:val="000000" w:themeColor="text1"/>
          <w:highlight w:val="none"/>
          <w14:textFill>
            <w14:solidFill>
              <w14:schemeClr w14:val="tx1"/>
            </w14:solidFill>
          </w14:textFill>
        </w:rPr>
      </w:pPr>
    </w:p>
    <w:p w14:paraId="5526AA34">
      <w:pPr>
        <w:spacing w:before="120" w:beforeLines="50" w:line="480" w:lineRule="exact"/>
        <w:rPr>
          <w:rFonts w:hint="eastAsia" w:ascii="仿宋_GB2312" w:hAnsi="宋体" w:eastAsia="仿宋_GB2312"/>
          <w:color w:val="000000" w:themeColor="text1"/>
          <w:sz w:val="30"/>
          <w:highlight w:val="none"/>
          <w14:textFill>
            <w14:solidFill>
              <w14:schemeClr w14:val="tx1"/>
            </w14:solidFill>
          </w14:textFill>
        </w:rPr>
      </w:pPr>
      <w:bookmarkStart w:id="157" w:name="_GoBack"/>
      <w:bookmarkEnd w:id="157"/>
    </w:p>
    <w:p w14:paraId="5EF7049E">
      <w:pPr>
        <w:spacing w:before="120" w:beforeLines="50" w:line="480" w:lineRule="exact"/>
        <w:rPr>
          <w:rFonts w:hint="eastAsia" w:ascii="仿宋_GB2312" w:hAnsi="宋体" w:eastAsia="仿宋_GB2312"/>
          <w:color w:val="000000" w:themeColor="text1"/>
          <w:sz w:val="30"/>
          <w:highlight w:val="none"/>
          <w14:textFill>
            <w14:solidFill>
              <w14:schemeClr w14:val="tx1"/>
            </w14:solidFill>
          </w14:textFill>
        </w:rPr>
      </w:pPr>
    </w:p>
    <w:p w14:paraId="13F26C35">
      <w:pPr>
        <w:pStyle w:val="19"/>
        <w:rPr>
          <w:rFonts w:hint="eastAsia" w:ascii="宋体" w:hAnsi="宋体" w:cs="宋体"/>
          <w:b/>
          <w:bCs/>
          <w:color w:val="000000" w:themeColor="text1"/>
          <w:highlight w:val="none"/>
          <w14:textFill>
            <w14:solidFill>
              <w14:schemeClr w14:val="tx1"/>
            </w14:solidFill>
          </w14:textFill>
        </w:rPr>
      </w:pPr>
      <w:bookmarkStart w:id="4" w:name="_Toc254970489"/>
      <w:bookmarkStart w:id="5" w:name="_Toc254970630"/>
    </w:p>
    <w:p w14:paraId="6CCD50A3">
      <w:pPr>
        <w:pStyle w:val="4"/>
        <w:keepNext w:val="0"/>
        <w:keepLines w:val="0"/>
        <w:tabs>
          <w:tab w:val="left" w:pos="0"/>
          <w:tab w:val="left" w:pos="3165"/>
          <w:tab w:val="center" w:pos="4153"/>
        </w:tabs>
        <w:autoSpaceDE w:val="0"/>
        <w:autoSpaceDN w:val="0"/>
        <w:adjustRightInd w:val="0"/>
        <w:spacing w:before="0" w:after="0" w:line="360" w:lineRule="auto"/>
        <w:jc w:val="center"/>
        <w:rPr>
          <w:rFonts w:hint="eastAsia"/>
          <w:color w:val="000000" w:themeColor="text1"/>
          <w:highlight w:val="none"/>
          <w14:textFill>
            <w14:solidFill>
              <w14:schemeClr w14:val="tx1"/>
            </w14:solidFill>
          </w14:textFill>
        </w:rPr>
      </w:pPr>
      <w:r>
        <w:rPr>
          <w:rFonts w:ascii="宋体" w:hAnsi="宋体" w:cs="宋体"/>
          <w:b w:val="0"/>
          <w:bCs w:val="0"/>
          <w:color w:val="000000" w:themeColor="text1"/>
          <w:highlight w:val="none"/>
          <w14:textFill>
            <w14:solidFill>
              <w14:schemeClr w14:val="tx1"/>
            </w14:solidFill>
          </w14:textFill>
        </w:rPr>
        <w:br w:type="page"/>
      </w:r>
      <w:bookmarkStart w:id="6" w:name="_Toc74320800"/>
      <w:r>
        <w:rPr>
          <w:rFonts w:hint="eastAsia"/>
          <w:color w:val="000000" w:themeColor="text1"/>
          <w:highlight w:val="none"/>
          <w14:textFill>
            <w14:solidFill>
              <w14:schemeClr w14:val="tx1"/>
            </w14:solidFill>
          </w14:textFill>
        </w:rPr>
        <w:t>第一章</w:t>
      </w:r>
      <w:bookmarkEnd w:id="4"/>
      <w:bookmarkEnd w:id="5"/>
      <w:bookmarkStart w:id="7" w:name="_Toc35393789"/>
      <w:bookmarkStart w:id="8" w:name="_Toc28359001"/>
      <w:r>
        <w:rPr>
          <w:rFonts w:hint="eastAsia"/>
          <w:color w:val="000000" w:themeColor="text1"/>
          <w:highlight w:val="none"/>
          <w14:textFill>
            <w14:solidFill>
              <w14:schemeClr w14:val="tx1"/>
            </w14:solidFill>
          </w14:textFill>
        </w:rPr>
        <w:t xml:space="preserve"> 招标公告</w:t>
      </w:r>
      <w:bookmarkEnd w:id="6"/>
      <w:bookmarkEnd w:id="7"/>
      <w:bookmarkEnd w:id="8"/>
    </w:p>
    <w:p w14:paraId="579185E5">
      <w:pPr>
        <w:spacing w:line="360" w:lineRule="auto"/>
        <w:rPr>
          <w:rFonts w:ascii="宋体" w:hAnsi="宋体"/>
          <w:color w:val="000000" w:themeColor="text1"/>
          <w:szCs w:val="21"/>
          <w:highlight w:val="none"/>
          <w14:textFill>
            <w14:solidFill>
              <w14:schemeClr w14:val="tx1"/>
            </w14:solidFill>
          </w14:textFill>
        </w:rPr>
      </w:pPr>
    </w:p>
    <w:p w14:paraId="02DE2379">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480" w:lineRule="exact"/>
        <w:ind w:firstLine="420" w:firstLineChars="2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项目概况</w:t>
      </w:r>
    </w:p>
    <w:p w14:paraId="435F2C09">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480" w:lineRule="exact"/>
        <w:ind w:firstLine="420" w:firstLineChars="200"/>
        <w:textAlignment w:val="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lang w:eastAsia="zh-CN"/>
          <w14:textFill>
            <w14:solidFill>
              <w14:schemeClr w14:val="tx1"/>
            </w14:solidFill>
          </w14:textFill>
        </w:rPr>
        <w:t xml:space="preserve"> 钦州市第二人民医院高清电子鼻咽喉镜等医疗设备采购</w:t>
      </w:r>
      <w:r>
        <w:rPr>
          <w:rFonts w:hint="eastAsia" w:ascii="宋体" w:hAnsi="宋体"/>
          <w:color w:val="000000" w:themeColor="text1"/>
          <w:szCs w:val="21"/>
          <w:highlight w:val="none"/>
          <w14:textFill>
            <w14:solidFill>
              <w14:schemeClr w14:val="tx1"/>
            </w14:solidFill>
          </w14:textFill>
        </w:rPr>
        <w:t xml:space="preserve"> 招标项目的潜在投标人应在广西政府采购云平台（</w:t>
      </w:r>
      <w:r>
        <w:rPr>
          <w:rFonts w:hint="eastAsia" w:ascii="宋体" w:hAnsi="宋体"/>
          <w:bCs/>
          <w:color w:val="000000" w:themeColor="text1"/>
          <w:szCs w:val="21"/>
          <w:highlight w:val="none"/>
          <w:lang w:eastAsia="zh-CN"/>
          <w14:textFill>
            <w14:solidFill>
              <w14:schemeClr w14:val="tx1"/>
            </w14:solidFill>
          </w14:textFill>
        </w:rPr>
        <w:t>https://www.gcy.zfcg.gxzf.gov.cn/</w:t>
      </w:r>
      <w:r>
        <w:rPr>
          <w:rFonts w:hint="eastAsia" w:ascii="宋体" w:hAnsi="宋体"/>
          <w:color w:val="000000" w:themeColor="text1"/>
          <w:szCs w:val="21"/>
          <w:highlight w:val="none"/>
          <w14:textFill>
            <w14:solidFill>
              <w14:schemeClr w14:val="tx1"/>
            </w14:solidFill>
          </w14:textFill>
        </w:rPr>
        <w:t>）获取（下载）招标文件，并于</w:t>
      </w:r>
      <w:r>
        <w:rPr>
          <w:rFonts w:hint="eastAsia" w:ascii="宋体" w:hAnsi="宋体"/>
          <w:color w:val="000000" w:themeColor="text1"/>
          <w:szCs w:val="21"/>
          <w:highlight w:val="none"/>
          <w:u w:val="single"/>
          <w14:textFill>
            <w14:solidFill>
              <w14:schemeClr w14:val="tx1"/>
            </w14:solidFill>
          </w14:textFill>
        </w:rPr>
        <w:t>202</w:t>
      </w:r>
      <w:r>
        <w:rPr>
          <w:rFonts w:hint="eastAsia" w:ascii="宋体" w:hAnsi="宋体"/>
          <w:color w:val="000000" w:themeColor="text1"/>
          <w:szCs w:val="21"/>
          <w:highlight w:val="none"/>
          <w:u w:val="single"/>
          <w:lang w:val="en-US" w:eastAsia="zh-CN"/>
          <w14:textFill>
            <w14:solidFill>
              <w14:schemeClr w14:val="tx1"/>
            </w14:solidFill>
          </w14:textFill>
        </w:rPr>
        <w:t>6</w:t>
      </w:r>
      <w:r>
        <w:rPr>
          <w:rFonts w:hint="eastAsia" w:ascii="宋体" w:hAnsi="宋体"/>
          <w:bCs/>
          <w:color w:val="000000" w:themeColor="text1"/>
          <w:szCs w:val="21"/>
          <w:highlight w:val="none"/>
          <w:u w:val="single"/>
          <w14:textFill>
            <w14:solidFill>
              <w14:schemeClr w14:val="tx1"/>
            </w14:solidFill>
          </w14:textFill>
        </w:rPr>
        <w:t>年</w:t>
      </w:r>
      <w:r>
        <w:rPr>
          <w:rFonts w:hint="eastAsia" w:ascii="宋体" w:hAnsi="宋体"/>
          <w:bCs/>
          <w:color w:val="000000" w:themeColor="text1"/>
          <w:szCs w:val="21"/>
          <w:highlight w:val="none"/>
          <w:u w:val="single"/>
          <w:lang w:val="en-US" w:eastAsia="zh-CN"/>
          <w14:textFill>
            <w14:solidFill>
              <w14:schemeClr w14:val="tx1"/>
            </w14:solidFill>
          </w14:textFill>
        </w:rPr>
        <w:t>3</w:t>
      </w:r>
      <w:r>
        <w:rPr>
          <w:rFonts w:hint="eastAsia" w:ascii="宋体" w:hAnsi="宋体"/>
          <w:bCs/>
          <w:color w:val="000000" w:themeColor="text1"/>
          <w:szCs w:val="21"/>
          <w:highlight w:val="none"/>
          <w:u w:val="single"/>
          <w14:textFill>
            <w14:solidFill>
              <w14:schemeClr w14:val="tx1"/>
            </w14:solidFill>
          </w14:textFill>
        </w:rPr>
        <w:t>月</w:t>
      </w:r>
      <w:r>
        <w:rPr>
          <w:rFonts w:hint="eastAsia" w:ascii="宋体" w:hAnsi="宋体"/>
          <w:bCs/>
          <w:color w:val="000000" w:themeColor="text1"/>
          <w:szCs w:val="21"/>
          <w:highlight w:val="none"/>
          <w:u w:val="single"/>
          <w:lang w:val="en-US" w:eastAsia="zh-CN"/>
          <w14:textFill>
            <w14:solidFill>
              <w14:schemeClr w14:val="tx1"/>
            </w14:solidFill>
          </w14:textFill>
        </w:rPr>
        <w:t>30</w:t>
      </w:r>
      <w:r>
        <w:rPr>
          <w:rFonts w:hint="eastAsia" w:ascii="宋体" w:hAnsi="宋体"/>
          <w:bCs/>
          <w:color w:val="000000" w:themeColor="text1"/>
          <w:szCs w:val="21"/>
          <w:highlight w:val="none"/>
          <w:u w:val="single"/>
          <w14:textFill>
            <w14:solidFill>
              <w14:schemeClr w14:val="tx1"/>
            </w14:solidFill>
          </w14:textFill>
        </w:rPr>
        <w:t>日</w:t>
      </w:r>
      <w:r>
        <w:rPr>
          <w:rFonts w:hint="eastAsia" w:ascii="宋体" w:hAnsi="宋体"/>
          <w:bCs/>
          <w:color w:val="000000" w:themeColor="text1"/>
          <w:szCs w:val="21"/>
          <w:highlight w:val="none"/>
          <w:u w:val="single"/>
          <w:lang w:val="en-US" w:eastAsia="zh-CN"/>
          <w14:textFill>
            <w14:solidFill>
              <w14:schemeClr w14:val="tx1"/>
            </w14:solidFill>
          </w14:textFill>
        </w:rPr>
        <w:t>9</w:t>
      </w:r>
      <w:r>
        <w:rPr>
          <w:rFonts w:hint="eastAsia" w:ascii="宋体" w:hAnsi="宋体"/>
          <w:bCs/>
          <w:color w:val="000000" w:themeColor="text1"/>
          <w:szCs w:val="21"/>
          <w:highlight w:val="none"/>
          <w:u w:val="single"/>
          <w14:textFill>
            <w14:solidFill>
              <w14:schemeClr w14:val="tx1"/>
            </w14:solidFill>
          </w14:textFill>
        </w:rPr>
        <w:t>时</w:t>
      </w:r>
      <w:r>
        <w:rPr>
          <w:rFonts w:hint="eastAsia" w:ascii="宋体" w:hAnsi="宋体"/>
          <w:bCs/>
          <w:color w:val="000000" w:themeColor="text1"/>
          <w:szCs w:val="21"/>
          <w:highlight w:val="none"/>
          <w:u w:val="single"/>
          <w:lang w:val="en-US" w:eastAsia="zh-CN"/>
          <w14:textFill>
            <w14:solidFill>
              <w14:schemeClr w14:val="tx1"/>
            </w14:solidFill>
          </w14:textFill>
        </w:rPr>
        <w:t>30</w:t>
      </w:r>
      <w:r>
        <w:rPr>
          <w:rFonts w:hint="eastAsia" w:ascii="宋体" w:hAnsi="宋体"/>
          <w:bCs/>
          <w:color w:val="000000" w:themeColor="text1"/>
          <w:szCs w:val="21"/>
          <w:highlight w:val="none"/>
          <w:u w:val="single"/>
          <w14:textFill>
            <w14:solidFill>
              <w14:schemeClr w14:val="tx1"/>
            </w14:solidFill>
          </w14:textFill>
        </w:rPr>
        <w:t>分（</w:t>
      </w:r>
      <w:r>
        <w:rPr>
          <w:rFonts w:hint="eastAsia" w:ascii="宋体" w:hAnsi="宋体"/>
          <w:bCs/>
          <w:color w:val="000000" w:themeColor="text1"/>
          <w:szCs w:val="21"/>
          <w:highlight w:val="none"/>
          <w14:textFill>
            <w14:solidFill>
              <w14:schemeClr w14:val="tx1"/>
            </w14:solidFill>
          </w14:textFill>
        </w:rPr>
        <w:t>北京时间）前按要求递交（上传）投标</w:t>
      </w:r>
      <w:r>
        <w:rPr>
          <w:rFonts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w:t>
      </w:r>
    </w:p>
    <w:p w14:paraId="491FA1C4">
      <w:pPr>
        <w:keepNext w:val="0"/>
        <w:keepLines w:val="0"/>
        <w:pageBreakBefore w:val="0"/>
        <w:kinsoku/>
        <w:wordWrap/>
        <w:overflowPunct/>
        <w:topLinePunct w:val="0"/>
        <w:autoSpaceDE/>
        <w:autoSpaceDN/>
        <w:bidi w:val="0"/>
        <w:adjustRightInd/>
        <w:spacing w:line="480" w:lineRule="exact"/>
        <w:textAlignment w:val="auto"/>
        <w:rPr>
          <w:rFonts w:ascii="黑体" w:hAnsi="黑体" w:eastAsia="黑体"/>
          <w:b/>
          <w:bCs/>
          <w:color w:val="000000" w:themeColor="text1"/>
          <w:sz w:val="24"/>
          <w:highlight w:val="none"/>
          <w14:textFill>
            <w14:solidFill>
              <w14:schemeClr w14:val="tx1"/>
            </w14:solidFill>
          </w14:textFill>
        </w:rPr>
      </w:pPr>
      <w:bookmarkStart w:id="9" w:name="_Toc35393790"/>
      <w:bookmarkStart w:id="10" w:name="_Toc28359079"/>
      <w:bookmarkStart w:id="11" w:name="_Toc35393621"/>
      <w:bookmarkStart w:id="12" w:name="_Toc28359002"/>
      <w:bookmarkStart w:id="13" w:name="_Hlk24379207"/>
      <w:r>
        <w:rPr>
          <w:rFonts w:hint="eastAsia" w:ascii="黑体" w:hAnsi="黑体" w:eastAsia="黑体"/>
          <w:b/>
          <w:bCs/>
          <w:color w:val="000000" w:themeColor="text1"/>
          <w:sz w:val="24"/>
          <w:highlight w:val="none"/>
          <w14:textFill>
            <w14:solidFill>
              <w14:schemeClr w14:val="tx1"/>
            </w14:solidFill>
          </w14:textFill>
        </w:rPr>
        <w:t>一、项目基本情况</w:t>
      </w:r>
      <w:bookmarkEnd w:id="9"/>
      <w:bookmarkEnd w:id="10"/>
      <w:bookmarkEnd w:id="11"/>
      <w:bookmarkEnd w:id="12"/>
    </w:p>
    <w:p w14:paraId="1214C385">
      <w:pPr>
        <w:keepNext w:val="0"/>
        <w:keepLines w:val="0"/>
        <w:pageBreakBefore w:val="0"/>
        <w:kinsoku/>
        <w:wordWrap/>
        <w:overflowPunct/>
        <w:topLinePunct w:val="0"/>
        <w:autoSpaceDE/>
        <w:autoSpaceDN/>
        <w:bidi w:val="0"/>
        <w:adjustRightInd/>
        <w:spacing w:line="480" w:lineRule="exact"/>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项目编号：QZZC2026-G1-990056-YZLZ</w:t>
      </w:r>
    </w:p>
    <w:p w14:paraId="12977854">
      <w:pPr>
        <w:keepNext w:val="0"/>
        <w:keepLines w:val="0"/>
        <w:pageBreakBefore w:val="0"/>
        <w:kinsoku/>
        <w:wordWrap/>
        <w:overflowPunct/>
        <w:topLinePunct w:val="0"/>
        <w:autoSpaceDE/>
        <w:autoSpaceDN/>
        <w:bidi w:val="0"/>
        <w:adjustRightInd/>
        <w:spacing w:line="480" w:lineRule="exact"/>
        <w:ind w:firstLine="420" w:firstLineChars="2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color w:val="000000" w:themeColor="text1"/>
          <w:szCs w:val="21"/>
          <w:highlight w:val="none"/>
          <w:lang w:eastAsia="zh-CN"/>
          <w14:textFill>
            <w14:solidFill>
              <w14:schemeClr w14:val="tx1"/>
            </w14:solidFill>
          </w14:textFill>
        </w:rPr>
        <w:t xml:space="preserve"> 钦州市第二人民医院高清电子鼻咽喉镜等医疗设备采购</w:t>
      </w:r>
    </w:p>
    <w:bookmarkEnd w:id="13"/>
    <w:p w14:paraId="54D1D68D">
      <w:pPr>
        <w:spacing w:line="360" w:lineRule="auto"/>
        <w:ind w:firstLine="420" w:firstLineChars="200"/>
        <w:rPr>
          <w:rFonts w:hint="eastAsia" w:ascii="宋体" w:hAnsi="宋体"/>
          <w:color w:val="000000" w:themeColor="text1"/>
          <w:szCs w:val="2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预算总金额（元）</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人民币伍佰壹拾叁万元整（¥5130000.00）</w:t>
      </w:r>
    </w:p>
    <w:p w14:paraId="5D688907">
      <w:pPr>
        <w:spacing w:line="360" w:lineRule="auto"/>
        <w:ind w:firstLine="420" w:firstLineChars="20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其中：1分标：人民币贰佰陆拾肆万元整（¥2640000.00）</w:t>
      </w:r>
    </w:p>
    <w:p w14:paraId="3D8884A6">
      <w:pPr>
        <w:spacing w:line="360" w:lineRule="auto"/>
        <w:ind w:firstLine="420" w:firstLineChars="20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2分标：人民币贰佰肆拾玖万元整（¥2490000.00）</w:t>
      </w:r>
    </w:p>
    <w:p w14:paraId="40E2117C">
      <w:pPr>
        <w:spacing w:line="360" w:lineRule="auto"/>
        <w:ind w:firstLine="420" w:firstLineChars="20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最高限价（如有）：</w:t>
      </w:r>
      <w:r>
        <w:rPr>
          <w:rFonts w:hint="eastAsia" w:ascii="宋体" w:hAnsi="宋体"/>
          <w:color w:val="000000" w:themeColor="text1"/>
          <w:szCs w:val="21"/>
          <w:highlight w:val="none"/>
          <w:lang w:val="en-US" w:eastAsia="zh-CN"/>
          <w14:textFill>
            <w14:solidFill>
              <w14:schemeClr w14:val="tx1"/>
            </w14:solidFill>
          </w14:textFill>
        </w:rPr>
        <w:t>人民币肆佰柒拾柒万肆仟肆佰元整（¥4774400.00）</w:t>
      </w:r>
    </w:p>
    <w:p w14:paraId="63199F00">
      <w:pPr>
        <w:spacing w:line="360" w:lineRule="auto"/>
        <w:ind w:firstLine="420" w:firstLineChars="20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其中：1分标：人民币贰佰伍拾万零陆仟元整（¥2506000.00）</w:t>
      </w:r>
    </w:p>
    <w:p w14:paraId="7E1D515C">
      <w:pPr>
        <w:spacing w:line="360" w:lineRule="auto"/>
        <w:ind w:firstLine="420" w:firstLineChars="20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2分标：人民币贰佰贰拾陆万捌仟肆佰元整（¥2268400.00）</w:t>
      </w:r>
    </w:p>
    <w:p w14:paraId="4E0BC7F5">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采购需求：</w:t>
      </w:r>
    </w:p>
    <w:p w14:paraId="79EE27DE">
      <w:pPr>
        <w:pStyle w:val="2"/>
        <w:rPr>
          <w:rFonts w:hint="default" w:eastAsia="宋体"/>
          <w:color w:val="000000" w:themeColor="text1"/>
          <w:sz w:val="21"/>
          <w:szCs w:val="21"/>
          <w:highlight w:val="none"/>
          <w:lang w:val="en-US" w:eastAsia="zh-CN"/>
          <w14:textFill>
            <w14:solidFill>
              <w14:schemeClr w14:val="tx1"/>
            </w14:solidFill>
          </w14:textFill>
        </w:rPr>
      </w:pPr>
      <w:r>
        <w:rPr>
          <w:rFonts w:hint="eastAsia" w:ascii="宋体" w:hAnsi="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Times New Roman"/>
          <w:bCs w:val="0"/>
          <w:color w:val="000000" w:themeColor="text1"/>
          <w:spacing w:val="0"/>
          <w:kern w:val="2"/>
          <w:sz w:val="21"/>
          <w:szCs w:val="21"/>
          <w:highlight w:val="none"/>
          <w:lang w:val="en-US" w:eastAsia="zh-CN" w:bidi="ar-SA"/>
          <w14:textFill>
            <w14:solidFill>
              <w14:schemeClr w14:val="tx1"/>
            </w14:solidFill>
          </w14:textFill>
        </w:rPr>
        <w:t xml:space="preserve"> 1分标：</w:t>
      </w:r>
    </w:p>
    <w:tbl>
      <w:tblPr>
        <w:tblStyle w:val="125"/>
        <w:tblW w:w="87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5"/>
        <w:gridCol w:w="1281"/>
        <w:gridCol w:w="936"/>
        <w:gridCol w:w="6121"/>
      </w:tblGrid>
      <w:tr w14:paraId="0B6881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55" w:type="dxa"/>
            <w:vAlign w:val="center"/>
          </w:tcPr>
          <w:p w14:paraId="0510BC19">
            <w:pPr>
              <w:widowControl/>
              <w:kinsoku w:val="0"/>
              <w:autoSpaceDE w:val="0"/>
              <w:autoSpaceDN w:val="0"/>
              <w:adjustRightInd w:val="0"/>
              <w:snapToGrid w:val="0"/>
              <w:spacing w:before="292" w:line="360" w:lineRule="auto"/>
              <w:jc w:val="center"/>
              <w:textAlignment w:val="baseline"/>
              <w:rPr>
                <w:rFonts w:ascii="宋体" w:hAnsi="宋体" w:cs="Arial" w:eastAsiaTheme="minorEastAsia"/>
                <w:color w:val="000000" w:themeColor="text1"/>
                <w:sz w:val="21"/>
                <w:szCs w:val="21"/>
                <w:highlight w:val="none"/>
                <w14:textFill>
                  <w14:solidFill>
                    <w14:schemeClr w14:val="tx1"/>
                  </w14:solidFill>
                </w14:textFill>
              </w:rPr>
            </w:pPr>
            <w:r>
              <w:rPr>
                <w:rFonts w:ascii="宋体" w:hAnsi="宋体" w:cs="Arial" w:eastAsiaTheme="minorEastAsia"/>
                <w:color w:val="000000" w:themeColor="text1"/>
                <w:sz w:val="21"/>
                <w:szCs w:val="21"/>
                <w:highlight w:val="none"/>
                <w14:textFill>
                  <w14:solidFill>
                    <w14:schemeClr w14:val="tx1"/>
                  </w14:solidFill>
                </w14:textFill>
              </w:rPr>
              <w:t>序号</w:t>
            </w:r>
          </w:p>
        </w:tc>
        <w:tc>
          <w:tcPr>
            <w:tcW w:w="1281" w:type="dxa"/>
            <w:vAlign w:val="center"/>
          </w:tcPr>
          <w:p w14:paraId="37C400D6">
            <w:pPr>
              <w:widowControl/>
              <w:kinsoku w:val="0"/>
              <w:autoSpaceDE w:val="0"/>
              <w:autoSpaceDN w:val="0"/>
              <w:adjustRightInd w:val="0"/>
              <w:snapToGrid w:val="0"/>
              <w:spacing w:before="292" w:line="360" w:lineRule="auto"/>
              <w:jc w:val="center"/>
              <w:textAlignment w:val="baseline"/>
              <w:rPr>
                <w:rFonts w:ascii="宋体" w:hAnsi="宋体" w:cs="Arial" w:eastAsiaTheme="minorEastAsia"/>
                <w:color w:val="000000" w:themeColor="text1"/>
                <w:sz w:val="21"/>
                <w:szCs w:val="21"/>
                <w:highlight w:val="none"/>
                <w14:textFill>
                  <w14:solidFill>
                    <w14:schemeClr w14:val="tx1"/>
                  </w14:solidFill>
                </w14:textFill>
              </w:rPr>
            </w:pPr>
            <w:r>
              <w:rPr>
                <w:rFonts w:ascii="宋体" w:hAnsi="宋体" w:cs="Arial" w:eastAsiaTheme="minorEastAsia"/>
                <w:color w:val="000000" w:themeColor="text1"/>
                <w:sz w:val="21"/>
                <w:szCs w:val="21"/>
                <w:highlight w:val="none"/>
                <w14:textFill>
                  <w14:solidFill>
                    <w14:schemeClr w14:val="tx1"/>
                  </w14:solidFill>
                </w14:textFill>
              </w:rPr>
              <w:t>标的名称</w:t>
            </w:r>
          </w:p>
        </w:tc>
        <w:tc>
          <w:tcPr>
            <w:tcW w:w="936" w:type="dxa"/>
            <w:vAlign w:val="center"/>
          </w:tcPr>
          <w:p w14:paraId="09FD6908">
            <w:pPr>
              <w:widowControl/>
              <w:kinsoku w:val="0"/>
              <w:autoSpaceDE w:val="0"/>
              <w:autoSpaceDN w:val="0"/>
              <w:adjustRightInd w:val="0"/>
              <w:snapToGrid w:val="0"/>
              <w:spacing w:before="112" w:line="360" w:lineRule="auto"/>
              <w:jc w:val="center"/>
              <w:textAlignment w:val="baseline"/>
              <w:rPr>
                <w:rFonts w:ascii="宋体" w:hAnsi="宋体" w:cs="Arial" w:eastAsiaTheme="minorEastAsia"/>
                <w:color w:val="000000" w:themeColor="text1"/>
                <w:sz w:val="21"/>
                <w:szCs w:val="21"/>
                <w:highlight w:val="none"/>
                <w14:textFill>
                  <w14:solidFill>
                    <w14:schemeClr w14:val="tx1"/>
                  </w14:solidFill>
                </w14:textFill>
              </w:rPr>
            </w:pPr>
            <w:r>
              <w:rPr>
                <w:rFonts w:ascii="宋体" w:hAnsi="宋体" w:cs="Arial" w:eastAsiaTheme="minorEastAsia"/>
                <w:color w:val="000000" w:themeColor="text1"/>
                <w:sz w:val="21"/>
                <w:szCs w:val="21"/>
                <w:highlight w:val="none"/>
                <w14:textFill>
                  <w14:solidFill>
                    <w14:schemeClr w14:val="tx1"/>
                  </w14:solidFill>
                </w14:textFill>
              </w:rPr>
              <w:t>数量及单位</w:t>
            </w:r>
          </w:p>
        </w:tc>
        <w:tc>
          <w:tcPr>
            <w:tcW w:w="6121" w:type="dxa"/>
            <w:vAlign w:val="center"/>
          </w:tcPr>
          <w:p w14:paraId="34A9C04A">
            <w:pPr>
              <w:widowControl/>
              <w:kinsoku w:val="0"/>
              <w:autoSpaceDE w:val="0"/>
              <w:autoSpaceDN w:val="0"/>
              <w:adjustRightInd w:val="0"/>
              <w:snapToGrid w:val="0"/>
              <w:spacing w:before="292" w:line="360" w:lineRule="auto"/>
              <w:jc w:val="center"/>
              <w:textAlignment w:val="baseline"/>
              <w:rPr>
                <w:rFonts w:ascii="宋体" w:hAnsi="宋体" w:cs="Arial" w:eastAsiaTheme="minorEastAsia"/>
                <w:color w:val="000000" w:themeColor="text1"/>
                <w:sz w:val="21"/>
                <w:szCs w:val="21"/>
                <w:highlight w:val="none"/>
                <w14:textFill>
                  <w14:solidFill>
                    <w14:schemeClr w14:val="tx1"/>
                  </w14:solidFill>
                </w14:textFill>
              </w:rPr>
            </w:pPr>
            <w:r>
              <w:rPr>
                <w:rFonts w:ascii="宋体" w:hAnsi="宋体" w:cs="Arial" w:eastAsiaTheme="minorEastAsia"/>
                <w:color w:val="000000" w:themeColor="text1"/>
                <w:sz w:val="21"/>
                <w:szCs w:val="21"/>
                <w:highlight w:val="none"/>
                <w14:textFill>
                  <w14:solidFill>
                    <w14:schemeClr w14:val="tx1"/>
                  </w14:solidFill>
                </w14:textFill>
              </w:rPr>
              <w:t>简要技术需求或者服务要求</w:t>
            </w:r>
          </w:p>
        </w:tc>
      </w:tr>
      <w:tr w14:paraId="38E899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3" w:hRule="atLeast"/>
        </w:trPr>
        <w:tc>
          <w:tcPr>
            <w:tcW w:w="455" w:type="dxa"/>
            <w:vAlign w:val="center"/>
          </w:tcPr>
          <w:p w14:paraId="2020E7B4">
            <w:pPr>
              <w:pageBreakBefore w:val="0"/>
              <w:kinsoku/>
              <w:overflowPunct/>
              <w:topLinePunct w:val="0"/>
              <w:bidi w:val="0"/>
              <w:spacing w:line="440" w:lineRule="exact"/>
              <w:jc w:val="center"/>
              <w:rPr>
                <w:rFonts w:ascii="宋体" w:hAnsi="宋体" w:cs="Arial"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1</w:t>
            </w:r>
          </w:p>
        </w:tc>
        <w:tc>
          <w:tcPr>
            <w:tcW w:w="1281" w:type="dxa"/>
            <w:vAlign w:val="center"/>
          </w:tcPr>
          <w:p w14:paraId="21D5B88A">
            <w:pPr>
              <w:pageBreakBefore w:val="0"/>
              <w:kinsoku/>
              <w:overflowPunct/>
              <w:topLinePunct w:val="0"/>
              <w:bidi w:val="0"/>
              <w:spacing w:line="440" w:lineRule="exact"/>
              <w:jc w:val="center"/>
              <w:rPr>
                <w:rFonts w:hint="default" w:ascii="宋体" w:hAnsi="宋体" w:cs="Arial"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position w:val="0"/>
                <w:sz w:val="21"/>
                <w:szCs w:val="21"/>
                <w:highlight w:val="none"/>
                <w:shd w:val="clear" w:fill="auto"/>
                <w:lang w:val="en-US" w:eastAsia="zh-CN"/>
                <w14:textFill>
                  <w14:solidFill>
                    <w14:schemeClr w14:val="tx1"/>
                  </w14:solidFill>
                </w14:textFill>
              </w:rPr>
              <w:t>0°鼻内镜</w:t>
            </w:r>
          </w:p>
        </w:tc>
        <w:tc>
          <w:tcPr>
            <w:tcW w:w="936" w:type="dxa"/>
            <w:vAlign w:val="center"/>
          </w:tcPr>
          <w:p w14:paraId="26082755">
            <w:pPr>
              <w:pageBreakBefore w:val="0"/>
              <w:kinsoku/>
              <w:overflowPunct/>
              <w:topLinePunct w:val="0"/>
              <w:bidi w:val="0"/>
              <w:spacing w:line="440" w:lineRule="exact"/>
              <w:jc w:val="center"/>
              <w:rPr>
                <w:rFonts w:hint="default" w:ascii="宋体" w:hAnsi="宋体" w:cs="Arial"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4台</w:t>
            </w:r>
          </w:p>
        </w:tc>
        <w:tc>
          <w:tcPr>
            <w:tcW w:w="6121" w:type="dxa"/>
            <w:vAlign w:val="center"/>
          </w:tcPr>
          <w:p w14:paraId="2C4E176D">
            <w:pPr>
              <w:pageBreakBefore w:val="0"/>
              <w:kinsoku/>
              <w:overflowPunct/>
              <w:topLinePunct w:val="0"/>
              <w:bidi w:val="0"/>
              <w:spacing w:line="44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插入部最大外径（内窥镜）：Φ4mm</w:t>
            </w:r>
          </w:p>
          <w:p w14:paraId="220DCE3B">
            <w:pPr>
              <w:pageBreakBefore w:val="0"/>
              <w:kinsoku/>
              <w:overflowPunct/>
              <w:topLinePunct w:val="0"/>
              <w:bidi w:val="0"/>
              <w:spacing w:line="440" w:lineRule="exact"/>
              <w:rPr>
                <w:rFonts w:ascii="宋体" w:hAnsi="宋体" w:cs="Arial"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内窥镜工作长度：≥175mm </w:t>
            </w:r>
            <w:r>
              <w:rPr>
                <w:rFonts w:hint="eastAsia" w:ascii="Arial" w:hAnsi="Arial" w:cs="宋体" w:eastAsiaTheme="minorEastAsia"/>
                <w:color w:val="000000" w:themeColor="text1"/>
                <w:sz w:val="21"/>
                <w:szCs w:val="21"/>
                <w:highlight w:val="none"/>
                <w:lang w:val="en-US" w:eastAsia="zh-CN"/>
                <w14:textFill>
                  <w14:solidFill>
                    <w14:schemeClr w14:val="tx1"/>
                  </w14:solidFill>
                </w14:textFill>
              </w:rPr>
              <w:t>.......</w:t>
            </w:r>
            <w:r>
              <w:rPr>
                <w:rFonts w:hint="eastAsia" w:ascii="Arial" w:hAnsi="Arial" w:cs="宋体" w:eastAsiaTheme="minorEastAsia"/>
                <w:color w:val="000000" w:themeColor="text1"/>
                <w:sz w:val="21"/>
                <w:szCs w:val="21"/>
                <w:highlight w:val="none"/>
                <w14:textFill>
                  <w14:solidFill>
                    <w14:schemeClr w14:val="tx1"/>
                  </w14:solidFill>
                </w14:textFill>
              </w:rPr>
              <w:t>具体详见</w:t>
            </w:r>
            <w:r>
              <w:rPr>
                <w:rFonts w:hint="eastAsia" w:ascii="Arial" w:hAnsi="Arial" w:cs="宋体" w:eastAsiaTheme="minorEastAsia"/>
                <w:color w:val="000000" w:themeColor="text1"/>
                <w:sz w:val="21"/>
                <w:szCs w:val="21"/>
                <w:highlight w:val="none"/>
                <w:lang w:val="en-US" w:eastAsia="zh-CN"/>
                <w14:textFill>
                  <w14:solidFill>
                    <w14:schemeClr w14:val="tx1"/>
                  </w14:solidFill>
                </w14:textFill>
              </w:rPr>
              <w:t>附件</w:t>
            </w:r>
            <w:r>
              <w:rPr>
                <w:rFonts w:hint="eastAsia" w:ascii="Arial" w:hAnsi="Arial" w:cs="宋体" w:eastAsiaTheme="minorEastAsia"/>
                <w:color w:val="000000" w:themeColor="text1"/>
                <w:sz w:val="21"/>
                <w:szCs w:val="21"/>
                <w:highlight w:val="none"/>
                <w14:textFill>
                  <w14:solidFill>
                    <w14:schemeClr w14:val="tx1"/>
                  </w14:solidFill>
                </w14:textFill>
              </w:rPr>
              <w:t>。</w:t>
            </w:r>
          </w:p>
        </w:tc>
      </w:tr>
      <w:tr w14:paraId="37F71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3" w:hRule="atLeast"/>
        </w:trPr>
        <w:tc>
          <w:tcPr>
            <w:tcW w:w="455" w:type="dxa"/>
            <w:vAlign w:val="center"/>
          </w:tcPr>
          <w:p w14:paraId="4D8F31C1">
            <w:pPr>
              <w:pageBreakBefore w:val="0"/>
              <w:kinsoku/>
              <w:overflowPunct/>
              <w:topLinePunct w:val="0"/>
              <w:bidi w:val="0"/>
              <w:spacing w:line="440" w:lineRule="exact"/>
              <w:jc w:val="center"/>
              <w:rPr>
                <w:rFonts w:hint="eastAsia" w:ascii="宋体" w:hAnsi="宋体" w:cs="Arial"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2</w:t>
            </w:r>
          </w:p>
        </w:tc>
        <w:tc>
          <w:tcPr>
            <w:tcW w:w="1281" w:type="dxa"/>
            <w:vAlign w:val="center"/>
          </w:tcPr>
          <w:p w14:paraId="1DE80077">
            <w:pPr>
              <w:pageBreakBefore w:val="0"/>
              <w:kinsoku/>
              <w:overflowPunct/>
              <w:topLinePunct w:val="0"/>
              <w:bidi w:val="0"/>
              <w:spacing w:line="440" w:lineRule="exact"/>
              <w:jc w:val="center"/>
              <w:rPr>
                <w:rFonts w:hint="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0°耳内镜</w:t>
            </w:r>
          </w:p>
        </w:tc>
        <w:tc>
          <w:tcPr>
            <w:tcW w:w="936" w:type="dxa"/>
            <w:vAlign w:val="center"/>
          </w:tcPr>
          <w:p w14:paraId="1C4163B5">
            <w:pPr>
              <w:pageBreakBefore w:val="0"/>
              <w:kinsoku/>
              <w:overflowPunct/>
              <w:topLinePunct w:val="0"/>
              <w:bidi w:val="0"/>
              <w:spacing w:line="440" w:lineRule="exact"/>
              <w:jc w:val="center"/>
              <w:rPr>
                <w:rFonts w:hint="default" w:ascii="宋体" w:hAnsi="宋体"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4台</w:t>
            </w:r>
          </w:p>
        </w:tc>
        <w:tc>
          <w:tcPr>
            <w:tcW w:w="6121" w:type="dxa"/>
            <w:vAlign w:val="center"/>
          </w:tcPr>
          <w:p w14:paraId="0000A3A1">
            <w:pPr>
              <w:pStyle w:val="44"/>
              <w:pageBreakBefore w:val="0"/>
              <w:numPr>
                <w:ilvl w:val="0"/>
                <w:numId w:val="3"/>
              </w:numPr>
              <w:shd w:val="clear" w:color="auto" w:fill="FFFFFF"/>
              <w:kinsoku/>
              <w:overflowPunct/>
              <w:topLinePunct w:val="0"/>
              <w:bidi w:val="0"/>
              <w:spacing w:line="440" w:lineRule="exact"/>
              <w:jc w:val="both"/>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插入部最大外径（内窥镜）：Φ</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2.7mm</w:t>
            </w:r>
          </w:p>
          <w:p w14:paraId="0EA7EE96">
            <w:pPr>
              <w:pStyle w:val="44"/>
              <w:pageBreakBefore w:val="0"/>
              <w:numPr>
                <w:ilvl w:val="0"/>
                <w:numId w:val="3"/>
              </w:numPr>
              <w:shd w:val="clear" w:color="auto" w:fill="FFFFFF"/>
              <w:kinsoku/>
              <w:overflowPunct/>
              <w:topLinePunct w:val="0"/>
              <w:bidi w:val="0"/>
              <w:spacing w:line="440" w:lineRule="exact"/>
              <w:jc w:val="both"/>
              <w:rPr>
                <w:rFonts w:hint="eastAsia" w:ascii="Arial" w:hAnsi="Arial" w:cs="宋体"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内窥镜工作长度：</w:t>
            </w:r>
            <w:r>
              <w:rPr>
                <w:rFonts w:hint="eastAsia" w:ascii="Arial" w:hAnsi="Arial" w:cs="宋体" w:eastAsiaTheme="minorEastAsia"/>
                <w:color w:val="000000" w:themeColor="text1"/>
                <w:sz w:val="21"/>
                <w:szCs w:val="21"/>
                <w:highlight w:val="none"/>
                <w:lang w:val="en-US" w:eastAsia="zh-CN"/>
                <w14:textFill>
                  <w14:solidFill>
                    <w14:schemeClr w14:val="tx1"/>
                  </w14:solidFill>
                </w14:textFill>
              </w:rPr>
              <w:t>.......</w:t>
            </w:r>
            <w:r>
              <w:rPr>
                <w:rFonts w:hint="eastAsia" w:ascii="Arial" w:hAnsi="Arial" w:cs="宋体" w:eastAsiaTheme="minorEastAsia"/>
                <w:color w:val="000000" w:themeColor="text1"/>
                <w:sz w:val="21"/>
                <w:szCs w:val="21"/>
                <w:highlight w:val="none"/>
                <w14:textFill>
                  <w14:solidFill>
                    <w14:schemeClr w14:val="tx1"/>
                  </w14:solidFill>
                </w14:textFill>
              </w:rPr>
              <w:t>具体详见</w:t>
            </w:r>
            <w:r>
              <w:rPr>
                <w:rFonts w:hint="eastAsia" w:ascii="Arial" w:hAnsi="Arial" w:cs="宋体" w:eastAsiaTheme="minorEastAsia"/>
                <w:color w:val="000000" w:themeColor="text1"/>
                <w:sz w:val="21"/>
                <w:szCs w:val="21"/>
                <w:highlight w:val="none"/>
                <w:lang w:val="en-US" w:eastAsia="zh-CN"/>
                <w14:textFill>
                  <w14:solidFill>
                    <w14:schemeClr w14:val="tx1"/>
                  </w14:solidFill>
                </w14:textFill>
              </w:rPr>
              <w:t>附件</w:t>
            </w:r>
            <w:r>
              <w:rPr>
                <w:rFonts w:hint="eastAsia" w:ascii="Arial" w:hAnsi="Arial" w:cs="宋体" w:eastAsiaTheme="minorEastAsia"/>
                <w:color w:val="000000" w:themeColor="text1"/>
                <w:sz w:val="21"/>
                <w:szCs w:val="21"/>
                <w:highlight w:val="none"/>
                <w14:textFill>
                  <w14:solidFill>
                    <w14:schemeClr w14:val="tx1"/>
                  </w14:solidFill>
                </w14:textFill>
              </w:rPr>
              <w:t>。</w:t>
            </w:r>
          </w:p>
        </w:tc>
      </w:tr>
      <w:tr w14:paraId="75073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455" w:type="dxa"/>
            <w:vAlign w:val="center"/>
          </w:tcPr>
          <w:p w14:paraId="2FE75CB2">
            <w:pPr>
              <w:widowControl/>
              <w:kinsoku w:val="0"/>
              <w:autoSpaceDE w:val="0"/>
              <w:autoSpaceDN w:val="0"/>
              <w:adjustRightInd w:val="0"/>
              <w:snapToGrid w:val="0"/>
              <w:spacing w:before="65" w:line="360" w:lineRule="auto"/>
              <w:jc w:val="center"/>
              <w:textAlignment w:val="baseline"/>
              <w:rPr>
                <w:rFonts w:hint="eastAsia" w:ascii="宋体" w:hAnsi="宋体" w:cs="Arial" w:eastAsiaTheme="minorEastAsia"/>
                <w:color w:val="000000" w:themeColor="text1"/>
                <w:sz w:val="21"/>
                <w:szCs w:val="21"/>
                <w:highlight w:val="none"/>
                <w:lang w:val="en-US" w:eastAsia="zh-CN"/>
                <w14:textFill>
                  <w14:solidFill>
                    <w14:schemeClr w14:val="tx1"/>
                  </w14:solidFill>
                </w14:textFill>
              </w:rPr>
            </w:pPr>
            <w:r>
              <w:rPr>
                <w:rFonts w:hint="eastAsia" w:ascii="宋体" w:hAnsi="宋体" w:cs="Arial" w:eastAsiaTheme="minorEastAsia"/>
                <w:color w:val="000000" w:themeColor="text1"/>
                <w:sz w:val="21"/>
                <w:szCs w:val="21"/>
                <w:highlight w:val="none"/>
                <w:lang w:val="en-US" w:eastAsia="zh-CN"/>
                <w14:textFill>
                  <w14:solidFill>
                    <w14:schemeClr w14:val="tx1"/>
                  </w14:solidFill>
                </w14:textFill>
              </w:rPr>
              <w:t>3</w:t>
            </w:r>
          </w:p>
        </w:tc>
        <w:tc>
          <w:tcPr>
            <w:tcW w:w="1281" w:type="dxa"/>
            <w:vAlign w:val="center"/>
          </w:tcPr>
          <w:p w14:paraId="01741BA8">
            <w:pPr>
              <w:wordWrap w:val="0"/>
              <w:snapToGrid w:val="0"/>
              <w:spacing w:line="360" w:lineRule="auto"/>
              <w:jc w:val="center"/>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w:t>
            </w:r>
          </w:p>
        </w:tc>
        <w:tc>
          <w:tcPr>
            <w:tcW w:w="936" w:type="dxa"/>
            <w:vAlign w:val="center"/>
          </w:tcPr>
          <w:p w14:paraId="7856267A">
            <w:pPr>
              <w:wordWrap w:val="0"/>
              <w:snapToGrid w:val="0"/>
              <w:spacing w:line="360" w:lineRule="auto"/>
              <w:jc w:val="center"/>
              <w:rPr>
                <w:rFonts w:hint="default" w:ascii="宋体" w:hAnsi="宋体" w:eastAsiaTheme="minorEastAsia"/>
                <w:color w:val="000000" w:themeColor="text1"/>
                <w:sz w:val="21"/>
                <w:szCs w:val="21"/>
                <w:highlight w:val="none"/>
                <w:lang w:val="en-US" w:eastAsia="zh-CN"/>
                <w14:textFill>
                  <w14:solidFill>
                    <w14:schemeClr w14:val="tx1"/>
                  </w14:solidFill>
                </w14:textFill>
              </w:rPr>
            </w:pPr>
            <w:r>
              <w:rPr>
                <w:rFonts w:hint="eastAsia" w:ascii="宋体" w:hAnsi="宋体" w:eastAsiaTheme="minorEastAsia"/>
                <w:color w:val="000000" w:themeColor="text1"/>
                <w:sz w:val="21"/>
                <w:szCs w:val="21"/>
                <w:highlight w:val="none"/>
                <w:lang w:val="en-US" w:eastAsia="zh-CN"/>
                <w14:textFill>
                  <w14:solidFill>
                    <w14:schemeClr w14:val="tx1"/>
                  </w14:solidFill>
                </w14:textFill>
              </w:rPr>
              <w:t>......</w:t>
            </w:r>
          </w:p>
        </w:tc>
        <w:tc>
          <w:tcPr>
            <w:tcW w:w="6121" w:type="dxa"/>
            <w:vAlign w:val="center"/>
          </w:tcPr>
          <w:p w14:paraId="78BD6F9E">
            <w:pPr>
              <w:spacing w:line="360" w:lineRule="auto"/>
              <w:ind w:firstLine="420" w:firstLineChars="200"/>
              <w:rPr>
                <w:rFonts w:hint="default" w:ascii="Arial" w:hAnsi="Arial" w:cs="宋体" w:eastAsiaTheme="minorEastAsia"/>
                <w:color w:val="000000" w:themeColor="text1"/>
                <w:sz w:val="21"/>
                <w:szCs w:val="21"/>
                <w:highlight w:val="none"/>
                <w:lang w:val="en-US" w:eastAsia="zh-CN"/>
                <w14:textFill>
                  <w14:solidFill>
                    <w14:schemeClr w14:val="tx1"/>
                  </w14:solidFill>
                </w14:textFill>
              </w:rPr>
            </w:pPr>
            <w:r>
              <w:rPr>
                <w:rFonts w:hint="eastAsia" w:ascii="Arial" w:hAnsi="Arial" w:cs="宋体" w:eastAsiaTheme="minorEastAsia"/>
                <w:color w:val="000000" w:themeColor="text1"/>
                <w:sz w:val="21"/>
                <w:szCs w:val="21"/>
                <w:highlight w:val="none"/>
                <w:lang w:val="en-US" w:eastAsia="zh-CN"/>
                <w14:textFill>
                  <w14:solidFill>
                    <w14:schemeClr w14:val="tx1"/>
                  </w14:solidFill>
                </w14:textFill>
              </w:rPr>
              <w:t>.......</w:t>
            </w:r>
            <w:r>
              <w:rPr>
                <w:rFonts w:hint="eastAsia" w:ascii="Arial" w:hAnsi="Arial" w:cs="宋体" w:eastAsiaTheme="minorEastAsia"/>
                <w:color w:val="000000" w:themeColor="text1"/>
                <w:sz w:val="21"/>
                <w:szCs w:val="21"/>
                <w:highlight w:val="none"/>
                <w14:textFill>
                  <w14:solidFill>
                    <w14:schemeClr w14:val="tx1"/>
                  </w14:solidFill>
                </w14:textFill>
              </w:rPr>
              <w:t>具体详见</w:t>
            </w:r>
            <w:r>
              <w:rPr>
                <w:rFonts w:hint="eastAsia" w:ascii="Arial" w:hAnsi="Arial" w:cs="宋体" w:eastAsiaTheme="minorEastAsia"/>
                <w:color w:val="000000" w:themeColor="text1"/>
                <w:sz w:val="21"/>
                <w:szCs w:val="21"/>
                <w:highlight w:val="none"/>
                <w:lang w:val="en-US" w:eastAsia="zh-CN"/>
                <w14:textFill>
                  <w14:solidFill>
                    <w14:schemeClr w14:val="tx1"/>
                  </w14:solidFill>
                </w14:textFill>
              </w:rPr>
              <w:t>附件</w:t>
            </w:r>
            <w:r>
              <w:rPr>
                <w:rFonts w:hint="eastAsia" w:ascii="Arial" w:hAnsi="Arial" w:cs="宋体" w:eastAsiaTheme="minorEastAsia"/>
                <w:color w:val="000000" w:themeColor="text1"/>
                <w:sz w:val="21"/>
                <w:szCs w:val="21"/>
                <w:highlight w:val="none"/>
                <w14:textFill>
                  <w14:solidFill>
                    <w14:schemeClr w14:val="tx1"/>
                  </w14:solidFill>
                </w14:textFill>
              </w:rPr>
              <w:t>。</w:t>
            </w:r>
          </w:p>
        </w:tc>
      </w:tr>
    </w:tbl>
    <w:p w14:paraId="50458A9F">
      <w:pPr>
        <w:pStyle w:val="2"/>
        <w:rPr>
          <w:rFonts w:hint="default" w:eastAsia="宋体"/>
          <w:color w:val="000000" w:themeColor="text1"/>
          <w:sz w:val="21"/>
          <w:szCs w:val="21"/>
          <w:highlight w:val="none"/>
          <w:lang w:val="en-US" w:eastAsia="zh-CN"/>
          <w14:textFill>
            <w14:solidFill>
              <w14:schemeClr w14:val="tx1"/>
            </w14:solidFill>
          </w14:textFill>
        </w:rPr>
      </w:pPr>
      <w:r>
        <w:rPr>
          <w:rFonts w:hint="eastAsia" w:ascii="宋体" w:hAnsi="宋体" w:eastAsia="宋体" w:cs="Times New Roman"/>
          <w:bCs w:val="0"/>
          <w:color w:val="000000" w:themeColor="text1"/>
          <w:spacing w:val="0"/>
          <w:kern w:val="2"/>
          <w:sz w:val="21"/>
          <w:szCs w:val="21"/>
          <w:highlight w:val="none"/>
          <w:lang w:val="en-US" w:eastAsia="zh-CN" w:bidi="ar-SA"/>
          <w14:textFill>
            <w14:solidFill>
              <w14:schemeClr w14:val="tx1"/>
            </w14:solidFill>
          </w14:textFill>
        </w:rPr>
        <w:t xml:space="preserve"> </w:t>
      </w:r>
      <w:r>
        <w:rPr>
          <w:rFonts w:hint="eastAsia" w:ascii="宋体" w:hAnsi="宋体" w:cs="Times New Roman"/>
          <w:bCs w:val="0"/>
          <w:color w:val="000000" w:themeColor="text1"/>
          <w:spacing w:val="0"/>
          <w:kern w:val="2"/>
          <w:sz w:val="21"/>
          <w:szCs w:val="21"/>
          <w:highlight w:val="none"/>
          <w:lang w:val="en-US" w:eastAsia="zh-CN" w:bidi="ar-SA"/>
          <w14:textFill>
            <w14:solidFill>
              <w14:schemeClr w14:val="tx1"/>
            </w14:solidFill>
          </w14:textFill>
        </w:rPr>
        <w:t xml:space="preserve">  2</w:t>
      </w:r>
      <w:r>
        <w:rPr>
          <w:rFonts w:hint="eastAsia" w:ascii="宋体" w:hAnsi="宋体" w:eastAsia="宋体" w:cs="Times New Roman"/>
          <w:bCs w:val="0"/>
          <w:color w:val="000000" w:themeColor="text1"/>
          <w:spacing w:val="0"/>
          <w:kern w:val="2"/>
          <w:sz w:val="21"/>
          <w:szCs w:val="21"/>
          <w:highlight w:val="none"/>
          <w:lang w:val="en-US" w:eastAsia="zh-CN" w:bidi="ar-SA"/>
          <w14:textFill>
            <w14:solidFill>
              <w14:schemeClr w14:val="tx1"/>
            </w14:solidFill>
          </w14:textFill>
        </w:rPr>
        <w:t>分标：</w:t>
      </w:r>
    </w:p>
    <w:tbl>
      <w:tblPr>
        <w:tblStyle w:val="125"/>
        <w:tblW w:w="87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5"/>
        <w:gridCol w:w="1281"/>
        <w:gridCol w:w="936"/>
        <w:gridCol w:w="6121"/>
      </w:tblGrid>
      <w:tr w14:paraId="152E1C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55" w:type="dxa"/>
            <w:vAlign w:val="center"/>
          </w:tcPr>
          <w:p w14:paraId="3112B85A">
            <w:pPr>
              <w:widowControl/>
              <w:kinsoku w:val="0"/>
              <w:autoSpaceDE w:val="0"/>
              <w:autoSpaceDN w:val="0"/>
              <w:adjustRightInd w:val="0"/>
              <w:snapToGrid w:val="0"/>
              <w:spacing w:before="292" w:line="360" w:lineRule="auto"/>
              <w:jc w:val="center"/>
              <w:textAlignment w:val="baseline"/>
              <w:rPr>
                <w:rFonts w:ascii="宋体" w:hAnsi="宋体" w:cs="Arial" w:eastAsiaTheme="minorEastAsia"/>
                <w:color w:val="000000" w:themeColor="text1"/>
                <w:sz w:val="21"/>
                <w:szCs w:val="21"/>
                <w:highlight w:val="none"/>
                <w14:textFill>
                  <w14:solidFill>
                    <w14:schemeClr w14:val="tx1"/>
                  </w14:solidFill>
                </w14:textFill>
              </w:rPr>
            </w:pPr>
            <w:r>
              <w:rPr>
                <w:rFonts w:ascii="宋体" w:hAnsi="宋体" w:cs="Arial" w:eastAsiaTheme="minorEastAsia"/>
                <w:color w:val="000000" w:themeColor="text1"/>
                <w:sz w:val="21"/>
                <w:szCs w:val="21"/>
                <w:highlight w:val="none"/>
                <w14:textFill>
                  <w14:solidFill>
                    <w14:schemeClr w14:val="tx1"/>
                  </w14:solidFill>
                </w14:textFill>
              </w:rPr>
              <w:t>序号</w:t>
            </w:r>
          </w:p>
        </w:tc>
        <w:tc>
          <w:tcPr>
            <w:tcW w:w="1281" w:type="dxa"/>
            <w:vAlign w:val="center"/>
          </w:tcPr>
          <w:p w14:paraId="6F52EBDE">
            <w:pPr>
              <w:widowControl/>
              <w:kinsoku w:val="0"/>
              <w:autoSpaceDE w:val="0"/>
              <w:autoSpaceDN w:val="0"/>
              <w:adjustRightInd w:val="0"/>
              <w:snapToGrid w:val="0"/>
              <w:spacing w:before="292" w:line="360" w:lineRule="auto"/>
              <w:jc w:val="center"/>
              <w:textAlignment w:val="baseline"/>
              <w:rPr>
                <w:rFonts w:ascii="宋体" w:hAnsi="宋体" w:cs="Arial" w:eastAsiaTheme="minorEastAsia"/>
                <w:color w:val="000000" w:themeColor="text1"/>
                <w:sz w:val="21"/>
                <w:szCs w:val="21"/>
                <w:highlight w:val="none"/>
                <w14:textFill>
                  <w14:solidFill>
                    <w14:schemeClr w14:val="tx1"/>
                  </w14:solidFill>
                </w14:textFill>
              </w:rPr>
            </w:pPr>
            <w:r>
              <w:rPr>
                <w:rFonts w:ascii="宋体" w:hAnsi="宋体" w:cs="Arial" w:eastAsiaTheme="minorEastAsia"/>
                <w:color w:val="000000" w:themeColor="text1"/>
                <w:sz w:val="21"/>
                <w:szCs w:val="21"/>
                <w:highlight w:val="none"/>
                <w14:textFill>
                  <w14:solidFill>
                    <w14:schemeClr w14:val="tx1"/>
                  </w14:solidFill>
                </w14:textFill>
              </w:rPr>
              <w:t>标的名称</w:t>
            </w:r>
          </w:p>
        </w:tc>
        <w:tc>
          <w:tcPr>
            <w:tcW w:w="936" w:type="dxa"/>
            <w:vAlign w:val="center"/>
          </w:tcPr>
          <w:p w14:paraId="05FC172E">
            <w:pPr>
              <w:widowControl/>
              <w:kinsoku w:val="0"/>
              <w:autoSpaceDE w:val="0"/>
              <w:autoSpaceDN w:val="0"/>
              <w:adjustRightInd w:val="0"/>
              <w:snapToGrid w:val="0"/>
              <w:spacing w:before="112" w:line="360" w:lineRule="auto"/>
              <w:jc w:val="center"/>
              <w:textAlignment w:val="baseline"/>
              <w:rPr>
                <w:rFonts w:ascii="宋体" w:hAnsi="宋体" w:cs="Arial" w:eastAsiaTheme="minorEastAsia"/>
                <w:color w:val="000000" w:themeColor="text1"/>
                <w:sz w:val="21"/>
                <w:szCs w:val="21"/>
                <w:highlight w:val="none"/>
                <w14:textFill>
                  <w14:solidFill>
                    <w14:schemeClr w14:val="tx1"/>
                  </w14:solidFill>
                </w14:textFill>
              </w:rPr>
            </w:pPr>
            <w:r>
              <w:rPr>
                <w:rFonts w:ascii="宋体" w:hAnsi="宋体" w:cs="Arial" w:eastAsiaTheme="minorEastAsia"/>
                <w:color w:val="000000" w:themeColor="text1"/>
                <w:sz w:val="21"/>
                <w:szCs w:val="21"/>
                <w:highlight w:val="none"/>
                <w14:textFill>
                  <w14:solidFill>
                    <w14:schemeClr w14:val="tx1"/>
                  </w14:solidFill>
                </w14:textFill>
              </w:rPr>
              <w:t>数量及单位</w:t>
            </w:r>
          </w:p>
        </w:tc>
        <w:tc>
          <w:tcPr>
            <w:tcW w:w="6121" w:type="dxa"/>
            <w:vAlign w:val="center"/>
          </w:tcPr>
          <w:p w14:paraId="78D16847">
            <w:pPr>
              <w:widowControl/>
              <w:kinsoku w:val="0"/>
              <w:autoSpaceDE w:val="0"/>
              <w:autoSpaceDN w:val="0"/>
              <w:adjustRightInd w:val="0"/>
              <w:snapToGrid w:val="0"/>
              <w:spacing w:before="292" w:line="360" w:lineRule="auto"/>
              <w:jc w:val="center"/>
              <w:textAlignment w:val="baseline"/>
              <w:rPr>
                <w:rFonts w:ascii="宋体" w:hAnsi="宋体" w:cs="Arial" w:eastAsiaTheme="minorEastAsia"/>
                <w:color w:val="000000" w:themeColor="text1"/>
                <w:sz w:val="21"/>
                <w:szCs w:val="21"/>
                <w:highlight w:val="none"/>
                <w14:textFill>
                  <w14:solidFill>
                    <w14:schemeClr w14:val="tx1"/>
                  </w14:solidFill>
                </w14:textFill>
              </w:rPr>
            </w:pPr>
            <w:r>
              <w:rPr>
                <w:rFonts w:ascii="宋体" w:hAnsi="宋体" w:cs="Arial" w:eastAsiaTheme="minorEastAsia"/>
                <w:color w:val="000000" w:themeColor="text1"/>
                <w:sz w:val="21"/>
                <w:szCs w:val="21"/>
                <w:highlight w:val="none"/>
                <w14:textFill>
                  <w14:solidFill>
                    <w14:schemeClr w14:val="tx1"/>
                  </w14:solidFill>
                </w14:textFill>
              </w:rPr>
              <w:t>简要技术需求或者服务要求</w:t>
            </w:r>
          </w:p>
        </w:tc>
      </w:tr>
      <w:tr w14:paraId="4A535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3" w:hRule="atLeast"/>
        </w:trPr>
        <w:tc>
          <w:tcPr>
            <w:tcW w:w="455" w:type="dxa"/>
            <w:vAlign w:val="center"/>
          </w:tcPr>
          <w:p w14:paraId="437448DA">
            <w:pPr>
              <w:pageBreakBefore w:val="0"/>
              <w:tabs>
                <w:tab w:val="left" w:pos="180"/>
                <w:tab w:val="left" w:pos="1620"/>
              </w:tabs>
              <w:kinsoku/>
              <w:overflowPunct/>
              <w:topLinePunct w:val="0"/>
              <w:bidi w:val="0"/>
              <w:spacing w:line="440" w:lineRule="exact"/>
              <w:jc w:val="center"/>
              <w:rPr>
                <w:rFonts w:ascii="宋体" w:hAnsi="宋体" w:cs="Arial"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1281" w:type="dxa"/>
            <w:vAlign w:val="center"/>
          </w:tcPr>
          <w:p w14:paraId="3A36A12A">
            <w:pPr>
              <w:pageBreakBefore w:val="0"/>
              <w:tabs>
                <w:tab w:val="left" w:pos="180"/>
                <w:tab w:val="left" w:pos="1620"/>
              </w:tabs>
              <w:kinsoku/>
              <w:overflowPunct/>
              <w:topLinePunct w:val="0"/>
              <w:bidi w:val="0"/>
              <w:spacing w:line="440" w:lineRule="exact"/>
              <w:jc w:val="center"/>
              <w:rPr>
                <w:rFonts w:hint="default" w:ascii="宋体" w:hAnsi="宋体" w:cs="Arial"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超声刀</w:t>
            </w:r>
          </w:p>
        </w:tc>
        <w:tc>
          <w:tcPr>
            <w:tcW w:w="936" w:type="dxa"/>
            <w:vAlign w:val="center"/>
          </w:tcPr>
          <w:p w14:paraId="728DE87C">
            <w:pPr>
              <w:pageBreakBefore w:val="0"/>
              <w:kinsoku/>
              <w:overflowPunct/>
              <w:topLinePunct w:val="0"/>
              <w:bidi w:val="0"/>
              <w:spacing w:line="440" w:lineRule="exact"/>
              <w:jc w:val="center"/>
              <w:rPr>
                <w:rFonts w:hint="default" w:ascii="宋体" w:hAnsi="宋体" w:cs="Arial"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2套</w:t>
            </w:r>
          </w:p>
        </w:tc>
        <w:tc>
          <w:tcPr>
            <w:tcW w:w="6121" w:type="dxa"/>
            <w:vAlign w:val="center"/>
          </w:tcPr>
          <w:p w14:paraId="5BE51815">
            <w:pPr>
              <w:pageBreakBefore w:val="0"/>
              <w:kinsoku/>
              <w:overflowPunct/>
              <w:topLinePunct w:val="0"/>
              <w:bidi w:val="0"/>
              <w:spacing w:line="44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主电源输入值：100-240V、50/60Hz、150 VA</w:t>
            </w:r>
          </w:p>
          <w:p w14:paraId="34BA10D9">
            <w:pPr>
              <w:pageBreakBefore w:val="0"/>
              <w:kinsoku/>
              <w:overflowPunct/>
              <w:topLinePunct w:val="0"/>
              <w:bidi w:val="0"/>
              <w:spacing w:line="440" w:lineRule="exact"/>
              <w:rPr>
                <w:rFonts w:ascii="宋体" w:hAnsi="宋体" w:cs="Arial"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振动频率55.5KHZ±1KHZ；</w:t>
            </w:r>
            <w:r>
              <w:rPr>
                <w:rFonts w:hint="eastAsia" w:ascii="Arial" w:hAnsi="Arial" w:cs="宋体" w:eastAsiaTheme="minorEastAsia"/>
                <w:color w:val="000000" w:themeColor="text1"/>
                <w:sz w:val="21"/>
                <w:szCs w:val="21"/>
                <w:highlight w:val="none"/>
                <w:lang w:val="en-US" w:eastAsia="zh-CN"/>
                <w14:textFill>
                  <w14:solidFill>
                    <w14:schemeClr w14:val="tx1"/>
                  </w14:solidFill>
                </w14:textFill>
              </w:rPr>
              <w:t>.......</w:t>
            </w:r>
            <w:r>
              <w:rPr>
                <w:rFonts w:hint="eastAsia" w:ascii="Arial" w:hAnsi="Arial" w:cs="宋体" w:eastAsiaTheme="minorEastAsia"/>
                <w:color w:val="000000" w:themeColor="text1"/>
                <w:sz w:val="21"/>
                <w:szCs w:val="21"/>
                <w:highlight w:val="none"/>
                <w14:textFill>
                  <w14:solidFill>
                    <w14:schemeClr w14:val="tx1"/>
                  </w14:solidFill>
                </w14:textFill>
              </w:rPr>
              <w:t>具体详见</w:t>
            </w:r>
            <w:r>
              <w:rPr>
                <w:rFonts w:hint="eastAsia" w:ascii="Arial" w:hAnsi="Arial" w:cs="宋体" w:eastAsiaTheme="minorEastAsia"/>
                <w:color w:val="000000" w:themeColor="text1"/>
                <w:sz w:val="21"/>
                <w:szCs w:val="21"/>
                <w:highlight w:val="none"/>
                <w:lang w:val="en-US" w:eastAsia="zh-CN"/>
                <w14:textFill>
                  <w14:solidFill>
                    <w14:schemeClr w14:val="tx1"/>
                  </w14:solidFill>
                </w14:textFill>
              </w:rPr>
              <w:t>附件</w:t>
            </w:r>
            <w:r>
              <w:rPr>
                <w:rFonts w:hint="eastAsia" w:ascii="Arial" w:hAnsi="Arial" w:cs="宋体" w:eastAsiaTheme="minorEastAsia"/>
                <w:color w:val="000000" w:themeColor="text1"/>
                <w:sz w:val="21"/>
                <w:szCs w:val="21"/>
                <w:highlight w:val="none"/>
                <w14:textFill>
                  <w14:solidFill>
                    <w14:schemeClr w14:val="tx1"/>
                  </w14:solidFill>
                </w14:textFill>
              </w:rPr>
              <w:t>。</w:t>
            </w:r>
          </w:p>
        </w:tc>
      </w:tr>
      <w:tr w14:paraId="0FB57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3" w:hRule="atLeast"/>
        </w:trPr>
        <w:tc>
          <w:tcPr>
            <w:tcW w:w="455" w:type="dxa"/>
            <w:vAlign w:val="center"/>
          </w:tcPr>
          <w:p w14:paraId="534D1F35">
            <w:pPr>
              <w:pageBreakBefore w:val="0"/>
              <w:tabs>
                <w:tab w:val="left" w:pos="180"/>
                <w:tab w:val="left" w:pos="1620"/>
              </w:tabs>
              <w:kinsoku/>
              <w:overflowPunct/>
              <w:topLinePunct w:val="0"/>
              <w:bidi w:val="0"/>
              <w:spacing w:line="440" w:lineRule="exact"/>
              <w:jc w:val="center"/>
              <w:rPr>
                <w:rFonts w:hint="eastAsia" w:ascii="宋体" w:hAnsi="宋体" w:cs="Arial"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tc>
        <w:tc>
          <w:tcPr>
            <w:tcW w:w="1281" w:type="dxa"/>
            <w:vAlign w:val="center"/>
          </w:tcPr>
          <w:p w14:paraId="6061EF07">
            <w:pPr>
              <w:pageBreakBefore w:val="0"/>
              <w:tabs>
                <w:tab w:val="left" w:pos="180"/>
                <w:tab w:val="left" w:pos="1620"/>
              </w:tabs>
              <w:kinsoku/>
              <w:overflowPunct/>
              <w:topLinePunct w:val="0"/>
              <w:bidi w:val="0"/>
              <w:spacing w:line="440" w:lineRule="exact"/>
              <w:jc w:val="center"/>
              <w:rPr>
                <w:rFonts w:hint="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超声乳化仪手柄</w:t>
            </w:r>
          </w:p>
        </w:tc>
        <w:tc>
          <w:tcPr>
            <w:tcW w:w="936" w:type="dxa"/>
            <w:vAlign w:val="center"/>
          </w:tcPr>
          <w:p w14:paraId="6D761E87">
            <w:pPr>
              <w:pageBreakBefore w:val="0"/>
              <w:tabs>
                <w:tab w:val="left" w:pos="180"/>
                <w:tab w:val="left" w:pos="1620"/>
              </w:tabs>
              <w:kinsoku/>
              <w:overflowPunct/>
              <w:topLinePunct w:val="0"/>
              <w:bidi w:val="0"/>
              <w:spacing w:line="440" w:lineRule="exact"/>
              <w:jc w:val="center"/>
              <w:rPr>
                <w:rFonts w:hint="default" w:ascii="宋体" w:hAnsi="宋体"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4套</w:t>
            </w:r>
          </w:p>
        </w:tc>
        <w:tc>
          <w:tcPr>
            <w:tcW w:w="6121" w:type="dxa"/>
            <w:vAlign w:val="center"/>
          </w:tcPr>
          <w:p w14:paraId="7DC57283">
            <w:pPr>
              <w:pStyle w:val="44"/>
              <w:pageBreakBefore w:val="0"/>
              <w:numPr>
                <w:ilvl w:val="0"/>
                <w:numId w:val="0"/>
              </w:numPr>
              <w:shd w:val="clear" w:color="auto" w:fill="FFFFFF"/>
              <w:kinsoku/>
              <w:overflowPunct/>
              <w:topLinePunct w:val="0"/>
              <w:bidi w:val="0"/>
              <w:spacing w:line="440" w:lineRule="exact"/>
              <w:jc w:val="both"/>
              <w:rPr>
                <w:rFonts w:hint="eastAsia" w:ascii="Arial" w:hAnsi="Arial" w:cs="宋体"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1.超声频率： 28.5kHz。2.压电晶片手柄：6晶片手柄，锁定式灌注管接口消除术中管线意外断开的风险。可高温高压消毒，能量输出稳定</w:t>
            </w:r>
            <w:r>
              <w:rPr>
                <w:rFonts w:hint="eastAsia" w:ascii="Arial" w:hAnsi="Arial" w:cs="宋体" w:eastAsiaTheme="minorEastAsia"/>
                <w:color w:val="000000" w:themeColor="text1"/>
                <w:sz w:val="21"/>
                <w:szCs w:val="21"/>
                <w:highlight w:val="none"/>
                <w:lang w:val="en-US" w:eastAsia="zh-CN"/>
                <w14:textFill>
                  <w14:solidFill>
                    <w14:schemeClr w14:val="tx1"/>
                  </w14:solidFill>
                </w14:textFill>
              </w:rPr>
              <w:t>.......</w:t>
            </w:r>
            <w:r>
              <w:rPr>
                <w:rFonts w:hint="eastAsia" w:ascii="Arial" w:hAnsi="Arial" w:cs="宋体" w:eastAsiaTheme="minorEastAsia"/>
                <w:color w:val="000000" w:themeColor="text1"/>
                <w:sz w:val="21"/>
                <w:szCs w:val="21"/>
                <w:highlight w:val="none"/>
                <w14:textFill>
                  <w14:solidFill>
                    <w14:schemeClr w14:val="tx1"/>
                  </w14:solidFill>
                </w14:textFill>
              </w:rPr>
              <w:t>具体详见</w:t>
            </w:r>
            <w:r>
              <w:rPr>
                <w:rFonts w:hint="eastAsia" w:ascii="Arial" w:hAnsi="Arial" w:cs="宋体" w:eastAsiaTheme="minorEastAsia"/>
                <w:color w:val="000000" w:themeColor="text1"/>
                <w:sz w:val="21"/>
                <w:szCs w:val="21"/>
                <w:highlight w:val="none"/>
                <w:lang w:val="en-US" w:eastAsia="zh-CN"/>
                <w14:textFill>
                  <w14:solidFill>
                    <w14:schemeClr w14:val="tx1"/>
                  </w14:solidFill>
                </w14:textFill>
              </w:rPr>
              <w:t>附件</w:t>
            </w:r>
            <w:r>
              <w:rPr>
                <w:rFonts w:hint="eastAsia" w:ascii="Arial" w:hAnsi="Arial" w:cs="宋体" w:eastAsiaTheme="minorEastAsia"/>
                <w:color w:val="000000" w:themeColor="text1"/>
                <w:sz w:val="21"/>
                <w:szCs w:val="21"/>
                <w:highlight w:val="none"/>
                <w14:textFill>
                  <w14:solidFill>
                    <w14:schemeClr w14:val="tx1"/>
                  </w14:solidFill>
                </w14:textFill>
              </w:rPr>
              <w:t>。</w:t>
            </w:r>
          </w:p>
        </w:tc>
      </w:tr>
      <w:tr w14:paraId="6671C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455" w:type="dxa"/>
            <w:vAlign w:val="center"/>
          </w:tcPr>
          <w:p w14:paraId="64278BD5">
            <w:pPr>
              <w:widowControl/>
              <w:kinsoku w:val="0"/>
              <w:autoSpaceDE w:val="0"/>
              <w:autoSpaceDN w:val="0"/>
              <w:adjustRightInd w:val="0"/>
              <w:snapToGrid w:val="0"/>
              <w:spacing w:before="65" w:line="360" w:lineRule="auto"/>
              <w:jc w:val="center"/>
              <w:textAlignment w:val="baseline"/>
              <w:rPr>
                <w:rFonts w:hint="eastAsia" w:ascii="宋体" w:hAnsi="宋体" w:cs="Arial" w:eastAsiaTheme="minorEastAsia"/>
                <w:color w:val="000000" w:themeColor="text1"/>
                <w:sz w:val="21"/>
                <w:szCs w:val="21"/>
                <w:highlight w:val="none"/>
                <w:lang w:val="en-US" w:eastAsia="zh-CN"/>
                <w14:textFill>
                  <w14:solidFill>
                    <w14:schemeClr w14:val="tx1"/>
                  </w14:solidFill>
                </w14:textFill>
              </w:rPr>
            </w:pPr>
            <w:r>
              <w:rPr>
                <w:rFonts w:hint="eastAsia" w:ascii="宋体" w:hAnsi="宋体" w:cs="Arial" w:eastAsiaTheme="minorEastAsia"/>
                <w:color w:val="000000" w:themeColor="text1"/>
                <w:sz w:val="21"/>
                <w:szCs w:val="21"/>
                <w:highlight w:val="none"/>
                <w:lang w:val="en-US" w:eastAsia="zh-CN"/>
                <w14:textFill>
                  <w14:solidFill>
                    <w14:schemeClr w14:val="tx1"/>
                  </w14:solidFill>
                </w14:textFill>
              </w:rPr>
              <w:t>3</w:t>
            </w:r>
          </w:p>
        </w:tc>
        <w:tc>
          <w:tcPr>
            <w:tcW w:w="1281" w:type="dxa"/>
            <w:vAlign w:val="center"/>
          </w:tcPr>
          <w:p w14:paraId="5F6A0573">
            <w:pPr>
              <w:wordWrap w:val="0"/>
              <w:snapToGrid w:val="0"/>
              <w:spacing w:line="360" w:lineRule="auto"/>
              <w:jc w:val="center"/>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w:t>
            </w:r>
          </w:p>
        </w:tc>
        <w:tc>
          <w:tcPr>
            <w:tcW w:w="936" w:type="dxa"/>
            <w:vAlign w:val="center"/>
          </w:tcPr>
          <w:p w14:paraId="5A7E2DBA">
            <w:pPr>
              <w:wordWrap w:val="0"/>
              <w:snapToGrid w:val="0"/>
              <w:spacing w:line="360" w:lineRule="auto"/>
              <w:jc w:val="center"/>
              <w:rPr>
                <w:rFonts w:hint="default" w:ascii="宋体" w:hAnsi="宋体" w:eastAsiaTheme="minorEastAsia"/>
                <w:color w:val="000000" w:themeColor="text1"/>
                <w:sz w:val="21"/>
                <w:szCs w:val="21"/>
                <w:highlight w:val="none"/>
                <w:lang w:val="en-US" w:eastAsia="zh-CN"/>
                <w14:textFill>
                  <w14:solidFill>
                    <w14:schemeClr w14:val="tx1"/>
                  </w14:solidFill>
                </w14:textFill>
              </w:rPr>
            </w:pPr>
            <w:r>
              <w:rPr>
                <w:rFonts w:hint="eastAsia" w:ascii="宋体" w:hAnsi="宋体" w:eastAsiaTheme="minorEastAsia"/>
                <w:color w:val="000000" w:themeColor="text1"/>
                <w:sz w:val="21"/>
                <w:szCs w:val="21"/>
                <w:highlight w:val="none"/>
                <w:lang w:val="en-US" w:eastAsia="zh-CN"/>
                <w14:textFill>
                  <w14:solidFill>
                    <w14:schemeClr w14:val="tx1"/>
                  </w14:solidFill>
                </w14:textFill>
              </w:rPr>
              <w:t>......</w:t>
            </w:r>
          </w:p>
        </w:tc>
        <w:tc>
          <w:tcPr>
            <w:tcW w:w="6121" w:type="dxa"/>
            <w:vAlign w:val="center"/>
          </w:tcPr>
          <w:p w14:paraId="4D798F85">
            <w:pPr>
              <w:spacing w:line="360" w:lineRule="auto"/>
              <w:ind w:firstLine="420" w:firstLineChars="200"/>
              <w:rPr>
                <w:rFonts w:hint="default" w:ascii="Arial" w:hAnsi="Arial" w:cs="宋体" w:eastAsiaTheme="minorEastAsia"/>
                <w:color w:val="000000" w:themeColor="text1"/>
                <w:sz w:val="21"/>
                <w:szCs w:val="21"/>
                <w:highlight w:val="none"/>
                <w:lang w:val="en-US" w:eastAsia="zh-CN"/>
                <w14:textFill>
                  <w14:solidFill>
                    <w14:schemeClr w14:val="tx1"/>
                  </w14:solidFill>
                </w14:textFill>
              </w:rPr>
            </w:pPr>
            <w:r>
              <w:rPr>
                <w:rFonts w:hint="eastAsia" w:ascii="Arial" w:hAnsi="Arial" w:cs="宋体" w:eastAsiaTheme="minorEastAsia"/>
                <w:color w:val="000000" w:themeColor="text1"/>
                <w:sz w:val="21"/>
                <w:szCs w:val="21"/>
                <w:highlight w:val="none"/>
                <w:lang w:val="en-US" w:eastAsia="zh-CN"/>
                <w14:textFill>
                  <w14:solidFill>
                    <w14:schemeClr w14:val="tx1"/>
                  </w14:solidFill>
                </w14:textFill>
              </w:rPr>
              <w:t>.......</w:t>
            </w:r>
            <w:r>
              <w:rPr>
                <w:rFonts w:hint="eastAsia" w:ascii="Arial" w:hAnsi="Arial" w:cs="宋体" w:eastAsiaTheme="minorEastAsia"/>
                <w:color w:val="000000" w:themeColor="text1"/>
                <w:sz w:val="21"/>
                <w:szCs w:val="21"/>
                <w:highlight w:val="none"/>
                <w14:textFill>
                  <w14:solidFill>
                    <w14:schemeClr w14:val="tx1"/>
                  </w14:solidFill>
                </w14:textFill>
              </w:rPr>
              <w:t>具体详见</w:t>
            </w:r>
            <w:r>
              <w:rPr>
                <w:rFonts w:hint="eastAsia" w:ascii="Arial" w:hAnsi="Arial" w:cs="宋体" w:eastAsiaTheme="minorEastAsia"/>
                <w:color w:val="000000" w:themeColor="text1"/>
                <w:sz w:val="21"/>
                <w:szCs w:val="21"/>
                <w:highlight w:val="none"/>
                <w:lang w:val="en-US" w:eastAsia="zh-CN"/>
                <w14:textFill>
                  <w14:solidFill>
                    <w14:schemeClr w14:val="tx1"/>
                  </w14:solidFill>
                </w14:textFill>
              </w:rPr>
              <w:t>附件</w:t>
            </w:r>
            <w:r>
              <w:rPr>
                <w:rFonts w:hint="eastAsia" w:ascii="Arial" w:hAnsi="Arial" w:cs="宋体" w:eastAsiaTheme="minorEastAsia"/>
                <w:color w:val="000000" w:themeColor="text1"/>
                <w:sz w:val="21"/>
                <w:szCs w:val="21"/>
                <w:highlight w:val="none"/>
                <w14:textFill>
                  <w14:solidFill>
                    <w14:schemeClr w14:val="tx1"/>
                  </w14:solidFill>
                </w14:textFill>
              </w:rPr>
              <w:t>。</w:t>
            </w:r>
          </w:p>
        </w:tc>
      </w:tr>
    </w:tbl>
    <w:p w14:paraId="00B2A562">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合同履行期限：提供的货物为进口设备的，自签订合同之日起60天内调试完毕验收合格并交付使用；提供的货物为国产设备的，自签订合同之日30天内调试完毕验收合格并交付使用。</w:t>
      </w:r>
    </w:p>
    <w:p w14:paraId="7D23A06A">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本项目（否）接受联合体投标。</w:t>
      </w:r>
    </w:p>
    <w:p w14:paraId="30CDCC95">
      <w:pPr>
        <w:keepNext w:val="0"/>
        <w:keepLines w:val="0"/>
        <w:pageBreakBefore w:val="0"/>
        <w:kinsoku/>
        <w:wordWrap/>
        <w:overflowPunct/>
        <w:topLinePunct w:val="0"/>
        <w:autoSpaceDE/>
        <w:autoSpaceDN/>
        <w:bidi w:val="0"/>
        <w:adjustRightInd/>
        <w:spacing w:line="480" w:lineRule="exact"/>
        <w:textAlignment w:val="auto"/>
        <w:rPr>
          <w:rFonts w:ascii="黑体" w:hAnsi="黑体" w:eastAsia="黑体"/>
          <w:b/>
          <w:bCs/>
          <w:color w:val="000000" w:themeColor="text1"/>
          <w:sz w:val="24"/>
          <w:highlight w:val="none"/>
          <w14:textFill>
            <w14:solidFill>
              <w14:schemeClr w14:val="tx1"/>
            </w14:solidFill>
          </w14:textFill>
        </w:rPr>
      </w:pPr>
      <w:bookmarkStart w:id="14" w:name="_Toc28359003"/>
      <w:bookmarkStart w:id="15" w:name="_Toc35393791"/>
      <w:bookmarkStart w:id="16" w:name="_Toc28359080"/>
      <w:bookmarkStart w:id="17" w:name="_Toc35393622"/>
      <w:r>
        <w:rPr>
          <w:rFonts w:hint="eastAsia" w:ascii="黑体" w:hAnsi="黑体" w:eastAsia="黑体"/>
          <w:b/>
          <w:bCs/>
          <w:color w:val="000000" w:themeColor="text1"/>
          <w:sz w:val="24"/>
          <w:highlight w:val="none"/>
          <w14:textFill>
            <w14:solidFill>
              <w14:schemeClr w14:val="tx1"/>
            </w14:solidFill>
          </w14:textFill>
        </w:rPr>
        <w:t>二、申请人的资格要求：</w:t>
      </w:r>
      <w:bookmarkEnd w:id="14"/>
      <w:bookmarkEnd w:id="15"/>
      <w:bookmarkEnd w:id="16"/>
      <w:bookmarkEnd w:id="17"/>
    </w:p>
    <w:p w14:paraId="11F43F87">
      <w:pPr>
        <w:keepNext w:val="0"/>
        <w:keepLines w:val="0"/>
        <w:pageBreakBefore w:val="0"/>
        <w:kinsoku/>
        <w:wordWrap/>
        <w:overflowPunct/>
        <w:topLinePunct w:val="0"/>
        <w:autoSpaceDE/>
        <w:autoSpaceDN/>
        <w:bidi w:val="0"/>
        <w:adjustRightInd/>
        <w:spacing w:line="480" w:lineRule="exact"/>
        <w:ind w:firstLine="420" w:firstLineChars="200"/>
        <w:textAlignment w:val="auto"/>
        <w:rPr>
          <w:rFonts w:ascii="宋体" w:hAnsi="宋体"/>
          <w:color w:val="000000" w:themeColor="text1"/>
          <w:szCs w:val="21"/>
          <w:highlight w:val="none"/>
          <w14:textFill>
            <w14:solidFill>
              <w14:schemeClr w14:val="tx1"/>
            </w14:solidFill>
          </w14:textFill>
        </w:rPr>
      </w:pPr>
      <w:bookmarkStart w:id="18" w:name="_Hlk51746371"/>
      <w:bookmarkStart w:id="19" w:name="_Toc28359004"/>
      <w:bookmarkStart w:id="20" w:name="_Toc35393792"/>
      <w:bookmarkStart w:id="21" w:name="_Toc35393623"/>
      <w:bookmarkStart w:id="22" w:name="_Toc28359081"/>
      <w:r>
        <w:rPr>
          <w:rFonts w:hint="eastAsia" w:ascii="宋体" w:hAnsi="宋体"/>
          <w:color w:val="000000" w:themeColor="text1"/>
          <w:szCs w:val="21"/>
          <w:highlight w:val="none"/>
          <w14:textFill>
            <w14:solidFill>
              <w14:schemeClr w14:val="tx1"/>
            </w14:solidFill>
          </w14:textFill>
        </w:rPr>
        <w:t>1.满足《中华人民共和国政府采购法》第二十二条规定；</w:t>
      </w:r>
    </w:p>
    <w:p w14:paraId="39C30DFD">
      <w:pPr>
        <w:keepNext w:val="0"/>
        <w:keepLines w:val="0"/>
        <w:pageBreakBefore w:val="0"/>
        <w:kinsoku/>
        <w:wordWrap/>
        <w:overflowPunct/>
        <w:topLinePunct w:val="0"/>
        <w:autoSpaceDE/>
        <w:autoSpaceDN/>
        <w:bidi w:val="0"/>
        <w:adjustRightInd/>
        <w:spacing w:line="480" w:lineRule="exact"/>
        <w:ind w:firstLine="420" w:firstLineChars="2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.落实政府采购政策需满足的资格要求：</w:t>
      </w:r>
      <w:r>
        <w:rPr>
          <w:rFonts w:hint="eastAsia" w:ascii="宋体" w:hAnsi="宋体"/>
          <w:color w:val="000000" w:themeColor="text1"/>
          <w:szCs w:val="21"/>
          <w:highlight w:val="none"/>
          <w:u w:val="single"/>
          <w:lang w:val="en-US" w:eastAsia="zh-CN"/>
          <w14:textFill>
            <w14:solidFill>
              <w14:schemeClr w14:val="tx1"/>
            </w14:solidFill>
          </w14:textFill>
        </w:rPr>
        <w:t>无</w:t>
      </w:r>
      <w:r>
        <w:rPr>
          <w:rFonts w:hint="eastAsia" w:ascii="宋体" w:hAnsi="宋体"/>
          <w:color w:val="000000" w:themeColor="text1"/>
          <w:szCs w:val="21"/>
          <w:highlight w:val="none"/>
          <w:u w:val="single"/>
          <w:lang w:eastAsia="zh-CN"/>
          <w14:textFill>
            <w14:solidFill>
              <w14:schemeClr w14:val="tx1"/>
            </w14:solidFill>
          </w14:textFill>
        </w:rPr>
        <w:t>。</w:t>
      </w:r>
    </w:p>
    <w:p w14:paraId="5600287C">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3.本项目的特定资格要求：</w:t>
      </w:r>
      <w:bookmarkEnd w:id="18"/>
      <w:r>
        <w:rPr>
          <w:rFonts w:hint="eastAsia" w:ascii="宋体" w:hAnsi="宋体"/>
          <w:color w:val="000000" w:themeColor="text1"/>
          <w:szCs w:val="21"/>
          <w:highlight w:val="none"/>
          <w14:textFill>
            <w14:solidFill>
              <w14:schemeClr w14:val="tx1"/>
            </w14:solidFill>
          </w14:textFill>
        </w:rPr>
        <w:t>投标人</w:t>
      </w:r>
      <w:r>
        <w:rPr>
          <w:color w:val="000000" w:themeColor="text1"/>
          <w:highlight w:val="none"/>
          <w14:textFill>
            <w14:solidFill>
              <w14:schemeClr w14:val="tx1"/>
            </w14:solidFill>
          </w14:textFill>
        </w:rPr>
        <w:t>按《医疗器械监督管理条例》（国务院令第739号）医疗器械分类管理要求具备有效的医疗器械经营备案凭证或者经营许可证，且经营范围必须包含采购标的[符合《医疗器械监督管理条例》第四十一条第二款规定的除外]；或者</w:t>
      </w:r>
      <w:r>
        <w:rPr>
          <w:rFonts w:hint="eastAsia"/>
          <w:color w:val="000000" w:themeColor="text1"/>
          <w:highlight w:val="none"/>
          <w14:textFill>
            <w14:solidFill>
              <w14:schemeClr w14:val="tx1"/>
            </w14:solidFill>
          </w14:textFill>
        </w:rPr>
        <w:t>投标人</w:t>
      </w:r>
      <w:r>
        <w:rPr>
          <w:color w:val="000000" w:themeColor="text1"/>
          <w:highlight w:val="none"/>
          <w14:textFill>
            <w14:solidFill>
              <w14:schemeClr w14:val="tx1"/>
            </w14:solidFill>
          </w14:textFill>
        </w:rPr>
        <w:t>具有《医疗器械监督管理条例》第四十三条规定的注册人凭证</w:t>
      </w:r>
      <w:r>
        <w:rPr>
          <w:rFonts w:hint="eastAsia" w:ascii="宋体" w:hAnsi="宋体"/>
          <w:iCs/>
          <w:color w:val="000000" w:themeColor="text1"/>
          <w:szCs w:val="21"/>
          <w:highlight w:val="none"/>
          <w14:textFill>
            <w14:solidFill>
              <w14:schemeClr w14:val="tx1"/>
            </w14:solidFill>
          </w14:textFill>
        </w:rPr>
        <w:t>。</w:t>
      </w:r>
    </w:p>
    <w:p w14:paraId="1C23541B">
      <w:pPr>
        <w:keepNext w:val="0"/>
        <w:keepLines w:val="0"/>
        <w:pageBreakBefore w:val="0"/>
        <w:kinsoku/>
        <w:wordWrap/>
        <w:overflowPunct/>
        <w:topLinePunct w:val="0"/>
        <w:autoSpaceDE/>
        <w:autoSpaceDN/>
        <w:bidi w:val="0"/>
        <w:adjustRightInd/>
        <w:spacing w:line="480" w:lineRule="exact"/>
        <w:textAlignment w:val="auto"/>
        <w:rPr>
          <w:rFonts w:ascii="黑体" w:hAnsi="黑体" w:eastAsia="黑体"/>
          <w:b/>
          <w:bCs/>
          <w:color w:val="000000" w:themeColor="text1"/>
          <w:sz w:val="24"/>
          <w:highlight w:val="none"/>
          <w14:textFill>
            <w14:solidFill>
              <w14:schemeClr w14:val="tx1"/>
            </w14:solidFill>
          </w14:textFill>
        </w:rPr>
      </w:pPr>
      <w:r>
        <w:rPr>
          <w:rFonts w:hint="eastAsia" w:ascii="黑体" w:hAnsi="黑体" w:eastAsia="黑体"/>
          <w:b/>
          <w:bCs/>
          <w:color w:val="000000" w:themeColor="text1"/>
          <w:sz w:val="24"/>
          <w:highlight w:val="none"/>
          <w14:textFill>
            <w14:solidFill>
              <w14:schemeClr w14:val="tx1"/>
            </w14:solidFill>
          </w14:textFill>
        </w:rPr>
        <w:t>三、获取招标文件</w:t>
      </w:r>
      <w:bookmarkEnd w:id="19"/>
      <w:bookmarkEnd w:id="20"/>
      <w:bookmarkEnd w:id="21"/>
      <w:bookmarkEnd w:id="22"/>
    </w:p>
    <w:p w14:paraId="471FD62B">
      <w:pPr>
        <w:keepNext w:val="0"/>
        <w:keepLines w:val="0"/>
        <w:pageBreakBefore w:val="0"/>
        <w:kinsoku/>
        <w:wordWrap/>
        <w:overflowPunct/>
        <w:topLinePunct w:val="0"/>
        <w:autoSpaceDE/>
        <w:autoSpaceDN/>
        <w:bidi w:val="0"/>
        <w:adjustRightInd/>
        <w:spacing w:line="480" w:lineRule="exact"/>
        <w:ind w:firstLine="540"/>
        <w:textAlignment w:val="auto"/>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时间：</w:t>
      </w:r>
      <w:r>
        <w:rPr>
          <w:rFonts w:ascii="宋体" w:hAnsi="宋体" w:cs="宋体"/>
          <w:bCs/>
          <w:color w:val="000000" w:themeColor="text1"/>
          <w:kern w:val="0"/>
          <w:szCs w:val="21"/>
          <w:highlight w:val="none"/>
          <w14:textFill>
            <w14:solidFill>
              <w14:schemeClr w14:val="tx1"/>
            </w14:solidFill>
          </w14:textFill>
        </w:rPr>
        <w:t xml:space="preserve"> </w:t>
      </w:r>
      <w:r>
        <w:rPr>
          <w:rFonts w:ascii="宋体" w:hAnsi="宋体" w:cs="宋体"/>
          <w:bCs/>
          <w:color w:val="000000" w:themeColor="text1"/>
          <w:kern w:val="0"/>
          <w:szCs w:val="21"/>
          <w:highlight w:val="none"/>
          <w:u w:val="single"/>
          <w14:textFill>
            <w14:solidFill>
              <w14:schemeClr w14:val="tx1"/>
            </w14:solidFill>
          </w14:textFill>
        </w:rPr>
        <w:t xml:space="preserve"> </w:t>
      </w:r>
      <w:r>
        <w:rPr>
          <w:rFonts w:hint="eastAsia" w:ascii="宋体" w:hAnsi="宋体" w:cs="宋体"/>
          <w:bCs/>
          <w:color w:val="000000" w:themeColor="text1"/>
          <w:kern w:val="0"/>
          <w:szCs w:val="21"/>
          <w:highlight w:val="none"/>
          <w:u w:val="single"/>
          <w14:textFill>
            <w14:solidFill>
              <w14:schemeClr w14:val="tx1"/>
            </w14:solidFill>
          </w14:textFill>
        </w:rPr>
        <w:t>202</w:t>
      </w:r>
      <w:r>
        <w:rPr>
          <w:rFonts w:hint="eastAsia" w:ascii="宋体" w:hAnsi="宋体" w:cs="宋体"/>
          <w:bCs/>
          <w:color w:val="000000" w:themeColor="text1"/>
          <w:kern w:val="0"/>
          <w:szCs w:val="21"/>
          <w:highlight w:val="none"/>
          <w:u w:val="single"/>
          <w:lang w:val="en-US" w:eastAsia="zh-CN"/>
          <w14:textFill>
            <w14:solidFill>
              <w14:schemeClr w14:val="tx1"/>
            </w14:solidFill>
          </w14:textFill>
        </w:rPr>
        <w:t>6</w:t>
      </w:r>
      <w:r>
        <w:rPr>
          <w:rFonts w:hint="eastAsia" w:ascii="宋体" w:hAnsi="宋体" w:cs="宋体"/>
          <w:bCs/>
          <w:color w:val="000000" w:themeColor="text1"/>
          <w:kern w:val="0"/>
          <w:szCs w:val="21"/>
          <w:highlight w:val="none"/>
          <w:u w:val="single"/>
          <w14:textFill>
            <w14:solidFill>
              <w14:schemeClr w14:val="tx1"/>
            </w14:solidFill>
          </w14:textFill>
        </w:rPr>
        <w:t>年</w:t>
      </w:r>
      <w:r>
        <w:rPr>
          <w:rFonts w:hint="eastAsia" w:ascii="宋体" w:hAnsi="宋体" w:cs="宋体"/>
          <w:bCs/>
          <w:color w:val="000000" w:themeColor="text1"/>
          <w:kern w:val="0"/>
          <w:szCs w:val="21"/>
          <w:highlight w:val="none"/>
          <w:u w:val="single"/>
          <w:lang w:val="en-US" w:eastAsia="zh-CN"/>
          <w14:textFill>
            <w14:solidFill>
              <w14:schemeClr w14:val="tx1"/>
            </w14:solidFill>
          </w14:textFill>
        </w:rPr>
        <w:t>3</w:t>
      </w:r>
      <w:r>
        <w:rPr>
          <w:rFonts w:hint="eastAsia" w:ascii="宋体" w:hAnsi="宋体" w:cs="宋体"/>
          <w:bCs/>
          <w:color w:val="000000" w:themeColor="text1"/>
          <w:kern w:val="0"/>
          <w:szCs w:val="21"/>
          <w:highlight w:val="none"/>
          <w:u w:val="single"/>
          <w14:textFill>
            <w14:solidFill>
              <w14:schemeClr w14:val="tx1"/>
            </w14:solidFill>
          </w14:textFill>
        </w:rPr>
        <w:t>月</w:t>
      </w:r>
      <w:r>
        <w:rPr>
          <w:rFonts w:hint="eastAsia" w:ascii="宋体" w:hAnsi="宋体" w:cs="宋体"/>
          <w:bCs/>
          <w:color w:val="000000" w:themeColor="text1"/>
          <w:kern w:val="0"/>
          <w:szCs w:val="21"/>
          <w:highlight w:val="none"/>
          <w:u w:val="single"/>
          <w:lang w:val="en-US" w:eastAsia="zh-CN"/>
          <w14:textFill>
            <w14:solidFill>
              <w14:schemeClr w14:val="tx1"/>
            </w14:solidFill>
          </w14:textFill>
        </w:rPr>
        <w:t>9</w:t>
      </w:r>
      <w:r>
        <w:rPr>
          <w:rFonts w:hint="eastAsia" w:ascii="宋体" w:hAnsi="宋体" w:cs="宋体"/>
          <w:bCs/>
          <w:color w:val="000000" w:themeColor="text1"/>
          <w:kern w:val="0"/>
          <w:szCs w:val="21"/>
          <w:highlight w:val="none"/>
          <w:u w:val="single"/>
          <w14:textFill>
            <w14:solidFill>
              <w14:schemeClr w14:val="tx1"/>
            </w14:solidFill>
          </w14:textFill>
        </w:rPr>
        <w:t>日</w:t>
      </w:r>
      <w:r>
        <w:rPr>
          <w:rFonts w:hint="eastAsia" w:ascii="宋体" w:hAnsi="宋体" w:cs="宋体"/>
          <w:bCs/>
          <w:color w:val="000000" w:themeColor="text1"/>
          <w:kern w:val="0"/>
          <w:szCs w:val="21"/>
          <w:highlight w:val="none"/>
          <w14:textFill>
            <w14:solidFill>
              <w14:schemeClr w14:val="tx1"/>
            </w14:solidFill>
          </w14:textFill>
        </w:rPr>
        <w:t>至</w:t>
      </w:r>
      <w:r>
        <w:rPr>
          <w:rFonts w:hint="eastAsia" w:ascii="宋体" w:hAnsi="宋体" w:cs="宋体"/>
          <w:bCs/>
          <w:color w:val="000000" w:themeColor="text1"/>
          <w:kern w:val="0"/>
          <w:szCs w:val="21"/>
          <w:highlight w:val="none"/>
          <w:u w:val="single"/>
          <w14:textFill>
            <w14:solidFill>
              <w14:schemeClr w14:val="tx1"/>
            </w14:solidFill>
          </w14:textFill>
        </w:rPr>
        <w:t>202</w:t>
      </w:r>
      <w:r>
        <w:rPr>
          <w:rFonts w:hint="eastAsia" w:ascii="宋体" w:hAnsi="宋体" w:cs="宋体"/>
          <w:bCs/>
          <w:color w:val="000000" w:themeColor="text1"/>
          <w:kern w:val="0"/>
          <w:szCs w:val="21"/>
          <w:highlight w:val="none"/>
          <w:u w:val="single"/>
          <w:lang w:val="en-US" w:eastAsia="zh-CN"/>
          <w14:textFill>
            <w14:solidFill>
              <w14:schemeClr w14:val="tx1"/>
            </w14:solidFill>
          </w14:textFill>
        </w:rPr>
        <w:t>6</w:t>
      </w:r>
      <w:r>
        <w:rPr>
          <w:rFonts w:hint="eastAsia" w:ascii="宋体" w:hAnsi="宋体" w:cs="宋体"/>
          <w:bCs/>
          <w:color w:val="000000" w:themeColor="text1"/>
          <w:kern w:val="0"/>
          <w:szCs w:val="21"/>
          <w:highlight w:val="none"/>
          <w:u w:val="single"/>
          <w14:textFill>
            <w14:solidFill>
              <w14:schemeClr w14:val="tx1"/>
            </w14:solidFill>
          </w14:textFill>
        </w:rPr>
        <w:t>年</w:t>
      </w:r>
      <w:r>
        <w:rPr>
          <w:rFonts w:hint="eastAsia" w:ascii="宋体" w:hAnsi="宋体" w:cs="宋体"/>
          <w:bCs/>
          <w:color w:val="000000" w:themeColor="text1"/>
          <w:kern w:val="0"/>
          <w:szCs w:val="21"/>
          <w:highlight w:val="none"/>
          <w:u w:val="single"/>
          <w:lang w:val="en-US" w:eastAsia="zh-CN"/>
          <w14:textFill>
            <w14:solidFill>
              <w14:schemeClr w14:val="tx1"/>
            </w14:solidFill>
          </w14:textFill>
        </w:rPr>
        <w:t>3</w:t>
      </w:r>
      <w:r>
        <w:rPr>
          <w:rFonts w:hint="eastAsia" w:ascii="宋体" w:hAnsi="宋体" w:cs="宋体"/>
          <w:bCs/>
          <w:color w:val="000000" w:themeColor="text1"/>
          <w:kern w:val="0"/>
          <w:szCs w:val="21"/>
          <w:highlight w:val="none"/>
          <w:u w:val="single"/>
          <w14:textFill>
            <w14:solidFill>
              <w14:schemeClr w14:val="tx1"/>
            </w14:solidFill>
          </w14:textFill>
        </w:rPr>
        <w:t>月</w:t>
      </w:r>
      <w:r>
        <w:rPr>
          <w:rFonts w:hint="eastAsia" w:ascii="宋体" w:hAnsi="宋体" w:cs="宋体"/>
          <w:bCs/>
          <w:color w:val="000000" w:themeColor="text1"/>
          <w:kern w:val="0"/>
          <w:szCs w:val="21"/>
          <w:highlight w:val="none"/>
          <w:u w:val="single"/>
          <w:lang w:val="en-US" w:eastAsia="zh-CN"/>
          <w14:textFill>
            <w14:solidFill>
              <w14:schemeClr w14:val="tx1"/>
            </w14:solidFill>
          </w14:textFill>
        </w:rPr>
        <w:t>16</w:t>
      </w:r>
      <w:r>
        <w:rPr>
          <w:rFonts w:hint="eastAsia" w:ascii="宋体" w:hAnsi="宋体" w:cs="宋体"/>
          <w:bCs/>
          <w:color w:val="000000" w:themeColor="text1"/>
          <w:kern w:val="0"/>
          <w:szCs w:val="21"/>
          <w:highlight w:val="none"/>
          <w:u w:val="single"/>
          <w14:textFill>
            <w14:solidFill>
              <w14:schemeClr w14:val="tx1"/>
            </w14:solidFill>
          </w14:textFill>
        </w:rPr>
        <w:t>日</w:t>
      </w:r>
      <w:r>
        <w:rPr>
          <w:rFonts w:hint="eastAsia" w:ascii="宋体" w:hAnsi="宋体" w:cs="宋体"/>
          <w:bCs/>
          <w:color w:val="000000" w:themeColor="text1"/>
          <w:kern w:val="0"/>
          <w:szCs w:val="21"/>
          <w:highlight w:val="none"/>
          <w14:textFill>
            <w14:solidFill>
              <w14:schemeClr w14:val="tx1"/>
            </w14:solidFill>
          </w14:textFill>
        </w:rPr>
        <w:t>，每天上午</w:t>
      </w:r>
      <w:r>
        <w:rPr>
          <w:rFonts w:hint="eastAsia" w:ascii="宋体" w:hAnsi="宋体" w:cs="宋体"/>
          <w:bCs/>
          <w:color w:val="000000" w:themeColor="text1"/>
          <w:kern w:val="0"/>
          <w:szCs w:val="21"/>
          <w:highlight w:val="none"/>
          <w:u w:val="single"/>
          <w14:textFill>
            <w14:solidFill>
              <w14:schemeClr w14:val="tx1"/>
            </w14:solidFill>
          </w14:textFill>
        </w:rPr>
        <w:t>8：00至12：00　</w:t>
      </w:r>
      <w:r>
        <w:rPr>
          <w:rFonts w:hint="eastAsia" w:ascii="宋体" w:hAnsi="宋体" w:cs="宋体"/>
          <w:bCs/>
          <w:color w:val="000000" w:themeColor="text1"/>
          <w:kern w:val="0"/>
          <w:szCs w:val="21"/>
          <w:highlight w:val="none"/>
          <w14:textFill>
            <w14:solidFill>
              <w14:schemeClr w14:val="tx1"/>
            </w14:solidFill>
          </w14:textFill>
        </w:rPr>
        <w:t>，</w:t>
      </w:r>
      <w:r>
        <w:rPr>
          <w:rFonts w:hint="eastAsia" w:ascii="宋体" w:hAnsi="宋体" w:cs="宋体"/>
          <w:bCs/>
          <w:color w:val="000000" w:themeColor="text1"/>
          <w:kern w:val="0"/>
          <w:szCs w:val="21"/>
          <w:highlight w:val="none"/>
          <w:u w:val="single"/>
          <w14:textFill>
            <w14:solidFill>
              <w14:schemeClr w14:val="tx1"/>
            </w14:solidFill>
          </w14:textFill>
        </w:rPr>
        <w:t>下午3：00至6：00</w:t>
      </w:r>
      <w:r>
        <w:rPr>
          <w:rFonts w:hint="eastAsia" w:ascii="宋体" w:hAnsi="宋体" w:cs="宋体"/>
          <w:bCs/>
          <w:color w:val="000000" w:themeColor="text1"/>
          <w:kern w:val="0"/>
          <w:szCs w:val="21"/>
          <w:highlight w:val="none"/>
          <w14:textFill>
            <w14:solidFill>
              <w14:schemeClr w14:val="tx1"/>
            </w14:solidFill>
          </w14:textFill>
        </w:rPr>
        <w:t>（北京时间，</w:t>
      </w:r>
      <w:r>
        <w:rPr>
          <w:rFonts w:ascii="宋体" w:hAnsi="宋体" w:cs="宋体"/>
          <w:bCs/>
          <w:color w:val="000000" w:themeColor="text1"/>
          <w:kern w:val="0"/>
          <w:szCs w:val="21"/>
          <w:highlight w:val="none"/>
          <w14:textFill>
            <w14:solidFill>
              <w14:schemeClr w14:val="tx1"/>
            </w14:solidFill>
          </w14:textFill>
        </w:rPr>
        <w:t>法定节假日</w:t>
      </w:r>
      <w:r>
        <w:rPr>
          <w:rFonts w:hint="eastAsia" w:ascii="宋体" w:hAnsi="宋体" w:cs="宋体"/>
          <w:bCs/>
          <w:color w:val="000000" w:themeColor="text1"/>
          <w:kern w:val="0"/>
          <w:szCs w:val="21"/>
          <w:highlight w:val="none"/>
          <w14:textFill>
            <w14:solidFill>
              <w14:schemeClr w14:val="tx1"/>
            </w14:solidFill>
          </w14:textFill>
        </w:rPr>
        <w:t>除外）</w:t>
      </w:r>
    </w:p>
    <w:p w14:paraId="5E3A88EE">
      <w:pPr>
        <w:keepNext w:val="0"/>
        <w:keepLines w:val="0"/>
        <w:pageBreakBefore w:val="0"/>
        <w:kinsoku/>
        <w:wordWrap/>
        <w:overflowPunct/>
        <w:topLinePunct w:val="0"/>
        <w:autoSpaceDE/>
        <w:autoSpaceDN/>
        <w:bidi w:val="0"/>
        <w:adjustRightInd/>
        <w:spacing w:line="480" w:lineRule="exact"/>
        <w:ind w:firstLine="540"/>
        <w:textAlignment w:val="auto"/>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地点：</w:t>
      </w:r>
      <w:r>
        <w:rPr>
          <w:rFonts w:hint="eastAsia" w:ascii="宋体" w:hAnsi="宋体"/>
          <w:color w:val="000000" w:themeColor="text1"/>
          <w:szCs w:val="21"/>
          <w:highlight w:val="none"/>
          <w14:textFill>
            <w14:solidFill>
              <w14:schemeClr w14:val="tx1"/>
            </w14:solidFill>
          </w14:textFill>
        </w:rPr>
        <w:t>广西政府采购云平台（</w:t>
      </w:r>
      <w:r>
        <w:rPr>
          <w:rFonts w:hint="eastAsia" w:ascii="宋体" w:hAnsi="宋体"/>
          <w:bCs/>
          <w:color w:val="000000" w:themeColor="text1"/>
          <w:szCs w:val="21"/>
          <w:highlight w:val="none"/>
          <w:lang w:eastAsia="zh-CN"/>
          <w14:textFill>
            <w14:solidFill>
              <w14:schemeClr w14:val="tx1"/>
            </w14:solidFill>
          </w14:textFill>
        </w:rPr>
        <w:t>https://www.gcy.zfcg.gxzf.gov.cn/</w:t>
      </w:r>
      <w:r>
        <w:rPr>
          <w:rFonts w:hint="eastAsia" w:ascii="宋体" w:hAnsi="宋体"/>
          <w:color w:val="000000" w:themeColor="text1"/>
          <w:szCs w:val="21"/>
          <w:highlight w:val="none"/>
          <w14:textFill>
            <w14:solidFill>
              <w14:schemeClr w14:val="tx1"/>
            </w14:solidFill>
          </w14:textFill>
        </w:rPr>
        <w:t>）</w:t>
      </w:r>
    </w:p>
    <w:p w14:paraId="5FDCCADB">
      <w:pPr>
        <w:keepNext w:val="0"/>
        <w:keepLines w:val="0"/>
        <w:pageBreakBefore w:val="0"/>
        <w:kinsoku/>
        <w:wordWrap/>
        <w:overflowPunct/>
        <w:topLinePunct w:val="0"/>
        <w:autoSpaceDE/>
        <w:autoSpaceDN/>
        <w:bidi w:val="0"/>
        <w:adjustRightInd/>
        <w:spacing w:line="480" w:lineRule="exact"/>
        <w:ind w:firstLine="540"/>
        <w:textAlignment w:val="auto"/>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方式：网上下载。本项目不提供纸质文件，潜在供应商需在</w:t>
      </w:r>
      <w:r>
        <w:rPr>
          <w:rFonts w:hint="eastAsia" w:ascii="宋体" w:hAnsi="宋体"/>
          <w:color w:val="000000" w:themeColor="text1"/>
          <w:szCs w:val="21"/>
          <w:highlight w:val="none"/>
          <w14:textFill>
            <w14:solidFill>
              <w14:schemeClr w14:val="tx1"/>
            </w14:solidFill>
          </w14:textFill>
        </w:rPr>
        <w:t>广西政府采购云平台（</w:t>
      </w:r>
      <w:r>
        <w:rPr>
          <w:rFonts w:hint="eastAsia" w:ascii="宋体" w:hAnsi="宋体"/>
          <w:bCs/>
          <w:color w:val="000000" w:themeColor="text1"/>
          <w:szCs w:val="21"/>
          <w:highlight w:val="none"/>
          <w:lang w:eastAsia="zh-CN"/>
          <w14:textFill>
            <w14:solidFill>
              <w14:schemeClr w14:val="tx1"/>
            </w14:solidFill>
          </w14:textFill>
        </w:rPr>
        <w:t>https://www.gcy.zfcg.gxzf.gov.cn/</w:t>
      </w:r>
      <w:r>
        <w:rPr>
          <w:rFonts w:hint="eastAsia" w:ascii="宋体" w:hAnsi="宋体"/>
          <w:color w:val="000000" w:themeColor="text1"/>
          <w:szCs w:val="21"/>
          <w:highlight w:val="none"/>
          <w14:textFill>
            <w14:solidFill>
              <w14:schemeClr w14:val="tx1"/>
            </w14:solidFill>
          </w14:textFill>
        </w:rPr>
        <w:t>）</w:t>
      </w:r>
      <w:r>
        <w:rPr>
          <w:rFonts w:hint="eastAsia" w:ascii="宋体" w:hAnsi="宋体" w:cs="宋体"/>
          <w:bCs/>
          <w:color w:val="000000" w:themeColor="text1"/>
          <w:kern w:val="0"/>
          <w:szCs w:val="21"/>
          <w:highlight w:val="none"/>
          <w14:textFill>
            <w14:solidFill>
              <w14:schemeClr w14:val="tx1"/>
            </w14:solidFill>
          </w14:textFill>
        </w:rPr>
        <w:t>-进入“项目采购”应用，在获取招标文件菜单中选择项目，获取招标文件。</w:t>
      </w:r>
      <w:r>
        <w:rPr>
          <w:rFonts w:hint="eastAsia" w:ascii="宋体" w:hAnsi="宋体"/>
          <w:color w:val="000000" w:themeColor="text1"/>
          <w:szCs w:val="21"/>
          <w:highlight w:val="none"/>
          <w14:textFill>
            <w14:solidFill>
              <w14:schemeClr w14:val="tx1"/>
            </w14:solidFill>
          </w14:textFill>
        </w:rPr>
        <w:t>电子投标文件制作需要基于广西政府采购云平台获取的招标文件编制，</w:t>
      </w:r>
      <w:r>
        <w:rPr>
          <w:rFonts w:hint="eastAsia" w:ascii="宋体" w:hAnsi="宋体" w:cs="宋体"/>
          <w:bCs/>
          <w:color w:val="000000" w:themeColor="text1"/>
          <w:kern w:val="0"/>
          <w:szCs w:val="21"/>
          <w:highlight w:val="none"/>
          <w14:textFill>
            <w14:solidFill>
              <w14:schemeClr w14:val="tx1"/>
            </w14:solidFill>
          </w14:textFill>
        </w:rPr>
        <w:t>通过其他方式获取招标文件的，将有可能导致供应商无法在</w:t>
      </w:r>
      <w:r>
        <w:rPr>
          <w:rFonts w:hint="eastAsia" w:ascii="宋体" w:hAnsi="宋体"/>
          <w:color w:val="000000" w:themeColor="text1"/>
          <w:szCs w:val="21"/>
          <w:highlight w:val="none"/>
          <w14:textFill>
            <w14:solidFill>
              <w14:schemeClr w14:val="tx1"/>
            </w14:solidFill>
          </w14:textFill>
        </w:rPr>
        <w:t>广西政府采购云平台</w:t>
      </w:r>
      <w:r>
        <w:rPr>
          <w:rFonts w:hint="eastAsia" w:ascii="宋体" w:hAnsi="宋体" w:cs="宋体"/>
          <w:bCs/>
          <w:color w:val="000000" w:themeColor="text1"/>
          <w:kern w:val="0"/>
          <w:szCs w:val="21"/>
          <w:highlight w:val="none"/>
          <w14:textFill>
            <w14:solidFill>
              <w14:schemeClr w14:val="tx1"/>
            </w14:solidFill>
          </w14:textFill>
        </w:rPr>
        <w:t>编制及上传投标文件。</w:t>
      </w:r>
    </w:p>
    <w:p w14:paraId="29D75E92">
      <w:pPr>
        <w:keepNext w:val="0"/>
        <w:keepLines w:val="0"/>
        <w:pageBreakBefore w:val="0"/>
        <w:kinsoku/>
        <w:wordWrap/>
        <w:overflowPunct/>
        <w:topLinePunct w:val="0"/>
        <w:autoSpaceDE/>
        <w:autoSpaceDN/>
        <w:bidi w:val="0"/>
        <w:adjustRightInd/>
        <w:spacing w:line="480" w:lineRule="exact"/>
        <w:ind w:firstLine="540"/>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售价：</w:t>
      </w:r>
      <w:r>
        <w:rPr>
          <w:rFonts w:hint="eastAsia" w:ascii="宋体" w:hAnsi="宋体" w:cs="宋体"/>
          <w:i/>
          <w:color w:val="000000" w:themeColor="text1"/>
          <w:szCs w:val="21"/>
          <w:highlight w:val="none"/>
          <w:u w:val="single"/>
          <w14:textFill>
            <w14:solidFill>
              <w14:schemeClr w14:val="tx1"/>
            </w14:solidFill>
          </w14:textFill>
        </w:rPr>
        <w:t>0</w:t>
      </w:r>
      <w:r>
        <w:rPr>
          <w:rFonts w:hint="eastAsia" w:ascii="宋体" w:hAnsi="宋体" w:cs="宋体"/>
          <w:color w:val="000000" w:themeColor="text1"/>
          <w:szCs w:val="21"/>
          <w:highlight w:val="none"/>
          <w14:textFill>
            <w14:solidFill>
              <w14:schemeClr w14:val="tx1"/>
            </w14:solidFill>
          </w14:textFill>
        </w:rPr>
        <w:t>元</w:t>
      </w:r>
    </w:p>
    <w:p w14:paraId="0EF05E87">
      <w:pPr>
        <w:keepNext w:val="0"/>
        <w:keepLines w:val="0"/>
        <w:pageBreakBefore w:val="0"/>
        <w:kinsoku/>
        <w:wordWrap/>
        <w:overflowPunct/>
        <w:topLinePunct w:val="0"/>
        <w:autoSpaceDE/>
        <w:autoSpaceDN/>
        <w:bidi w:val="0"/>
        <w:adjustRightInd/>
        <w:spacing w:line="480" w:lineRule="exact"/>
        <w:textAlignment w:val="auto"/>
        <w:rPr>
          <w:rFonts w:ascii="黑体" w:hAnsi="黑体" w:eastAsia="黑体"/>
          <w:b/>
          <w:bCs/>
          <w:color w:val="000000" w:themeColor="text1"/>
          <w:sz w:val="24"/>
          <w:highlight w:val="none"/>
          <w14:textFill>
            <w14:solidFill>
              <w14:schemeClr w14:val="tx1"/>
            </w14:solidFill>
          </w14:textFill>
        </w:rPr>
      </w:pPr>
      <w:bookmarkStart w:id="23" w:name="_Toc28359082"/>
      <w:bookmarkStart w:id="24" w:name="_Toc28359005"/>
      <w:bookmarkStart w:id="25" w:name="_Toc35393793"/>
      <w:bookmarkStart w:id="26" w:name="_Toc35393624"/>
      <w:r>
        <w:rPr>
          <w:rFonts w:hint="eastAsia" w:ascii="黑体" w:hAnsi="黑体" w:eastAsia="黑体"/>
          <w:b/>
          <w:bCs/>
          <w:color w:val="000000" w:themeColor="text1"/>
          <w:sz w:val="24"/>
          <w:highlight w:val="none"/>
          <w14:textFill>
            <w14:solidFill>
              <w14:schemeClr w14:val="tx1"/>
            </w14:solidFill>
          </w14:textFill>
        </w:rPr>
        <w:t>四、提交投标文件</w:t>
      </w:r>
      <w:bookmarkEnd w:id="23"/>
      <w:bookmarkEnd w:id="24"/>
      <w:r>
        <w:rPr>
          <w:rFonts w:hint="eastAsia" w:ascii="黑体" w:hAnsi="黑体" w:eastAsia="黑体"/>
          <w:b/>
          <w:bCs/>
          <w:color w:val="000000" w:themeColor="text1"/>
          <w:sz w:val="24"/>
          <w:highlight w:val="none"/>
          <w14:textFill>
            <w14:solidFill>
              <w14:schemeClr w14:val="tx1"/>
            </w14:solidFill>
          </w14:textFill>
        </w:rPr>
        <w:t>截止时间、开标时间和地点</w:t>
      </w:r>
      <w:bookmarkEnd w:id="25"/>
      <w:bookmarkEnd w:id="26"/>
    </w:p>
    <w:p w14:paraId="14D373E3">
      <w:pPr>
        <w:keepNext w:val="0"/>
        <w:keepLines w:val="0"/>
        <w:pageBreakBefore w:val="0"/>
        <w:kinsoku/>
        <w:wordWrap/>
        <w:overflowPunct/>
        <w:topLinePunct w:val="0"/>
        <w:autoSpaceDE/>
        <w:autoSpaceDN/>
        <w:bidi w:val="0"/>
        <w:adjustRightInd/>
        <w:spacing w:line="480" w:lineRule="exact"/>
        <w:ind w:firstLine="420" w:firstLineChars="200"/>
        <w:textAlignment w:val="auto"/>
        <w:rPr>
          <w:rFonts w:hint="eastAsia" w:ascii="宋体" w:hAnsi="宋体" w:cs="宋体"/>
          <w:iCs/>
          <w:color w:val="000000" w:themeColor="text1"/>
          <w:szCs w:val="21"/>
          <w:highlight w:val="none"/>
          <w:u w:val="single"/>
          <w14:textFill>
            <w14:solidFill>
              <w14:schemeClr w14:val="tx1"/>
            </w14:solidFill>
          </w14:textFill>
        </w:rPr>
      </w:pPr>
      <w:bookmarkStart w:id="27" w:name="_Toc35393794"/>
      <w:bookmarkStart w:id="28" w:name="_Toc28359007"/>
      <w:bookmarkStart w:id="29" w:name="_Toc28359084"/>
      <w:bookmarkStart w:id="30" w:name="_Toc35393625"/>
      <w:r>
        <w:rPr>
          <w:rFonts w:hint="eastAsia" w:ascii="宋体" w:hAnsi="宋体"/>
          <w:color w:val="000000" w:themeColor="text1"/>
          <w:szCs w:val="21"/>
          <w:highlight w:val="none"/>
          <w:u w:val="single"/>
          <w14:textFill>
            <w14:solidFill>
              <w14:schemeClr w14:val="tx1"/>
            </w14:solidFill>
          </w14:textFill>
        </w:rPr>
        <w:t>202</w:t>
      </w:r>
      <w:r>
        <w:rPr>
          <w:rFonts w:hint="eastAsia" w:ascii="宋体" w:hAnsi="宋体"/>
          <w:color w:val="000000" w:themeColor="text1"/>
          <w:szCs w:val="21"/>
          <w:highlight w:val="none"/>
          <w:u w:val="single"/>
          <w:lang w:val="en-US" w:eastAsia="zh-CN"/>
          <w14:textFill>
            <w14:solidFill>
              <w14:schemeClr w14:val="tx1"/>
            </w14:solidFill>
          </w14:textFill>
        </w:rPr>
        <w:t>6</w:t>
      </w:r>
      <w:r>
        <w:rPr>
          <w:rFonts w:hint="eastAsia" w:ascii="宋体" w:hAnsi="宋体"/>
          <w:bCs/>
          <w:color w:val="000000" w:themeColor="text1"/>
          <w:szCs w:val="21"/>
          <w:highlight w:val="none"/>
          <w:u w:val="single"/>
          <w14:textFill>
            <w14:solidFill>
              <w14:schemeClr w14:val="tx1"/>
            </w14:solidFill>
          </w14:textFill>
        </w:rPr>
        <w:t>年</w:t>
      </w:r>
      <w:r>
        <w:rPr>
          <w:rFonts w:hint="eastAsia" w:ascii="宋体" w:hAnsi="宋体"/>
          <w:bCs/>
          <w:color w:val="000000" w:themeColor="text1"/>
          <w:szCs w:val="21"/>
          <w:highlight w:val="none"/>
          <w:u w:val="single"/>
          <w:lang w:val="en-US" w:eastAsia="zh-CN"/>
          <w14:textFill>
            <w14:solidFill>
              <w14:schemeClr w14:val="tx1"/>
            </w14:solidFill>
          </w14:textFill>
        </w:rPr>
        <w:t>3</w:t>
      </w:r>
      <w:r>
        <w:rPr>
          <w:rFonts w:hint="eastAsia" w:ascii="宋体" w:hAnsi="宋体"/>
          <w:bCs/>
          <w:color w:val="000000" w:themeColor="text1"/>
          <w:szCs w:val="21"/>
          <w:highlight w:val="none"/>
          <w:u w:val="single"/>
          <w14:textFill>
            <w14:solidFill>
              <w14:schemeClr w14:val="tx1"/>
            </w14:solidFill>
          </w14:textFill>
        </w:rPr>
        <w:t>月</w:t>
      </w:r>
      <w:r>
        <w:rPr>
          <w:rFonts w:hint="eastAsia" w:ascii="宋体" w:hAnsi="宋体"/>
          <w:bCs/>
          <w:color w:val="000000" w:themeColor="text1"/>
          <w:szCs w:val="21"/>
          <w:highlight w:val="none"/>
          <w:u w:val="single"/>
          <w:lang w:val="en-US" w:eastAsia="zh-CN"/>
          <w14:textFill>
            <w14:solidFill>
              <w14:schemeClr w14:val="tx1"/>
            </w14:solidFill>
          </w14:textFill>
        </w:rPr>
        <w:t>30</w:t>
      </w:r>
      <w:r>
        <w:rPr>
          <w:rFonts w:hint="eastAsia" w:ascii="宋体" w:hAnsi="宋体"/>
          <w:bCs/>
          <w:color w:val="000000" w:themeColor="text1"/>
          <w:szCs w:val="21"/>
          <w:highlight w:val="none"/>
          <w:u w:val="single"/>
          <w14:textFill>
            <w14:solidFill>
              <w14:schemeClr w14:val="tx1"/>
            </w14:solidFill>
          </w14:textFill>
        </w:rPr>
        <w:t>日</w:t>
      </w:r>
      <w:r>
        <w:rPr>
          <w:rFonts w:hint="eastAsia" w:ascii="宋体" w:hAnsi="宋体"/>
          <w:bCs/>
          <w:color w:val="000000" w:themeColor="text1"/>
          <w:szCs w:val="21"/>
          <w:highlight w:val="none"/>
          <w:u w:val="single"/>
          <w:lang w:val="en-US" w:eastAsia="zh-CN"/>
          <w14:textFill>
            <w14:solidFill>
              <w14:schemeClr w14:val="tx1"/>
            </w14:solidFill>
          </w14:textFill>
        </w:rPr>
        <w:t>9</w:t>
      </w:r>
      <w:r>
        <w:rPr>
          <w:rFonts w:hint="eastAsia" w:ascii="宋体" w:hAnsi="宋体"/>
          <w:bCs/>
          <w:color w:val="000000" w:themeColor="text1"/>
          <w:szCs w:val="21"/>
          <w:highlight w:val="none"/>
          <w:u w:val="single"/>
          <w14:textFill>
            <w14:solidFill>
              <w14:schemeClr w14:val="tx1"/>
            </w14:solidFill>
          </w14:textFill>
        </w:rPr>
        <w:t>时</w:t>
      </w:r>
      <w:r>
        <w:rPr>
          <w:rFonts w:hint="eastAsia" w:ascii="宋体" w:hAnsi="宋体"/>
          <w:bCs/>
          <w:color w:val="000000" w:themeColor="text1"/>
          <w:szCs w:val="21"/>
          <w:highlight w:val="none"/>
          <w:u w:val="single"/>
          <w:lang w:val="en-US" w:eastAsia="zh-CN"/>
          <w14:textFill>
            <w14:solidFill>
              <w14:schemeClr w14:val="tx1"/>
            </w14:solidFill>
          </w14:textFill>
        </w:rPr>
        <w:t>30</w:t>
      </w:r>
      <w:r>
        <w:rPr>
          <w:rFonts w:hint="eastAsia" w:ascii="宋体" w:hAnsi="宋体"/>
          <w:bCs/>
          <w:color w:val="000000" w:themeColor="text1"/>
          <w:szCs w:val="21"/>
          <w:highlight w:val="none"/>
          <w:u w:val="single"/>
          <w14:textFill>
            <w14:solidFill>
              <w14:schemeClr w14:val="tx1"/>
            </w14:solidFill>
          </w14:textFill>
        </w:rPr>
        <w:t>分</w:t>
      </w:r>
      <w:r>
        <w:rPr>
          <w:rFonts w:hint="eastAsia" w:ascii="宋体" w:hAnsi="宋体"/>
          <w:bCs/>
          <w:color w:val="000000" w:themeColor="text1"/>
          <w:szCs w:val="21"/>
          <w:highlight w:val="none"/>
          <w14:textFill>
            <w14:solidFill>
              <w14:schemeClr w14:val="tx1"/>
            </w14:solidFill>
          </w14:textFill>
        </w:rPr>
        <w:t>（北京时间）</w:t>
      </w:r>
    </w:p>
    <w:p w14:paraId="60438A7B">
      <w:pPr>
        <w:keepNext w:val="0"/>
        <w:keepLines w:val="0"/>
        <w:pageBreakBefore w:val="0"/>
        <w:kinsoku/>
        <w:wordWrap/>
        <w:overflowPunct/>
        <w:topLinePunct w:val="0"/>
        <w:autoSpaceDE/>
        <w:autoSpaceDN/>
        <w:bidi w:val="0"/>
        <w:adjustRightInd/>
        <w:spacing w:line="480" w:lineRule="exact"/>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地点：钦州市公共资源交易中心电子显示屏所安排的开标室（钦州市金海湾东大街8号，市政务服务中心三楼）</w:t>
      </w:r>
    </w:p>
    <w:p w14:paraId="24FF72B0">
      <w:pPr>
        <w:keepNext w:val="0"/>
        <w:keepLines w:val="0"/>
        <w:pageBreakBefore w:val="0"/>
        <w:kinsoku/>
        <w:wordWrap/>
        <w:overflowPunct/>
        <w:topLinePunct w:val="0"/>
        <w:autoSpaceDE/>
        <w:autoSpaceDN/>
        <w:bidi w:val="0"/>
        <w:adjustRightInd/>
        <w:spacing w:line="480" w:lineRule="exact"/>
        <w:ind w:firstLine="420" w:firstLineChars="2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投标地点：广西政府采购云平台（</w:t>
      </w:r>
      <w:r>
        <w:rPr>
          <w:rFonts w:hint="eastAsia" w:ascii="宋体" w:hAnsi="宋体"/>
          <w:bCs/>
          <w:color w:val="000000" w:themeColor="text1"/>
          <w:szCs w:val="21"/>
          <w:highlight w:val="none"/>
          <w:lang w:eastAsia="zh-CN"/>
          <w14:textFill>
            <w14:solidFill>
              <w14:schemeClr w14:val="tx1"/>
            </w14:solidFill>
          </w14:textFill>
        </w:rPr>
        <w:t>https://www.gcy.zfcg.gxzf.gov.cn/</w:t>
      </w:r>
      <w:r>
        <w:rPr>
          <w:rFonts w:hint="eastAsia" w:ascii="宋体" w:hAnsi="宋体"/>
          <w:color w:val="000000" w:themeColor="text1"/>
          <w:szCs w:val="21"/>
          <w:highlight w:val="none"/>
          <w14:textFill>
            <w14:solidFill>
              <w14:schemeClr w14:val="tx1"/>
            </w14:solidFill>
          </w14:textFill>
        </w:rPr>
        <w:t>）</w:t>
      </w:r>
    </w:p>
    <w:p w14:paraId="3EBD966B">
      <w:pPr>
        <w:keepNext w:val="0"/>
        <w:keepLines w:val="0"/>
        <w:pageBreakBefore w:val="0"/>
        <w:kinsoku/>
        <w:wordWrap/>
        <w:overflowPunct/>
        <w:topLinePunct w:val="0"/>
        <w:autoSpaceDE/>
        <w:autoSpaceDN/>
        <w:bidi w:val="0"/>
        <w:adjustRightInd/>
        <w:spacing w:line="480" w:lineRule="exact"/>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开标地点：广西政府采购云平台电子开标大厅</w:t>
      </w:r>
    </w:p>
    <w:p w14:paraId="6C7A3629">
      <w:pPr>
        <w:keepNext w:val="0"/>
        <w:keepLines w:val="0"/>
        <w:pageBreakBefore w:val="0"/>
        <w:kinsoku/>
        <w:wordWrap/>
        <w:overflowPunct/>
        <w:topLinePunct w:val="0"/>
        <w:autoSpaceDE/>
        <w:autoSpaceDN/>
        <w:bidi w:val="0"/>
        <w:adjustRightInd/>
        <w:spacing w:line="480" w:lineRule="exact"/>
        <w:textAlignment w:val="auto"/>
        <w:rPr>
          <w:rFonts w:ascii="黑体" w:hAnsi="黑体" w:eastAsia="黑体"/>
          <w:b/>
          <w:bCs/>
          <w:color w:val="000000" w:themeColor="text1"/>
          <w:sz w:val="24"/>
          <w:highlight w:val="none"/>
          <w14:textFill>
            <w14:solidFill>
              <w14:schemeClr w14:val="tx1"/>
            </w14:solidFill>
          </w14:textFill>
        </w:rPr>
      </w:pPr>
      <w:r>
        <w:rPr>
          <w:rFonts w:hint="eastAsia" w:ascii="黑体" w:hAnsi="黑体" w:eastAsia="黑体"/>
          <w:b/>
          <w:bCs/>
          <w:color w:val="000000" w:themeColor="text1"/>
          <w:sz w:val="24"/>
          <w:highlight w:val="none"/>
          <w14:textFill>
            <w14:solidFill>
              <w14:schemeClr w14:val="tx1"/>
            </w14:solidFill>
          </w14:textFill>
        </w:rPr>
        <w:t>五、公告期限</w:t>
      </w:r>
      <w:bookmarkEnd w:id="27"/>
      <w:bookmarkEnd w:id="28"/>
      <w:bookmarkEnd w:id="29"/>
      <w:bookmarkEnd w:id="30"/>
    </w:p>
    <w:p w14:paraId="543F0DCB">
      <w:pPr>
        <w:keepNext w:val="0"/>
        <w:keepLines w:val="0"/>
        <w:pageBreakBefore w:val="0"/>
        <w:kinsoku/>
        <w:wordWrap/>
        <w:overflowPunct/>
        <w:topLinePunct w:val="0"/>
        <w:autoSpaceDE/>
        <w:autoSpaceDN/>
        <w:bidi w:val="0"/>
        <w:adjustRightInd/>
        <w:spacing w:line="480" w:lineRule="exact"/>
        <w:ind w:firstLine="420" w:firstLineChars="200"/>
        <w:textAlignment w:val="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自本公告发布之日起5个工作日。</w:t>
      </w:r>
    </w:p>
    <w:p w14:paraId="1C02A299">
      <w:pPr>
        <w:keepNext w:val="0"/>
        <w:keepLines w:val="0"/>
        <w:pageBreakBefore w:val="0"/>
        <w:kinsoku/>
        <w:wordWrap/>
        <w:overflowPunct/>
        <w:topLinePunct w:val="0"/>
        <w:autoSpaceDE/>
        <w:autoSpaceDN/>
        <w:bidi w:val="0"/>
        <w:adjustRightInd/>
        <w:spacing w:line="480" w:lineRule="exact"/>
        <w:textAlignment w:val="auto"/>
        <w:rPr>
          <w:rFonts w:ascii="黑体" w:hAnsi="黑体" w:eastAsia="黑体"/>
          <w:b/>
          <w:bCs/>
          <w:color w:val="000000" w:themeColor="text1"/>
          <w:sz w:val="24"/>
          <w:highlight w:val="none"/>
          <w14:textFill>
            <w14:solidFill>
              <w14:schemeClr w14:val="tx1"/>
            </w14:solidFill>
          </w14:textFill>
        </w:rPr>
      </w:pPr>
      <w:bookmarkStart w:id="31" w:name="_Toc35393795"/>
      <w:bookmarkStart w:id="32" w:name="_Toc35393626"/>
      <w:r>
        <w:rPr>
          <w:rFonts w:hint="eastAsia" w:ascii="黑体" w:hAnsi="黑体" w:eastAsia="黑体"/>
          <w:b/>
          <w:bCs/>
          <w:color w:val="000000" w:themeColor="text1"/>
          <w:sz w:val="24"/>
          <w:highlight w:val="none"/>
          <w14:textFill>
            <w14:solidFill>
              <w14:schemeClr w14:val="tx1"/>
            </w14:solidFill>
          </w14:textFill>
        </w:rPr>
        <w:t>六、其他补充事宜</w:t>
      </w:r>
      <w:bookmarkEnd w:id="31"/>
      <w:bookmarkEnd w:id="32"/>
    </w:p>
    <w:p w14:paraId="10D53903">
      <w:pPr>
        <w:keepNext w:val="0"/>
        <w:keepLines w:val="0"/>
        <w:pageBreakBefore w:val="0"/>
        <w:kinsoku/>
        <w:wordWrap/>
        <w:overflowPunct/>
        <w:topLinePunct w:val="0"/>
        <w:autoSpaceDE/>
        <w:autoSpaceDN/>
        <w:bidi w:val="0"/>
        <w:adjustRightInd/>
        <w:spacing w:line="480" w:lineRule="exact"/>
        <w:ind w:firstLine="420" w:firstLineChars="200"/>
        <w:textAlignment w:val="auto"/>
        <w:rPr>
          <w:rFonts w:ascii="宋体" w:hAnsi="宋体" w:cs="宋体"/>
          <w:color w:val="000000" w:themeColor="text1"/>
          <w:kern w:val="0"/>
          <w:szCs w:val="21"/>
          <w:highlight w:val="none"/>
          <w14:textFill>
            <w14:solidFill>
              <w14:schemeClr w14:val="tx1"/>
            </w14:solidFill>
          </w14:textFill>
        </w:rPr>
      </w:pPr>
      <w:bookmarkStart w:id="33" w:name="_Hlk37429585"/>
      <w:bookmarkStart w:id="34" w:name="_Hlk37429595"/>
      <w:bookmarkStart w:id="35" w:name="_Hlk37429674"/>
      <w:r>
        <w:rPr>
          <w:rFonts w:hint="eastAsia" w:ascii="宋体" w:hAnsi="宋体" w:cs="宋体"/>
          <w:color w:val="000000" w:themeColor="text1"/>
          <w:kern w:val="0"/>
          <w:szCs w:val="21"/>
          <w:highlight w:val="none"/>
          <w14:textFill>
            <w14:solidFill>
              <w14:schemeClr w14:val="tx1"/>
            </w14:solidFill>
          </w14:textFill>
        </w:rPr>
        <w:t>1.网上查询地址</w:t>
      </w:r>
    </w:p>
    <w:bookmarkEnd w:id="33"/>
    <w:bookmarkEnd w:id="34"/>
    <w:p w14:paraId="0819BD62">
      <w:pPr>
        <w:keepNext w:val="0"/>
        <w:keepLines w:val="0"/>
        <w:pageBreakBefore w:val="0"/>
        <w:kinsoku/>
        <w:wordWrap/>
        <w:overflowPunct/>
        <w:topLinePunct w:val="0"/>
        <w:autoSpaceDE/>
        <w:autoSpaceDN/>
        <w:bidi w:val="0"/>
        <w:adjustRightInd/>
        <w:spacing w:line="480" w:lineRule="exact"/>
        <w:ind w:firstLine="424" w:firstLineChars="202"/>
        <w:textAlignment w:val="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http://www.ccgp.gov.cn（中国政府采购网）、http://zfcg.gxzf.gov.cn（广西壮族自治区政府采购网）、全国公共资源交易平台(广西.钦州)（http://ggzy.jgswj.gxzf.gov.cn/qzggzy/）</w:t>
      </w:r>
    </w:p>
    <w:p w14:paraId="3008245F">
      <w:pPr>
        <w:keepNext w:val="0"/>
        <w:keepLines w:val="0"/>
        <w:pageBreakBefore w:val="0"/>
        <w:kinsoku/>
        <w:wordWrap/>
        <w:overflowPunct/>
        <w:topLinePunct w:val="0"/>
        <w:autoSpaceDE/>
        <w:autoSpaceDN/>
        <w:bidi w:val="0"/>
        <w:adjustRightInd/>
        <w:spacing w:line="480" w:lineRule="exact"/>
        <w:ind w:firstLine="424" w:firstLineChars="202"/>
        <w:textAlignment w:val="auto"/>
        <w:rPr>
          <w:rFonts w:ascii="宋体" w:hAnsi="宋体" w:cs="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本项目需要落实的政府采购政策</w:t>
      </w:r>
    </w:p>
    <w:p w14:paraId="5392BF55">
      <w:pPr>
        <w:keepNext w:val="0"/>
        <w:keepLines w:val="0"/>
        <w:pageBreakBefore w:val="0"/>
        <w:kinsoku/>
        <w:wordWrap/>
        <w:overflowPunct/>
        <w:topLinePunct w:val="0"/>
        <w:autoSpaceDE/>
        <w:autoSpaceDN/>
        <w:bidi w:val="0"/>
        <w:adjustRightInd/>
        <w:spacing w:line="480" w:lineRule="exact"/>
        <w:ind w:firstLine="420" w:firstLineChars="200"/>
        <w:textAlignment w:val="auto"/>
        <w:rPr>
          <w:rFonts w:ascii="宋体" w:hAnsi="宋体" w:cs="宋体"/>
          <w:iCs/>
          <w:color w:val="000000" w:themeColor="text1"/>
          <w:kern w:val="0"/>
          <w:szCs w:val="21"/>
          <w:highlight w:val="none"/>
          <w14:textFill>
            <w14:solidFill>
              <w14:schemeClr w14:val="tx1"/>
            </w14:solidFill>
          </w14:textFill>
        </w:rPr>
      </w:pPr>
      <w:r>
        <w:rPr>
          <w:rFonts w:hint="eastAsia" w:ascii="宋体" w:hAnsi="宋体" w:cs="宋体"/>
          <w:iCs/>
          <w:color w:val="000000" w:themeColor="text1"/>
          <w:kern w:val="0"/>
          <w:szCs w:val="21"/>
          <w:highlight w:val="none"/>
          <w14:textFill>
            <w14:solidFill>
              <w14:schemeClr w14:val="tx1"/>
            </w14:solidFill>
          </w14:textFill>
        </w:rPr>
        <w:t>（1）政府采购促进中小企业发展。</w:t>
      </w:r>
    </w:p>
    <w:p w14:paraId="514DFB80">
      <w:pPr>
        <w:keepNext w:val="0"/>
        <w:keepLines w:val="0"/>
        <w:pageBreakBefore w:val="0"/>
        <w:kinsoku/>
        <w:wordWrap/>
        <w:overflowPunct/>
        <w:topLinePunct w:val="0"/>
        <w:autoSpaceDE/>
        <w:autoSpaceDN/>
        <w:bidi w:val="0"/>
        <w:adjustRightInd/>
        <w:spacing w:line="480" w:lineRule="exact"/>
        <w:ind w:firstLine="420" w:firstLineChars="200"/>
        <w:textAlignment w:val="auto"/>
        <w:rPr>
          <w:rFonts w:ascii="宋体" w:hAnsi="宋体" w:cs="宋体"/>
          <w:iCs/>
          <w:color w:val="000000" w:themeColor="text1"/>
          <w:kern w:val="0"/>
          <w:szCs w:val="21"/>
          <w:highlight w:val="none"/>
          <w14:textFill>
            <w14:solidFill>
              <w14:schemeClr w14:val="tx1"/>
            </w14:solidFill>
          </w14:textFill>
        </w:rPr>
      </w:pPr>
      <w:r>
        <w:rPr>
          <w:rFonts w:hint="eastAsia" w:ascii="宋体" w:hAnsi="宋体" w:cs="宋体"/>
          <w:iCs/>
          <w:color w:val="000000" w:themeColor="text1"/>
          <w:kern w:val="0"/>
          <w:szCs w:val="21"/>
          <w:highlight w:val="none"/>
          <w14:textFill>
            <w14:solidFill>
              <w14:schemeClr w14:val="tx1"/>
            </w14:solidFill>
          </w14:textFill>
        </w:rPr>
        <w:t>（2）政府采购支持采用本国产品的政策。</w:t>
      </w:r>
    </w:p>
    <w:p w14:paraId="3BEA42EE">
      <w:pPr>
        <w:keepNext w:val="0"/>
        <w:keepLines w:val="0"/>
        <w:pageBreakBefore w:val="0"/>
        <w:kinsoku/>
        <w:wordWrap/>
        <w:overflowPunct/>
        <w:topLinePunct w:val="0"/>
        <w:autoSpaceDE/>
        <w:autoSpaceDN/>
        <w:bidi w:val="0"/>
        <w:adjustRightInd/>
        <w:spacing w:line="480" w:lineRule="exact"/>
        <w:ind w:firstLine="420" w:firstLineChars="200"/>
        <w:textAlignment w:val="auto"/>
        <w:rPr>
          <w:rFonts w:ascii="宋体" w:hAnsi="宋体" w:cs="宋体"/>
          <w:iCs/>
          <w:color w:val="000000" w:themeColor="text1"/>
          <w:kern w:val="0"/>
          <w:szCs w:val="21"/>
          <w:highlight w:val="none"/>
          <w14:textFill>
            <w14:solidFill>
              <w14:schemeClr w14:val="tx1"/>
            </w14:solidFill>
          </w14:textFill>
        </w:rPr>
      </w:pPr>
      <w:r>
        <w:rPr>
          <w:rFonts w:hint="eastAsia" w:ascii="宋体" w:hAnsi="宋体" w:cs="宋体"/>
          <w:iCs/>
          <w:color w:val="000000" w:themeColor="text1"/>
          <w:kern w:val="0"/>
          <w:szCs w:val="21"/>
          <w:highlight w:val="none"/>
          <w14:textFill>
            <w14:solidFill>
              <w14:schemeClr w14:val="tx1"/>
            </w14:solidFill>
          </w14:textFill>
        </w:rPr>
        <w:t>（3）强制采购节能产品；优先采购节能产品、环境标志产品。</w:t>
      </w:r>
    </w:p>
    <w:p w14:paraId="09172677">
      <w:pPr>
        <w:keepNext w:val="0"/>
        <w:keepLines w:val="0"/>
        <w:pageBreakBefore w:val="0"/>
        <w:kinsoku/>
        <w:wordWrap/>
        <w:overflowPunct/>
        <w:topLinePunct w:val="0"/>
        <w:autoSpaceDE/>
        <w:autoSpaceDN/>
        <w:bidi w:val="0"/>
        <w:adjustRightInd/>
        <w:spacing w:line="480" w:lineRule="exact"/>
        <w:ind w:firstLine="420" w:firstLineChars="200"/>
        <w:textAlignment w:val="auto"/>
        <w:rPr>
          <w:rFonts w:ascii="宋体" w:hAnsi="宋体" w:cs="宋体"/>
          <w:iCs/>
          <w:color w:val="000000" w:themeColor="text1"/>
          <w:kern w:val="0"/>
          <w:szCs w:val="21"/>
          <w:highlight w:val="none"/>
          <w14:textFill>
            <w14:solidFill>
              <w14:schemeClr w14:val="tx1"/>
            </w14:solidFill>
          </w14:textFill>
        </w:rPr>
      </w:pPr>
      <w:r>
        <w:rPr>
          <w:rFonts w:hint="eastAsia" w:ascii="宋体" w:hAnsi="宋体" w:cs="宋体"/>
          <w:iCs/>
          <w:color w:val="000000" w:themeColor="text1"/>
          <w:kern w:val="0"/>
          <w:szCs w:val="21"/>
          <w:highlight w:val="none"/>
          <w14:textFill>
            <w14:solidFill>
              <w14:schemeClr w14:val="tx1"/>
            </w14:solidFill>
          </w14:textFill>
        </w:rPr>
        <w:t>（4）政府采购促进残疾人就业政策。</w:t>
      </w:r>
    </w:p>
    <w:p w14:paraId="61CF38B5">
      <w:pPr>
        <w:keepNext w:val="0"/>
        <w:keepLines w:val="0"/>
        <w:pageBreakBefore w:val="0"/>
        <w:kinsoku/>
        <w:wordWrap/>
        <w:overflowPunct/>
        <w:topLinePunct w:val="0"/>
        <w:autoSpaceDE/>
        <w:autoSpaceDN/>
        <w:bidi w:val="0"/>
        <w:adjustRightInd/>
        <w:spacing w:line="480" w:lineRule="exact"/>
        <w:ind w:firstLine="420" w:firstLineChars="200"/>
        <w:textAlignment w:val="auto"/>
        <w:rPr>
          <w:rFonts w:ascii="宋体" w:hAnsi="宋体" w:cs="宋体"/>
          <w:iCs/>
          <w:color w:val="000000" w:themeColor="text1"/>
          <w:kern w:val="0"/>
          <w:szCs w:val="21"/>
          <w:highlight w:val="none"/>
          <w14:textFill>
            <w14:solidFill>
              <w14:schemeClr w14:val="tx1"/>
            </w14:solidFill>
          </w14:textFill>
        </w:rPr>
      </w:pPr>
      <w:r>
        <w:rPr>
          <w:rFonts w:hint="eastAsia" w:ascii="宋体" w:hAnsi="宋体" w:cs="宋体"/>
          <w:iCs/>
          <w:color w:val="000000" w:themeColor="text1"/>
          <w:kern w:val="0"/>
          <w:szCs w:val="21"/>
          <w:highlight w:val="none"/>
          <w14:textFill>
            <w14:solidFill>
              <w14:schemeClr w14:val="tx1"/>
            </w14:solidFill>
          </w14:textFill>
        </w:rPr>
        <w:t>（5）政府采购支持监狱企业发展。</w:t>
      </w:r>
    </w:p>
    <w:p w14:paraId="0DD6D3F4">
      <w:pPr>
        <w:keepNext w:val="0"/>
        <w:keepLines w:val="0"/>
        <w:pageBreakBefore w:val="0"/>
        <w:widowControl/>
        <w:kinsoku/>
        <w:wordWrap/>
        <w:overflowPunct/>
        <w:topLinePunct w:val="0"/>
        <w:autoSpaceDE/>
        <w:autoSpaceDN/>
        <w:bidi w:val="0"/>
        <w:adjustRightInd/>
        <w:spacing w:line="480" w:lineRule="exact"/>
        <w:ind w:firstLine="420" w:firstLineChars="200"/>
        <w:jc w:val="left"/>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bookmarkEnd w:id="35"/>
      <w:bookmarkStart w:id="36" w:name="_Toc28359085"/>
      <w:bookmarkStart w:id="37" w:name="_Toc35393627"/>
      <w:bookmarkStart w:id="38" w:name="_Toc35393796"/>
      <w:bookmarkStart w:id="39" w:name="_Toc28359008"/>
      <w:r>
        <w:rPr>
          <w:rFonts w:hint="eastAsia" w:ascii="宋体" w:hAnsi="宋体" w:cs="宋体"/>
          <w:color w:val="000000" w:themeColor="text1"/>
          <w:kern w:val="0"/>
          <w:szCs w:val="21"/>
          <w:highlight w:val="none"/>
          <w14:textFill>
            <w14:solidFill>
              <w14:schemeClr w14:val="tx1"/>
            </w14:solidFill>
          </w14:textFill>
        </w:rPr>
        <w:t>投标人</w:t>
      </w:r>
      <w:r>
        <w:rPr>
          <w:rFonts w:hint="eastAsia" w:ascii="宋体" w:hAnsi="宋体"/>
          <w:color w:val="000000" w:themeColor="text1"/>
          <w:szCs w:val="21"/>
          <w:highlight w:val="none"/>
          <w14:textFill>
            <w14:solidFill>
              <w14:schemeClr w14:val="tx1"/>
            </w14:solidFill>
          </w14:textFill>
        </w:rPr>
        <w:t>投标注意事项</w:t>
      </w:r>
    </w:p>
    <w:p w14:paraId="00ED1883">
      <w:pPr>
        <w:keepNext w:val="0"/>
        <w:keepLines w:val="0"/>
        <w:pageBreakBefore w:val="0"/>
        <w:widowControl/>
        <w:kinsoku/>
        <w:wordWrap/>
        <w:overflowPunct/>
        <w:topLinePunct w:val="0"/>
        <w:autoSpaceDE/>
        <w:autoSpaceDN/>
        <w:bidi w:val="0"/>
        <w:adjustRightInd/>
        <w:spacing w:line="480" w:lineRule="exact"/>
        <w:ind w:firstLine="420" w:firstLineChars="200"/>
        <w:jc w:val="left"/>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（1）本项目为全流程电子化采购项目，通过广西政府采购云平台（</w:t>
      </w:r>
      <w:r>
        <w:rPr>
          <w:rFonts w:hint="eastAsia" w:ascii="宋体" w:hAnsi="宋体"/>
          <w:bCs/>
          <w:color w:val="000000" w:themeColor="text1"/>
          <w:szCs w:val="21"/>
          <w:highlight w:val="none"/>
          <w:lang w:eastAsia="zh-CN"/>
          <w14:textFill>
            <w14:solidFill>
              <w14:schemeClr w14:val="tx1"/>
            </w14:solidFill>
          </w14:textFill>
        </w:rPr>
        <w:t>https://www.gcy.zfcg.gxzf.gov.cn/</w:t>
      </w:r>
      <w:r>
        <w:rPr>
          <w:rFonts w:hint="eastAsia" w:ascii="宋体" w:hAnsi="宋体"/>
          <w:color w:val="000000" w:themeColor="text1"/>
          <w:szCs w:val="21"/>
          <w:highlight w:val="none"/>
          <w14:textFill>
            <w14:solidFill>
              <w14:schemeClr w14:val="tx1"/>
            </w14:solidFill>
          </w14:textFill>
        </w:rPr>
        <w:t>）实行在线电子投标，投标人应按照本项目招标文件和广西政府采购云平台的要求编制、加密后在投标截止时间前通过网络上传至广西政府采购云平台（加密的电子投标文件是指</w:t>
      </w:r>
      <w:r>
        <w:rPr>
          <w:rFonts w:hint="eastAsia"/>
          <w:color w:val="000000" w:themeColor="text1"/>
          <w:highlight w:val="none"/>
          <w14:textFill>
            <w14:solidFill>
              <w14:schemeClr w14:val="tx1"/>
            </w14:solidFill>
          </w14:textFill>
        </w:rPr>
        <w:t>后缀名为“</w:t>
      </w:r>
      <w:r>
        <w:rPr>
          <w:color w:val="000000" w:themeColor="text1"/>
          <w:highlight w:val="none"/>
          <w14:textFill>
            <w14:solidFill>
              <w14:schemeClr w14:val="tx1"/>
            </w14:solidFill>
          </w14:textFill>
        </w:rPr>
        <w:t>jmbs</w:t>
      </w:r>
      <w:r>
        <w:rPr>
          <w:rFonts w:hint="eastAsia"/>
          <w:color w:val="000000" w:themeColor="text1"/>
          <w:highlight w:val="none"/>
          <w14:textFill>
            <w14:solidFill>
              <w14:schemeClr w14:val="tx1"/>
            </w14:solidFill>
          </w14:textFill>
        </w:rPr>
        <w:t>”的文件</w:t>
      </w:r>
      <w:r>
        <w:rPr>
          <w:rFonts w:hint="eastAsia" w:ascii="宋体" w:hAnsi="宋体"/>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投标人在广西政府采购云平台提交电子投标文件时，请填写参加远程开标活动经办人联系方式。</w:t>
      </w:r>
      <w:r>
        <w:rPr>
          <w:rFonts w:hint="eastAsia" w:ascii="宋体" w:hAnsi="宋体"/>
          <w:color w:val="000000" w:themeColor="text1"/>
          <w:szCs w:val="21"/>
          <w:highlight w:val="none"/>
          <w14:textFill>
            <w14:solidFill>
              <w14:schemeClr w14:val="tx1"/>
            </w14:solidFill>
          </w14:textFill>
        </w:rPr>
        <w:t>投标人登录广西政府采购云平台，依次进入“服务中心-项目采购-操作流程-电子招投标-</w:t>
      </w:r>
      <w:r>
        <w:rPr>
          <w:rFonts w:hint="eastAsia"/>
          <w:color w:val="000000" w:themeColor="text1"/>
          <w:highlight w:val="none"/>
          <w14:textFill>
            <w14:solidFill>
              <w14:schemeClr w14:val="tx1"/>
            </w14:solidFill>
          </w14:textFill>
        </w:rPr>
        <w:t>政府采购项目电子交易管理操作指南</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”查看电子投标具体操作流程。</w:t>
      </w:r>
    </w:p>
    <w:p w14:paraId="3A0C08B0">
      <w:pPr>
        <w:keepNext w:val="0"/>
        <w:keepLines w:val="0"/>
        <w:pageBreakBefore w:val="0"/>
        <w:widowControl/>
        <w:kinsoku/>
        <w:wordWrap/>
        <w:overflowPunct/>
        <w:topLinePunct w:val="0"/>
        <w:autoSpaceDE/>
        <w:autoSpaceDN/>
        <w:bidi w:val="0"/>
        <w:adjustRightInd/>
        <w:spacing w:line="440" w:lineRule="exact"/>
        <w:ind w:firstLine="420" w:firstLineChars="200"/>
        <w:jc w:val="left"/>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依次进入“服务中心-入驻与配置”中查看CA数字证书办理操作流程。</w:t>
      </w:r>
      <w:r>
        <w:rPr>
          <w:rFonts w:hint="eastAsia" w:ascii="宋体" w:hAnsi="宋体" w:cs="宋体"/>
          <w:bCs/>
          <w:color w:val="000000" w:themeColor="text1"/>
          <w:kern w:val="0"/>
          <w:szCs w:val="21"/>
          <w:highlight w:val="none"/>
          <w14:textFill>
            <w14:solidFill>
              <w14:schemeClr w14:val="tx1"/>
            </w14:solidFill>
          </w14:textFill>
        </w:rPr>
        <w:t>如在操作过程中遇到问题或者需要技术支持，请致电客服热线：95763或者0771-3381253</w:t>
      </w:r>
      <w:r>
        <w:rPr>
          <w:rFonts w:hint="eastAsia" w:ascii="宋体" w:hAnsi="宋体"/>
          <w:color w:val="000000" w:themeColor="text1"/>
          <w:szCs w:val="21"/>
          <w:highlight w:val="none"/>
          <w14:textFill>
            <w14:solidFill>
              <w14:schemeClr w14:val="tx1"/>
            </w14:solidFill>
          </w14:textFill>
        </w:rPr>
        <w:t>）。</w:t>
      </w:r>
    </w:p>
    <w:p w14:paraId="05EF9BBF">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（3）CA证书在线解密：投标人投标时，需凭制作投标文件时用来加密的有效数字证书（CA认证）登录</w:t>
      </w:r>
      <w:r>
        <w:rPr>
          <w:rFonts w:hint="eastAsia" w:ascii="宋体" w:hAnsi="宋体"/>
          <w:color w:val="000000" w:themeColor="text1"/>
          <w:szCs w:val="21"/>
          <w:highlight w:val="none"/>
          <w14:textFill>
            <w14:solidFill>
              <w14:schemeClr w14:val="tx1"/>
            </w14:solidFill>
          </w14:textFill>
        </w:rPr>
        <w:t>广西政府采购云平台</w:t>
      </w:r>
      <w:r>
        <w:rPr>
          <w:rFonts w:hint="eastAsia" w:ascii="宋体" w:hAnsi="宋体" w:cs="宋体"/>
          <w:color w:val="000000" w:themeColor="text1"/>
          <w:kern w:val="0"/>
          <w:szCs w:val="21"/>
          <w:highlight w:val="none"/>
          <w14:textFill>
            <w14:solidFill>
              <w14:schemeClr w14:val="tx1"/>
            </w14:solidFill>
          </w14:textFill>
        </w:rPr>
        <w:t>电子开标大厅现场按规定时间对加密的投标文件进行解密，否则后果自负。</w:t>
      </w:r>
    </w:p>
    <w:p w14:paraId="76DA32C7">
      <w:pPr>
        <w:keepNext w:val="0"/>
        <w:keepLines w:val="0"/>
        <w:pageBreakBefore w:val="0"/>
        <w:kinsoku/>
        <w:wordWrap/>
        <w:overflowPunct/>
        <w:topLinePunct w:val="0"/>
        <w:autoSpaceDE/>
        <w:autoSpaceDN/>
        <w:bidi w:val="0"/>
        <w:adjustRightInd/>
        <w:spacing w:line="440" w:lineRule="exact"/>
        <w:ind w:firstLine="424" w:firstLineChars="202"/>
        <w:textAlignment w:val="auto"/>
        <w:rPr>
          <w:rFonts w:hint="eastAsia"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注：1）为确保网上操作合法、有效和安全，请投标人确保在电子投标过程中能够对相关数据电文进行加密和使用电子签章，妥善保管CA数字证书并使用有效的CA数字证书参与整个招标活动。2）</w:t>
      </w:r>
      <w:r>
        <w:rPr>
          <w:rFonts w:hint="eastAsia" w:ascii="宋体" w:hAnsi="宋体"/>
          <w:bCs/>
          <w:color w:val="000000" w:themeColor="text1"/>
          <w:szCs w:val="21"/>
          <w:highlight w:val="none"/>
          <w14:textFill>
            <w14:solidFill>
              <w14:schemeClr w14:val="tx1"/>
            </w14:solidFill>
          </w14:textFill>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color w:val="000000" w:themeColor="text1"/>
          <w:szCs w:val="21"/>
          <w:highlight w:val="none"/>
          <w14:textFill>
            <w14:solidFill>
              <w14:schemeClr w14:val="tx1"/>
            </w14:solidFill>
          </w14:textFill>
        </w:rPr>
        <w:t>广西政府采购云平台</w:t>
      </w:r>
      <w:r>
        <w:rPr>
          <w:rFonts w:hint="eastAsia" w:ascii="宋体" w:hAnsi="宋体"/>
          <w:bCs/>
          <w:color w:val="000000" w:themeColor="text1"/>
          <w:szCs w:val="21"/>
          <w:highlight w:val="none"/>
          <w14:textFill>
            <w14:solidFill>
              <w14:schemeClr w14:val="tx1"/>
            </w14:solidFill>
          </w14:textFill>
        </w:rPr>
        <w:t>将予以拒收。</w:t>
      </w:r>
    </w:p>
    <w:p w14:paraId="187B2359">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4.交易服务单位：钦州市公共资源交易中心；联系电话：0777-2558900。</w:t>
      </w:r>
    </w:p>
    <w:p w14:paraId="2B9A45DC">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5.监督部门：钦州市财政局政府采购监督管理科；联系电话：0777-2895258。</w:t>
      </w:r>
    </w:p>
    <w:bookmarkEnd w:id="36"/>
    <w:bookmarkEnd w:id="37"/>
    <w:bookmarkEnd w:id="38"/>
    <w:bookmarkEnd w:id="39"/>
    <w:p w14:paraId="02AECF7B">
      <w:pPr>
        <w:keepNext w:val="0"/>
        <w:keepLines w:val="0"/>
        <w:pageBreakBefore w:val="0"/>
        <w:kinsoku/>
        <w:wordWrap/>
        <w:overflowPunct/>
        <w:topLinePunct w:val="0"/>
        <w:autoSpaceDE/>
        <w:autoSpaceDN/>
        <w:bidi w:val="0"/>
        <w:adjustRightInd/>
        <w:spacing w:line="440" w:lineRule="exact"/>
        <w:ind w:firstLine="482" w:firstLineChars="200"/>
        <w:textAlignment w:val="auto"/>
        <w:rPr>
          <w:rFonts w:ascii="黑体" w:hAnsi="黑体" w:eastAsia="黑体"/>
          <w:b/>
          <w:bCs/>
          <w:color w:val="000000" w:themeColor="text1"/>
          <w:sz w:val="24"/>
          <w:highlight w:val="none"/>
          <w14:textFill>
            <w14:solidFill>
              <w14:schemeClr w14:val="tx1"/>
            </w14:solidFill>
          </w14:textFill>
        </w:rPr>
      </w:pPr>
      <w:r>
        <w:rPr>
          <w:rFonts w:hint="eastAsia" w:ascii="黑体" w:hAnsi="黑体" w:eastAsia="黑体"/>
          <w:b/>
          <w:bCs/>
          <w:color w:val="000000" w:themeColor="text1"/>
          <w:sz w:val="24"/>
          <w:highlight w:val="none"/>
          <w14:textFill>
            <w14:solidFill>
              <w14:schemeClr w14:val="tx1"/>
            </w14:solidFill>
          </w14:textFill>
        </w:rPr>
        <w:t>七、对本次招标提出询问，请按</w:t>
      </w:r>
      <w:r>
        <w:rPr>
          <w:rFonts w:ascii="黑体" w:hAnsi="黑体" w:eastAsia="黑体"/>
          <w:b/>
          <w:bCs/>
          <w:color w:val="000000" w:themeColor="text1"/>
          <w:sz w:val="24"/>
          <w:highlight w:val="none"/>
          <w14:textFill>
            <w14:solidFill>
              <w14:schemeClr w14:val="tx1"/>
            </w14:solidFill>
          </w14:textFill>
        </w:rPr>
        <w:t>以下方式</w:t>
      </w:r>
      <w:r>
        <w:rPr>
          <w:rFonts w:hint="eastAsia" w:ascii="黑体" w:hAnsi="黑体" w:eastAsia="黑体"/>
          <w:b/>
          <w:bCs/>
          <w:color w:val="000000" w:themeColor="text1"/>
          <w:sz w:val="24"/>
          <w:highlight w:val="none"/>
          <w14:textFill>
            <w14:solidFill>
              <w14:schemeClr w14:val="tx1"/>
            </w14:solidFill>
          </w14:textFill>
        </w:rPr>
        <w:t>联系。</w:t>
      </w:r>
    </w:p>
    <w:p w14:paraId="2C1D3CD7">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000000" w:themeColor="text1"/>
          <w:kern w:val="0"/>
          <w:szCs w:val="21"/>
          <w:highlight w:val="none"/>
          <w14:textFill>
            <w14:solidFill>
              <w14:schemeClr w14:val="tx1"/>
            </w14:solidFill>
          </w14:textFill>
        </w:rPr>
      </w:pPr>
      <w:bookmarkStart w:id="40" w:name="_Toc28359009"/>
      <w:bookmarkStart w:id="41" w:name="_Toc28359086"/>
      <w:r>
        <w:rPr>
          <w:rFonts w:hint="eastAsia" w:ascii="宋体" w:hAnsi="宋体" w:cs="宋体"/>
          <w:color w:val="000000" w:themeColor="text1"/>
          <w:kern w:val="0"/>
          <w:szCs w:val="21"/>
          <w:highlight w:val="none"/>
          <w14:textFill>
            <w14:solidFill>
              <w14:schemeClr w14:val="tx1"/>
            </w14:solidFill>
          </w14:textFill>
        </w:rPr>
        <w:t>1.采购人信息</w:t>
      </w:r>
    </w:p>
    <w:p w14:paraId="3E7CE8F8">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名 称：钦州市第二人民医院　</w:t>
      </w:r>
    </w:p>
    <w:p w14:paraId="1F59452A">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地 址：钦州市钦南区文峰南路219号　</w:t>
      </w:r>
    </w:p>
    <w:p w14:paraId="13531E42">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联系方式：</w:t>
      </w:r>
      <w:r>
        <w:rPr>
          <w:rFonts w:hint="eastAsia" w:ascii="宋体" w:hAnsi="宋体" w:cs="宋体"/>
          <w:color w:val="000000" w:themeColor="text1"/>
          <w:kern w:val="0"/>
          <w:szCs w:val="21"/>
          <w:highlight w:val="none"/>
          <w:lang w:val="en-US" w:eastAsia="zh-CN"/>
          <w14:textFill>
            <w14:solidFill>
              <w14:schemeClr w14:val="tx1"/>
            </w14:solidFill>
          </w14:textFill>
        </w:rPr>
        <w:t>黄文雯</w:t>
      </w:r>
      <w:r>
        <w:rPr>
          <w:rFonts w:hint="eastAsia" w:ascii="宋体" w:hAnsi="宋体" w:cs="宋体"/>
          <w:color w:val="000000" w:themeColor="text1"/>
          <w:kern w:val="0"/>
          <w:szCs w:val="21"/>
          <w:highlight w:val="none"/>
          <w14:textFill>
            <w14:solidFill>
              <w14:schemeClr w14:val="tx1"/>
            </w14:solidFill>
          </w14:textFill>
        </w:rPr>
        <w:t>　0777-2873316</w:t>
      </w:r>
    </w:p>
    <w:p w14:paraId="5BC6E90C">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2.采购代理机构信息</w:t>
      </w:r>
      <w:bookmarkEnd w:id="40"/>
      <w:bookmarkEnd w:id="41"/>
    </w:p>
    <w:p w14:paraId="72BE172E">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名 称：云之龙咨询集团有限公司　</w:t>
      </w:r>
    </w:p>
    <w:p w14:paraId="632A56B3">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000000" w:themeColor="text1"/>
          <w:kern w:val="0"/>
          <w:szCs w:val="21"/>
          <w:highlight w:val="none"/>
          <w14:textFill>
            <w14:solidFill>
              <w14:schemeClr w14:val="tx1"/>
            </w14:solidFill>
          </w14:textFill>
        </w:rPr>
      </w:pPr>
      <w:bookmarkStart w:id="42" w:name="_Toc28359087"/>
      <w:bookmarkStart w:id="43" w:name="_Toc28359010"/>
      <w:r>
        <w:rPr>
          <w:rFonts w:hint="eastAsia" w:ascii="宋体" w:hAnsi="宋体" w:cs="宋体"/>
          <w:color w:val="000000" w:themeColor="text1"/>
          <w:kern w:val="0"/>
          <w:szCs w:val="21"/>
          <w:highlight w:val="none"/>
          <w14:textFill>
            <w14:solidFill>
              <w14:schemeClr w14:val="tx1"/>
            </w14:solidFill>
          </w14:textFill>
        </w:rPr>
        <w:t>地址：广西钦州市子材东大街19号奥林名城8号楼8层</w:t>
      </w:r>
    </w:p>
    <w:p w14:paraId="524656B1">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项目联系人姓名：秦绍袁、</w:t>
      </w:r>
      <w:r>
        <w:rPr>
          <w:rFonts w:hint="eastAsia" w:ascii="宋体" w:hAnsi="宋体" w:cs="宋体"/>
          <w:color w:val="000000" w:themeColor="text1"/>
          <w:kern w:val="0"/>
          <w:szCs w:val="21"/>
          <w:highlight w:val="none"/>
          <w:lang w:val="en-US" w:eastAsia="zh-CN"/>
          <w14:textFill>
            <w14:solidFill>
              <w14:schemeClr w14:val="tx1"/>
            </w14:solidFill>
          </w14:textFill>
        </w:rPr>
        <w:t>梁译</w:t>
      </w:r>
    </w:p>
    <w:p w14:paraId="01A11827">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联系电话：0777-5619366</w:t>
      </w:r>
    </w:p>
    <w:p w14:paraId="2C82D440">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3.项目联系方式</w:t>
      </w:r>
      <w:bookmarkEnd w:id="42"/>
      <w:bookmarkEnd w:id="43"/>
    </w:p>
    <w:p w14:paraId="00037877">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项目联系人：秦绍袁、</w:t>
      </w:r>
      <w:r>
        <w:rPr>
          <w:rFonts w:hint="eastAsia" w:ascii="宋体" w:hAnsi="宋体" w:cs="宋体"/>
          <w:color w:val="000000" w:themeColor="text1"/>
          <w:kern w:val="0"/>
          <w:szCs w:val="21"/>
          <w:highlight w:val="none"/>
          <w:lang w:val="en-US" w:eastAsia="zh-CN"/>
          <w14:textFill>
            <w14:solidFill>
              <w14:schemeClr w14:val="tx1"/>
            </w14:solidFill>
          </w14:textFill>
        </w:rPr>
        <w:t>梁译</w:t>
      </w:r>
    </w:p>
    <w:p w14:paraId="2F4CD7CD">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电　话：0777-5619366　　</w:t>
      </w:r>
    </w:p>
    <w:p w14:paraId="72D8FCC8">
      <w:pPr>
        <w:keepNext w:val="0"/>
        <w:keepLines w:val="0"/>
        <w:pageBreakBefore w:val="0"/>
        <w:kinsoku/>
        <w:wordWrap/>
        <w:overflowPunct/>
        <w:topLinePunct w:val="0"/>
        <w:autoSpaceDE/>
        <w:autoSpaceDN/>
        <w:bidi w:val="0"/>
        <w:adjustRightInd/>
        <w:snapToGrid w:val="0"/>
        <w:spacing w:line="480" w:lineRule="exact"/>
        <w:textAlignment w:val="auto"/>
        <w:rPr>
          <w:rFonts w:ascii="仿宋_GB2312" w:hAnsi="宋体" w:eastAsia="仿宋_GB2312"/>
          <w:color w:val="000000" w:themeColor="text1"/>
          <w:sz w:val="24"/>
          <w:szCs w:val="20"/>
          <w:highlight w:val="none"/>
          <w14:textFill>
            <w14:solidFill>
              <w14:schemeClr w14:val="tx1"/>
            </w14:solidFill>
          </w14:textFill>
        </w:rPr>
      </w:pPr>
    </w:p>
    <w:p w14:paraId="068B1789">
      <w:pPr>
        <w:keepNext w:val="0"/>
        <w:keepLines w:val="0"/>
        <w:pageBreakBefore w:val="0"/>
        <w:kinsoku/>
        <w:wordWrap/>
        <w:overflowPunct/>
        <w:topLinePunct w:val="0"/>
        <w:autoSpaceDE/>
        <w:autoSpaceDN/>
        <w:bidi w:val="0"/>
        <w:adjustRightInd/>
        <w:snapToGrid w:val="0"/>
        <w:spacing w:line="480" w:lineRule="exact"/>
        <w:ind w:firstLine="420" w:firstLineChars="200"/>
        <w:textAlignment w:val="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附件：采购需求一览表</w:t>
      </w:r>
    </w:p>
    <w:p w14:paraId="6EC9E3C9">
      <w:pPr>
        <w:keepNext w:val="0"/>
        <w:keepLines w:val="0"/>
        <w:pageBreakBefore w:val="0"/>
        <w:kinsoku/>
        <w:wordWrap/>
        <w:overflowPunct/>
        <w:topLinePunct w:val="0"/>
        <w:autoSpaceDE/>
        <w:autoSpaceDN/>
        <w:bidi w:val="0"/>
        <w:adjustRightInd/>
        <w:snapToGrid w:val="0"/>
        <w:spacing w:line="480" w:lineRule="exact"/>
        <w:textAlignment w:val="auto"/>
        <w:rPr>
          <w:rFonts w:hint="eastAsia" w:ascii="仿宋_GB2312" w:hAnsi="宋体" w:eastAsia="仿宋_GB2312"/>
          <w:color w:val="000000" w:themeColor="text1"/>
          <w:sz w:val="24"/>
          <w:szCs w:val="20"/>
          <w:highlight w:val="none"/>
          <w14:textFill>
            <w14:solidFill>
              <w14:schemeClr w14:val="tx1"/>
            </w14:solidFill>
          </w14:textFill>
        </w:rPr>
      </w:pPr>
    </w:p>
    <w:p w14:paraId="1BA2FD7D">
      <w:pPr>
        <w:pStyle w:val="4"/>
        <w:jc w:val="center"/>
        <w:rPr>
          <w:rFonts w:hint="eastAsia"/>
          <w:color w:val="000000" w:themeColor="text1"/>
          <w:highlight w:val="none"/>
          <w14:textFill>
            <w14:solidFill>
              <w14:schemeClr w14:val="tx1"/>
            </w14:solidFill>
          </w14:textFill>
        </w:rPr>
      </w:pPr>
      <w:bookmarkStart w:id="44" w:name="_Toc74320801"/>
      <w:r>
        <w:rPr>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第二章  采购需求</w:t>
      </w:r>
      <w:bookmarkEnd w:id="44"/>
    </w:p>
    <w:p w14:paraId="5B053197">
      <w:pPr>
        <w:spacing w:line="360" w:lineRule="auto"/>
        <w:jc w:val="left"/>
        <w:rPr>
          <w:rFonts w:ascii="宋体" w:hAnsi="宋体" w:cs="宋体"/>
          <w:color w:val="000000" w:themeColor="text1"/>
          <w:szCs w:val="21"/>
          <w:highlight w:val="none"/>
          <w14:textFill>
            <w14:solidFill>
              <w14:schemeClr w14:val="tx1"/>
            </w14:solidFill>
          </w14:textFill>
        </w:rPr>
      </w:pPr>
      <w:bookmarkStart w:id="45" w:name="_Toc254970490"/>
      <w:bookmarkStart w:id="46" w:name="_Toc254970631"/>
      <w:r>
        <w:rPr>
          <w:rFonts w:hint="eastAsia" w:ascii="宋体" w:hAnsi="宋体" w:cs="宋体"/>
          <w:color w:val="000000" w:themeColor="text1"/>
          <w:szCs w:val="21"/>
          <w:highlight w:val="none"/>
          <w14:textFill>
            <w14:solidFill>
              <w14:schemeClr w14:val="tx1"/>
            </w14:solidFill>
          </w14:textFill>
        </w:rPr>
        <w:t>说明：</w:t>
      </w:r>
    </w:p>
    <w:p w14:paraId="1CA59DFA">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1. 为落实政府采购政策需满足的要求</w:t>
      </w:r>
    </w:p>
    <w:p w14:paraId="5AF5F30A">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（1）本招标文件所称中小企业必须符合《政府采购促进中小企业发展管理办法》（财库〔2020〕46号）的规定。</w:t>
      </w:r>
    </w:p>
    <w:p w14:paraId="5A649614">
      <w:pPr>
        <w:spacing w:line="360" w:lineRule="auto"/>
        <w:ind w:firstLine="424" w:firstLineChars="202"/>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商务及技术文件）中提供所投标产品的节能产品认证证书复印件（加盖投标人电子签章），</w:t>
      </w:r>
      <w:r>
        <w:rPr>
          <w:rFonts w:hint="eastAsia" w:ascii="宋体" w:hAnsi="宋体" w:cs="宋体"/>
          <w:b/>
          <w:bCs/>
          <w:color w:val="000000" w:themeColor="text1"/>
          <w:szCs w:val="21"/>
          <w:highlight w:val="none"/>
          <w14:textFill>
            <w14:solidFill>
              <w14:schemeClr w14:val="tx1"/>
            </w14:solidFill>
          </w14:textFill>
        </w:rPr>
        <w:t>否则按无效投标处理</w:t>
      </w:r>
      <w:r>
        <w:rPr>
          <w:rFonts w:hint="eastAsia" w:ascii="宋体" w:hAnsi="宋体" w:cs="宋体"/>
          <w:color w:val="000000" w:themeColor="text1"/>
          <w:szCs w:val="21"/>
          <w:highlight w:val="none"/>
          <w14:textFill>
            <w14:solidFill>
              <w14:schemeClr w14:val="tx1"/>
            </w14:solidFill>
          </w14:textFill>
        </w:rPr>
        <w:t>。如本项目包含的货物属于品目清单内非标注“★”的产品时，应优先采购，具体详见“第四章 评标方法及评标标准”。</w:t>
      </w:r>
    </w:p>
    <w:p w14:paraId="6FD9A19F">
      <w:pPr>
        <w:spacing w:line="360" w:lineRule="auto"/>
        <w:ind w:firstLine="424" w:firstLineChars="202"/>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6CFD586">
      <w:pPr>
        <w:spacing w:line="360" w:lineRule="auto"/>
        <w:ind w:firstLine="424" w:firstLineChars="202"/>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w:t>
      </w:r>
      <w:r>
        <w:rPr>
          <w:color w:val="000000" w:themeColor="text1"/>
          <w:highlight w:val="none"/>
          <w14:textFill>
            <w14:solidFill>
              <w14:schemeClr w14:val="tx1"/>
            </w14:solidFill>
          </w14:textFill>
        </w:rPr>
        <w:t>根据《关于调整网络安全专用产品安全管理有关事项的公告》（2023年</w:t>
      </w:r>
      <w:r>
        <w:rPr>
          <w:rFonts w:hint="eastAsia"/>
          <w:color w:val="000000" w:themeColor="text1"/>
          <w:highlight w:val="none"/>
          <w:lang w:val="en-US" w:eastAsia="zh-CN"/>
          <w14:textFill>
            <w14:solidFill>
              <w14:schemeClr w14:val="tx1"/>
            </w14:solidFill>
          </w14:textFill>
        </w:rPr>
        <w:t>第</w:t>
      </w:r>
      <w:r>
        <w:rPr>
          <w:color w:val="000000" w:themeColor="text1"/>
          <w:highlight w:val="none"/>
          <w14:textFill>
            <w14:solidFill>
              <w14:schemeClr w14:val="tx1"/>
            </w14:solidFill>
          </w14:textFill>
        </w:rPr>
        <w:t>1号）规定，本项目采购需求中的产品如果包括《网络关键设备和网络安全专用产品目录》的网络安全专用产品，供应商在投标文件中应主动列明供货范围中属于网络安全专用产品的投标产品，并在投标文件（商务及技术文件）中提供由中国网信网（http：//www.cac.gov.cn/index.htm）最新发布的《网络关键设备和网络安全专用产品安全认证和安全检测结果》截图证明材料，</w:t>
      </w:r>
      <w:r>
        <w:rPr>
          <w:b/>
          <w:color w:val="000000" w:themeColor="text1"/>
          <w:highlight w:val="none"/>
          <w14:textFill>
            <w14:solidFill>
              <w14:schemeClr w14:val="tx1"/>
            </w14:solidFill>
          </w14:textFill>
        </w:rPr>
        <w:t>不在《网络关键设备和网络安全专用产品安全认证和安全检测结果》中的，</w:t>
      </w:r>
      <w:r>
        <w:rPr>
          <w:rFonts w:hint="eastAsia"/>
          <w:b/>
          <w:color w:val="000000" w:themeColor="text1"/>
          <w:highlight w:val="none"/>
          <w14:textFill>
            <w14:solidFill>
              <w14:schemeClr w14:val="tx1"/>
            </w14:solidFill>
          </w14:textFill>
        </w:rPr>
        <w:t>按无效投标处理</w:t>
      </w:r>
      <w:r>
        <w:rPr>
          <w:color w:val="000000" w:themeColor="text1"/>
          <w:highlight w:val="none"/>
          <w14:textFill>
            <w14:solidFill>
              <w14:schemeClr w14:val="tx1"/>
            </w14:solidFill>
          </w14:textFill>
        </w:rPr>
        <w:t>。如属于《网络关键设备和网络安全专用产品目录》中“二、网络安全专用产品”内“产品类别”中的所描述的产品，但不属于所列“产品描述”情形的，应提供相应的说明及证明材料。</w:t>
      </w:r>
    </w:p>
    <w:p w14:paraId="4C880BD1">
      <w:pPr>
        <w:spacing w:line="360" w:lineRule="auto"/>
        <w:ind w:firstLine="424" w:firstLineChars="202"/>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2.“实质性要求”是指招标文件中已经指明不满足则投标无效的条款，或者不能负偏离的条款，或者采购需求中带“▲”的条款。</w:t>
      </w:r>
    </w:p>
    <w:p w14:paraId="60CE9F96">
      <w:pPr>
        <w:spacing w:line="480" w:lineRule="exact"/>
        <w:ind w:firstLine="424" w:firstLineChars="202"/>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3.参考标准说明</w:t>
      </w:r>
    </w:p>
    <w:p w14:paraId="431B4868">
      <w:pPr>
        <w:spacing w:line="480" w:lineRule="exact"/>
        <w:ind w:firstLine="424" w:firstLineChars="202"/>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采购需求中提及的部件品牌及可能涉及的整琴参考品牌，仅作为描述特定技术标准、工艺水平及市场定位的参考，旨在帮助</w:t>
      </w:r>
      <w:r>
        <w:rPr>
          <w:rFonts w:hint="eastAsia" w:ascii="宋体" w:hAnsi="宋体" w:cs="宋体"/>
          <w:color w:val="000000" w:themeColor="text1"/>
          <w:szCs w:val="21"/>
          <w:highlight w:val="none"/>
          <w:lang w:val="en-US" w:eastAsia="zh-CN"/>
          <w14:textFill>
            <w14:solidFill>
              <w14:schemeClr w14:val="tx1"/>
            </w14:solidFill>
          </w14:textFill>
        </w:rPr>
        <w:t>投标人</w:t>
      </w:r>
      <w:r>
        <w:rPr>
          <w:rFonts w:hint="eastAsia" w:ascii="宋体" w:hAnsi="宋体" w:cs="宋体"/>
          <w:color w:val="000000" w:themeColor="text1"/>
          <w:szCs w:val="21"/>
          <w:highlight w:val="none"/>
          <w14:textFill>
            <w14:solidFill>
              <w14:schemeClr w14:val="tx1"/>
            </w14:solidFill>
          </w14:textFill>
        </w:rPr>
        <w:t xml:space="preserve">理解采购需求，不代表任何品牌歧视或限制，不属于指定、限定品牌。 </w:t>
      </w:r>
      <w:r>
        <w:rPr>
          <w:rFonts w:hint="eastAsia" w:ascii="宋体" w:hAnsi="宋体" w:cs="宋体"/>
          <w:color w:val="000000" w:themeColor="text1"/>
          <w:szCs w:val="21"/>
          <w:highlight w:val="none"/>
          <w:lang w:val="en-US" w:eastAsia="zh-CN"/>
          <w14:textFill>
            <w14:solidFill>
              <w14:schemeClr w14:val="tx1"/>
            </w14:solidFill>
          </w14:textFill>
        </w:rPr>
        <w:t>投标人</w:t>
      </w:r>
      <w:r>
        <w:rPr>
          <w:rFonts w:hint="eastAsia" w:ascii="宋体" w:hAnsi="宋体" w:cs="宋体"/>
          <w:color w:val="000000" w:themeColor="text1"/>
          <w:szCs w:val="21"/>
          <w:highlight w:val="none"/>
          <w14:textFill>
            <w14:solidFill>
              <w14:schemeClr w14:val="tx1"/>
            </w14:solidFill>
          </w14:textFill>
        </w:rPr>
        <w:t>可选用符合或优于下述技术要求的同档次任何品牌产品进行应答</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但选用的投标产品参数性能必须满足实质性要求。</w:t>
      </w:r>
    </w:p>
    <w:p w14:paraId="5A4B4916">
      <w:pPr>
        <w:spacing w:line="360" w:lineRule="auto"/>
        <w:ind w:firstLine="424" w:firstLineChars="202"/>
        <w:jc w:val="left"/>
        <w:rPr>
          <w:rFonts w:hint="eastAsia"/>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bookmarkStart w:id="47" w:name="_Hlk65055179"/>
      <w:r>
        <w:rPr>
          <w:rFonts w:hint="eastAsia" w:ascii="宋体" w:hAnsi="宋体" w:cs="宋体"/>
          <w:color w:val="000000" w:themeColor="text1"/>
          <w:szCs w:val="21"/>
          <w:highlight w:val="none"/>
          <w14:textFill>
            <w14:solidFill>
              <w14:schemeClr w14:val="tx1"/>
            </w14:solidFill>
          </w14:textFill>
        </w:rPr>
        <w:t xml:space="preserve"> 投标人应根据自身实际情况如实响应招标文件</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 w:val="22"/>
          <w:szCs w:val="22"/>
          <w:highlight w:val="none"/>
          <w14:textFill>
            <w14:solidFill>
              <w14:schemeClr w14:val="tx1"/>
            </w14:solidFill>
          </w14:textFill>
        </w:rPr>
        <w:t>对招标文件提出的要求和条件作出明确响应</w:t>
      </w:r>
      <w:r>
        <w:rPr>
          <w:rFonts w:hint="eastAsia" w:ascii="宋体" w:hAnsi="宋体"/>
          <w:color w:val="000000" w:themeColor="text1"/>
          <w:szCs w:val="21"/>
          <w:highlight w:val="none"/>
          <w14:textFill>
            <w14:solidFill>
              <w14:schemeClr w14:val="tx1"/>
            </w14:solidFill>
          </w14:textFill>
        </w:rPr>
        <w:t>，</w:t>
      </w:r>
      <w:r>
        <w:rPr>
          <w:rFonts w:hint="eastAsia" w:ascii="宋体" w:hAnsi="宋体"/>
          <w:b/>
          <w:bCs/>
          <w:color w:val="000000" w:themeColor="text1"/>
          <w:szCs w:val="21"/>
          <w:highlight w:val="none"/>
          <w14:textFill>
            <w14:solidFill>
              <w14:schemeClr w14:val="tx1"/>
            </w14:solidFill>
          </w14:textFill>
        </w:rPr>
        <w:t>否则将作无效响应处理</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对于重要技术条款或技术参数应当在投标文件中提供技术支持资料，技术支持资料以招标文件中规定的形式为准，</w:t>
      </w:r>
      <w:r>
        <w:rPr>
          <w:rFonts w:hint="eastAsia"/>
          <w:b/>
          <w:bCs/>
          <w:color w:val="000000" w:themeColor="text1"/>
          <w:highlight w:val="none"/>
          <w14:textFill>
            <w14:solidFill>
              <w14:schemeClr w14:val="tx1"/>
            </w14:solidFill>
          </w14:textFill>
        </w:rPr>
        <w:t>否则将视为无效技术支持资料</w:t>
      </w:r>
      <w:r>
        <w:rPr>
          <w:rFonts w:hint="eastAsia"/>
          <w:color w:val="000000" w:themeColor="text1"/>
          <w:highlight w:val="none"/>
          <w14:textFill>
            <w14:solidFill>
              <w14:schemeClr w14:val="tx1"/>
            </w14:solidFill>
          </w14:textFill>
        </w:rPr>
        <w:t>。</w:t>
      </w:r>
    </w:p>
    <w:p w14:paraId="3FE8BAD4">
      <w:pPr>
        <w:spacing w:line="360" w:lineRule="auto"/>
        <w:ind w:firstLine="424" w:firstLineChars="202"/>
        <w:jc w:val="left"/>
        <w:rPr>
          <w:rFonts w:hint="eastAsia"/>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r>
        <w:rPr>
          <w:rFonts w:hint="eastAsia"/>
          <w:color w:val="000000" w:themeColor="text1"/>
          <w:highlight w:val="none"/>
          <w14:textFill>
            <w14:solidFill>
              <w14:schemeClr w14:val="tx1"/>
            </w14:solidFill>
          </w14:textFill>
        </w:rPr>
        <w:t>投标人必须自行为其投标产品侵犯他人的知识产权或者专利成果的行为承担相应法律责任。</w:t>
      </w:r>
      <w:bookmarkEnd w:id="45"/>
      <w:bookmarkEnd w:id="46"/>
      <w:bookmarkEnd w:id="47"/>
    </w:p>
    <w:p w14:paraId="57217887">
      <w:pPr>
        <w:spacing w:line="360" w:lineRule="auto"/>
        <w:ind w:firstLine="426" w:firstLineChars="202"/>
        <w:jc w:val="left"/>
        <w:rPr>
          <w:rFonts w:hint="eastAsia" w:ascii="宋体" w:hAnsi="宋体"/>
          <w:b/>
          <w:color w:val="000000" w:themeColor="text1"/>
          <w:kern w:val="0"/>
          <w:sz w:val="21"/>
          <w:szCs w:val="21"/>
          <w:highlight w:val="none"/>
          <w:u w:val="single"/>
          <w14:textFill>
            <w14:solidFill>
              <w14:schemeClr w14:val="tx1"/>
            </w14:solidFill>
          </w14:textFill>
        </w:rPr>
      </w:pPr>
      <w:r>
        <w:rPr>
          <w:rFonts w:hint="eastAsia" w:ascii="宋体" w:hAnsi="宋体" w:cs="宋体"/>
          <w:b/>
          <w:color w:val="000000" w:themeColor="text1"/>
          <w:sz w:val="21"/>
          <w:szCs w:val="21"/>
          <w:highlight w:val="none"/>
          <w:lang w:val="en-US" w:eastAsia="zh-CN"/>
          <w14:textFill>
            <w14:solidFill>
              <w14:schemeClr w14:val="tx1"/>
            </w14:solidFill>
          </w14:textFill>
        </w:rPr>
        <w:t>6</w:t>
      </w:r>
      <w:r>
        <w:rPr>
          <w:rFonts w:hint="eastAsia" w:ascii="宋体" w:hAnsi="宋体" w:cs="宋体"/>
          <w:b/>
          <w:color w:val="000000" w:themeColor="text1"/>
          <w:sz w:val="21"/>
          <w:szCs w:val="21"/>
          <w:highlight w:val="none"/>
          <w14:textFill>
            <w14:solidFill>
              <w14:schemeClr w14:val="tx1"/>
            </w14:solidFill>
          </w14:textFill>
        </w:rPr>
        <w:t>.</w:t>
      </w:r>
      <w:r>
        <w:rPr>
          <w:rFonts w:hint="eastAsia" w:ascii="宋体" w:hAnsi="宋体"/>
          <w:b/>
          <w:color w:val="000000" w:themeColor="text1"/>
          <w:kern w:val="0"/>
          <w:sz w:val="21"/>
          <w:szCs w:val="21"/>
          <w:highlight w:val="none"/>
          <w:u w:val="single"/>
          <w:lang w:val="en-US" w:eastAsia="zh-CN"/>
          <w14:textFill>
            <w14:solidFill>
              <w14:schemeClr w14:val="tx1"/>
            </w14:solidFill>
          </w14:textFill>
        </w:rPr>
        <w:t>本项目各分标采购</w:t>
      </w:r>
      <w:r>
        <w:rPr>
          <w:rFonts w:hint="eastAsia" w:ascii="宋体" w:hAnsi="宋体"/>
          <w:b/>
          <w:color w:val="000000" w:themeColor="text1"/>
          <w:kern w:val="0"/>
          <w:sz w:val="21"/>
          <w:szCs w:val="21"/>
          <w:highlight w:val="none"/>
          <w:u w:val="single"/>
          <w14:textFill>
            <w14:solidFill>
              <w14:schemeClr w14:val="tx1"/>
            </w14:solidFill>
          </w14:textFill>
        </w:rPr>
        <w:t>标的的所属行业：工业</w:t>
      </w:r>
    </w:p>
    <w:p w14:paraId="1E3C1B26">
      <w:pPr>
        <w:pStyle w:val="2"/>
        <w:rPr>
          <w:rFonts w:hint="eastAsia" w:ascii="宋体" w:hAnsi="宋体"/>
          <w:b/>
          <w:color w:val="000000" w:themeColor="text1"/>
          <w:kern w:val="0"/>
          <w:sz w:val="21"/>
          <w:szCs w:val="21"/>
          <w:highlight w:val="none"/>
          <w:u w:val="single"/>
          <w:lang w:val="en-US" w:eastAsia="zh-CN"/>
          <w14:textFill>
            <w14:solidFill>
              <w14:schemeClr w14:val="tx1"/>
            </w14:solidFill>
          </w14:textFill>
        </w:rPr>
      </w:pPr>
      <w:r>
        <w:rPr>
          <w:rFonts w:hint="eastAsia" w:ascii="宋体" w:hAnsi="宋体"/>
          <w:b/>
          <w:color w:val="000000" w:themeColor="text1"/>
          <w:kern w:val="0"/>
          <w:sz w:val="21"/>
          <w:szCs w:val="21"/>
          <w:highlight w:val="none"/>
          <w:u w:val="single"/>
          <w:lang w:val="en-US" w:eastAsia="zh-CN"/>
          <w14:textFill>
            <w14:solidFill>
              <w14:schemeClr w14:val="tx1"/>
            </w14:solidFill>
          </w14:textFill>
        </w:rPr>
        <w:t>1分标：</w:t>
      </w:r>
    </w:p>
    <w:p w14:paraId="0C08C91F">
      <w:pPr>
        <w:pStyle w:val="2"/>
        <w:rPr>
          <w:rFonts w:hint="default" w:ascii="宋体" w:hAnsi="宋体"/>
          <w:b/>
          <w:color w:val="000000" w:themeColor="text1"/>
          <w:kern w:val="0"/>
          <w:sz w:val="21"/>
          <w:szCs w:val="21"/>
          <w:highlight w:val="none"/>
          <w:u w:val="single"/>
          <w:lang w:val="en-US" w:eastAsia="zh-CN"/>
          <w14:textFill>
            <w14:solidFill>
              <w14:schemeClr w14:val="tx1"/>
            </w14:solidFill>
          </w14:textFill>
        </w:rPr>
      </w:pPr>
      <w:r>
        <w:rPr>
          <w:rFonts w:hint="eastAsia" w:ascii="宋体" w:hAnsi="宋体"/>
          <w:b/>
          <w:color w:val="000000" w:themeColor="text1"/>
          <w:kern w:val="0"/>
          <w:sz w:val="21"/>
          <w:szCs w:val="21"/>
          <w:highlight w:val="none"/>
          <w:u w:val="single"/>
          <w:lang w:val="en-US" w:eastAsia="zh-CN"/>
          <w14:textFill>
            <w14:solidFill>
              <w14:schemeClr w14:val="tx1"/>
            </w14:solidFill>
          </w14:textFill>
        </w:rPr>
        <w:t>一、技术要求</w:t>
      </w:r>
    </w:p>
    <w:tbl>
      <w:tblPr>
        <w:tblStyle w:val="48"/>
        <w:tblW w:w="93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3"/>
        <w:gridCol w:w="1005"/>
        <w:gridCol w:w="993"/>
        <w:gridCol w:w="1309"/>
        <w:gridCol w:w="5532"/>
      </w:tblGrid>
      <w:tr w14:paraId="598E7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533" w:type="dxa"/>
            <w:vAlign w:val="center"/>
          </w:tcPr>
          <w:p w14:paraId="7A9ADAFB">
            <w:pPr>
              <w:pageBreakBefore w:val="0"/>
              <w:tabs>
                <w:tab w:val="left" w:pos="180"/>
                <w:tab w:val="left" w:pos="1620"/>
              </w:tabs>
              <w:kinsoku/>
              <w:overflowPunct/>
              <w:topLinePunct w:val="0"/>
              <w:bidi w:val="0"/>
              <w:spacing w:line="44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1005" w:type="dxa"/>
            <w:vAlign w:val="center"/>
          </w:tcPr>
          <w:p w14:paraId="17E8609E">
            <w:pPr>
              <w:pageBreakBefore w:val="0"/>
              <w:tabs>
                <w:tab w:val="left" w:pos="180"/>
                <w:tab w:val="left" w:pos="1620"/>
              </w:tabs>
              <w:kinsoku/>
              <w:overflowPunct/>
              <w:topLinePunct w:val="0"/>
              <w:bidi w:val="0"/>
              <w:spacing w:line="44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标的的名称</w:t>
            </w:r>
          </w:p>
        </w:tc>
        <w:tc>
          <w:tcPr>
            <w:tcW w:w="993" w:type="dxa"/>
          </w:tcPr>
          <w:p w14:paraId="5F8A7C5B">
            <w:pPr>
              <w:pageBreakBefore w:val="0"/>
              <w:tabs>
                <w:tab w:val="left" w:pos="180"/>
                <w:tab w:val="left" w:pos="1620"/>
              </w:tabs>
              <w:kinsoku/>
              <w:overflowPunct/>
              <w:topLinePunct w:val="0"/>
              <w:bidi w:val="0"/>
              <w:spacing w:line="44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数量及</w:t>
            </w:r>
          </w:p>
          <w:p w14:paraId="2DACE6B5">
            <w:pPr>
              <w:pageBreakBefore w:val="0"/>
              <w:tabs>
                <w:tab w:val="left" w:pos="180"/>
                <w:tab w:val="left" w:pos="1620"/>
              </w:tabs>
              <w:kinsoku/>
              <w:overflowPunct/>
              <w:topLinePunct w:val="0"/>
              <w:bidi w:val="0"/>
              <w:spacing w:line="44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单位</w:t>
            </w:r>
          </w:p>
        </w:tc>
        <w:tc>
          <w:tcPr>
            <w:tcW w:w="1309" w:type="dxa"/>
            <w:vAlign w:val="center"/>
          </w:tcPr>
          <w:p w14:paraId="1089EAC9">
            <w:pPr>
              <w:pageBreakBefore w:val="0"/>
              <w:tabs>
                <w:tab w:val="left" w:pos="180"/>
                <w:tab w:val="left" w:pos="1620"/>
              </w:tabs>
              <w:kinsoku/>
              <w:overflowPunct/>
              <w:topLinePunct w:val="0"/>
              <w:bidi w:val="0"/>
              <w:spacing w:line="440"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总价最高限价（万元）</w:t>
            </w:r>
          </w:p>
        </w:tc>
        <w:tc>
          <w:tcPr>
            <w:tcW w:w="5532" w:type="dxa"/>
            <w:vAlign w:val="center"/>
          </w:tcPr>
          <w:p w14:paraId="0E8BC6F5">
            <w:pPr>
              <w:pageBreakBefore w:val="0"/>
              <w:tabs>
                <w:tab w:val="left" w:pos="180"/>
                <w:tab w:val="left" w:pos="1620"/>
              </w:tabs>
              <w:kinsoku/>
              <w:overflowPunct/>
              <w:topLinePunct w:val="0"/>
              <w:bidi w:val="0"/>
              <w:spacing w:line="44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技术要求</w:t>
            </w:r>
          </w:p>
        </w:tc>
      </w:tr>
      <w:tr w14:paraId="0F01C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533" w:type="dxa"/>
            <w:vAlign w:val="center"/>
          </w:tcPr>
          <w:p w14:paraId="461BA3F9">
            <w:pPr>
              <w:pageBreakBefore w:val="0"/>
              <w:tabs>
                <w:tab w:val="left" w:pos="180"/>
                <w:tab w:val="left" w:pos="1620"/>
              </w:tabs>
              <w:kinsoku/>
              <w:overflowPunct/>
              <w:topLinePunct w:val="0"/>
              <w:bidi w:val="0"/>
              <w:spacing w:line="44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1005" w:type="dxa"/>
            <w:vAlign w:val="center"/>
          </w:tcPr>
          <w:p w14:paraId="6ED2B0ED">
            <w:pPr>
              <w:pageBreakBefore w:val="0"/>
              <w:tabs>
                <w:tab w:val="left" w:pos="180"/>
                <w:tab w:val="left" w:pos="1620"/>
              </w:tabs>
              <w:kinsoku/>
              <w:overflowPunct/>
              <w:topLinePunct w:val="0"/>
              <w:bidi w:val="0"/>
              <w:spacing w:line="44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position w:val="0"/>
                <w:sz w:val="21"/>
                <w:szCs w:val="21"/>
                <w:highlight w:val="none"/>
                <w:shd w:val="clear" w:fill="auto"/>
                <w:lang w:val="en-US" w:eastAsia="zh-CN"/>
                <w14:textFill>
                  <w14:solidFill>
                    <w14:schemeClr w14:val="tx1"/>
                  </w14:solidFill>
                </w14:textFill>
              </w:rPr>
              <w:t>0°鼻内镜</w:t>
            </w:r>
          </w:p>
        </w:tc>
        <w:tc>
          <w:tcPr>
            <w:tcW w:w="993" w:type="dxa"/>
            <w:vAlign w:val="center"/>
          </w:tcPr>
          <w:p w14:paraId="4674DB0E">
            <w:pPr>
              <w:pageBreakBefore w:val="0"/>
              <w:kinsoku/>
              <w:overflowPunct/>
              <w:topLinePunct w:val="0"/>
              <w:bidi w:val="0"/>
              <w:spacing w:line="440"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4支</w:t>
            </w:r>
          </w:p>
        </w:tc>
        <w:tc>
          <w:tcPr>
            <w:tcW w:w="1309" w:type="dxa"/>
            <w:vAlign w:val="center"/>
          </w:tcPr>
          <w:p w14:paraId="0E8341C5">
            <w:pPr>
              <w:pageBreakBefore w:val="0"/>
              <w:kinsoku/>
              <w:overflowPunct/>
              <w:topLinePunct w:val="0"/>
              <w:bidi w:val="0"/>
              <w:spacing w:line="440"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w:t>
            </w:r>
          </w:p>
        </w:tc>
        <w:tc>
          <w:tcPr>
            <w:tcW w:w="5532" w:type="dxa"/>
          </w:tcPr>
          <w:p w14:paraId="2CCD1EE9">
            <w:pPr>
              <w:pageBreakBefore w:val="0"/>
              <w:kinsoku/>
              <w:overflowPunct/>
              <w:topLinePunct w:val="0"/>
              <w:bidi w:val="0"/>
              <w:spacing w:line="440" w:lineRule="exac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插入部最大外径（内窥镜）：Φ4mm</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5BE17E9C">
            <w:pPr>
              <w:pageBreakBefore w:val="0"/>
              <w:kinsoku/>
              <w:overflowPunct/>
              <w:topLinePunct w:val="0"/>
              <w:bidi w:val="0"/>
              <w:spacing w:line="440" w:lineRule="exac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内窥镜工作长度：≥175mm</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5C0C35CD">
            <w:pPr>
              <w:pageBreakBefore w:val="0"/>
              <w:kinsoku/>
              <w:overflowPunct/>
              <w:topLinePunct w:val="0"/>
              <w:bidi w:val="0"/>
              <w:spacing w:line="440" w:lineRule="exac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视场角：≥65°</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5B202A12">
            <w:pPr>
              <w:pageBreakBefore w:val="0"/>
              <w:kinsoku/>
              <w:overflowPunct/>
              <w:topLinePunct w:val="0"/>
              <w:bidi w:val="0"/>
              <w:spacing w:line="440" w:lineRule="exac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视向角：0°</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w:t>
            </w:r>
          </w:p>
          <w:p w14:paraId="482A7759">
            <w:pPr>
              <w:pageBreakBefore w:val="0"/>
              <w:kinsoku/>
              <w:overflowPunct/>
              <w:topLinePunct w:val="0"/>
              <w:bidi w:val="0"/>
              <w:spacing w:line="440" w:lineRule="exac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设计光学工作距离：≥20mm</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33BE0381">
            <w:pPr>
              <w:pageBreakBefore w:val="0"/>
              <w:kinsoku/>
              <w:overflowPunct/>
              <w:topLinePunct w:val="0"/>
              <w:bidi w:val="0"/>
              <w:spacing w:line="440" w:lineRule="exac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中心角分辨力：ra(d)≥3.267 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3B4F7BF6">
            <w:pPr>
              <w:pageBreakBefore w:val="0"/>
              <w:kinsoku/>
              <w:overflowPunct/>
              <w:topLinePunct w:val="0"/>
              <w:bidi w:val="0"/>
              <w:spacing w:line="440" w:lineRule="exac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显色指数：经照明光路和成像系统传输后,输出光谱的显色指数Ra≥80%</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4B8D352A">
            <w:pPr>
              <w:pageBreakBefore w:val="0"/>
              <w:kinsoku/>
              <w:overflowPunct/>
              <w:topLinePunct w:val="0"/>
              <w:bidi w:val="0"/>
              <w:spacing w:line="440" w:lineRule="exac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光能传递效率--有效光度率DM</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1300 cd/（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·lm）</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0B3A6E5C">
            <w:pPr>
              <w:pageBreakBefore w:val="0"/>
              <w:kinsoku/>
              <w:overflowPunct/>
              <w:topLinePunct w:val="0"/>
              <w:bidi w:val="0"/>
              <w:spacing w:line="440" w:lineRule="exac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鼻窦镜工作距离处的工作视场形状定义为垂直视轴的平面在该视场形状下最大入瞳视场角的90%视场处照明镜体光效ILeR≥0.240</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在该视场形状下最大入瞳视场角的90%视场处综合镜体光效SLeR≥0.400</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在该视场形状下最大入瞳视场角的90%视场处综合边缘光效SLe-z≥0.120</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在该视场形状下单位相对畸变的控制量</w:t>
            </w:r>
            <w:r>
              <w:rPr>
                <w:rFonts w:hint="eastAsia" w:eastAsia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25%</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7B8DF17C">
            <w:pPr>
              <w:pageBreakBefore w:val="0"/>
              <w:kinsoku/>
              <w:overflowPunct/>
              <w:topLinePunct w:val="0"/>
              <w:bidi w:val="0"/>
              <w:spacing w:line="440" w:lineRule="exac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10</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镜体为不锈钢制作</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1183B0FB">
            <w:pPr>
              <w:pageBreakBefore w:val="0"/>
              <w:kinsoku/>
              <w:overflowPunct/>
              <w:topLinePunct w:val="0"/>
              <w:bidi w:val="0"/>
              <w:spacing w:line="440" w:lineRule="exac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球形镜面</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tc>
      </w:tr>
      <w:tr w14:paraId="64688A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3" w:type="dxa"/>
            <w:vAlign w:val="center"/>
          </w:tcPr>
          <w:p w14:paraId="706928B1">
            <w:pPr>
              <w:pageBreakBefore w:val="0"/>
              <w:tabs>
                <w:tab w:val="left" w:pos="180"/>
                <w:tab w:val="left" w:pos="1620"/>
              </w:tabs>
              <w:kinsoku/>
              <w:overflowPunct/>
              <w:topLinePunct w:val="0"/>
              <w:bidi w:val="0"/>
              <w:spacing w:line="44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tc>
        <w:tc>
          <w:tcPr>
            <w:tcW w:w="1005" w:type="dxa"/>
            <w:vAlign w:val="center"/>
          </w:tcPr>
          <w:p w14:paraId="208994D0">
            <w:pPr>
              <w:pageBreakBefore w:val="0"/>
              <w:tabs>
                <w:tab w:val="left" w:pos="180"/>
                <w:tab w:val="left" w:pos="1620"/>
              </w:tabs>
              <w:kinsoku/>
              <w:overflowPunct/>
              <w:topLinePunct w:val="0"/>
              <w:bidi w:val="0"/>
              <w:spacing w:line="44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0°耳内镜</w:t>
            </w:r>
          </w:p>
        </w:tc>
        <w:tc>
          <w:tcPr>
            <w:tcW w:w="993" w:type="dxa"/>
            <w:vAlign w:val="center"/>
          </w:tcPr>
          <w:p w14:paraId="6888BE43">
            <w:pPr>
              <w:pageBreakBefore w:val="0"/>
              <w:tabs>
                <w:tab w:val="left" w:pos="180"/>
                <w:tab w:val="left" w:pos="1620"/>
              </w:tabs>
              <w:kinsoku/>
              <w:overflowPunct/>
              <w:topLinePunct w:val="0"/>
              <w:bidi w:val="0"/>
              <w:spacing w:line="440"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4支</w:t>
            </w:r>
          </w:p>
        </w:tc>
        <w:tc>
          <w:tcPr>
            <w:tcW w:w="1309" w:type="dxa"/>
            <w:vAlign w:val="center"/>
          </w:tcPr>
          <w:p w14:paraId="5D7702D3">
            <w:pPr>
              <w:pageBreakBefore w:val="0"/>
              <w:tabs>
                <w:tab w:val="left" w:pos="180"/>
                <w:tab w:val="left" w:pos="1620"/>
              </w:tabs>
              <w:kinsoku/>
              <w:overflowPunct/>
              <w:topLinePunct w:val="0"/>
              <w:bidi w:val="0"/>
              <w:spacing w:line="440"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w:t>
            </w:r>
          </w:p>
        </w:tc>
        <w:tc>
          <w:tcPr>
            <w:tcW w:w="5532" w:type="dxa"/>
          </w:tcPr>
          <w:p w14:paraId="02CF481C">
            <w:pPr>
              <w:pStyle w:val="44"/>
              <w:pageBreakBefore w:val="0"/>
              <w:numPr>
                <w:ilvl w:val="0"/>
                <w:numId w:val="4"/>
              </w:numPr>
              <w:shd w:val="clear" w:color="auto" w:fill="FFFFFF"/>
              <w:kinsoku/>
              <w:overflowPunct/>
              <w:topLinePunct w:val="0"/>
              <w:bidi w:val="0"/>
              <w:spacing w:line="440" w:lineRule="exact"/>
              <w:jc w:val="both"/>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插入部最大外径（内窥镜）：Φ</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2.7mm；</w:t>
            </w:r>
          </w:p>
          <w:p w14:paraId="3B7B2962">
            <w:pPr>
              <w:pStyle w:val="44"/>
              <w:pageBreakBefore w:val="0"/>
              <w:numPr>
                <w:ilvl w:val="0"/>
                <w:numId w:val="4"/>
              </w:numPr>
              <w:shd w:val="clear" w:color="auto" w:fill="FFFFFF"/>
              <w:kinsoku/>
              <w:overflowPunct/>
              <w:topLinePunct w:val="0"/>
              <w:bidi w:val="0"/>
              <w:spacing w:line="440" w:lineRule="exact"/>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内窥镜工作长度：≥100mm</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w:t>
            </w:r>
          </w:p>
          <w:p w14:paraId="747B4C29">
            <w:pPr>
              <w:pStyle w:val="44"/>
              <w:pageBreakBefore w:val="0"/>
              <w:numPr>
                <w:ilvl w:val="0"/>
                <w:numId w:val="4"/>
              </w:numPr>
              <w:shd w:val="clear" w:color="auto" w:fill="FFFFFF"/>
              <w:kinsoku/>
              <w:overflowPunct/>
              <w:topLinePunct w:val="0"/>
              <w:bidi w:val="0"/>
              <w:spacing w:line="440" w:lineRule="exact"/>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视场角：≥60°</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6760241C">
            <w:pPr>
              <w:pStyle w:val="44"/>
              <w:pageBreakBefore w:val="0"/>
              <w:numPr>
                <w:ilvl w:val="0"/>
                <w:numId w:val="4"/>
              </w:numPr>
              <w:shd w:val="clear" w:color="auto" w:fill="FFFFFF"/>
              <w:kinsoku/>
              <w:overflowPunct/>
              <w:topLinePunct w:val="0"/>
              <w:bidi w:val="0"/>
              <w:spacing w:line="440" w:lineRule="exact"/>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视向角：0°</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w:t>
            </w:r>
          </w:p>
          <w:p w14:paraId="6299DC77">
            <w:pPr>
              <w:pStyle w:val="44"/>
              <w:pageBreakBefore w:val="0"/>
              <w:numPr>
                <w:ilvl w:val="0"/>
                <w:numId w:val="4"/>
              </w:numPr>
              <w:shd w:val="clear" w:color="auto" w:fill="FFFFFF"/>
              <w:kinsoku/>
              <w:overflowPunct/>
              <w:topLinePunct w:val="0"/>
              <w:bidi w:val="0"/>
              <w:spacing w:line="440" w:lineRule="exact"/>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设计光学工作距离：≥20mm</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7F9C11F3">
            <w:pPr>
              <w:pStyle w:val="44"/>
              <w:pageBreakBefore w:val="0"/>
              <w:numPr>
                <w:ilvl w:val="0"/>
                <w:numId w:val="4"/>
              </w:numPr>
              <w:shd w:val="clear" w:color="auto" w:fill="FFFFFF"/>
              <w:kinsoku/>
              <w:overflowPunct/>
              <w:topLinePunct w:val="0"/>
              <w:bidi w:val="0"/>
              <w:spacing w:line="440" w:lineRule="exact"/>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中心角分辨力：ra(d)≥3.267 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6AC3F27F">
            <w:pPr>
              <w:pStyle w:val="44"/>
              <w:pageBreakBefore w:val="0"/>
              <w:numPr>
                <w:ilvl w:val="0"/>
                <w:numId w:val="4"/>
              </w:numPr>
              <w:shd w:val="clear" w:color="auto" w:fill="FFFFFF"/>
              <w:kinsoku/>
              <w:overflowPunct/>
              <w:topLinePunct w:val="0"/>
              <w:bidi w:val="0"/>
              <w:spacing w:line="440" w:lineRule="exact"/>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显色指数：经照明光路和成像系统传输后,输出光谱的显色指数Ra≥80%</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2BA9DBEA">
            <w:pPr>
              <w:pStyle w:val="44"/>
              <w:pageBreakBefore w:val="0"/>
              <w:numPr>
                <w:ilvl w:val="0"/>
                <w:numId w:val="4"/>
              </w:numPr>
              <w:shd w:val="clear" w:color="auto" w:fill="FFFFFF"/>
              <w:kinsoku/>
              <w:overflowPunct/>
              <w:topLinePunct w:val="0"/>
              <w:bidi w:val="0"/>
              <w:spacing w:line="440" w:lineRule="exact"/>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光能传递效率--有效光度率DM</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1300 cd/（</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·lm）</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0718CDC3">
            <w:pPr>
              <w:pStyle w:val="44"/>
              <w:pageBreakBefore w:val="0"/>
              <w:numPr>
                <w:ilvl w:val="0"/>
                <w:numId w:val="4"/>
              </w:numPr>
              <w:shd w:val="clear" w:color="auto" w:fill="FFFFFF"/>
              <w:kinsoku/>
              <w:overflowPunct/>
              <w:topLinePunct w:val="0"/>
              <w:bidi w:val="0"/>
              <w:spacing w:line="440" w:lineRule="exact"/>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鼻窦镜工作距离处的工作视场形状定义为垂直视轴的平面</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在该视场形状下最大入瞳视场角的90%视场处照明镜体光效ILeR≥0.240</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在该视场形状下最大入瞳视场角的90%视场处综合镜体光效SLeR≥0.400</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在该视场形状下最大入瞳视场角的90%视场处综合边缘光效SLe-z≥0.120</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在该视场形状下单位相对畸变的控制量</w:t>
            </w:r>
            <w:r>
              <w:rPr>
                <w:rFonts w:hint="eastAsia" w:eastAsia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25%</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05F1C5B5">
            <w:pPr>
              <w:pStyle w:val="44"/>
              <w:pageBreakBefore w:val="0"/>
              <w:numPr>
                <w:ilvl w:val="0"/>
                <w:numId w:val="4"/>
              </w:numPr>
              <w:shd w:val="clear" w:color="auto" w:fill="FFFFFF"/>
              <w:kinsoku/>
              <w:overflowPunct/>
              <w:topLinePunct w:val="0"/>
              <w:bidi w:val="0"/>
              <w:spacing w:line="440" w:lineRule="exact"/>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镜体为不锈钢制作</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3B361B77">
            <w:pPr>
              <w:pStyle w:val="44"/>
              <w:pageBreakBefore w:val="0"/>
              <w:numPr>
                <w:ilvl w:val="0"/>
                <w:numId w:val="4"/>
              </w:numPr>
              <w:shd w:val="clear" w:color="auto" w:fill="FFFFFF"/>
              <w:kinsoku/>
              <w:overflowPunct/>
              <w:topLinePunct w:val="0"/>
              <w:bidi w:val="0"/>
              <w:spacing w:line="440" w:lineRule="exact"/>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球形镜面</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tc>
      </w:tr>
      <w:tr w14:paraId="364E4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3" w:type="dxa"/>
            <w:vAlign w:val="center"/>
          </w:tcPr>
          <w:p w14:paraId="5E599F0E">
            <w:pPr>
              <w:pageBreakBefore w:val="0"/>
              <w:tabs>
                <w:tab w:val="left" w:pos="180"/>
                <w:tab w:val="left" w:pos="1620"/>
              </w:tabs>
              <w:kinsoku/>
              <w:overflowPunct/>
              <w:topLinePunct w:val="0"/>
              <w:bidi w:val="0"/>
              <w:spacing w:line="440"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w:t>
            </w:r>
          </w:p>
        </w:tc>
        <w:tc>
          <w:tcPr>
            <w:tcW w:w="1005" w:type="dxa"/>
            <w:vAlign w:val="center"/>
          </w:tcPr>
          <w:p w14:paraId="29CE1E3F">
            <w:pPr>
              <w:pageBreakBefore w:val="0"/>
              <w:tabs>
                <w:tab w:val="left" w:pos="180"/>
                <w:tab w:val="left" w:pos="1620"/>
              </w:tabs>
              <w:kinsoku/>
              <w:overflowPunct/>
              <w:topLinePunct w:val="0"/>
              <w:bidi w:val="0"/>
              <w:spacing w:line="44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高清电子鼻咽喉镜</w:t>
            </w:r>
          </w:p>
        </w:tc>
        <w:tc>
          <w:tcPr>
            <w:tcW w:w="993" w:type="dxa"/>
            <w:vAlign w:val="center"/>
          </w:tcPr>
          <w:p w14:paraId="4843B57E">
            <w:pPr>
              <w:pageBreakBefore w:val="0"/>
              <w:tabs>
                <w:tab w:val="left" w:pos="180"/>
                <w:tab w:val="left" w:pos="1620"/>
              </w:tabs>
              <w:kinsoku/>
              <w:overflowPunct/>
              <w:topLinePunct w:val="0"/>
              <w:bidi w:val="0"/>
              <w:spacing w:line="440"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1条</w:t>
            </w:r>
          </w:p>
        </w:tc>
        <w:tc>
          <w:tcPr>
            <w:tcW w:w="1309" w:type="dxa"/>
            <w:vAlign w:val="center"/>
          </w:tcPr>
          <w:p w14:paraId="5FDC35D0">
            <w:pPr>
              <w:pageBreakBefore w:val="0"/>
              <w:tabs>
                <w:tab w:val="left" w:pos="180"/>
                <w:tab w:val="left" w:pos="1620"/>
              </w:tabs>
              <w:kinsoku/>
              <w:overflowPunct/>
              <w:topLinePunct w:val="0"/>
              <w:bidi w:val="0"/>
              <w:spacing w:line="440"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51</w:t>
            </w:r>
          </w:p>
        </w:tc>
        <w:tc>
          <w:tcPr>
            <w:tcW w:w="5532" w:type="dxa"/>
          </w:tcPr>
          <w:p w14:paraId="19282AFE">
            <w:pPr>
              <w:pageBreakBefore w:val="0"/>
              <w:widowControl w:val="0"/>
              <w:numPr>
                <w:ilvl w:val="0"/>
                <w:numId w:val="0"/>
              </w:numPr>
              <w:kinsoku/>
              <w:overflowPunct/>
              <w:topLinePunct w:val="0"/>
              <w:bidi w:val="0"/>
              <w:spacing w:after="0" w:line="440" w:lineRule="exact"/>
              <w:ind w:left="425" w:leftChars="0" w:hanging="425" w:firstLineChars="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视野角度≥85°，视野方向0°</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50657C60">
            <w:pPr>
              <w:pageBreakBefore w:val="0"/>
              <w:widowControl w:val="0"/>
              <w:numPr>
                <w:ilvl w:val="0"/>
                <w:numId w:val="0"/>
              </w:numPr>
              <w:kinsoku/>
              <w:overflowPunct/>
              <w:topLinePunct w:val="0"/>
              <w:bidi w:val="0"/>
              <w:spacing w:after="0" w:line="440" w:lineRule="exact"/>
              <w:ind w:left="425" w:leftChars="0" w:hanging="425" w:firstLineChars="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景深：</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达到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3-100mm</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6A18D857">
            <w:pPr>
              <w:pageBreakBefore w:val="0"/>
              <w:widowControl w:val="0"/>
              <w:numPr>
                <w:ilvl w:val="0"/>
                <w:numId w:val="0"/>
              </w:numPr>
              <w:kinsoku/>
              <w:overflowPunct/>
              <w:topLinePunct w:val="0"/>
              <w:bidi w:val="0"/>
              <w:spacing w:after="0" w:line="440" w:lineRule="exact"/>
              <w:ind w:left="425" w:leftChars="0" w:hanging="425" w:firstLineChars="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插入管外径</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3.9mm</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661D0C94">
            <w:pPr>
              <w:pageBreakBefore w:val="0"/>
              <w:widowControl w:val="0"/>
              <w:numPr>
                <w:ilvl w:val="0"/>
                <w:numId w:val="0"/>
              </w:numPr>
              <w:kinsoku/>
              <w:overflowPunct/>
              <w:topLinePunct w:val="0"/>
              <w:bidi w:val="0"/>
              <w:spacing w:after="0" w:line="440" w:lineRule="exact"/>
              <w:ind w:left="425" w:leftChars="0" w:hanging="425" w:firstLineChars="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弯曲范围向上≥130°，向下≥130°</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00BB1C38">
            <w:pPr>
              <w:pageBreakBefore w:val="0"/>
              <w:widowControl w:val="0"/>
              <w:numPr>
                <w:ilvl w:val="0"/>
                <w:numId w:val="0"/>
              </w:numPr>
              <w:kinsoku/>
              <w:overflowPunct/>
              <w:topLinePunct w:val="0"/>
              <w:bidi w:val="0"/>
              <w:spacing w:after="0" w:line="440" w:lineRule="exact"/>
              <w:ind w:left="425" w:leftChars="0" w:hanging="425" w:firstLineChars="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有效工作长</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度</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≥320mm</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653ED0B4">
            <w:pPr>
              <w:pageBreakBefore w:val="0"/>
              <w:widowControl w:val="0"/>
              <w:numPr>
                <w:ilvl w:val="0"/>
                <w:numId w:val="0"/>
              </w:numPr>
              <w:kinsoku/>
              <w:overflowPunct/>
              <w:topLinePunct w:val="0"/>
              <w:bidi w:val="0"/>
              <w:spacing w:after="0" w:line="440" w:lineRule="exact"/>
              <w:ind w:left="425" w:leftChars="0" w:hanging="425" w:firstLineChars="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内置LED光源，产热量低，使用寿命≥20000小时</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tc>
      </w:tr>
      <w:tr w14:paraId="461A0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6" w:hRule="atLeast"/>
          <w:jc w:val="center"/>
        </w:trPr>
        <w:tc>
          <w:tcPr>
            <w:tcW w:w="533" w:type="dxa"/>
            <w:vAlign w:val="center"/>
          </w:tcPr>
          <w:p w14:paraId="2BA62A5D">
            <w:pPr>
              <w:pageBreakBefore w:val="0"/>
              <w:tabs>
                <w:tab w:val="left" w:pos="180"/>
                <w:tab w:val="left" w:pos="1620"/>
              </w:tabs>
              <w:kinsoku/>
              <w:overflowPunct/>
              <w:topLinePunct w:val="0"/>
              <w:bidi w:val="0"/>
              <w:spacing w:line="440"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w:t>
            </w:r>
          </w:p>
        </w:tc>
        <w:tc>
          <w:tcPr>
            <w:tcW w:w="1005" w:type="dxa"/>
            <w:vAlign w:val="center"/>
          </w:tcPr>
          <w:p w14:paraId="360CA7B8">
            <w:pPr>
              <w:pageBreakBefore w:val="0"/>
              <w:tabs>
                <w:tab w:val="left" w:pos="180"/>
                <w:tab w:val="left" w:pos="1620"/>
              </w:tabs>
              <w:kinsoku/>
              <w:overflowPunct/>
              <w:topLinePunct w:val="0"/>
              <w:bidi w:val="0"/>
              <w:spacing w:line="440" w:lineRule="exact"/>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电子上消化道内窥镜</w:t>
            </w:r>
          </w:p>
        </w:tc>
        <w:tc>
          <w:tcPr>
            <w:tcW w:w="993" w:type="dxa"/>
            <w:vAlign w:val="center"/>
          </w:tcPr>
          <w:p w14:paraId="6BF791E1">
            <w:pPr>
              <w:pageBreakBefore w:val="0"/>
              <w:widowControl w:val="0"/>
              <w:numPr>
                <w:ilvl w:val="0"/>
                <w:numId w:val="0"/>
              </w:numPr>
              <w:kinsoku/>
              <w:overflowPunct/>
              <w:topLinePunct w:val="0"/>
              <w:bidi w:val="0"/>
              <w:spacing w:after="0" w:line="440" w:lineRule="exact"/>
              <w:ind w:left="425" w:leftChars="0" w:hanging="425" w:firstLineChars="0"/>
              <w:jc w:val="both"/>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2条</w:t>
            </w:r>
          </w:p>
        </w:tc>
        <w:tc>
          <w:tcPr>
            <w:tcW w:w="1309" w:type="dxa"/>
            <w:vAlign w:val="center"/>
          </w:tcPr>
          <w:p w14:paraId="502464A2">
            <w:pPr>
              <w:pageBreakBefore w:val="0"/>
              <w:widowControl w:val="0"/>
              <w:numPr>
                <w:ilvl w:val="0"/>
                <w:numId w:val="0"/>
              </w:numPr>
              <w:kinsoku/>
              <w:overflowPunct/>
              <w:topLinePunct w:val="0"/>
              <w:bidi w:val="0"/>
              <w:spacing w:after="0" w:line="440" w:lineRule="exact"/>
              <w:ind w:left="425" w:leftChars="0" w:hanging="425" w:firstLineChars="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127</w:t>
            </w:r>
          </w:p>
        </w:tc>
        <w:tc>
          <w:tcPr>
            <w:tcW w:w="5532" w:type="dxa"/>
          </w:tcPr>
          <w:p w14:paraId="66AE4501">
            <w:pPr>
              <w:pageBreakBefore w:val="0"/>
              <w:widowControl w:val="0"/>
              <w:numPr>
                <w:ilvl w:val="0"/>
                <w:numId w:val="0"/>
              </w:numPr>
              <w:kinsoku/>
              <w:overflowPunct/>
              <w:topLinePunct w:val="0"/>
              <w:bidi w:val="0"/>
              <w:spacing w:after="0" w:line="440" w:lineRule="exact"/>
              <w:ind w:left="425" w:leftChars="0" w:hanging="425" w:firstLineChars="0"/>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（一）</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功能描述：</w:t>
            </w:r>
          </w:p>
          <w:p w14:paraId="6D71ED22">
            <w:pPr>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left="0" w:leftChars="0" w:firstLine="0" w:firstLineChars="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电子上消化道内窥镜通过口腔插入，可清晰观察食管、胃、十二指肠球部及降部的黏膜状态，能发现炎症、溃疡、息肉、肿瘤等病变，还能识别早期微小病变，为疾病诊断提供依据。</w:t>
            </w:r>
          </w:p>
          <w:p w14:paraId="6D6D7C36">
            <w:pPr>
              <w:pageBreakBefore w:val="0"/>
              <w:widowControl w:val="0"/>
              <w:numPr>
                <w:ilvl w:val="0"/>
                <w:numId w:val="0"/>
              </w:numPr>
              <w:kinsoku/>
              <w:overflowPunct/>
              <w:topLinePunct w:val="0"/>
              <w:bidi w:val="0"/>
              <w:spacing w:after="0" w:line="440" w:lineRule="exact"/>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（二）</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治疗模式：</w:t>
            </w:r>
          </w:p>
          <w:p w14:paraId="0EAD126C">
            <w:pPr>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left="0" w:leftChars="0" w:firstLine="0" w:firstLineChars="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至少具有以下功能：</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消化道早癌精查</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针对息肉</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及</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早期癌等病变组织</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可进行切除、病变组织病理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取样</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溃疡出血</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及</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血管破裂止血</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胃食管内异物</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取出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治疗</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等</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功能。</w:t>
            </w:r>
          </w:p>
          <w:p w14:paraId="734C70BE">
            <w:pPr>
              <w:pageBreakBefore w:val="0"/>
              <w:widowControl w:val="0"/>
              <w:numPr>
                <w:ilvl w:val="0"/>
                <w:numId w:val="0"/>
              </w:numPr>
              <w:kinsoku/>
              <w:overflowPunct/>
              <w:topLinePunct w:val="0"/>
              <w:bidi w:val="0"/>
              <w:spacing w:after="0" w:line="440" w:lineRule="exact"/>
              <w:ind w:left="425" w:leftChars="0" w:hanging="425" w:firstLineChars="0"/>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（三）</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技术要求</w:t>
            </w:r>
          </w:p>
          <w:p w14:paraId="2B309BC9">
            <w:pPr>
              <w:pageBreakBefore w:val="0"/>
              <w:widowControl w:val="0"/>
              <w:numPr>
                <w:ilvl w:val="0"/>
                <w:numId w:val="0"/>
              </w:numPr>
              <w:kinsoku/>
              <w:overflowPunct/>
              <w:topLinePunct w:val="0"/>
              <w:bidi w:val="0"/>
              <w:spacing w:after="0" w:line="440" w:lineRule="exact"/>
              <w:ind w:left="425" w:leftChars="0" w:hanging="425" w:firstLineChars="0"/>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CMOS高感图像传感器。</w:t>
            </w:r>
          </w:p>
          <w:p w14:paraId="49C067B0">
            <w:pPr>
              <w:pageBreakBefore w:val="0"/>
              <w:widowControl w:val="0"/>
              <w:numPr>
                <w:ilvl w:val="0"/>
                <w:numId w:val="0"/>
              </w:numPr>
              <w:kinsoku/>
              <w:overflowPunct/>
              <w:topLinePunct w:val="0"/>
              <w:bidi w:val="0"/>
              <w:spacing w:after="0" w:line="440" w:lineRule="exact"/>
              <w:ind w:left="425" w:leftChars="0" w:hanging="425" w:firstLineChars="0"/>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具备近焦观察：</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具备</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2mm近距离观察。</w:t>
            </w:r>
          </w:p>
          <w:p w14:paraId="5B318AF5">
            <w:pPr>
              <w:pageBreakBefore w:val="0"/>
              <w:widowControl w:val="0"/>
              <w:numPr>
                <w:ilvl w:val="0"/>
                <w:numId w:val="0"/>
              </w:numPr>
              <w:kinsoku/>
              <w:overflowPunct/>
              <w:topLinePunct w:val="0"/>
              <w:bidi w:val="0"/>
              <w:spacing w:after="0" w:line="440" w:lineRule="exact"/>
              <w:ind w:left="425" w:leftChars="0" w:hanging="425" w:firstLineChars="0"/>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视野角：≥140°。</w:t>
            </w:r>
          </w:p>
          <w:p w14:paraId="76BC9FB2">
            <w:pPr>
              <w:pageBreakBefore w:val="0"/>
              <w:widowControl w:val="0"/>
              <w:numPr>
                <w:ilvl w:val="0"/>
                <w:numId w:val="0"/>
              </w:numPr>
              <w:kinsoku/>
              <w:overflowPunct/>
              <w:topLinePunct w:val="0"/>
              <w:bidi w:val="0"/>
              <w:spacing w:after="0" w:line="440" w:lineRule="exact"/>
              <w:ind w:left="425" w:leftChars="0" w:hanging="425" w:firstLineChars="0"/>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观察景深：</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达到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2~100mm。</w:t>
            </w:r>
          </w:p>
          <w:p w14:paraId="249A04EC">
            <w:pPr>
              <w:pageBreakBefore w:val="0"/>
              <w:widowControl w:val="0"/>
              <w:numPr>
                <w:ilvl w:val="0"/>
                <w:numId w:val="0"/>
              </w:numPr>
              <w:kinsoku/>
              <w:overflowPunct/>
              <w:topLinePunct w:val="0"/>
              <w:bidi w:val="0"/>
              <w:spacing w:after="0" w:line="440" w:lineRule="exact"/>
              <w:ind w:left="425" w:leftChars="0" w:hanging="425" w:firstLineChars="0"/>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先端部直径（插入部）：</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9.2mm，软性部直径（插入部）：</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9.3mm。</w:t>
            </w:r>
          </w:p>
          <w:p w14:paraId="0AE23CB6">
            <w:pPr>
              <w:pageBreakBefore w:val="0"/>
              <w:widowControl w:val="0"/>
              <w:numPr>
                <w:ilvl w:val="0"/>
                <w:numId w:val="0"/>
              </w:numPr>
              <w:kinsoku/>
              <w:overflowPunct/>
              <w:topLinePunct w:val="0"/>
              <w:bidi w:val="0"/>
              <w:spacing w:after="0" w:line="440" w:lineRule="exact"/>
              <w:ind w:left="425" w:leftChars="0" w:hanging="425" w:firstLineChars="0"/>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弯曲角度：上≥210°，下≥90°，左≥100°，右≥100°。</w:t>
            </w:r>
          </w:p>
          <w:p w14:paraId="35226B98">
            <w:pPr>
              <w:pageBreakBefore w:val="0"/>
              <w:widowControl w:val="0"/>
              <w:numPr>
                <w:ilvl w:val="0"/>
                <w:numId w:val="0"/>
              </w:numPr>
              <w:kinsoku/>
              <w:overflowPunct/>
              <w:topLinePunct w:val="0"/>
              <w:bidi w:val="0"/>
              <w:spacing w:after="0" w:line="440" w:lineRule="exact"/>
              <w:ind w:left="425" w:leftChars="0" w:hanging="425" w:firstLineChars="0"/>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最小钳道内径：≥2.8mm。</w:t>
            </w:r>
          </w:p>
          <w:p w14:paraId="5541DDC8">
            <w:pPr>
              <w:pageBreakBefore w:val="0"/>
              <w:widowControl w:val="0"/>
              <w:numPr>
                <w:ilvl w:val="0"/>
                <w:numId w:val="0"/>
              </w:numPr>
              <w:kinsoku/>
              <w:overflowPunct/>
              <w:topLinePunct w:val="0"/>
              <w:bidi w:val="0"/>
              <w:spacing w:after="0" w:line="440" w:lineRule="exact"/>
              <w:ind w:left="425" w:leftChars="0" w:hanging="425" w:firstLineChars="0"/>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工作长度：≥1000mm，全长：≥1300mm。</w:t>
            </w:r>
          </w:p>
          <w:p w14:paraId="458F8318">
            <w:pPr>
              <w:pageBreakBefore w:val="0"/>
              <w:widowControl w:val="0"/>
              <w:numPr>
                <w:ilvl w:val="0"/>
                <w:numId w:val="0"/>
              </w:numPr>
              <w:kinsoku/>
              <w:overflowPunct/>
              <w:topLinePunct w:val="0"/>
              <w:bidi w:val="0"/>
              <w:spacing w:after="0" w:line="440" w:lineRule="exact"/>
              <w:ind w:left="425" w:leftChars="0" w:hanging="425" w:firstLineChars="0"/>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具有前射水功能。</w:t>
            </w:r>
          </w:p>
          <w:p w14:paraId="512A0ADB">
            <w:pPr>
              <w:pageBreakBefore w:val="0"/>
              <w:widowControl w:val="0"/>
              <w:numPr>
                <w:ilvl w:val="0"/>
                <w:numId w:val="0"/>
              </w:numPr>
              <w:kinsoku/>
              <w:overflowPunct/>
              <w:topLinePunct w:val="0"/>
              <w:bidi w:val="0"/>
              <w:spacing w:after="0" w:line="440" w:lineRule="exact"/>
              <w:ind w:left="425" w:leftChars="0" w:hanging="425" w:firstLineChars="0"/>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10</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具备无线插拔技术、无线连接技术。</w:t>
            </w:r>
          </w:p>
          <w:p w14:paraId="4A3560A6">
            <w:pPr>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left="0" w:leftChars="0" w:firstLine="0" w:firstLineChars="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配合主机的特殊光观察技术，通过内镜按钮切换观察模式，可获取不同的粘膜信息，从而实现消化道早癌筛查到精查。</w:t>
            </w:r>
          </w:p>
        </w:tc>
      </w:tr>
      <w:tr w14:paraId="6EB82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3" w:type="dxa"/>
            <w:vAlign w:val="center"/>
          </w:tcPr>
          <w:p w14:paraId="62CC2A5C">
            <w:pPr>
              <w:pageBreakBefore w:val="0"/>
              <w:tabs>
                <w:tab w:val="left" w:pos="180"/>
                <w:tab w:val="left" w:pos="1620"/>
              </w:tabs>
              <w:kinsoku/>
              <w:overflowPunct/>
              <w:topLinePunct w:val="0"/>
              <w:bidi w:val="0"/>
              <w:spacing w:line="440"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w:t>
            </w:r>
          </w:p>
        </w:tc>
        <w:tc>
          <w:tcPr>
            <w:tcW w:w="1005" w:type="dxa"/>
            <w:vAlign w:val="center"/>
          </w:tcPr>
          <w:p w14:paraId="682D2B67">
            <w:pPr>
              <w:pageBreakBefore w:val="0"/>
              <w:tabs>
                <w:tab w:val="left" w:pos="180"/>
                <w:tab w:val="left" w:pos="1620"/>
              </w:tabs>
              <w:kinsoku/>
              <w:overflowPunct/>
              <w:topLinePunct w:val="0"/>
              <w:bidi w:val="0"/>
              <w:spacing w:line="440" w:lineRule="exact"/>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eastAsia="zh-CN"/>
                <w14:textFill>
                  <w14:solidFill>
                    <w14:schemeClr w14:val="tx1"/>
                  </w14:solidFill>
                </w14:textFill>
              </w:rPr>
              <w:t>代谢气体呼气分析仪</w:t>
            </w:r>
          </w:p>
        </w:tc>
        <w:tc>
          <w:tcPr>
            <w:tcW w:w="993" w:type="dxa"/>
            <w:vAlign w:val="center"/>
          </w:tcPr>
          <w:p w14:paraId="0017704A">
            <w:pPr>
              <w:pageBreakBefore w:val="0"/>
              <w:tabs>
                <w:tab w:val="left" w:pos="180"/>
                <w:tab w:val="left" w:pos="1620"/>
              </w:tabs>
              <w:kinsoku/>
              <w:overflowPunct/>
              <w:topLinePunct w:val="0"/>
              <w:bidi w:val="0"/>
              <w:spacing w:line="440"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1条</w:t>
            </w:r>
          </w:p>
        </w:tc>
        <w:tc>
          <w:tcPr>
            <w:tcW w:w="1309" w:type="dxa"/>
            <w:vAlign w:val="center"/>
          </w:tcPr>
          <w:p w14:paraId="7FD4F055">
            <w:pPr>
              <w:pageBreakBefore w:val="0"/>
              <w:tabs>
                <w:tab w:val="left" w:pos="180"/>
                <w:tab w:val="left" w:pos="1620"/>
              </w:tabs>
              <w:kinsoku/>
              <w:overflowPunct/>
              <w:topLinePunct w:val="0"/>
              <w:bidi w:val="0"/>
              <w:spacing w:line="440"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w:t>
            </w:r>
          </w:p>
        </w:tc>
        <w:tc>
          <w:tcPr>
            <w:tcW w:w="5532" w:type="dxa"/>
          </w:tcPr>
          <w:p w14:paraId="7C88A2B0">
            <w:pPr>
              <w:pageBreakBefore w:val="0"/>
              <w:widowControl w:val="0"/>
              <w:numPr>
                <w:ilvl w:val="0"/>
                <w:numId w:val="0"/>
              </w:numPr>
              <w:kinsoku/>
              <w:overflowPunct/>
              <w:topLinePunct w:val="0"/>
              <w:bidi w:val="0"/>
              <w:spacing w:after="0" w:line="440" w:lineRule="exact"/>
              <w:ind w:leftChars="0"/>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一</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产品用途：</w:t>
            </w:r>
          </w:p>
          <w:p w14:paraId="7D26E896">
            <w:pPr>
              <w:pageBreakBefore w:val="0"/>
              <w:widowControl w:val="0"/>
              <w:numPr>
                <w:ilvl w:val="0"/>
                <w:numId w:val="0"/>
              </w:numPr>
              <w:kinsoku/>
              <w:overflowPunct/>
              <w:topLinePunct w:val="0"/>
              <w:bidi w:val="0"/>
              <w:spacing w:after="0" w:line="440" w:lineRule="exact"/>
              <w:ind w:leftChars="0"/>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小肠细菌过增长、测定口盲传输时间；糖类吸收不良症、胃酸分泌测定、小肠黏膜完整性、肠道清洁度评估等( 用户可自行选择合适的底物、时间间隔和测试点数，评估不同病症)；</w:t>
            </w:r>
          </w:p>
          <w:p w14:paraId="4EC2DFE2">
            <w:pPr>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left="0" w:leftChars="0" w:firstLine="0" w:firstLineChars="0"/>
              <w:jc w:val="both"/>
              <w:textAlignment w:val="auto"/>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可自行选择呼出氢和呼出一氧化氮联检，用于评价菌群失衡或炎症及其相关的疾病，如炎症性肠病、肝肺综合征、消化系统恶性肿瘤放化疗后等。</w:t>
            </w:r>
          </w:p>
          <w:p w14:paraId="17CB7C3F">
            <w:pPr>
              <w:pageBreakBefore w:val="0"/>
              <w:widowControl w:val="0"/>
              <w:numPr>
                <w:ilvl w:val="0"/>
                <w:numId w:val="0"/>
              </w:numPr>
              <w:kinsoku/>
              <w:overflowPunct/>
              <w:topLinePunct w:val="0"/>
              <w:bidi w:val="0"/>
              <w:spacing w:after="0" w:line="440" w:lineRule="exact"/>
              <w:ind w:left="425" w:leftChars="0" w:hanging="425" w:firstLineChars="0"/>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二</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）技术</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参数：</w:t>
            </w:r>
          </w:p>
          <w:p w14:paraId="0B79F9B0">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检测下限：（1）呼气氢： </w:t>
            </w:r>
            <w:r>
              <w:rPr>
                <w:rFonts w:hint="eastAsia" w:eastAsia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2ppm</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CO₂</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：0.1%；</w:t>
            </w:r>
          </w:p>
          <w:p w14:paraId="6EA0FED9">
            <w:pPr>
              <w:pageBreakBefore w:val="0"/>
              <w:widowControl w:val="0"/>
              <w:numPr>
                <w:ilvl w:val="0"/>
                <w:numId w:val="0"/>
              </w:numPr>
              <w:kinsoku/>
              <w:overflowPunct/>
              <w:topLinePunct w:val="0"/>
              <w:bidi w:val="0"/>
              <w:spacing w:after="0" w:line="440" w:lineRule="exact"/>
              <w:ind w:left="425" w:leftChars="0" w:hanging="425" w:firstLineChars="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灵敏度：</w:t>
            </w:r>
            <w:r>
              <w:rPr>
                <w:rFonts w:hint="eastAsia"/>
                <w:color w:val="000000" w:themeColor="text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1ppm</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1066BDF3">
            <w:pPr>
              <w:pageBreakBefore w:val="0"/>
              <w:widowControl w:val="0"/>
              <w:numPr>
                <w:ilvl w:val="0"/>
                <w:numId w:val="0"/>
              </w:numPr>
              <w:kinsoku/>
              <w:overflowPunct/>
              <w:topLinePunct w:val="0"/>
              <w:bidi w:val="0"/>
              <w:spacing w:after="0" w:line="440" w:lineRule="exact"/>
              <w:ind w:left="425" w:leftChars="0" w:hanging="425" w:firstLineChars="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分辨率：H</w:t>
            </w:r>
            <w:r>
              <w:rPr>
                <w:rFonts w:hint="eastAsia" w:asciiTheme="minorEastAsia" w:hAnsiTheme="minorEastAsia" w:eastAsiaTheme="minorEastAsia" w:cstheme="minorEastAsia"/>
                <w:color w:val="000000" w:themeColor="text1"/>
                <w:sz w:val="21"/>
                <w:szCs w:val="21"/>
                <w:highlight w:val="none"/>
                <w:vertAlign w:val="subscript"/>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1ppm; </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CO₂：</w:t>
            </w:r>
            <w:r>
              <w:rPr>
                <w:rFonts w:hint="eastAsia"/>
                <w:color w:val="000000" w:themeColor="text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73FB6C01">
            <w:pPr>
              <w:pageBreakBefore w:val="0"/>
              <w:widowControl w:val="0"/>
              <w:numPr>
                <w:ilvl w:val="0"/>
                <w:numId w:val="0"/>
              </w:numPr>
              <w:kinsoku/>
              <w:overflowPunct/>
              <w:topLinePunct w:val="0"/>
              <w:bidi w:val="0"/>
              <w:spacing w:after="0" w:line="440" w:lineRule="exact"/>
              <w:ind w:left="425" w:leftChars="0" w:hanging="425" w:firstLineChars="0"/>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.准确性（与标准配气的比较）：（1）呼气氢：±2ppm或5%，两者取较大值； </w:t>
            </w:r>
          </w:p>
          <w:p w14:paraId="47836A63">
            <w:pPr>
              <w:pageBreakBefore w:val="0"/>
              <w:widowControl w:val="0"/>
              <w:numPr>
                <w:ilvl w:val="0"/>
                <w:numId w:val="0"/>
              </w:numPr>
              <w:kinsoku/>
              <w:overflowPunct/>
              <w:topLinePunct w:val="0"/>
              <w:bidi w:val="0"/>
              <w:spacing w:after="0" w:line="440" w:lineRule="exact"/>
              <w:ind w:left="425" w:leftChars="0" w:hanging="425" w:firstLineChars="0"/>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.测量范围：（1）呼气氢：0－200ppm；（2）</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CO₂</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范围：0-7%；</w:t>
            </w:r>
          </w:p>
          <w:p w14:paraId="649BD727">
            <w:pPr>
              <w:pageBreakBefore w:val="0"/>
              <w:widowControl w:val="0"/>
              <w:numPr>
                <w:ilvl w:val="0"/>
                <w:numId w:val="0"/>
              </w:numPr>
              <w:kinsoku/>
              <w:overflowPunct/>
              <w:topLinePunct w:val="0"/>
              <w:bidi w:val="0"/>
              <w:spacing w:after="0" w:line="440" w:lineRule="exact"/>
              <w:ind w:left="425" w:leftChars="0" w:hanging="425" w:firstLineChars="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.响应时间：</w:t>
            </w:r>
            <w:r>
              <w:rPr>
                <w:rFonts w:hint="eastAsia" w:eastAsia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15s</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7D465F8C">
            <w:pPr>
              <w:pageBreakBefore w:val="0"/>
              <w:widowControl w:val="0"/>
              <w:numPr>
                <w:ilvl w:val="0"/>
                <w:numId w:val="0"/>
              </w:numPr>
              <w:kinsoku/>
              <w:overflowPunct/>
              <w:topLinePunct w:val="0"/>
              <w:bidi w:val="0"/>
              <w:spacing w:after="0" w:line="440" w:lineRule="exact"/>
              <w:ind w:left="425" w:leftChars="0" w:hanging="425" w:firstLineChars="0"/>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工作条件：</w:t>
            </w:r>
          </w:p>
          <w:p w14:paraId="2A39C68D">
            <w:pPr>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left="0" w:leftChars="0" w:firstLine="0" w:firstLineChars="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7.1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环境温度：5℃～35℃；</w:t>
            </w:r>
          </w:p>
          <w:p w14:paraId="274EAE03">
            <w:pPr>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left="0" w:leftChars="0" w:firstLine="0" w:firstLineChars="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7.2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相对湿度范围：不大于80% ；</w:t>
            </w:r>
          </w:p>
          <w:p w14:paraId="6AF415DA">
            <w:pPr>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left="0" w:leftChars="0" w:firstLine="0" w:firstLineChars="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7.3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大气压力范围</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达到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：700hPa～1060hPa； </w:t>
            </w:r>
          </w:p>
          <w:p w14:paraId="755AE5F9">
            <w:pPr>
              <w:pageBreakBefore w:val="0"/>
              <w:widowControl w:val="0"/>
              <w:numPr>
                <w:ilvl w:val="0"/>
                <w:numId w:val="0"/>
              </w:numPr>
              <w:kinsoku/>
              <w:overflowPunct/>
              <w:topLinePunct w:val="0"/>
              <w:bidi w:val="0"/>
              <w:spacing w:after="0" w:line="440" w:lineRule="exact"/>
              <w:ind w:left="425" w:leftChars="0" w:hanging="425" w:firstLineChars="0"/>
              <w:jc w:val="both"/>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储存温度：-</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0℃～+55℃ ；</w:t>
            </w:r>
          </w:p>
        </w:tc>
      </w:tr>
      <w:tr w14:paraId="7315C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3" w:type="dxa"/>
            <w:shd w:val="clear" w:color="auto" w:fill="auto"/>
            <w:vAlign w:val="center"/>
          </w:tcPr>
          <w:p w14:paraId="38A7BFEA">
            <w:pPr>
              <w:pageBreakBefore w:val="0"/>
              <w:tabs>
                <w:tab w:val="left" w:pos="180"/>
                <w:tab w:val="left" w:pos="1620"/>
              </w:tabs>
              <w:kinsoku/>
              <w:overflowPunct/>
              <w:topLinePunct w:val="0"/>
              <w:bidi w:val="0"/>
              <w:spacing w:line="440" w:lineRule="exact"/>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w:t>
            </w:r>
          </w:p>
        </w:tc>
        <w:tc>
          <w:tcPr>
            <w:tcW w:w="1005" w:type="dxa"/>
            <w:shd w:val="clear" w:color="auto" w:fill="auto"/>
            <w:vAlign w:val="center"/>
          </w:tcPr>
          <w:p w14:paraId="68FF5803">
            <w:pPr>
              <w:pageBreakBefore w:val="0"/>
              <w:tabs>
                <w:tab w:val="left" w:pos="180"/>
                <w:tab w:val="left" w:pos="1620"/>
              </w:tabs>
              <w:kinsoku/>
              <w:overflowPunct/>
              <w:topLinePunct w:val="0"/>
              <w:bidi w:val="0"/>
              <w:spacing w:line="440" w:lineRule="exact"/>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温控鼻炎治疗仪</w:t>
            </w:r>
          </w:p>
        </w:tc>
        <w:tc>
          <w:tcPr>
            <w:tcW w:w="993" w:type="dxa"/>
            <w:shd w:val="clear" w:color="auto" w:fill="auto"/>
            <w:vAlign w:val="center"/>
          </w:tcPr>
          <w:p w14:paraId="75EEE833">
            <w:pPr>
              <w:pageBreakBefore w:val="0"/>
              <w:tabs>
                <w:tab w:val="left" w:pos="180"/>
                <w:tab w:val="left" w:pos="1620"/>
              </w:tabs>
              <w:kinsoku/>
              <w:overflowPunct/>
              <w:topLinePunct w:val="0"/>
              <w:bidi w:val="0"/>
              <w:spacing w:line="440" w:lineRule="exact"/>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1台</w:t>
            </w:r>
          </w:p>
        </w:tc>
        <w:tc>
          <w:tcPr>
            <w:tcW w:w="1309" w:type="dxa"/>
            <w:vAlign w:val="center"/>
          </w:tcPr>
          <w:p w14:paraId="3A20909D">
            <w:pPr>
              <w:pageBreakBefore w:val="0"/>
              <w:tabs>
                <w:tab w:val="left" w:pos="180"/>
                <w:tab w:val="left" w:pos="1620"/>
              </w:tabs>
              <w:kinsoku/>
              <w:overflowPunct/>
              <w:topLinePunct w:val="0"/>
              <w:bidi w:val="0"/>
              <w:spacing w:line="440" w:lineRule="exact"/>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10</w:t>
            </w:r>
          </w:p>
        </w:tc>
        <w:tc>
          <w:tcPr>
            <w:tcW w:w="5532" w:type="dxa"/>
          </w:tcPr>
          <w:p w14:paraId="7B818F89">
            <w:pPr>
              <w:pStyle w:val="112"/>
              <w:pageBreakBefore w:val="0"/>
              <w:numPr>
                <w:ilvl w:val="0"/>
                <w:numId w:val="0"/>
              </w:numPr>
              <w:kinsoku/>
              <w:overflowPunct/>
              <w:topLinePunct w:val="0"/>
              <w:bidi w:val="0"/>
              <w:spacing w:line="440" w:lineRule="exact"/>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（一）</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设备用途</w:t>
            </w:r>
          </w:p>
          <w:p w14:paraId="5B244E46">
            <w:pPr>
              <w:pStyle w:val="112"/>
              <w:keepNext w:val="0"/>
              <w:keepLines w:val="0"/>
              <w:pageBreakBefore w:val="0"/>
              <w:widowControl w:val="0"/>
              <w:kinsoku/>
              <w:wordWrap/>
              <w:overflowPunct/>
              <w:topLinePunct w:val="0"/>
              <w:autoSpaceDE/>
              <w:autoSpaceDN/>
              <w:bidi w:val="0"/>
              <w:adjustRightInd/>
              <w:snapToGrid/>
              <w:spacing w:line="440" w:lineRule="exact"/>
              <w:ind w:left="0" w:firstLine="0" w:firstLineChars="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适用于耳鼻喉科浅表部位的手术中，对相应组织进行凝固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使组织变性</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坏死。</w:t>
            </w:r>
          </w:p>
          <w:p w14:paraId="2BC5950F">
            <w:pPr>
              <w:pStyle w:val="112"/>
              <w:pageBreakBefore w:val="0"/>
              <w:numPr>
                <w:ilvl w:val="0"/>
                <w:numId w:val="0"/>
              </w:numPr>
              <w:kinsoku/>
              <w:overflowPunct/>
              <w:topLinePunct w:val="0"/>
              <w:bidi w:val="0"/>
              <w:spacing w:line="440" w:lineRule="exact"/>
              <w:ind w:leftChars="0"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（二）技术功能要求</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w:t>
            </w:r>
          </w:p>
          <w:p w14:paraId="1307DC4B">
            <w:pPr>
              <w:pStyle w:val="112"/>
              <w:keepNext w:val="0"/>
              <w:keepLines w:val="0"/>
              <w:pageBreakBefore w:val="0"/>
              <w:widowControl w:val="0"/>
              <w:numPr>
                <w:ilvl w:val="0"/>
                <w:numId w:val="5"/>
              </w:numPr>
              <w:kinsoku/>
              <w:wordWrap/>
              <w:overflowPunct/>
              <w:topLinePunct w:val="0"/>
              <w:autoSpaceDE/>
              <w:autoSpaceDN/>
              <w:bidi w:val="0"/>
              <w:adjustRightInd/>
              <w:snapToGrid/>
              <w:spacing w:line="440" w:lineRule="exact"/>
              <w:ind w:left="0" w:firstLine="0" w:firstLineChars="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低功率、低温、无创、可重复治疗</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7C9BF0E6">
            <w:pPr>
              <w:pStyle w:val="112"/>
              <w:keepNext w:val="0"/>
              <w:keepLines w:val="0"/>
              <w:pageBreakBefore w:val="0"/>
              <w:widowControl w:val="0"/>
              <w:numPr>
                <w:ilvl w:val="0"/>
                <w:numId w:val="5"/>
              </w:numPr>
              <w:kinsoku/>
              <w:wordWrap/>
              <w:overflowPunct/>
              <w:topLinePunct w:val="0"/>
              <w:autoSpaceDE/>
              <w:autoSpaceDN/>
              <w:bidi w:val="0"/>
              <w:adjustRightInd/>
              <w:snapToGrid/>
              <w:spacing w:line="440" w:lineRule="exact"/>
              <w:ind w:left="0" w:firstLine="0" w:firstLineChars="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适合门诊手术</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31D0AA68">
            <w:pPr>
              <w:pStyle w:val="112"/>
              <w:keepNext w:val="0"/>
              <w:keepLines w:val="0"/>
              <w:pageBreakBefore w:val="0"/>
              <w:widowControl w:val="0"/>
              <w:numPr>
                <w:ilvl w:val="0"/>
                <w:numId w:val="5"/>
              </w:numPr>
              <w:kinsoku/>
              <w:wordWrap/>
              <w:overflowPunct/>
              <w:topLinePunct w:val="0"/>
              <w:autoSpaceDE/>
              <w:autoSpaceDN/>
              <w:bidi w:val="0"/>
              <w:adjustRightInd/>
              <w:snapToGrid/>
              <w:spacing w:line="440" w:lineRule="exact"/>
              <w:ind w:left="0" w:firstLine="0" w:firstLineChars="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一键启停，电极自动识别，</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能</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单手操作</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5B2E8D3F">
            <w:pPr>
              <w:pStyle w:val="112"/>
              <w:pageBreakBefore w:val="0"/>
              <w:numPr>
                <w:ilvl w:val="0"/>
                <w:numId w:val="0"/>
              </w:numPr>
              <w:kinsoku/>
              <w:overflowPunct/>
              <w:topLinePunct w:val="0"/>
              <w:bidi w:val="0"/>
              <w:spacing w:line="440" w:lineRule="exact"/>
              <w:ind w:leftChars="0" w:firstLine="422"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（三）</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主机基本参数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681A4207">
            <w:pPr>
              <w:pStyle w:val="112"/>
              <w:keepNext w:val="0"/>
              <w:keepLines w:val="0"/>
              <w:pageBreakBefore w:val="0"/>
              <w:widowControl w:val="0"/>
              <w:numPr>
                <w:ilvl w:val="0"/>
                <w:numId w:val="6"/>
              </w:numPr>
              <w:kinsoku/>
              <w:wordWrap/>
              <w:overflowPunct/>
              <w:topLinePunct w:val="0"/>
              <w:autoSpaceDE/>
              <w:autoSpaceDN/>
              <w:bidi w:val="0"/>
              <w:adjustRightInd/>
              <w:snapToGrid/>
              <w:spacing w:line="440" w:lineRule="exact"/>
              <w:ind w:left="0" w:firstLine="0" w:firstLineChars="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外形尺寸：长</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宽 </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高 ≥ 288 mm </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81mm </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205mm</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19EBB356">
            <w:pPr>
              <w:pStyle w:val="112"/>
              <w:keepNext w:val="0"/>
              <w:keepLines w:val="0"/>
              <w:pageBreakBefore w:val="0"/>
              <w:widowControl w:val="0"/>
              <w:numPr>
                <w:ilvl w:val="0"/>
                <w:numId w:val="6"/>
              </w:numPr>
              <w:kinsoku/>
              <w:wordWrap/>
              <w:overflowPunct/>
              <w:topLinePunct w:val="0"/>
              <w:autoSpaceDE/>
              <w:autoSpaceDN/>
              <w:bidi w:val="0"/>
              <w:adjustRightInd/>
              <w:snapToGrid/>
              <w:spacing w:line="440" w:lineRule="exact"/>
              <w:ind w:left="0" w:firstLine="0" w:firstLineChars="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整机重量：</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3kg</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57BE3B71">
            <w:pPr>
              <w:pStyle w:val="112"/>
              <w:keepNext w:val="0"/>
              <w:keepLines w:val="0"/>
              <w:pageBreakBefore w:val="0"/>
              <w:widowControl w:val="0"/>
              <w:numPr>
                <w:ilvl w:val="0"/>
                <w:numId w:val="6"/>
              </w:numPr>
              <w:kinsoku/>
              <w:wordWrap/>
              <w:overflowPunct/>
              <w:topLinePunct w:val="0"/>
              <w:autoSpaceDE/>
              <w:autoSpaceDN/>
              <w:bidi w:val="0"/>
              <w:adjustRightInd/>
              <w:snapToGrid/>
              <w:spacing w:line="440" w:lineRule="exact"/>
              <w:ind w:left="0" w:firstLine="0" w:firstLineChars="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工作频率：460kHz±10%</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29B0CA43">
            <w:pPr>
              <w:pStyle w:val="112"/>
              <w:keepNext w:val="0"/>
              <w:keepLines w:val="0"/>
              <w:pageBreakBefore w:val="0"/>
              <w:widowControl w:val="0"/>
              <w:numPr>
                <w:ilvl w:val="0"/>
                <w:numId w:val="6"/>
              </w:numPr>
              <w:kinsoku/>
              <w:wordWrap/>
              <w:overflowPunct/>
              <w:topLinePunct w:val="0"/>
              <w:autoSpaceDE/>
              <w:autoSpaceDN/>
              <w:bidi w:val="0"/>
              <w:adjustRightInd/>
              <w:snapToGrid/>
              <w:spacing w:line="440" w:lineRule="exact"/>
              <w:ind w:left="0" w:firstLine="0" w:firstLineChars="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额定功率：4.5W±20%</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5CBD9F1B">
            <w:pPr>
              <w:pStyle w:val="112"/>
              <w:keepNext w:val="0"/>
              <w:keepLines w:val="0"/>
              <w:pageBreakBefore w:val="0"/>
              <w:widowControl w:val="0"/>
              <w:numPr>
                <w:ilvl w:val="0"/>
                <w:numId w:val="6"/>
              </w:numPr>
              <w:kinsoku/>
              <w:wordWrap/>
              <w:overflowPunct/>
              <w:topLinePunct w:val="0"/>
              <w:autoSpaceDE/>
              <w:autoSpaceDN/>
              <w:bidi w:val="0"/>
              <w:adjustRightInd/>
              <w:snapToGrid/>
              <w:spacing w:line="440" w:lineRule="exact"/>
              <w:ind w:left="0" w:firstLine="0" w:firstLineChars="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温度阈值设置范围：</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达到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50℃~80℃，</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可通过操作温度调节键进行温度的增加或减少调节；</w:t>
            </w:r>
          </w:p>
          <w:p w14:paraId="3AAF2D98">
            <w:pPr>
              <w:pStyle w:val="112"/>
              <w:keepNext w:val="0"/>
              <w:keepLines w:val="0"/>
              <w:pageBreakBefore w:val="0"/>
              <w:widowControl w:val="0"/>
              <w:numPr>
                <w:ilvl w:val="0"/>
                <w:numId w:val="6"/>
              </w:numPr>
              <w:kinsoku/>
              <w:wordWrap/>
              <w:overflowPunct/>
              <w:topLinePunct w:val="0"/>
              <w:autoSpaceDE/>
              <w:autoSpaceDN/>
              <w:bidi w:val="0"/>
              <w:adjustRightInd/>
              <w:snapToGrid/>
              <w:spacing w:line="440" w:lineRule="exact"/>
              <w:ind w:left="0" w:firstLine="0" w:firstLineChars="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工作时间设置范围：</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达到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6s~20s，</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可通过操作温度调节键进行温度的增加或减少调节；；</w:t>
            </w:r>
          </w:p>
          <w:p w14:paraId="7BB66FEB">
            <w:pPr>
              <w:pageBreakBefore w:val="0"/>
              <w:kinsoku/>
              <w:overflowPunct/>
              <w:topLinePunct w:val="0"/>
              <w:bidi w:val="0"/>
              <w:spacing w:line="440" w:lineRule="exact"/>
              <w:ind w:firstLine="42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（四）</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工作电源条件：</w:t>
            </w:r>
          </w:p>
          <w:p w14:paraId="1CD23547">
            <w:pPr>
              <w:pStyle w:val="112"/>
              <w:keepNext w:val="0"/>
              <w:keepLines w:val="0"/>
              <w:pageBreakBefore w:val="0"/>
              <w:widowControl w:val="0"/>
              <w:numPr>
                <w:ilvl w:val="0"/>
                <w:numId w:val="7"/>
              </w:numPr>
              <w:kinsoku/>
              <w:wordWrap/>
              <w:overflowPunct/>
              <w:topLinePunct w:val="0"/>
              <w:autoSpaceDE/>
              <w:autoSpaceDN/>
              <w:bidi w:val="0"/>
              <w:adjustRightInd/>
              <w:snapToGrid/>
              <w:spacing w:line="440" w:lineRule="exact"/>
              <w:ind w:left="0" w:firstLine="0" w:firstLineChars="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供电电源：AC220V±10%/50Hz±1Hz</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0AC5EAAC">
            <w:pPr>
              <w:pStyle w:val="112"/>
              <w:keepNext w:val="0"/>
              <w:keepLines w:val="0"/>
              <w:pageBreakBefore w:val="0"/>
              <w:widowControl w:val="0"/>
              <w:numPr>
                <w:ilvl w:val="0"/>
                <w:numId w:val="7"/>
              </w:numPr>
              <w:kinsoku/>
              <w:wordWrap/>
              <w:overflowPunct/>
              <w:topLinePunct w:val="0"/>
              <w:autoSpaceDE/>
              <w:autoSpaceDN/>
              <w:bidi w:val="0"/>
              <w:adjustRightInd/>
              <w:snapToGrid/>
              <w:spacing w:line="440" w:lineRule="exact"/>
              <w:ind w:left="0" w:firstLine="0" w:firstLineChars="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输入功率：≥80VA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tc>
      </w:tr>
      <w:tr w14:paraId="2948C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3" w:type="dxa"/>
            <w:vAlign w:val="center"/>
          </w:tcPr>
          <w:p w14:paraId="6D708EAC">
            <w:pPr>
              <w:pageBreakBefore w:val="0"/>
              <w:tabs>
                <w:tab w:val="left" w:pos="180"/>
                <w:tab w:val="left" w:pos="1620"/>
              </w:tabs>
              <w:kinsoku/>
              <w:overflowPunct/>
              <w:topLinePunct w:val="0"/>
              <w:bidi w:val="0"/>
              <w:spacing w:line="440"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7</w:t>
            </w:r>
          </w:p>
        </w:tc>
        <w:tc>
          <w:tcPr>
            <w:tcW w:w="1005" w:type="dxa"/>
            <w:vAlign w:val="center"/>
          </w:tcPr>
          <w:p w14:paraId="33FE0021">
            <w:pPr>
              <w:pageBreakBefore w:val="0"/>
              <w:tabs>
                <w:tab w:val="left" w:pos="180"/>
                <w:tab w:val="left" w:pos="1620"/>
              </w:tabs>
              <w:kinsoku/>
              <w:overflowPunct/>
              <w:topLinePunct w:val="0"/>
              <w:bidi w:val="0"/>
              <w:spacing w:line="44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u w:val="none"/>
                <w:lang w:val="en-US" w:eastAsia="zh-CN"/>
                <w14:textFill>
                  <w14:solidFill>
                    <w14:schemeClr w14:val="tx1"/>
                  </w14:solidFill>
                </w14:textFill>
              </w:rPr>
              <w:t>医用内窥镜处理器</w:t>
            </w:r>
          </w:p>
        </w:tc>
        <w:tc>
          <w:tcPr>
            <w:tcW w:w="993" w:type="dxa"/>
            <w:vAlign w:val="center"/>
          </w:tcPr>
          <w:p w14:paraId="336B8857">
            <w:pPr>
              <w:pageBreakBefore w:val="0"/>
              <w:tabs>
                <w:tab w:val="left" w:pos="180"/>
                <w:tab w:val="left" w:pos="1620"/>
              </w:tabs>
              <w:kinsoku/>
              <w:overflowPunct/>
              <w:topLinePunct w:val="0"/>
              <w:bidi w:val="0"/>
              <w:spacing w:line="440"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2台</w:t>
            </w:r>
          </w:p>
        </w:tc>
        <w:tc>
          <w:tcPr>
            <w:tcW w:w="1309" w:type="dxa"/>
            <w:shd w:val="clear" w:color="auto" w:fill="auto"/>
            <w:vAlign w:val="center"/>
          </w:tcPr>
          <w:p w14:paraId="7A4BB80C">
            <w:pPr>
              <w:pageBreakBefore w:val="0"/>
              <w:tabs>
                <w:tab w:val="left" w:pos="180"/>
                <w:tab w:val="left" w:pos="1620"/>
              </w:tabs>
              <w:kinsoku/>
              <w:overflowPunct/>
              <w:topLinePunct w:val="0"/>
              <w:bidi w:val="0"/>
              <w:spacing w:line="440"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10.6</w:t>
            </w:r>
          </w:p>
        </w:tc>
        <w:tc>
          <w:tcPr>
            <w:tcW w:w="5532" w:type="dxa"/>
            <w:shd w:val="clear" w:color="auto" w:fill="auto"/>
            <w:vAlign w:val="top"/>
          </w:tcPr>
          <w:p w14:paraId="0D02605C">
            <w:pPr>
              <w:pageBreakBefore w:val="0"/>
              <w:kinsoku/>
              <w:overflowPunct/>
              <w:topLinePunct w:val="0"/>
              <w:bidi w:val="0"/>
              <w:spacing w:line="44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（一）</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适用范围：手术室</w:t>
            </w:r>
          </w:p>
          <w:p w14:paraId="7C1CA31B">
            <w:pPr>
              <w:pageBreakBefore w:val="0"/>
              <w:kinsoku/>
              <w:overflowPunct/>
              <w:topLinePunct w:val="0"/>
              <w:bidi w:val="0"/>
              <w:spacing w:line="44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（二）</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适用于：泌尿外科开展微创手术</w:t>
            </w:r>
          </w:p>
          <w:p w14:paraId="224945E7">
            <w:pPr>
              <w:pageBreakBefore w:val="0"/>
              <w:kinsoku/>
              <w:overflowPunct/>
              <w:topLinePunct w:val="0"/>
              <w:bidi w:val="0"/>
              <w:spacing w:line="44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（三）</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技术要求（技术参数与功能）及配置</w:t>
            </w:r>
          </w:p>
          <w:p w14:paraId="773C8A16">
            <w:pPr>
              <w:pStyle w:val="112"/>
              <w:pageBreakBefore w:val="0"/>
              <w:numPr>
                <w:ilvl w:val="0"/>
                <w:numId w:val="8"/>
              </w:numPr>
              <w:kinsoku/>
              <w:overflowPunct/>
              <w:topLinePunct w:val="0"/>
              <w:bidi w:val="0"/>
              <w:spacing w:line="440" w:lineRule="exact"/>
              <w:ind w:firstLine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高清视频输出接口DVI≥一组，HDMI≥一组</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16ED0A7C">
            <w:pPr>
              <w:pStyle w:val="112"/>
              <w:pageBreakBefore w:val="0"/>
              <w:numPr>
                <w:ilvl w:val="0"/>
                <w:numId w:val="8"/>
              </w:numPr>
              <w:kinsoku/>
              <w:overflowPunct/>
              <w:topLinePunct w:val="0"/>
              <w:bidi w:val="0"/>
              <w:spacing w:line="440" w:lineRule="exact"/>
              <w:ind w:firstLine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设备带USB接口≥1个，可接入U盘或者移动硬盘用于保存手术图片或视频</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59C54A31">
            <w:pPr>
              <w:pStyle w:val="112"/>
              <w:pageBreakBefore w:val="0"/>
              <w:numPr>
                <w:ilvl w:val="0"/>
                <w:numId w:val="8"/>
              </w:numPr>
              <w:kinsoku/>
              <w:overflowPunct/>
              <w:topLinePunct w:val="0"/>
              <w:bidi w:val="0"/>
              <w:spacing w:line="440" w:lineRule="exact"/>
              <w:ind w:firstLineChars="0"/>
              <w:rPr>
                <w:rFonts w:hint="eastAsia" w:asciiTheme="minorEastAsia" w:hAnsiTheme="minorEastAsia" w:eastAsiaTheme="minorEastAsia" w:cstheme="minorEastAsia"/>
                <w:color w:val="000000" w:themeColor="text1"/>
                <w:sz w:val="21"/>
                <w:szCs w:val="21"/>
                <w:highlight w:val="none"/>
                <w:lang w:eastAsia="zh-Hans"/>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一键白平衡调节功能，主机对其信息具有记忆功能</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31FC4318">
            <w:pPr>
              <w:pStyle w:val="112"/>
              <w:pageBreakBefore w:val="0"/>
              <w:numPr>
                <w:ilvl w:val="0"/>
                <w:numId w:val="8"/>
              </w:numPr>
              <w:kinsoku/>
              <w:overflowPunct/>
              <w:topLinePunct w:val="0"/>
              <w:bidi w:val="0"/>
              <w:spacing w:line="440" w:lineRule="exact"/>
              <w:ind w:firstLineChars="0"/>
              <w:rPr>
                <w:rFonts w:hint="eastAsia" w:asciiTheme="minorEastAsia" w:hAnsiTheme="minorEastAsia" w:eastAsiaTheme="minorEastAsia" w:cstheme="minorEastAsia"/>
                <w:b/>
                <w:bCs/>
                <w:color w:val="000000" w:themeColor="text1"/>
                <w:sz w:val="21"/>
                <w:szCs w:val="21"/>
                <w:highlight w:val="none"/>
                <w:lang w:eastAsia="zh-Hans"/>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1"/>
                <w:szCs w:val="21"/>
                <w:highlight w:val="none"/>
                <w:lang w:eastAsia="zh-Hans"/>
                <w14:textFill>
                  <w14:solidFill>
                    <w14:schemeClr w14:val="tx1"/>
                  </w14:solidFill>
                </w14:textFill>
              </w:rPr>
              <w:t>色调功能，</w:t>
            </w: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至少具备</w:t>
            </w:r>
            <w:r>
              <w:rPr>
                <w:rFonts w:hint="eastAsia" w:asciiTheme="minorEastAsia" w:hAnsiTheme="minorEastAsia" w:eastAsiaTheme="minorEastAsia" w:cstheme="minorEastAsia"/>
                <w:b/>
                <w:bCs/>
                <w:color w:val="000000" w:themeColor="text1"/>
                <w:sz w:val="21"/>
                <w:szCs w:val="21"/>
                <w:highlight w:val="none"/>
                <w:lang w:eastAsia="zh-Hans"/>
                <w14:textFill>
                  <w14:solidFill>
                    <w14:schemeClr w14:val="tx1"/>
                  </w14:solidFill>
                </w14:textFill>
              </w:rPr>
              <w:t>3种模式可选（LED1、M0、D65）</w:t>
            </w: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w:t>
            </w:r>
          </w:p>
          <w:p w14:paraId="306EA7A7">
            <w:pPr>
              <w:pStyle w:val="112"/>
              <w:pageBreakBefore w:val="0"/>
              <w:numPr>
                <w:ilvl w:val="0"/>
                <w:numId w:val="8"/>
              </w:numPr>
              <w:kinsoku/>
              <w:overflowPunct/>
              <w:topLinePunct w:val="0"/>
              <w:bidi w:val="0"/>
              <w:spacing w:line="440" w:lineRule="exact"/>
              <w:ind w:firstLineChars="0"/>
              <w:rPr>
                <w:rFonts w:hint="eastAsia" w:asciiTheme="minorEastAsia" w:hAnsiTheme="minorEastAsia" w:eastAsiaTheme="minorEastAsia" w:cstheme="minorEastAsia"/>
                <w:color w:val="000000" w:themeColor="text1"/>
                <w:sz w:val="21"/>
                <w:szCs w:val="21"/>
                <w:highlight w:val="none"/>
                <w:lang w:eastAsia="zh-Hans"/>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Hans"/>
                <w14:textFill>
                  <w14:solidFill>
                    <w14:schemeClr w14:val="tx1"/>
                  </w14:solidFill>
                </w14:textFill>
              </w:rPr>
              <w:t>亮度调节功能，3档可选（高、中、低）</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23BEF796">
            <w:pPr>
              <w:pStyle w:val="112"/>
              <w:pageBreakBefore w:val="0"/>
              <w:numPr>
                <w:ilvl w:val="0"/>
                <w:numId w:val="8"/>
              </w:numPr>
              <w:kinsoku/>
              <w:overflowPunct/>
              <w:topLinePunct w:val="0"/>
              <w:bidi w:val="0"/>
              <w:spacing w:line="440" w:lineRule="exact"/>
              <w:ind w:firstLineChars="0"/>
              <w:rPr>
                <w:rFonts w:hint="eastAsia" w:asciiTheme="minorEastAsia" w:hAnsiTheme="minorEastAsia" w:eastAsiaTheme="minorEastAsia" w:cstheme="minorEastAsia"/>
                <w:color w:val="000000" w:themeColor="text1"/>
                <w:sz w:val="21"/>
                <w:szCs w:val="21"/>
                <w:highlight w:val="none"/>
                <w:lang w:eastAsia="zh-Hans"/>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Hans"/>
                <w14:textFill>
                  <w14:solidFill>
                    <w14:schemeClr w14:val="tx1"/>
                  </w14:solidFill>
                </w14:textFill>
              </w:rPr>
              <w:t>红饱和度调节功能，</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0-100</w:t>
            </w:r>
            <w:r>
              <w:rPr>
                <w:rFonts w:hint="eastAsia" w:asciiTheme="minorEastAsia" w:hAnsiTheme="minorEastAsia" w:eastAsiaTheme="minorEastAsia" w:cstheme="minorEastAsia"/>
                <w:color w:val="000000" w:themeColor="text1"/>
                <w:sz w:val="21"/>
                <w:szCs w:val="21"/>
                <w:highlight w:val="none"/>
                <w:lang w:eastAsia="zh-Hans"/>
                <w14:textFill>
                  <w14:solidFill>
                    <w14:schemeClr w14:val="tx1"/>
                  </w14:solidFill>
                </w14:textFill>
              </w:rPr>
              <w:t>可</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调</w:t>
            </w:r>
            <w:r>
              <w:rPr>
                <w:rFonts w:hint="eastAsia" w:asciiTheme="minorEastAsia" w:hAnsiTheme="minorEastAsia" w:eastAsiaTheme="minorEastAsia" w:cstheme="minorEastAsia"/>
                <w:color w:val="000000" w:themeColor="text1"/>
                <w:sz w:val="21"/>
                <w:szCs w:val="21"/>
                <w:highlight w:val="none"/>
                <w:lang w:eastAsia="zh-Hans"/>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默认50</w:t>
            </w:r>
            <w:r>
              <w:rPr>
                <w:rFonts w:hint="eastAsia" w:asciiTheme="minorEastAsia" w:hAnsiTheme="minorEastAsia" w:eastAsiaTheme="minorEastAsia" w:cstheme="minorEastAsia"/>
                <w:color w:val="000000" w:themeColor="text1"/>
                <w:sz w:val="21"/>
                <w:szCs w:val="21"/>
                <w:highlight w:val="none"/>
                <w:lang w:eastAsia="zh-Hans"/>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06D3D956">
            <w:pPr>
              <w:pStyle w:val="112"/>
              <w:pageBreakBefore w:val="0"/>
              <w:numPr>
                <w:ilvl w:val="0"/>
                <w:numId w:val="8"/>
              </w:numPr>
              <w:kinsoku/>
              <w:overflowPunct/>
              <w:topLinePunct w:val="0"/>
              <w:bidi w:val="0"/>
              <w:spacing w:line="440" w:lineRule="exact"/>
              <w:ind w:firstLineChars="0"/>
              <w:rPr>
                <w:rFonts w:hint="eastAsia" w:asciiTheme="minorEastAsia" w:hAnsiTheme="minorEastAsia" w:eastAsiaTheme="minorEastAsia" w:cstheme="minorEastAsia"/>
                <w:color w:val="000000" w:themeColor="text1"/>
                <w:sz w:val="21"/>
                <w:szCs w:val="21"/>
                <w:highlight w:val="none"/>
                <w:lang w:eastAsia="zh-Hans"/>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Hans"/>
                <w14:textFill>
                  <w14:solidFill>
                    <w14:schemeClr w14:val="tx1"/>
                  </w14:solidFill>
                </w14:textFill>
              </w:rPr>
              <w:t>绿饱和度调节功能，</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0-100</w:t>
            </w:r>
            <w:r>
              <w:rPr>
                <w:rFonts w:hint="eastAsia" w:asciiTheme="minorEastAsia" w:hAnsiTheme="minorEastAsia" w:eastAsiaTheme="minorEastAsia" w:cstheme="minorEastAsia"/>
                <w:color w:val="000000" w:themeColor="text1"/>
                <w:sz w:val="21"/>
                <w:szCs w:val="21"/>
                <w:highlight w:val="none"/>
                <w:lang w:eastAsia="zh-Hans"/>
                <w14:textFill>
                  <w14:solidFill>
                    <w14:schemeClr w14:val="tx1"/>
                  </w14:solidFill>
                </w14:textFill>
              </w:rPr>
              <w:t>可</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调</w:t>
            </w:r>
            <w:r>
              <w:rPr>
                <w:rFonts w:hint="eastAsia" w:asciiTheme="minorEastAsia" w:hAnsiTheme="minorEastAsia" w:eastAsiaTheme="minorEastAsia" w:cstheme="minorEastAsia"/>
                <w:color w:val="000000" w:themeColor="text1"/>
                <w:sz w:val="21"/>
                <w:szCs w:val="21"/>
                <w:highlight w:val="none"/>
                <w:lang w:eastAsia="zh-Hans"/>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默认50</w:t>
            </w:r>
            <w:r>
              <w:rPr>
                <w:rFonts w:hint="eastAsia" w:asciiTheme="minorEastAsia" w:hAnsiTheme="minorEastAsia" w:eastAsiaTheme="minorEastAsia" w:cstheme="minorEastAsia"/>
                <w:color w:val="000000" w:themeColor="text1"/>
                <w:sz w:val="21"/>
                <w:szCs w:val="21"/>
                <w:highlight w:val="none"/>
                <w:lang w:eastAsia="zh-Hans"/>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143D18F0">
            <w:pPr>
              <w:pStyle w:val="112"/>
              <w:pageBreakBefore w:val="0"/>
              <w:numPr>
                <w:ilvl w:val="0"/>
                <w:numId w:val="8"/>
              </w:numPr>
              <w:kinsoku/>
              <w:overflowPunct/>
              <w:topLinePunct w:val="0"/>
              <w:bidi w:val="0"/>
              <w:spacing w:line="440" w:lineRule="exact"/>
              <w:ind w:firstLineChars="0"/>
              <w:rPr>
                <w:rFonts w:hint="eastAsia" w:asciiTheme="minorEastAsia" w:hAnsiTheme="minorEastAsia" w:eastAsiaTheme="minorEastAsia" w:cstheme="minorEastAsia"/>
                <w:color w:val="000000" w:themeColor="text1"/>
                <w:sz w:val="21"/>
                <w:szCs w:val="21"/>
                <w:highlight w:val="none"/>
                <w:lang w:eastAsia="zh-Hans"/>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Hans"/>
                <w14:textFill>
                  <w14:solidFill>
                    <w14:schemeClr w14:val="tx1"/>
                  </w14:solidFill>
                </w14:textFill>
              </w:rPr>
              <w:t>蓝饱和度调节功能，</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0-100</w:t>
            </w:r>
            <w:r>
              <w:rPr>
                <w:rFonts w:hint="eastAsia" w:asciiTheme="minorEastAsia" w:hAnsiTheme="minorEastAsia" w:eastAsiaTheme="minorEastAsia" w:cstheme="minorEastAsia"/>
                <w:color w:val="000000" w:themeColor="text1"/>
                <w:sz w:val="21"/>
                <w:szCs w:val="21"/>
                <w:highlight w:val="none"/>
                <w:lang w:eastAsia="zh-Hans"/>
                <w14:textFill>
                  <w14:solidFill>
                    <w14:schemeClr w14:val="tx1"/>
                  </w14:solidFill>
                </w14:textFill>
              </w:rPr>
              <w:t>可</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调</w:t>
            </w:r>
            <w:r>
              <w:rPr>
                <w:rFonts w:hint="eastAsia" w:asciiTheme="minorEastAsia" w:hAnsiTheme="minorEastAsia" w:eastAsiaTheme="minorEastAsia" w:cstheme="minorEastAsia"/>
                <w:color w:val="000000" w:themeColor="text1"/>
                <w:sz w:val="21"/>
                <w:szCs w:val="21"/>
                <w:highlight w:val="none"/>
                <w:lang w:eastAsia="zh-Hans"/>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默认50</w:t>
            </w:r>
            <w:r>
              <w:rPr>
                <w:rFonts w:hint="eastAsia" w:asciiTheme="minorEastAsia" w:hAnsiTheme="minorEastAsia" w:eastAsiaTheme="minorEastAsia" w:cstheme="minorEastAsia"/>
                <w:color w:val="000000" w:themeColor="text1"/>
                <w:sz w:val="21"/>
                <w:szCs w:val="21"/>
                <w:highlight w:val="none"/>
                <w:lang w:eastAsia="zh-Hans"/>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0A1A61BC">
            <w:pPr>
              <w:pStyle w:val="112"/>
              <w:pageBreakBefore w:val="0"/>
              <w:numPr>
                <w:ilvl w:val="0"/>
                <w:numId w:val="8"/>
              </w:numPr>
              <w:kinsoku/>
              <w:overflowPunct/>
              <w:topLinePunct w:val="0"/>
              <w:bidi w:val="0"/>
              <w:spacing w:line="440" w:lineRule="exact"/>
              <w:ind w:firstLineChars="0"/>
              <w:rPr>
                <w:rFonts w:hint="eastAsia" w:asciiTheme="minorEastAsia" w:hAnsiTheme="minorEastAsia" w:eastAsiaTheme="minorEastAsia" w:cstheme="minorEastAsia"/>
                <w:color w:val="000000" w:themeColor="text1"/>
                <w:sz w:val="21"/>
                <w:szCs w:val="21"/>
                <w:highlight w:val="none"/>
                <w:lang w:eastAsia="zh-Hans"/>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Hans"/>
                <w14:textFill>
                  <w14:solidFill>
                    <w14:schemeClr w14:val="tx1"/>
                  </w14:solidFill>
                </w14:textFill>
              </w:rPr>
              <w:t>消光功能，2种可选（峰值、平均）</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1793E33A">
            <w:pPr>
              <w:pStyle w:val="112"/>
              <w:pageBreakBefore w:val="0"/>
              <w:numPr>
                <w:ilvl w:val="0"/>
                <w:numId w:val="8"/>
              </w:numPr>
              <w:kinsoku/>
              <w:overflowPunct/>
              <w:topLinePunct w:val="0"/>
              <w:bidi w:val="0"/>
              <w:spacing w:line="440" w:lineRule="exact"/>
              <w:ind w:firstLineChars="0"/>
              <w:rPr>
                <w:rFonts w:hint="eastAsia" w:asciiTheme="minorEastAsia" w:hAnsiTheme="minorEastAsia" w:eastAsiaTheme="minorEastAsia" w:cstheme="minorEastAsia"/>
                <w:color w:val="000000" w:themeColor="text1"/>
                <w:sz w:val="21"/>
                <w:szCs w:val="21"/>
                <w:highlight w:val="none"/>
                <w:lang w:eastAsia="zh-Hans"/>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Hans"/>
                <w14:textFill>
                  <w14:solidFill>
                    <w14:schemeClr w14:val="tx1"/>
                  </w14:solidFill>
                </w14:textFill>
              </w:rPr>
              <w:t>锐度调节功能，3档可选（高、中、低）</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2020A519">
            <w:pPr>
              <w:pStyle w:val="112"/>
              <w:pageBreakBefore w:val="0"/>
              <w:numPr>
                <w:ilvl w:val="0"/>
                <w:numId w:val="8"/>
              </w:numPr>
              <w:kinsoku/>
              <w:overflowPunct/>
              <w:topLinePunct w:val="0"/>
              <w:bidi w:val="0"/>
              <w:spacing w:line="440" w:lineRule="exact"/>
              <w:ind w:firstLineChars="0"/>
              <w:rPr>
                <w:rFonts w:hint="eastAsia" w:asciiTheme="minorEastAsia" w:hAnsiTheme="minorEastAsia" w:eastAsiaTheme="minorEastAsia" w:cstheme="minorEastAsia"/>
                <w:b/>
                <w:bCs/>
                <w:color w:val="000000" w:themeColor="text1"/>
                <w:sz w:val="21"/>
                <w:szCs w:val="21"/>
                <w:highlight w:val="none"/>
                <w:lang w:eastAsia="zh-Hans"/>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1"/>
                <w:szCs w:val="21"/>
                <w:highlight w:val="none"/>
                <w:lang w:eastAsia="zh-Hans"/>
                <w14:textFill>
                  <w14:solidFill>
                    <w14:schemeClr w14:val="tx1"/>
                  </w14:solidFill>
                </w14:textFill>
              </w:rPr>
              <w:t>3D降噪功能，</w:t>
            </w: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至少具备</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b/>
                <w:bCs/>
                <w:color w:val="000000" w:themeColor="text1"/>
                <w:sz w:val="21"/>
                <w:szCs w:val="21"/>
                <w:highlight w:val="none"/>
                <w:lang w:eastAsia="zh-Hans"/>
                <w14:textFill>
                  <w14:solidFill>
                    <w14:schemeClr w14:val="tx1"/>
                  </w14:solidFill>
                </w14:textFill>
              </w:rPr>
              <w:t>档可选（0、1</w:t>
            </w: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2、3</w:t>
            </w:r>
            <w:r>
              <w:rPr>
                <w:rFonts w:hint="eastAsia" w:asciiTheme="minorEastAsia" w:hAnsiTheme="minorEastAsia" w:eastAsiaTheme="minorEastAsia" w:cstheme="minorEastAsia"/>
                <w:b/>
                <w:bCs/>
                <w:color w:val="000000" w:themeColor="text1"/>
                <w:sz w:val="21"/>
                <w:szCs w:val="21"/>
                <w:highlight w:val="none"/>
                <w:lang w:eastAsia="zh-Hans"/>
                <w14:textFill>
                  <w14:solidFill>
                    <w14:schemeClr w14:val="tx1"/>
                  </w14:solidFill>
                </w14:textFill>
              </w:rPr>
              <w:t>）</w:t>
            </w: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w:t>
            </w:r>
          </w:p>
          <w:p w14:paraId="34ADE531">
            <w:pPr>
              <w:pStyle w:val="112"/>
              <w:pageBreakBefore w:val="0"/>
              <w:numPr>
                <w:ilvl w:val="0"/>
                <w:numId w:val="8"/>
              </w:numPr>
              <w:kinsoku/>
              <w:overflowPunct/>
              <w:topLinePunct w:val="0"/>
              <w:bidi w:val="0"/>
              <w:spacing w:line="440" w:lineRule="exact"/>
              <w:ind w:firstLineChars="0"/>
              <w:rPr>
                <w:rFonts w:hint="eastAsia" w:asciiTheme="minorEastAsia" w:hAnsiTheme="minorEastAsia" w:eastAsiaTheme="minorEastAsia" w:cstheme="minorEastAsia"/>
                <w:color w:val="000000" w:themeColor="text1"/>
                <w:sz w:val="21"/>
                <w:szCs w:val="21"/>
                <w:highlight w:val="none"/>
                <w:lang w:eastAsia="zh-Hans"/>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Hans"/>
                <w14:textFill>
                  <w14:solidFill>
                    <w14:schemeClr w14:val="tx1"/>
                  </w14:solidFill>
                </w14:textFill>
              </w:rPr>
              <w:t>伽马调节功能，</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至少具备</w:t>
            </w:r>
            <w:r>
              <w:rPr>
                <w:rFonts w:hint="eastAsia" w:asciiTheme="minorEastAsia" w:hAnsiTheme="minorEastAsia" w:eastAsiaTheme="minorEastAsia" w:cstheme="minorEastAsia"/>
                <w:color w:val="000000" w:themeColor="text1"/>
                <w:sz w:val="21"/>
                <w:szCs w:val="21"/>
                <w:highlight w:val="none"/>
                <w:lang w:eastAsia="zh-Hans"/>
                <w14:textFill>
                  <w14:solidFill>
                    <w14:schemeClr w14:val="tx1"/>
                  </w14:solidFill>
                </w14:textFill>
              </w:rPr>
              <w:t>3档可选（高、中、低）</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4E760779">
            <w:pPr>
              <w:pStyle w:val="112"/>
              <w:pageBreakBefore w:val="0"/>
              <w:numPr>
                <w:ilvl w:val="0"/>
                <w:numId w:val="8"/>
              </w:numPr>
              <w:kinsoku/>
              <w:overflowPunct/>
              <w:topLinePunct w:val="0"/>
              <w:bidi w:val="0"/>
              <w:spacing w:line="440" w:lineRule="exact"/>
              <w:ind w:firstLineChars="0"/>
              <w:rPr>
                <w:rFonts w:hint="eastAsia" w:asciiTheme="minorEastAsia" w:hAnsiTheme="minorEastAsia" w:eastAsiaTheme="minorEastAsia" w:cstheme="minorEastAsia"/>
                <w:color w:val="000000" w:themeColor="text1"/>
                <w:sz w:val="21"/>
                <w:szCs w:val="21"/>
                <w:highlight w:val="none"/>
                <w:lang w:eastAsia="zh-Hans"/>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Hans"/>
                <w14:textFill>
                  <w14:solidFill>
                    <w14:schemeClr w14:val="tx1"/>
                  </w14:solidFill>
                </w14:textFill>
              </w:rPr>
              <w:t>图像放大功能，</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至少具备</w:t>
            </w:r>
            <w:r>
              <w:rPr>
                <w:rFonts w:hint="eastAsia" w:asciiTheme="minorEastAsia" w:hAnsiTheme="minorEastAsia" w:eastAsiaTheme="minorEastAsia" w:cstheme="minorEastAsia"/>
                <w:color w:val="000000" w:themeColor="text1"/>
                <w:sz w:val="21"/>
                <w:szCs w:val="21"/>
                <w:highlight w:val="none"/>
                <w:lang w:eastAsia="zh-Hans"/>
                <w14:textFill>
                  <w14:solidFill>
                    <w14:schemeClr w14:val="tx1"/>
                  </w14:solidFill>
                </w14:textFill>
              </w:rPr>
              <w:t>3档可选（全屏、1.5倍、原始）</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1854EC3E">
            <w:pPr>
              <w:pStyle w:val="112"/>
              <w:pageBreakBefore w:val="0"/>
              <w:numPr>
                <w:ilvl w:val="0"/>
                <w:numId w:val="8"/>
              </w:numPr>
              <w:kinsoku/>
              <w:overflowPunct/>
              <w:topLinePunct w:val="0"/>
              <w:bidi w:val="0"/>
              <w:spacing w:line="440" w:lineRule="exact"/>
              <w:ind w:firstLineChars="0"/>
              <w:rPr>
                <w:rFonts w:hint="eastAsia" w:asciiTheme="minorEastAsia" w:hAnsiTheme="minorEastAsia" w:eastAsiaTheme="minorEastAsia" w:cstheme="minorEastAsia"/>
                <w:color w:val="000000" w:themeColor="text1"/>
                <w:sz w:val="21"/>
                <w:szCs w:val="21"/>
                <w:highlight w:val="none"/>
                <w:lang w:eastAsia="zh-Hans"/>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Hans"/>
                <w14:textFill>
                  <w14:solidFill>
                    <w14:schemeClr w14:val="tx1"/>
                  </w14:solidFill>
                </w14:textFill>
              </w:rPr>
              <w:t>无风扇静音设计，无噪声</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5F0D6B6C">
            <w:pPr>
              <w:pStyle w:val="112"/>
              <w:pageBreakBefore w:val="0"/>
              <w:numPr>
                <w:ilvl w:val="0"/>
                <w:numId w:val="8"/>
              </w:numPr>
              <w:kinsoku/>
              <w:overflowPunct/>
              <w:topLinePunct w:val="0"/>
              <w:bidi w:val="0"/>
              <w:spacing w:line="440" w:lineRule="exact"/>
              <w:ind w:firstLine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Hans"/>
                <w14:textFill>
                  <w14:solidFill>
                    <w14:schemeClr w14:val="tx1"/>
                  </w14:solidFill>
                </w14:textFill>
              </w:rPr>
              <w:t>语言功能，</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至少具备</w:t>
            </w:r>
            <w:r>
              <w:rPr>
                <w:rFonts w:hint="eastAsia" w:asciiTheme="minorEastAsia" w:hAnsiTheme="minorEastAsia" w:eastAsiaTheme="minorEastAsia" w:cstheme="minorEastAsia"/>
                <w:color w:val="000000" w:themeColor="text1"/>
                <w:sz w:val="21"/>
                <w:szCs w:val="21"/>
                <w:highlight w:val="none"/>
                <w:lang w:eastAsia="zh-Hans"/>
                <w14:textFill>
                  <w14:solidFill>
                    <w14:schemeClr w14:val="tx1"/>
                  </w14:solidFill>
                </w14:textFill>
              </w:rPr>
              <w:t>2种可选（</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简体中文、英文</w:t>
            </w:r>
            <w:r>
              <w:rPr>
                <w:rFonts w:hint="eastAsia" w:asciiTheme="minorEastAsia" w:hAnsiTheme="minorEastAsia" w:eastAsiaTheme="minorEastAsia" w:cstheme="minorEastAsia"/>
                <w:color w:val="000000" w:themeColor="text1"/>
                <w:sz w:val="21"/>
                <w:szCs w:val="21"/>
                <w:highlight w:val="none"/>
                <w:lang w:eastAsia="zh-Hans"/>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3BDAE2B6">
            <w:pPr>
              <w:pStyle w:val="112"/>
              <w:pageBreakBefore w:val="0"/>
              <w:numPr>
                <w:ilvl w:val="0"/>
                <w:numId w:val="8"/>
              </w:numPr>
              <w:kinsoku/>
              <w:overflowPunct/>
              <w:topLinePunct w:val="0"/>
              <w:bidi w:val="0"/>
              <w:spacing w:line="440" w:lineRule="exact"/>
              <w:ind w:firstLineChars="0"/>
              <w:rPr>
                <w:rFonts w:hint="eastAsia" w:asciiTheme="minorEastAsia" w:hAnsiTheme="minorEastAsia" w:eastAsiaTheme="minorEastAsia" w:cstheme="minorEastAsia"/>
                <w:color w:val="000000" w:themeColor="text1"/>
                <w:sz w:val="21"/>
                <w:szCs w:val="21"/>
                <w:highlight w:val="none"/>
                <w:lang w:eastAsia="zh-Hans"/>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图像冻结、</w:t>
            </w:r>
            <w:r>
              <w:rPr>
                <w:rFonts w:hint="eastAsia" w:asciiTheme="minorEastAsia" w:hAnsiTheme="minorEastAsia" w:eastAsiaTheme="minorEastAsia" w:cstheme="minorEastAsia"/>
                <w:color w:val="000000" w:themeColor="text1"/>
                <w:sz w:val="21"/>
                <w:szCs w:val="21"/>
                <w:highlight w:val="none"/>
                <w:lang w:eastAsia="zh-Hans"/>
                <w14:textFill>
                  <w14:solidFill>
                    <w14:schemeClr w14:val="tx1"/>
                  </w14:solidFill>
                </w14:textFill>
              </w:rPr>
              <w:t>拍照、录像功能</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13BA579C">
            <w:pPr>
              <w:pStyle w:val="112"/>
              <w:pageBreakBefore w:val="0"/>
              <w:numPr>
                <w:ilvl w:val="0"/>
                <w:numId w:val="8"/>
              </w:numPr>
              <w:kinsoku/>
              <w:overflowPunct/>
              <w:topLinePunct w:val="0"/>
              <w:bidi w:val="0"/>
              <w:spacing w:line="440" w:lineRule="exact"/>
              <w:ind w:firstLineChars="0"/>
              <w:rPr>
                <w:rFonts w:hint="eastAsia" w:asciiTheme="minorEastAsia" w:hAnsiTheme="minorEastAsia" w:eastAsiaTheme="minorEastAsia" w:cstheme="minorEastAsia"/>
                <w:color w:val="000000" w:themeColor="text1"/>
                <w:sz w:val="21"/>
                <w:szCs w:val="21"/>
                <w:highlight w:val="none"/>
                <w:lang w:eastAsia="zh-Hans"/>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术野画面至少4种图像边框模式（八角形、圆形、矩形、圆角矩形）</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5E8895E3">
            <w:pPr>
              <w:pStyle w:val="112"/>
              <w:pageBreakBefore w:val="0"/>
              <w:numPr>
                <w:ilvl w:val="0"/>
                <w:numId w:val="8"/>
              </w:numPr>
              <w:kinsoku/>
              <w:overflowPunct/>
              <w:topLinePunct w:val="0"/>
              <w:bidi w:val="0"/>
              <w:spacing w:line="440" w:lineRule="exact"/>
              <w:ind w:firstLineChars="0"/>
              <w:rPr>
                <w:rFonts w:hint="eastAsia" w:asciiTheme="minorEastAsia" w:hAnsiTheme="minorEastAsia" w:eastAsiaTheme="minorEastAsia" w:cstheme="minorEastAsia"/>
                <w:color w:val="000000" w:themeColor="text1"/>
                <w:sz w:val="21"/>
                <w:szCs w:val="21"/>
                <w:highlight w:val="none"/>
                <w:lang w:eastAsia="zh-Hans"/>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兼容性：可连接≥10种电子</w:t>
            </w:r>
            <w:r>
              <w:rPr>
                <w:rFonts w:hint="eastAsia" w:asciiTheme="minorEastAsia" w:hAnsiTheme="minorEastAsia" w:eastAsiaTheme="minorEastAsia" w:cstheme="minorEastAsia"/>
                <w:color w:val="000000" w:themeColor="text1"/>
                <w:sz w:val="21"/>
                <w:szCs w:val="21"/>
                <w:highlight w:val="none"/>
                <w:lang w:eastAsia="zh-Hans"/>
                <w14:textFill>
                  <w14:solidFill>
                    <w14:schemeClr w14:val="tx1"/>
                  </w14:solidFill>
                </w14:textFill>
              </w:rPr>
              <w:t>软镜、电子硬镜</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7AC1A8F4">
            <w:pPr>
              <w:pStyle w:val="112"/>
              <w:pageBreakBefore w:val="0"/>
              <w:numPr>
                <w:ilvl w:val="0"/>
                <w:numId w:val="8"/>
              </w:numPr>
              <w:kinsoku/>
              <w:overflowPunct/>
              <w:topLinePunct w:val="0"/>
              <w:bidi w:val="0"/>
              <w:spacing w:line="440" w:lineRule="exact"/>
              <w:ind w:firstLine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Hans"/>
                <w14:textFill>
                  <w14:solidFill>
                    <w14:schemeClr w14:val="tx1"/>
                  </w14:solidFill>
                </w14:textFill>
              </w:rPr>
              <w:t>可</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自定义设置电子内窥镜功能按钮，按键功能≥6种</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37638BFB">
            <w:pPr>
              <w:pStyle w:val="112"/>
              <w:pageBreakBefore w:val="0"/>
              <w:numPr>
                <w:ilvl w:val="0"/>
                <w:numId w:val="8"/>
              </w:numPr>
              <w:kinsoku/>
              <w:overflowPunct/>
              <w:topLinePunct w:val="0"/>
              <w:bidi w:val="0"/>
              <w:spacing w:line="440" w:lineRule="exact"/>
              <w:ind w:firstLine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自动识别电子内窥镜型号、序列号、出厂日期、维修</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次数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eastAsia="zh-Hans"/>
                <w14:textFill>
                  <w14:solidFill>
                    <w14:schemeClr w14:val="tx1"/>
                  </w14:solidFill>
                </w14:textFill>
              </w:rPr>
              <w:t>使用次数、工作时间</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0F8817E4">
            <w:pPr>
              <w:pStyle w:val="112"/>
              <w:pageBreakBefore w:val="0"/>
              <w:numPr>
                <w:ilvl w:val="0"/>
                <w:numId w:val="8"/>
              </w:numPr>
              <w:kinsoku/>
              <w:overflowPunct/>
              <w:topLinePunct w:val="0"/>
              <w:bidi w:val="0"/>
              <w:spacing w:line="440" w:lineRule="exact"/>
              <w:ind w:firstLine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自动识别电子内窥镜器械通道位置、内径、使用时间及次数</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53B67487">
            <w:pPr>
              <w:pageBreakBefore w:val="0"/>
              <w:kinsoku/>
              <w:overflowPunct/>
              <w:topLinePunct w:val="0"/>
              <w:bidi w:val="0"/>
              <w:spacing w:line="440" w:lineRule="exac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主机使用年限至少5年</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tc>
      </w:tr>
      <w:tr w14:paraId="6EA00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3" w:type="dxa"/>
            <w:vAlign w:val="center"/>
          </w:tcPr>
          <w:p w14:paraId="6EED64A8">
            <w:pPr>
              <w:pageBreakBefore w:val="0"/>
              <w:tabs>
                <w:tab w:val="left" w:pos="180"/>
                <w:tab w:val="left" w:pos="1620"/>
              </w:tabs>
              <w:kinsoku/>
              <w:overflowPunct/>
              <w:topLinePunct w:val="0"/>
              <w:bidi w:val="0"/>
              <w:spacing w:line="440"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8</w:t>
            </w:r>
          </w:p>
        </w:tc>
        <w:tc>
          <w:tcPr>
            <w:tcW w:w="1005" w:type="dxa"/>
            <w:vAlign w:val="center"/>
          </w:tcPr>
          <w:p w14:paraId="637A4369">
            <w:pPr>
              <w:pageBreakBefore w:val="0"/>
              <w:kinsoku/>
              <w:overflowPunct/>
              <w:topLinePunct w:val="0"/>
              <w:bidi w:val="0"/>
              <w:spacing w:line="440" w:lineRule="exact"/>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u w:val="none"/>
                <w:lang w:eastAsia="zh-CN"/>
                <w14:textFill>
                  <w14:solidFill>
                    <w14:schemeClr w14:val="tx1"/>
                  </w14:solidFill>
                </w14:textFill>
              </w:rPr>
              <w:t>硬性电子输尿管肾镜（</w:t>
            </w:r>
            <w:r>
              <w:rPr>
                <w:rFonts w:hint="eastAsia" w:asciiTheme="minorEastAsia" w:hAnsiTheme="minorEastAsia" w:eastAsiaTheme="minorEastAsia" w:cstheme="minorEastAsia"/>
                <w:bCs/>
                <w:color w:val="000000" w:themeColor="text1"/>
                <w:sz w:val="21"/>
                <w:szCs w:val="21"/>
                <w:highlight w:val="none"/>
                <w:u w:val="none"/>
                <w:lang w:val="en-US" w:eastAsia="zh-CN"/>
                <w14:textFill>
                  <w14:solidFill>
                    <w14:schemeClr w14:val="tx1"/>
                  </w14:solidFill>
                </w14:textFill>
              </w:rPr>
              <w:t>1</w:t>
            </w:r>
            <w:r>
              <w:rPr>
                <w:rFonts w:hint="eastAsia" w:asciiTheme="minorEastAsia" w:hAnsiTheme="minorEastAsia" w:eastAsiaTheme="minorEastAsia" w:cstheme="minorEastAsia"/>
                <w:bCs/>
                <w:color w:val="000000" w:themeColor="text1"/>
                <w:sz w:val="21"/>
                <w:szCs w:val="21"/>
                <w:highlight w:val="none"/>
                <w:u w:val="none"/>
                <w:lang w:eastAsia="zh-CN"/>
                <w14:textFill>
                  <w14:solidFill>
                    <w14:schemeClr w14:val="tx1"/>
                  </w14:solidFill>
                </w14:textFill>
              </w:rPr>
              <w:t>）</w:t>
            </w:r>
          </w:p>
        </w:tc>
        <w:tc>
          <w:tcPr>
            <w:tcW w:w="993" w:type="dxa"/>
            <w:vAlign w:val="center"/>
          </w:tcPr>
          <w:p w14:paraId="5BA24970">
            <w:pPr>
              <w:pageBreakBefore w:val="0"/>
              <w:tabs>
                <w:tab w:val="left" w:pos="180"/>
                <w:tab w:val="left" w:pos="1620"/>
              </w:tabs>
              <w:kinsoku/>
              <w:overflowPunct/>
              <w:topLinePunct w:val="0"/>
              <w:bidi w:val="0"/>
              <w:spacing w:line="440"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1条</w:t>
            </w:r>
          </w:p>
        </w:tc>
        <w:tc>
          <w:tcPr>
            <w:tcW w:w="1309" w:type="dxa"/>
            <w:shd w:val="clear" w:color="auto" w:fill="auto"/>
            <w:vAlign w:val="center"/>
          </w:tcPr>
          <w:p w14:paraId="1F0F36CE">
            <w:pPr>
              <w:pageBreakBefore w:val="0"/>
              <w:tabs>
                <w:tab w:val="left" w:pos="180"/>
                <w:tab w:val="left" w:pos="1620"/>
              </w:tabs>
              <w:kinsoku/>
              <w:overflowPunct/>
              <w:topLinePunct w:val="0"/>
              <w:bidi w:val="0"/>
              <w:spacing w:line="440"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9</w:t>
            </w:r>
          </w:p>
        </w:tc>
        <w:tc>
          <w:tcPr>
            <w:tcW w:w="5532" w:type="dxa"/>
            <w:shd w:val="clear" w:color="auto" w:fill="auto"/>
            <w:vAlign w:val="center"/>
          </w:tcPr>
          <w:p w14:paraId="0BFD7DC5">
            <w:pPr>
              <w:pageBreakBefore w:val="0"/>
              <w:kinsoku/>
              <w:overflowPunct/>
              <w:topLinePunct w:val="0"/>
              <w:bidi w:val="0"/>
              <w:spacing w:line="440" w:lineRule="exact"/>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（一）</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适用范围：手术室</w:t>
            </w:r>
          </w:p>
          <w:p w14:paraId="031B3615">
            <w:pPr>
              <w:pageBreakBefore w:val="0"/>
              <w:kinsoku/>
              <w:overflowPunct/>
              <w:topLinePunct w:val="0"/>
              <w:bidi w:val="0"/>
              <w:spacing w:line="440" w:lineRule="exact"/>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（二）</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适用于：泌尿外科开展微创手术</w:t>
            </w:r>
          </w:p>
          <w:p w14:paraId="2C85621D">
            <w:pPr>
              <w:pageBreakBefore w:val="0"/>
              <w:kinsoku/>
              <w:overflowPunct/>
              <w:topLinePunct w:val="0"/>
              <w:bidi w:val="0"/>
              <w:spacing w:line="440" w:lineRule="exact"/>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（三）</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技术要求（技术参数与功能）及配置</w:t>
            </w:r>
          </w:p>
          <w:p w14:paraId="72067554">
            <w:pPr>
              <w:pageBreakBefore w:val="0"/>
              <w:kinsoku/>
              <w:overflowPunct/>
              <w:topLinePunct w:val="0"/>
              <w:bidi w:val="0"/>
              <w:spacing w:line="440" w:lineRule="exact"/>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b/>
                <w:bCs w:val="0"/>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b/>
                <w:bCs w:val="0"/>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
                <w:bCs w:val="0"/>
                <w:color w:val="000000" w:themeColor="text1"/>
                <w:sz w:val="21"/>
                <w:szCs w:val="21"/>
                <w:highlight w:val="none"/>
                <w14:textFill>
                  <w14:solidFill>
                    <w14:schemeClr w14:val="tx1"/>
                  </w14:solidFill>
                </w14:textFill>
              </w:rPr>
              <w:t>视场角≥120°</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 xml:space="preserve"> </w:t>
            </w:r>
          </w:p>
          <w:p w14:paraId="2F48ADC7">
            <w:pPr>
              <w:pageBreakBefore w:val="0"/>
              <w:kinsoku/>
              <w:overflowPunct/>
              <w:topLinePunct w:val="0"/>
              <w:bidi w:val="0"/>
              <w:spacing w:line="440" w:lineRule="exact"/>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2.视向角12°，分辨率≥16万像素，工作长度≥430mm</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w:t>
            </w:r>
          </w:p>
          <w:p w14:paraId="3CFA1927">
            <w:pPr>
              <w:pageBreakBefore w:val="0"/>
              <w:kinsoku/>
              <w:overflowPunct/>
              <w:topLinePunct w:val="0"/>
              <w:bidi w:val="0"/>
              <w:spacing w:line="440" w:lineRule="exact"/>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3.前端尺寸4.5/6.5Fr，</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具有回水性能；</w:t>
            </w:r>
          </w:p>
          <w:p w14:paraId="7B41ED5A">
            <w:pPr>
              <w:pageBreakBefore w:val="0"/>
              <w:kinsoku/>
              <w:overflowPunct/>
              <w:topLinePunct w:val="0"/>
              <w:bidi w:val="0"/>
              <w:spacing w:line="440" w:lineRule="exact"/>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4.</w:t>
            </w:r>
            <w:r>
              <w:rPr>
                <w:rFonts w:hint="eastAsia" w:asciiTheme="minorEastAsia" w:hAnsiTheme="minorEastAsia" w:eastAsiaTheme="minorEastAsia" w:cstheme="minorEastAsia"/>
                <w:b/>
                <w:bCs w:val="0"/>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
                <w:bCs w:val="0"/>
                <w:color w:val="000000" w:themeColor="text1"/>
                <w:sz w:val="21"/>
                <w:szCs w:val="21"/>
                <w:highlight w:val="none"/>
                <w14:textFill>
                  <w14:solidFill>
                    <w14:schemeClr w14:val="tx1"/>
                  </w14:solidFill>
                </w14:textFill>
              </w:rPr>
              <w:t>器械通道≥3.8Fr</w:t>
            </w:r>
            <w:r>
              <w:rPr>
                <w:rFonts w:hint="eastAsia" w:asciiTheme="minorEastAsia" w:hAnsiTheme="minorEastAsia" w:eastAsiaTheme="minorEastAsia" w:cstheme="minorEastAsia"/>
                <w:b/>
                <w:bCs w:val="0"/>
                <w:color w:val="000000" w:themeColor="text1"/>
                <w:sz w:val="21"/>
                <w:szCs w:val="21"/>
                <w:highlight w:val="none"/>
                <w:lang w:eastAsia="zh-CN"/>
                <w14:textFill>
                  <w14:solidFill>
                    <w14:schemeClr w14:val="tx1"/>
                  </w14:solidFill>
                </w14:textFill>
              </w:rPr>
              <w:t>；</w:t>
            </w:r>
          </w:p>
          <w:p w14:paraId="04E020A7">
            <w:pPr>
              <w:pageBreakBefore w:val="0"/>
              <w:kinsoku/>
              <w:overflowPunct/>
              <w:topLinePunct w:val="0"/>
              <w:bidi w:val="0"/>
              <w:spacing w:line="440" w:lineRule="exact"/>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5.景深</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达到</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2-100mm</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w:t>
            </w:r>
          </w:p>
          <w:p w14:paraId="08E25B28">
            <w:pPr>
              <w:pageBreakBefore w:val="0"/>
              <w:kinsoku/>
              <w:overflowPunct/>
              <w:topLinePunct w:val="0"/>
              <w:bidi w:val="0"/>
              <w:spacing w:line="440" w:lineRule="exact"/>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6.左右</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具备</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独立进/出水开关控制接口，双层密封防漏设计；图像无扭曲</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w:t>
            </w:r>
          </w:p>
          <w:p w14:paraId="49992854">
            <w:pPr>
              <w:pageBreakBefore w:val="0"/>
              <w:kinsoku/>
              <w:overflowPunct/>
              <w:topLinePunct w:val="0"/>
              <w:bidi w:val="0"/>
              <w:spacing w:line="440" w:lineRule="exact"/>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7.半硬性一体式硬镜，插入部外管采用不锈钢的原材料，</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要求能</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保证镜管的结构</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稳定</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同时允许镜体微弯，</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能</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回弹</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w:t>
            </w:r>
          </w:p>
          <w:p w14:paraId="66ECB70A">
            <w:pPr>
              <w:pageBreakBefore w:val="0"/>
              <w:kinsoku/>
              <w:overflowPunct/>
              <w:topLinePunct w:val="0"/>
              <w:bidi w:val="0"/>
              <w:spacing w:line="440" w:lineRule="exact"/>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8.操作部功能按钮≥1个，可自定义功能≥6个</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w:t>
            </w:r>
          </w:p>
          <w:p w14:paraId="3B12C484">
            <w:pPr>
              <w:pageBreakBefore w:val="0"/>
              <w:kinsoku/>
              <w:overflowPunct/>
              <w:topLinePunct w:val="0"/>
              <w:bidi w:val="0"/>
              <w:spacing w:line="440" w:lineRule="exact"/>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9.内置LED光源，玻璃光纤导光，无需外接导光束和光源，方便操作</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w:t>
            </w:r>
          </w:p>
          <w:p w14:paraId="56CBF1DC">
            <w:pPr>
              <w:pageBreakBefore w:val="0"/>
              <w:kinsoku/>
              <w:overflowPunct/>
              <w:topLinePunct w:val="0"/>
              <w:bidi w:val="0"/>
              <w:spacing w:line="440" w:lineRule="exact"/>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10.具备记忆功能，可将产品的重要参数显示在监视器上</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w:t>
            </w:r>
          </w:p>
          <w:p w14:paraId="7042C6C8">
            <w:pPr>
              <w:pageBreakBefore w:val="0"/>
              <w:kinsoku/>
              <w:overflowPunct/>
              <w:topLinePunct w:val="0"/>
              <w:bidi w:val="0"/>
              <w:spacing w:line="440" w:lineRule="exact"/>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11.</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采用</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医用硅橡胶的视频连接线缆，</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要求</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具备良好的操控感、耐腐蚀、耐老化、耐高温等特性</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w:t>
            </w:r>
          </w:p>
          <w:p w14:paraId="670FE988">
            <w:pPr>
              <w:pageBreakBefore w:val="0"/>
              <w:kinsoku/>
              <w:overflowPunct/>
              <w:topLinePunct w:val="0"/>
              <w:bidi w:val="0"/>
              <w:spacing w:line="440" w:lineRule="exact"/>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12.线缆两端包胶一体化注塑成型，且无污渍残留空间，</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可</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清洗</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具有</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灭菌</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功能；</w:t>
            </w:r>
          </w:p>
          <w:p w14:paraId="3C38B041">
            <w:pPr>
              <w:pageBreakBefore w:val="0"/>
              <w:kinsoku/>
              <w:overflowPunct/>
              <w:topLinePunct w:val="0"/>
              <w:bidi w:val="0"/>
              <w:spacing w:line="440" w:lineRule="exact"/>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13.视频线插头全防水，一键式插拔，</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无需防水帽；</w:t>
            </w:r>
          </w:p>
          <w:p w14:paraId="77817D0C">
            <w:pPr>
              <w:pageBreakBefore w:val="0"/>
              <w:kinsoku/>
              <w:overflowPunct/>
              <w:topLinePunct w:val="0"/>
              <w:bidi w:val="0"/>
              <w:spacing w:line="440" w:lineRule="exact"/>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14.内镜可一体式完全浸泡进行清洗、消毒，</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具有</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灭菌</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功能；</w:t>
            </w:r>
          </w:p>
          <w:p w14:paraId="52F3D2D8">
            <w:pPr>
              <w:pageBreakBefore w:val="0"/>
              <w:kinsoku/>
              <w:overflowPunct/>
              <w:topLinePunct w:val="0"/>
              <w:bidi w:val="0"/>
              <w:spacing w:line="440" w:lineRule="exact"/>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15.插入部渐细型鞘唇设计，具备韧性，耐低温等离子灭菌专用电子镜消毒盒</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w:t>
            </w:r>
          </w:p>
          <w:p w14:paraId="5A054838">
            <w:pPr>
              <w:pageBreakBefore w:val="0"/>
              <w:kinsoku/>
              <w:overflowPunct/>
              <w:topLinePunct w:val="0"/>
              <w:bidi w:val="0"/>
              <w:spacing w:line="440" w:lineRule="exact"/>
              <w:rPr>
                <w:rFonts w:hint="eastAsia" w:eastAsia="宋体" w:asciiTheme="minorEastAsia" w:hAnsi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16.</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材质：不锈钢</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可供低温等离子或环氧乙烷灭菌</w:t>
            </w:r>
            <w:r>
              <w:rPr>
                <w:rFonts w:hint="eastAsia"/>
                <w:color w:val="000000" w:themeColor="text1"/>
                <w:highlight w:val="none"/>
                <w:lang w:eastAsia="zh-CN"/>
                <w14:textFill>
                  <w14:solidFill>
                    <w14:schemeClr w14:val="tx1"/>
                  </w14:solidFill>
                </w14:textFill>
              </w:rPr>
              <w:t>；</w:t>
            </w:r>
          </w:p>
        </w:tc>
      </w:tr>
      <w:tr w14:paraId="14931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3" w:type="dxa"/>
            <w:vAlign w:val="center"/>
          </w:tcPr>
          <w:p w14:paraId="0E2E4270">
            <w:pPr>
              <w:pageBreakBefore w:val="0"/>
              <w:tabs>
                <w:tab w:val="left" w:pos="180"/>
                <w:tab w:val="left" w:pos="1620"/>
              </w:tabs>
              <w:kinsoku/>
              <w:overflowPunct/>
              <w:topLinePunct w:val="0"/>
              <w:bidi w:val="0"/>
              <w:spacing w:line="440"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9</w:t>
            </w:r>
          </w:p>
        </w:tc>
        <w:tc>
          <w:tcPr>
            <w:tcW w:w="1005" w:type="dxa"/>
            <w:vAlign w:val="center"/>
          </w:tcPr>
          <w:p w14:paraId="48AB2A12">
            <w:pPr>
              <w:pageBreakBefore w:val="0"/>
              <w:kinsoku/>
              <w:overflowPunct/>
              <w:topLinePunct w:val="0"/>
              <w:bidi w:val="0"/>
              <w:spacing w:line="44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硬性电子输尿管肾镜</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w:t>
            </w:r>
          </w:p>
        </w:tc>
        <w:tc>
          <w:tcPr>
            <w:tcW w:w="993" w:type="dxa"/>
            <w:vAlign w:val="center"/>
          </w:tcPr>
          <w:p w14:paraId="7FBD8D13">
            <w:pPr>
              <w:pageBreakBefore w:val="0"/>
              <w:tabs>
                <w:tab w:val="left" w:pos="180"/>
                <w:tab w:val="left" w:pos="1620"/>
              </w:tabs>
              <w:kinsoku/>
              <w:overflowPunct/>
              <w:topLinePunct w:val="0"/>
              <w:bidi w:val="0"/>
              <w:spacing w:line="440"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2条</w:t>
            </w:r>
          </w:p>
        </w:tc>
        <w:tc>
          <w:tcPr>
            <w:tcW w:w="1309" w:type="dxa"/>
            <w:shd w:val="clear" w:color="auto" w:fill="auto"/>
            <w:vAlign w:val="center"/>
          </w:tcPr>
          <w:p w14:paraId="078E8055">
            <w:pPr>
              <w:pageBreakBefore w:val="0"/>
              <w:tabs>
                <w:tab w:val="left" w:pos="180"/>
                <w:tab w:val="left" w:pos="1620"/>
              </w:tabs>
              <w:kinsoku/>
              <w:overflowPunct/>
              <w:topLinePunct w:val="0"/>
              <w:bidi w:val="0"/>
              <w:spacing w:line="440"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18</w:t>
            </w:r>
          </w:p>
        </w:tc>
        <w:tc>
          <w:tcPr>
            <w:tcW w:w="5532" w:type="dxa"/>
            <w:shd w:val="clear" w:color="auto" w:fill="auto"/>
            <w:vAlign w:val="top"/>
          </w:tcPr>
          <w:p w14:paraId="17D033E1">
            <w:pPr>
              <w:pStyle w:val="112"/>
              <w:pageBreakBefore w:val="0"/>
              <w:numPr>
                <w:ilvl w:val="0"/>
                <w:numId w:val="0"/>
              </w:numPr>
              <w:kinsoku/>
              <w:overflowPunct/>
              <w:topLinePunct w:val="0"/>
              <w:bidi w:val="0"/>
              <w:spacing w:line="440" w:lineRule="exact"/>
              <w:ind w:leftChars="0"/>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（一）适用范围：手术室</w:t>
            </w:r>
          </w:p>
          <w:p w14:paraId="60375AC5">
            <w:pPr>
              <w:pStyle w:val="112"/>
              <w:pageBreakBefore w:val="0"/>
              <w:numPr>
                <w:ilvl w:val="0"/>
                <w:numId w:val="0"/>
              </w:numPr>
              <w:kinsoku/>
              <w:overflowPunct/>
              <w:topLinePunct w:val="0"/>
              <w:bidi w:val="0"/>
              <w:spacing w:line="440" w:lineRule="exact"/>
              <w:ind w:leftChars="0"/>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（二）适用于：泌尿外科开展微创手术</w:t>
            </w:r>
          </w:p>
          <w:p w14:paraId="3A3BFC66">
            <w:pPr>
              <w:pStyle w:val="112"/>
              <w:pageBreakBefore w:val="0"/>
              <w:numPr>
                <w:ilvl w:val="0"/>
                <w:numId w:val="0"/>
              </w:numPr>
              <w:kinsoku/>
              <w:overflowPunct/>
              <w:topLinePunct w:val="0"/>
              <w:bidi w:val="0"/>
              <w:spacing w:line="440" w:lineRule="exact"/>
              <w:ind w:leftChars="0"/>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（三）技术要求（技术参数与功能）及配置</w:t>
            </w:r>
          </w:p>
          <w:p w14:paraId="56D2A4AC">
            <w:pPr>
              <w:pStyle w:val="112"/>
              <w:pageBreakBefore w:val="0"/>
              <w:numPr>
                <w:ilvl w:val="0"/>
                <w:numId w:val="0"/>
              </w:numPr>
              <w:kinsoku/>
              <w:overflowPunct/>
              <w:topLinePunct w:val="0"/>
              <w:bidi w:val="0"/>
              <w:spacing w:line="440" w:lineRule="exact"/>
              <w:ind w:leftChars="0"/>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1.</w:t>
            </w:r>
            <w:r>
              <w:rPr>
                <w:rFonts w:hint="eastAsia" w:asciiTheme="minorEastAsia" w:hAnsiTheme="minorEastAsia" w:eastAsiaTheme="minorEastAsia" w:cstheme="minorEastAsia"/>
                <w:b/>
                <w:bCs/>
                <w:color w:val="000000" w:themeColor="text1"/>
                <w:kern w:val="2"/>
                <w:sz w:val="21"/>
                <w:szCs w:val="21"/>
                <w:highlight w:val="none"/>
                <w:lang w:val="en-US" w:eastAsia="zh-CN" w:bidi="ar-SA"/>
                <w14:textFill>
                  <w14:solidFill>
                    <w14:schemeClr w14:val="tx1"/>
                  </w14:solidFill>
                </w14:textFill>
              </w:rPr>
              <w:t xml:space="preserve">▲视场角≥120°； </w:t>
            </w:r>
          </w:p>
          <w:p w14:paraId="24B2B888">
            <w:pPr>
              <w:pStyle w:val="112"/>
              <w:pageBreakBefore w:val="0"/>
              <w:numPr>
                <w:ilvl w:val="0"/>
                <w:numId w:val="0"/>
              </w:numPr>
              <w:kinsoku/>
              <w:overflowPunct/>
              <w:topLinePunct w:val="0"/>
              <w:bidi w:val="0"/>
              <w:spacing w:line="440" w:lineRule="exact"/>
              <w:ind w:leftChars="0"/>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2.视向角12°，分辨率≥16万像素，工作长度≥430mm；</w:t>
            </w:r>
          </w:p>
          <w:p w14:paraId="7C312479">
            <w:pPr>
              <w:pStyle w:val="112"/>
              <w:pageBreakBefore w:val="0"/>
              <w:numPr>
                <w:ilvl w:val="0"/>
                <w:numId w:val="0"/>
              </w:numPr>
              <w:kinsoku/>
              <w:overflowPunct/>
              <w:topLinePunct w:val="0"/>
              <w:bidi w:val="0"/>
              <w:spacing w:line="440" w:lineRule="exact"/>
              <w:ind w:leftChars="0"/>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3.前端尺寸6/7.5Fr，具有回水性能；</w:t>
            </w:r>
          </w:p>
          <w:p w14:paraId="2533BDAE">
            <w:pPr>
              <w:pStyle w:val="112"/>
              <w:pageBreakBefore w:val="0"/>
              <w:numPr>
                <w:ilvl w:val="0"/>
                <w:numId w:val="0"/>
              </w:numPr>
              <w:kinsoku/>
              <w:overflowPunct/>
              <w:topLinePunct w:val="0"/>
              <w:bidi w:val="0"/>
              <w:spacing w:line="440" w:lineRule="exact"/>
              <w:ind w:leftChars="0"/>
              <w:rPr>
                <w:rFonts w:hint="eastAsia" w:asciiTheme="minorEastAsia" w:hAnsiTheme="minorEastAsia" w:eastAsiaTheme="minorEastAsia" w:cstheme="minorEastAsia"/>
                <w:b/>
                <w:bCs/>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1"/>
                <w:szCs w:val="21"/>
                <w:highlight w:val="none"/>
                <w:lang w:val="en-US" w:eastAsia="zh-CN" w:bidi="ar-SA"/>
                <w14:textFill>
                  <w14:solidFill>
                    <w14:schemeClr w14:val="tx1"/>
                  </w14:solidFill>
                </w14:textFill>
              </w:rPr>
              <w:t>4.▲器械通道≥4.35Fr；</w:t>
            </w:r>
          </w:p>
          <w:p w14:paraId="0A63AB31">
            <w:pPr>
              <w:pStyle w:val="112"/>
              <w:pageBreakBefore w:val="0"/>
              <w:numPr>
                <w:ilvl w:val="0"/>
                <w:numId w:val="0"/>
              </w:numPr>
              <w:kinsoku/>
              <w:overflowPunct/>
              <w:topLinePunct w:val="0"/>
              <w:bidi w:val="0"/>
              <w:spacing w:line="440" w:lineRule="exact"/>
              <w:ind w:leftChars="0"/>
              <w:rPr>
                <w:rFonts w:hint="eastAsia" w:asciiTheme="minorEastAsia" w:hAnsiTheme="minorEastAsia" w:eastAsiaTheme="minorEastAsia" w:cstheme="minorEastAsia"/>
                <w:b/>
                <w:bCs/>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1"/>
                <w:szCs w:val="21"/>
                <w:highlight w:val="none"/>
                <w:lang w:val="en-US" w:eastAsia="zh-CN" w:bidi="ar-SA"/>
                <w14:textFill>
                  <w14:solidFill>
                    <w14:schemeClr w14:val="tx1"/>
                  </w14:solidFill>
                </w14:textFill>
              </w:rPr>
              <w:t>5.▲景深达到2-100mm；</w:t>
            </w:r>
          </w:p>
          <w:p w14:paraId="0BF81A9F">
            <w:pPr>
              <w:pStyle w:val="112"/>
              <w:pageBreakBefore w:val="0"/>
              <w:numPr>
                <w:ilvl w:val="0"/>
                <w:numId w:val="0"/>
              </w:numPr>
              <w:kinsoku/>
              <w:overflowPunct/>
              <w:topLinePunct w:val="0"/>
              <w:bidi w:val="0"/>
              <w:spacing w:line="440" w:lineRule="exact"/>
              <w:ind w:leftChars="0"/>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6.左右具备独立进/出水开关控制接口，双层密封防漏设计；图像无扭曲；</w:t>
            </w:r>
          </w:p>
          <w:p w14:paraId="6DB63DF2">
            <w:pPr>
              <w:pStyle w:val="112"/>
              <w:pageBreakBefore w:val="0"/>
              <w:numPr>
                <w:ilvl w:val="0"/>
                <w:numId w:val="0"/>
              </w:numPr>
              <w:kinsoku/>
              <w:overflowPunct/>
              <w:topLinePunct w:val="0"/>
              <w:bidi w:val="0"/>
              <w:spacing w:line="440" w:lineRule="exact"/>
              <w:ind w:leftChars="0"/>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7.半硬性一体式硬镜，插入部外管采用不锈钢的原材料，要求能保证镜管的结构稳定同时允许镜体微弯，能回弹；</w:t>
            </w:r>
          </w:p>
          <w:p w14:paraId="2AB9D80A">
            <w:pPr>
              <w:pStyle w:val="112"/>
              <w:pageBreakBefore w:val="0"/>
              <w:numPr>
                <w:ilvl w:val="0"/>
                <w:numId w:val="0"/>
              </w:numPr>
              <w:kinsoku/>
              <w:overflowPunct/>
              <w:topLinePunct w:val="0"/>
              <w:bidi w:val="0"/>
              <w:spacing w:line="440" w:lineRule="exact"/>
              <w:ind w:leftChars="0"/>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8.操作部功能按钮≥1个，可自定义功能≥6个；</w:t>
            </w:r>
          </w:p>
          <w:p w14:paraId="0793AEE9">
            <w:pPr>
              <w:pStyle w:val="112"/>
              <w:pageBreakBefore w:val="0"/>
              <w:numPr>
                <w:ilvl w:val="0"/>
                <w:numId w:val="0"/>
              </w:numPr>
              <w:kinsoku/>
              <w:overflowPunct/>
              <w:topLinePunct w:val="0"/>
              <w:bidi w:val="0"/>
              <w:spacing w:line="440" w:lineRule="exact"/>
              <w:ind w:leftChars="0"/>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9.内置LED光源，玻璃光纤导光，无需外接导光束和光源，方便操作；</w:t>
            </w:r>
          </w:p>
          <w:p w14:paraId="7C1D8301">
            <w:pPr>
              <w:pStyle w:val="112"/>
              <w:pageBreakBefore w:val="0"/>
              <w:numPr>
                <w:ilvl w:val="0"/>
                <w:numId w:val="0"/>
              </w:numPr>
              <w:kinsoku/>
              <w:overflowPunct/>
              <w:topLinePunct w:val="0"/>
              <w:bidi w:val="0"/>
              <w:spacing w:line="440" w:lineRule="exact"/>
              <w:ind w:leftChars="0"/>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10.具备记忆功能，可将产品的重要参数显示在监视器上；</w:t>
            </w:r>
          </w:p>
          <w:p w14:paraId="38944828">
            <w:pPr>
              <w:pStyle w:val="112"/>
              <w:pageBreakBefore w:val="0"/>
              <w:numPr>
                <w:ilvl w:val="0"/>
                <w:numId w:val="0"/>
              </w:numPr>
              <w:kinsoku/>
              <w:overflowPunct/>
              <w:topLinePunct w:val="0"/>
              <w:bidi w:val="0"/>
              <w:spacing w:line="440" w:lineRule="exact"/>
              <w:ind w:leftChars="0"/>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11.采用医用硅橡胶的视频连接线缆，要求具备良好的操控感、耐腐蚀、耐老化、耐高温等特性；</w:t>
            </w:r>
          </w:p>
          <w:p w14:paraId="035F7386">
            <w:pPr>
              <w:pStyle w:val="112"/>
              <w:pageBreakBefore w:val="0"/>
              <w:numPr>
                <w:ilvl w:val="0"/>
                <w:numId w:val="0"/>
              </w:numPr>
              <w:kinsoku/>
              <w:overflowPunct/>
              <w:topLinePunct w:val="0"/>
              <w:bidi w:val="0"/>
              <w:spacing w:line="440" w:lineRule="exact"/>
              <w:ind w:leftChars="0"/>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12.线缆两端包胶一体化注塑成型，且无污渍残留空间，可清洗，</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具有</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灭菌</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功能；</w:t>
            </w:r>
          </w:p>
          <w:p w14:paraId="22671E24">
            <w:pPr>
              <w:pStyle w:val="112"/>
              <w:pageBreakBefore w:val="0"/>
              <w:numPr>
                <w:ilvl w:val="0"/>
                <w:numId w:val="0"/>
              </w:numPr>
              <w:kinsoku/>
              <w:overflowPunct/>
              <w:topLinePunct w:val="0"/>
              <w:bidi w:val="0"/>
              <w:spacing w:line="440" w:lineRule="exact"/>
              <w:ind w:leftChars="0"/>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13.视频线插头全防水，一键式插拔，无需防水帽；</w:t>
            </w:r>
          </w:p>
          <w:p w14:paraId="3E991EB9">
            <w:pPr>
              <w:pStyle w:val="112"/>
              <w:pageBreakBefore w:val="0"/>
              <w:numPr>
                <w:ilvl w:val="0"/>
                <w:numId w:val="0"/>
              </w:numPr>
              <w:kinsoku/>
              <w:overflowPunct/>
              <w:topLinePunct w:val="0"/>
              <w:bidi w:val="0"/>
              <w:spacing w:line="440" w:lineRule="exact"/>
              <w:ind w:leftChars="0"/>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14.内镜可一体式完全浸泡进行清洗、消毒，</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具有</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灭菌</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功能；</w:t>
            </w:r>
          </w:p>
          <w:p w14:paraId="6151C2CB">
            <w:pPr>
              <w:pStyle w:val="112"/>
              <w:pageBreakBefore w:val="0"/>
              <w:numPr>
                <w:ilvl w:val="0"/>
                <w:numId w:val="0"/>
              </w:numPr>
              <w:kinsoku/>
              <w:overflowPunct/>
              <w:topLinePunct w:val="0"/>
              <w:bidi w:val="0"/>
              <w:spacing w:line="440" w:lineRule="exact"/>
              <w:ind w:leftChars="0"/>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15.插入部渐细型鞘唇设计，具备韧性，耐低温等离子灭菌专用电子镜消毒盒；</w:t>
            </w:r>
          </w:p>
          <w:p w14:paraId="69AE658E">
            <w:pPr>
              <w:pStyle w:val="112"/>
              <w:pageBreakBefore w:val="0"/>
              <w:numPr>
                <w:ilvl w:val="0"/>
                <w:numId w:val="0"/>
              </w:numPr>
              <w:kinsoku/>
              <w:overflowPunct/>
              <w:topLinePunct w:val="0"/>
              <w:bidi w:val="0"/>
              <w:spacing w:line="440" w:lineRule="exact"/>
              <w:ind w:leftChars="0"/>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16.材质：不锈钢 ，可供低温等离子或环氧乙烷灭菌。</w:t>
            </w:r>
          </w:p>
        </w:tc>
      </w:tr>
      <w:tr w14:paraId="5FA06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3" w:type="dxa"/>
            <w:vAlign w:val="center"/>
          </w:tcPr>
          <w:p w14:paraId="2C17CC23">
            <w:pPr>
              <w:pageBreakBefore w:val="0"/>
              <w:tabs>
                <w:tab w:val="left" w:pos="180"/>
                <w:tab w:val="left" w:pos="1620"/>
              </w:tabs>
              <w:kinsoku/>
              <w:overflowPunct/>
              <w:topLinePunct w:val="0"/>
              <w:bidi w:val="0"/>
              <w:spacing w:line="440"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10</w:t>
            </w:r>
          </w:p>
        </w:tc>
        <w:tc>
          <w:tcPr>
            <w:tcW w:w="1005" w:type="dxa"/>
            <w:vAlign w:val="center"/>
          </w:tcPr>
          <w:p w14:paraId="2B40327F">
            <w:pPr>
              <w:pageBreakBefore w:val="0"/>
              <w:kinsoku/>
              <w:overflowPunct/>
              <w:topLinePunct w:val="0"/>
              <w:bidi w:val="0"/>
              <w:spacing w:line="440" w:lineRule="exact"/>
              <w:jc w:val="cente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硬性电子输尿管肾镜</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w:t>
            </w:r>
          </w:p>
        </w:tc>
        <w:tc>
          <w:tcPr>
            <w:tcW w:w="993" w:type="dxa"/>
            <w:vAlign w:val="center"/>
          </w:tcPr>
          <w:p w14:paraId="6D8B4982">
            <w:pPr>
              <w:pageBreakBefore w:val="0"/>
              <w:tabs>
                <w:tab w:val="left" w:pos="180"/>
                <w:tab w:val="left" w:pos="1620"/>
              </w:tabs>
              <w:kinsoku/>
              <w:overflowPunct/>
              <w:topLinePunct w:val="0"/>
              <w:bidi w:val="0"/>
              <w:spacing w:line="440"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1条</w:t>
            </w:r>
          </w:p>
        </w:tc>
        <w:tc>
          <w:tcPr>
            <w:tcW w:w="1309" w:type="dxa"/>
            <w:shd w:val="clear" w:color="auto" w:fill="auto"/>
            <w:vAlign w:val="center"/>
          </w:tcPr>
          <w:p w14:paraId="18C09438">
            <w:pPr>
              <w:pageBreakBefore w:val="0"/>
              <w:tabs>
                <w:tab w:val="left" w:pos="180"/>
                <w:tab w:val="left" w:pos="1620"/>
              </w:tabs>
              <w:kinsoku/>
              <w:overflowPunct/>
              <w:topLinePunct w:val="0"/>
              <w:bidi w:val="0"/>
              <w:spacing w:line="440"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9</w:t>
            </w:r>
          </w:p>
        </w:tc>
        <w:tc>
          <w:tcPr>
            <w:tcW w:w="5532" w:type="dxa"/>
            <w:shd w:val="clear" w:color="auto" w:fill="auto"/>
            <w:vAlign w:val="top"/>
          </w:tcPr>
          <w:p w14:paraId="0C2093C4">
            <w:pPr>
              <w:pStyle w:val="112"/>
              <w:pageBreakBefore w:val="0"/>
              <w:numPr>
                <w:ilvl w:val="0"/>
                <w:numId w:val="0"/>
              </w:numPr>
              <w:kinsoku/>
              <w:overflowPunct/>
              <w:topLinePunct w:val="0"/>
              <w:bidi w:val="0"/>
              <w:spacing w:line="440" w:lineRule="exact"/>
              <w:ind w:leftChars="0"/>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（一）适用范围：手术室；</w:t>
            </w:r>
          </w:p>
          <w:p w14:paraId="395B7BEE">
            <w:pPr>
              <w:pStyle w:val="112"/>
              <w:pageBreakBefore w:val="0"/>
              <w:numPr>
                <w:ilvl w:val="0"/>
                <w:numId w:val="0"/>
              </w:numPr>
              <w:kinsoku/>
              <w:overflowPunct/>
              <w:topLinePunct w:val="0"/>
              <w:bidi w:val="0"/>
              <w:spacing w:line="440" w:lineRule="exact"/>
              <w:ind w:leftChars="0"/>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（二）适用于：泌尿外科开展微创手术；</w:t>
            </w:r>
          </w:p>
          <w:p w14:paraId="0C99315E">
            <w:pPr>
              <w:pStyle w:val="112"/>
              <w:pageBreakBefore w:val="0"/>
              <w:numPr>
                <w:ilvl w:val="0"/>
                <w:numId w:val="0"/>
              </w:numPr>
              <w:kinsoku/>
              <w:overflowPunct/>
              <w:topLinePunct w:val="0"/>
              <w:bidi w:val="0"/>
              <w:spacing w:line="440" w:lineRule="exact"/>
              <w:ind w:leftChars="0"/>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（三）技术要求（技术参数与功能）及配置</w:t>
            </w:r>
          </w:p>
          <w:p w14:paraId="5B36DB3F">
            <w:pPr>
              <w:pStyle w:val="112"/>
              <w:pageBreakBefore w:val="0"/>
              <w:numPr>
                <w:ilvl w:val="0"/>
                <w:numId w:val="0"/>
              </w:numPr>
              <w:kinsoku/>
              <w:overflowPunct/>
              <w:topLinePunct w:val="0"/>
              <w:bidi w:val="0"/>
              <w:spacing w:line="440" w:lineRule="exact"/>
              <w:ind w:leftChars="0"/>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1.</w:t>
            </w:r>
            <w:r>
              <w:rPr>
                <w:rFonts w:hint="eastAsia" w:asciiTheme="minorEastAsia" w:hAnsiTheme="minorEastAsia" w:eastAsiaTheme="minorEastAsia" w:cstheme="minorEastAsia"/>
                <w:b/>
                <w:bCs/>
                <w:color w:val="000000" w:themeColor="text1"/>
                <w:kern w:val="2"/>
                <w:sz w:val="21"/>
                <w:szCs w:val="21"/>
                <w:highlight w:val="none"/>
                <w:lang w:val="en-US" w:eastAsia="zh-CN" w:bidi="ar-SA"/>
                <w14:textFill>
                  <w14:solidFill>
                    <w14:schemeClr w14:val="tx1"/>
                  </w14:solidFill>
                </w14:textFill>
              </w:rPr>
              <w:t xml:space="preserve">▲视场角≥120°； </w:t>
            </w:r>
          </w:p>
          <w:p w14:paraId="22C126EE">
            <w:pPr>
              <w:pStyle w:val="112"/>
              <w:pageBreakBefore w:val="0"/>
              <w:numPr>
                <w:ilvl w:val="0"/>
                <w:numId w:val="0"/>
              </w:numPr>
              <w:kinsoku/>
              <w:overflowPunct/>
              <w:topLinePunct w:val="0"/>
              <w:bidi w:val="0"/>
              <w:spacing w:line="440" w:lineRule="exact"/>
              <w:ind w:leftChars="0"/>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2.视向角12°，分辨率≥16万像素，工作长度≥430mm；</w:t>
            </w:r>
          </w:p>
          <w:p w14:paraId="2DC200C5">
            <w:pPr>
              <w:pStyle w:val="112"/>
              <w:pageBreakBefore w:val="0"/>
              <w:numPr>
                <w:ilvl w:val="0"/>
                <w:numId w:val="0"/>
              </w:numPr>
              <w:kinsoku/>
              <w:overflowPunct/>
              <w:topLinePunct w:val="0"/>
              <w:bidi w:val="0"/>
              <w:spacing w:line="440" w:lineRule="exact"/>
              <w:ind w:leftChars="0"/>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3.前端尺寸8/9.5Fr，具有回水性能；</w:t>
            </w:r>
          </w:p>
          <w:p w14:paraId="3BD593A2">
            <w:pPr>
              <w:pStyle w:val="112"/>
              <w:pageBreakBefore w:val="0"/>
              <w:numPr>
                <w:ilvl w:val="0"/>
                <w:numId w:val="0"/>
              </w:numPr>
              <w:kinsoku/>
              <w:overflowPunct/>
              <w:topLinePunct w:val="0"/>
              <w:bidi w:val="0"/>
              <w:spacing w:line="440" w:lineRule="exact"/>
              <w:ind w:leftChars="0"/>
              <w:rPr>
                <w:rFonts w:hint="eastAsia" w:asciiTheme="minorEastAsia" w:hAnsiTheme="minorEastAsia" w:eastAsiaTheme="minorEastAsia" w:cstheme="minorEastAsia"/>
                <w:b/>
                <w:bCs/>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4.</w:t>
            </w:r>
            <w:r>
              <w:rPr>
                <w:rFonts w:hint="eastAsia" w:asciiTheme="minorEastAsia" w:hAnsiTheme="minorEastAsia" w:eastAsiaTheme="minorEastAsia" w:cstheme="minorEastAsia"/>
                <w:b/>
                <w:bCs/>
                <w:color w:val="000000" w:themeColor="text1"/>
                <w:kern w:val="2"/>
                <w:sz w:val="21"/>
                <w:szCs w:val="21"/>
                <w:highlight w:val="none"/>
                <w:lang w:val="en-US" w:eastAsia="zh-CN" w:bidi="ar-SA"/>
                <w14:textFill>
                  <w14:solidFill>
                    <w14:schemeClr w14:val="tx1"/>
                  </w14:solidFill>
                </w14:textFill>
              </w:rPr>
              <w:t>▲器械通道≥5.2Fr；</w:t>
            </w:r>
          </w:p>
          <w:p w14:paraId="1DCC0A2B">
            <w:pPr>
              <w:pStyle w:val="112"/>
              <w:pageBreakBefore w:val="0"/>
              <w:numPr>
                <w:ilvl w:val="0"/>
                <w:numId w:val="0"/>
              </w:numPr>
              <w:kinsoku/>
              <w:overflowPunct/>
              <w:topLinePunct w:val="0"/>
              <w:bidi w:val="0"/>
              <w:spacing w:line="440" w:lineRule="exact"/>
              <w:ind w:leftChars="0"/>
              <w:rPr>
                <w:rFonts w:hint="eastAsia" w:asciiTheme="minorEastAsia" w:hAnsiTheme="minorEastAsia" w:eastAsiaTheme="minorEastAsia" w:cstheme="minorEastAsia"/>
                <w:b/>
                <w:bCs/>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1"/>
                <w:szCs w:val="21"/>
                <w:highlight w:val="none"/>
                <w:lang w:val="en-US" w:eastAsia="zh-CN" w:bidi="ar-SA"/>
                <w14:textFill>
                  <w14:solidFill>
                    <w14:schemeClr w14:val="tx1"/>
                  </w14:solidFill>
                </w14:textFill>
              </w:rPr>
              <w:t>5.▲景深达到2-100mm；</w:t>
            </w:r>
          </w:p>
          <w:p w14:paraId="69CEDF0A">
            <w:pPr>
              <w:pStyle w:val="112"/>
              <w:pageBreakBefore w:val="0"/>
              <w:numPr>
                <w:ilvl w:val="0"/>
                <w:numId w:val="0"/>
              </w:numPr>
              <w:kinsoku/>
              <w:overflowPunct/>
              <w:topLinePunct w:val="0"/>
              <w:bidi w:val="0"/>
              <w:spacing w:line="440" w:lineRule="exact"/>
              <w:ind w:leftChars="0"/>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6.左右具备独立进/出水开关控制接口，双层密封防漏设计；图像无扭曲；</w:t>
            </w:r>
          </w:p>
          <w:p w14:paraId="21521086">
            <w:pPr>
              <w:pStyle w:val="112"/>
              <w:pageBreakBefore w:val="0"/>
              <w:numPr>
                <w:ilvl w:val="0"/>
                <w:numId w:val="0"/>
              </w:numPr>
              <w:kinsoku/>
              <w:overflowPunct/>
              <w:topLinePunct w:val="0"/>
              <w:bidi w:val="0"/>
              <w:spacing w:line="440" w:lineRule="exact"/>
              <w:ind w:leftChars="0"/>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7.半硬性一体式硬镜，插入部外管采用不锈钢的原材料，要求能保证镜管的结构稳定同时允许镜体微弯，能回弹；</w:t>
            </w:r>
          </w:p>
          <w:p w14:paraId="58478338">
            <w:pPr>
              <w:pStyle w:val="112"/>
              <w:pageBreakBefore w:val="0"/>
              <w:numPr>
                <w:ilvl w:val="0"/>
                <w:numId w:val="0"/>
              </w:numPr>
              <w:kinsoku/>
              <w:overflowPunct/>
              <w:topLinePunct w:val="0"/>
              <w:bidi w:val="0"/>
              <w:spacing w:line="440" w:lineRule="exact"/>
              <w:ind w:leftChars="0"/>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8.操作部功能按钮≥1个，可自定义功能≥6个；</w:t>
            </w:r>
          </w:p>
          <w:p w14:paraId="2215CC61">
            <w:pPr>
              <w:pStyle w:val="112"/>
              <w:pageBreakBefore w:val="0"/>
              <w:numPr>
                <w:ilvl w:val="0"/>
                <w:numId w:val="0"/>
              </w:numPr>
              <w:kinsoku/>
              <w:overflowPunct/>
              <w:topLinePunct w:val="0"/>
              <w:bidi w:val="0"/>
              <w:spacing w:line="440" w:lineRule="exact"/>
              <w:ind w:leftChars="0"/>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9.内置LED光源，玻璃光纤导光，无需外接导光束和光源，方便操作；</w:t>
            </w:r>
          </w:p>
          <w:p w14:paraId="229BB7F2">
            <w:pPr>
              <w:pStyle w:val="112"/>
              <w:pageBreakBefore w:val="0"/>
              <w:numPr>
                <w:ilvl w:val="0"/>
                <w:numId w:val="0"/>
              </w:numPr>
              <w:kinsoku/>
              <w:overflowPunct/>
              <w:topLinePunct w:val="0"/>
              <w:bidi w:val="0"/>
              <w:spacing w:line="440" w:lineRule="exact"/>
              <w:ind w:leftChars="0"/>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10.具备记忆功能，可将产品的重要参数显示在监视器上；</w:t>
            </w:r>
          </w:p>
          <w:p w14:paraId="38CD012B">
            <w:pPr>
              <w:pStyle w:val="112"/>
              <w:pageBreakBefore w:val="0"/>
              <w:numPr>
                <w:ilvl w:val="0"/>
                <w:numId w:val="0"/>
              </w:numPr>
              <w:kinsoku/>
              <w:overflowPunct/>
              <w:topLinePunct w:val="0"/>
              <w:bidi w:val="0"/>
              <w:spacing w:line="440" w:lineRule="exact"/>
              <w:ind w:leftChars="0"/>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11.采用医用硅橡胶的视频连接线缆，要求具备良好的柔软性和操控感、耐腐蚀、耐老化、耐高温等特性；</w:t>
            </w:r>
          </w:p>
          <w:p w14:paraId="74E9A8A7">
            <w:pPr>
              <w:pStyle w:val="112"/>
              <w:pageBreakBefore w:val="0"/>
              <w:numPr>
                <w:ilvl w:val="0"/>
                <w:numId w:val="0"/>
              </w:numPr>
              <w:kinsoku/>
              <w:overflowPunct/>
              <w:topLinePunct w:val="0"/>
              <w:bidi w:val="0"/>
              <w:spacing w:line="440" w:lineRule="exact"/>
              <w:ind w:leftChars="0"/>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12.线缆两端包胶一体化注塑成型，且无污渍残留空间，可清洗，</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具有</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灭菌</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功能；</w:t>
            </w:r>
          </w:p>
          <w:p w14:paraId="10C12D34">
            <w:pPr>
              <w:pStyle w:val="112"/>
              <w:pageBreakBefore w:val="0"/>
              <w:numPr>
                <w:ilvl w:val="0"/>
                <w:numId w:val="0"/>
              </w:numPr>
              <w:kinsoku/>
              <w:overflowPunct/>
              <w:topLinePunct w:val="0"/>
              <w:bidi w:val="0"/>
              <w:spacing w:line="440" w:lineRule="exact"/>
              <w:ind w:leftChars="0"/>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13.视频线插头全防水，一键式插拔，无需防水帽；</w:t>
            </w:r>
          </w:p>
          <w:p w14:paraId="6A2897E9">
            <w:pPr>
              <w:pStyle w:val="112"/>
              <w:pageBreakBefore w:val="0"/>
              <w:numPr>
                <w:ilvl w:val="0"/>
                <w:numId w:val="0"/>
              </w:numPr>
              <w:kinsoku/>
              <w:overflowPunct/>
              <w:topLinePunct w:val="0"/>
              <w:bidi w:val="0"/>
              <w:spacing w:line="440" w:lineRule="exact"/>
              <w:ind w:leftChars="0"/>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14.内镜可一体式完全浸泡进行清洗、消毒，</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具有</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灭菌</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功能</w:t>
            </w:r>
          </w:p>
          <w:p w14:paraId="1778408D">
            <w:pPr>
              <w:pStyle w:val="112"/>
              <w:pageBreakBefore w:val="0"/>
              <w:numPr>
                <w:ilvl w:val="0"/>
                <w:numId w:val="0"/>
              </w:numPr>
              <w:kinsoku/>
              <w:overflowPunct/>
              <w:topLinePunct w:val="0"/>
              <w:bidi w:val="0"/>
              <w:spacing w:line="440" w:lineRule="exact"/>
              <w:ind w:leftChars="0"/>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15.插入部渐细型鞘唇设计，具备韧性，耐低温等离子灭菌</w:t>
            </w:r>
          </w:p>
          <w:p w14:paraId="01A9D47F">
            <w:pPr>
              <w:pStyle w:val="112"/>
              <w:pageBreakBefore w:val="0"/>
              <w:numPr>
                <w:ilvl w:val="0"/>
                <w:numId w:val="0"/>
              </w:numPr>
              <w:kinsoku/>
              <w:overflowPunct/>
              <w:topLinePunct w:val="0"/>
              <w:bidi w:val="0"/>
              <w:spacing w:line="440" w:lineRule="exact"/>
              <w:ind w:leftChars="0"/>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专用电子镜消毒盒；</w:t>
            </w:r>
          </w:p>
          <w:p w14:paraId="72F342D4">
            <w:pPr>
              <w:pStyle w:val="112"/>
              <w:pageBreakBefore w:val="0"/>
              <w:numPr>
                <w:ilvl w:val="0"/>
                <w:numId w:val="0"/>
              </w:numPr>
              <w:kinsoku/>
              <w:overflowPunct/>
              <w:topLinePunct w:val="0"/>
              <w:bidi w:val="0"/>
              <w:spacing w:line="440" w:lineRule="exact"/>
              <w:ind w:leftChars="0"/>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16.材质：不锈钢， 可供低温等离子或环氧乙烷灭菌。</w:t>
            </w:r>
          </w:p>
        </w:tc>
      </w:tr>
      <w:tr w14:paraId="3981E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3" w:type="dxa"/>
            <w:vAlign w:val="center"/>
          </w:tcPr>
          <w:p w14:paraId="5D549BFD">
            <w:pPr>
              <w:pageBreakBefore w:val="0"/>
              <w:tabs>
                <w:tab w:val="left" w:pos="180"/>
                <w:tab w:val="left" w:pos="1620"/>
              </w:tabs>
              <w:kinsoku/>
              <w:overflowPunct/>
              <w:topLinePunct w:val="0"/>
              <w:bidi w:val="0"/>
              <w:spacing w:line="440"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11</w:t>
            </w:r>
          </w:p>
        </w:tc>
        <w:tc>
          <w:tcPr>
            <w:tcW w:w="1005" w:type="dxa"/>
            <w:vAlign w:val="center"/>
          </w:tcPr>
          <w:p w14:paraId="208EF7EC">
            <w:pPr>
              <w:pageBreakBefore w:val="0"/>
              <w:kinsoku/>
              <w:overflowPunct/>
              <w:topLinePunct w:val="0"/>
              <w:bidi w:val="0"/>
              <w:spacing w:line="440" w:lineRule="exact"/>
              <w:jc w:val="cente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硬性电子输尿管肾镜</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w:t>
            </w:r>
          </w:p>
        </w:tc>
        <w:tc>
          <w:tcPr>
            <w:tcW w:w="993" w:type="dxa"/>
            <w:vAlign w:val="center"/>
          </w:tcPr>
          <w:p w14:paraId="05EF7E03">
            <w:pPr>
              <w:pageBreakBefore w:val="0"/>
              <w:tabs>
                <w:tab w:val="left" w:pos="180"/>
                <w:tab w:val="left" w:pos="1620"/>
              </w:tabs>
              <w:kinsoku/>
              <w:overflowPunct/>
              <w:topLinePunct w:val="0"/>
              <w:bidi w:val="0"/>
              <w:spacing w:line="440"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1条</w:t>
            </w:r>
          </w:p>
        </w:tc>
        <w:tc>
          <w:tcPr>
            <w:tcW w:w="1309" w:type="dxa"/>
            <w:shd w:val="clear" w:color="auto" w:fill="auto"/>
            <w:vAlign w:val="center"/>
          </w:tcPr>
          <w:p w14:paraId="008EC513">
            <w:pPr>
              <w:pageBreakBefore w:val="0"/>
              <w:tabs>
                <w:tab w:val="left" w:pos="180"/>
                <w:tab w:val="left" w:pos="1620"/>
              </w:tabs>
              <w:kinsoku/>
              <w:overflowPunct/>
              <w:topLinePunct w:val="0"/>
              <w:bidi w:val="0"/>
              <w:spacing w:line="440"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9</w:t>
            </w:r>
          </w:p>
        </w:tc>
        <w:tc>
          <w:tcPr>
            <w:tcW w:w="5532" w:type="dxa"/>
            <w:shd w:val="clear" w:color="auto" w:fill="auto"/>
            <w:vAlign w:val="top"/>
          </w:tcPr>
          <w:p w14:paraId="1CA373FB">
            <w:pPr>
              <w:pStyle w:val="112"/>
              <w:pageBreakBefore w:val="0"/>
              <w:numPr>
                <w:ilvl w:val="0"/>
                <w:numId w:val="0"/>
              </w:numPr>
              <w:kinsoku/>
              <w:overflowPunct/>
              <w:topLinePunct w:val="0"/>
              <w:bidi w:val="0"/>
              <w:spacing w:line="440" w:lineRule="exact"/>
              <w:ind w:leftChars="0"/>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（一）适用范围：手术室</w:t>
            </w:r>
          </w:p>
          <w:p w14:paraId="526ADAF3">
            <w:pPr>
              <w:pStyle w:val="112"/>
              <w:pageBreakBefore w:val="0"/>
              <w:numPr>
                <w:ilvl w:val="0"/>
                <w:numId w:val="0"/>
              </w:numPr>
              <w:kinsoku/>
              <w:overflowPunct/>
              <w:topLinePunct w:val="0"/>
              <w:bidi w:val="0"/>
              <w:spacing w:line="440" w:lineRule="exact"/>
              <w:ind w:leftChars="0"/>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（二）适用于：泌尿外科开展微创手术</w:t>
            </w:r>
          </w:p>
          <w:p w14:paraId="70817BC7">
            <w:pPr>
              <w:pStyle w:val="112"/>
              <w:pageBreakBefore w:val="0"/>
              <w:numPr>
                <w:ilvl w:val="0"/>
                <w:numId w:val="0"/>
              </w:numPr>
              <w:kinsoku/>
              <w:overflowPunct/>
              <w:topLinePunct w:val="0"/>
              <w:bidi w:val="0"/>
              <w:spacing w:line="440" w:lineRule="exact"/>
              <w:ind w:leftChars="0"/>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（三）技术要求（技术参数与功能）及配置</w:t>
            </w:r>
          </w:p>
          <w:p w14:paraId="70C77423">
            <w:pPr>
              <w:pStyle w:val="112"/>
              <w:pageBreakBefore w:val="0"/>
              <w:numPr>
                <w:ilvl w:val="0"/>
                <w:numId w:val="0"/>
              </w:numPr>
              <w:kinsoku/>
              <w:overflowPunct/>
              <w:topLinePunct w:val="0"/>
              <w:bidi w:val="0"/>
              <w:spacing w:line="440" w:lineRule="exact"/>
              <w:ind w:leftChars="0"/>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1.</w:t>
            </w:r>
            <w:r>
              <w:rPr>
                <w:rFonts w:hint="eastAsia" w:asciiTheme="minorEastAsia" w:hAnsiTheme="minorEastAsia" w:eastAsiaTheme="minorEastAsia" w:cstheme="minorEastAsia"/>
                <w:b/>
                <w:bCs/>
                <w:color w:val="000000" w:themeColor="text1"/>
                <w:kern w:val="2"/>
                <w:sz w:val="21"/>
                <w:szCs w:val="21"/>
                <w:highlight w:val="none"/>
                <w:lang w:val="en-US" w:eastAsia="zh-CN" w:bidi="ar-SA"/>
                <w14:textFill>
                  <w14:solidFill>
                    <w14:schemeClr w14:val="tx1"/>
                  </w14:solidFill>
                </w14:textFill>
              </w:rPr>
              <w:t>▲视场角≥120°；</w:t>
            </w: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 xml:space="preserve"> </w:t>
            </w:r>
          </w:p>
          <w:p w14:paraId="10C901CC">
            <w:pPr>
              <w:pStyle w:val="112"/>
              <w:pageBreakBefore w:val="0"/>
              <w:numPr>
                <w:ilvl w:val="0"/>
                <w:numId w:val="0"/>
              </w:numPr>
              <w:kinsoku/>
              <w:overflowPunct/>
              <w:topLinePunct w:val="0"/>
              <w:bidi w:val="0"/>
              <w:spacing w:line="440" w:lineRule="exact"/>
              <w:ind w:leftChars="0"/>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2.视向角12°，分辨率≥16万像素，工作长度≥500mm；</w:t>
            </w:r>
          </w:p>
          <w:p w14:paraId="27514B51">
            <w:pPr>
              <w:pStyle w:val="112"/>
              <w:pageBreakBefore w:val="0"/>
              <w:numPr>
                <w:ilvl w:val="0"/>
                <w:numId w:val="0"/>
              </w:numPr>
              <w:kinsoku/>
              <w:overflowPunct/>
              <w:topLinePunct w:val="0"/>
              <w:bidi w:val="0"/>
              <w:spacing w:line="440" w:lineRule="exact"/>
              <w:ind w:leftChars="0"/>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3.前端尺寸8.5Fr，具有回水性能；</w:t>
            </w:r>
          </w:p>
          <w:p w14:paraId="66785996">
            <w:pPr>
              <w:pStyle w:val="112"/>
              <w:pageBreakBefore w:val="0"/>
              <w:numPr>
                <w:ilvl w:val="0"/>
                <w:numId w:val="0"/>
              </w:numPr>
              <w:kinsoku/>
              <w:overflowPunct/>
              <w:topLinePunct w:val="0"/>
              <w:bidi w:val="0"/>
              <w:spacing w:line="440" w:lineRule="exact"/>
              <w:ind w:leftChars="0"/>
              <w:rPr>
                <w:rFonts w:hint="eastAsia" w:asciiTheme="minorEastAsia" w:hAnsiTheme="minorEastAsia" w:eastAsiaTheme="minorEastAsia" w:cstheme="minorEastAsia"/>
                <w:b/>
                <w:bCs/>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4.</w:t>
            </w:r>
            <w:r>
              <w:rPr>
                <w:rFonts w:hint="eastAsia" w:asciiTheme="minorEastAsia" w:hAnsiTheme="minorEastAsia" w:eastAsiaTheme="minorEastAsia" w:cstheme="minorEastAsia"/>
                <w:b/>
                <w:bCs/>
                <w:color w:val="000000" w:themeColor="text1"/>
                <w:kern w:val="2"/>
                <w:sz w:val="21"/>
                <w:szCs w:val="21"/>
                <w:highlight w:val="none"/>
                <w:lang w:val="en-US" w:eastAsia="zh-CN" w:bidi="ar-SA"/>
                <w14:textFill>
                  <w14:solidFill>
                    <w14:schemeClr w14:val="tx1"/>
                  </w14:solidFill>
                </w14:textFill>
              </w:rPr>
              <w:t>▲器械通道≥3.8Fr；</w:t>
            </w:r>
          </w:p>
          <w:p w14:paraId="15D59500">
            <w:pPr>
              <w:pStyle w:val="112"/>
              <w:pageBreakBefore w:val="0"/>
              <w:numPr>
                <w:ilvl w:val="0"/>
                <w:numId w:val="0"/>
              </w:numPr>
              <w:kinsoku/>
              <w:overflowPunct/>
              <w:topLinePunct w:val="0"/>
              <w:bidi w:val="0"/>
              <w:spacing w:line="440" w:lineRule="exact"/>
              <w:ind w:leftChars="0"/>
              <w:rPr>
                <w:rFonts w:hint="eastAsia" w:asciiTheme="minorEastAsia" w:hAnsiTheme="minorEastAsia" w:eastAsiaTheme="minorEastAsia" w:cstheme="minorEastAsia"/>
                <w:b/>
                <w:bCs/>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1"/>
                <w:szCs w:val="21"/>
                <w:highlight w:val="none"/>
                <w:lang w:val="en-US" w:eastAsia="zh-CN" w:bidi="ar-SA"/>
                <w14:textFill>
                  <w14:solidFill>
                    <w14:schemeClr w14:val="tx1"/>
                  </w14:solidFill>
                </w14:textFill>
              </w:rPr>
              <w:t>5.▲景深达到2-100mm；</w:t>
            </w:r>
          </w:p>
          <w:p w14:paraId="32CF1F58">
            <w:pPr>
              <w:pStyle w:val="112"/>
              <w:pageBreakBefore w:val="0"/>
              <w:numPr>
                <w:ilvl w:val="0"/>
                <w:numId w:val="0"/>
              </w:numPr>
              <w:kinsoku/>
              <w:overflowPunct/>
              <w:topLinePunct w:val="0"/>
              <w:bidi w:val="0"/>
              <w:spacing w:line="440" w:lineRule="exact"/>
              <w:ind w:leftChars="0"/>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6.左右具备独立进/出水开关控制接口，双层密封防漏设计；图像无扭曲；</w:t>
            </w:r>
          </w:p>
          <w:p w14:paraId="68E9355D">
            <w:pPr>
              <w:pStyle w:val="112"/>
              <w:pageBreakBefore w:val="0"/>
              <w:numPr>
                <w:ilvl w:val="0"/>
                <w:numId w:val="0"/>
              </w:numPr>
              <w:kinsoku/>
              <w:overflowPunct/>
              <w:topLinePunct w:val="0"/>
              <w:bidi w:val="0"/>
              <w:spacing w:line="440" w:lineRule="exact"/>
              <w:ind w:leftChars="0"/>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7.半硬性一体式硬镜，插入部外管采用不锈钢的原材料，要求能保证镜管的结构稳定同时允许镜体微弯，能回弹；</w:t>
            </w:r>
          </w:p>
          <w:p w14:paraId="4207EE9F">
            <w:pPr>
              <w:pStyle w:val="112"/>
              <w:pageBreakBefore w:val="0"/>
              <w:numPr>
                <w:ilvl w:val="0"/>
                <w:numId w:val="0"/>
              </w:numPr>
              <w:kinsoku/>
              <w:overflowPunct/>
              <w:topLinePunct w:val="0"/>
              <w:bidi w:val="0"/>
              <w:spacing w:line="440" w:lineRule="exact"/>
              <w:ind w:leftChars="0"/>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8.操作部功能按钮≥1个，可自定义功能≥6个；</w:t>
            </w:r>
          </w:p>
          <w:p w14:paraId="0F4F0AE8">
            <w:pPr>
              <w:pStyle w:val="112"/>
              <w:pageBreakBefore w:val="0"/>
              <w:numPr>
                <w:ilvl w:val="0"/>
                <w:numId w:val="0"/>
              </w:numPr>
              <w:kinsoku/>
              <w:overflowPunct/>
              <w:topLinePunct w:val="0"/>
              <w:bidi w:val="0"/>
              <w:spacing w:line="440" w:lineRule="exact"/>
              <w:ind w:leftChars="0"/>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9.内置LED光源，玻璃光纤导光，无需外接导光束和光源，方便操作；</w:t>
            </w:r>
          </w:p>
          <w:p w14:paraId="6DE139BB">
            <w:pPr>
              <w:pStyle w:val="112"/>
              <w:pageBreakBefore w:val="0"/>
              <w:numPr>
                <w:ilvl w:val="0"/>
                <w:numId w:val="0"/>
              </w:numPr>
              <w:kinsoku/>
              <w:overflowPunct/>
              <w:topLinePunct w:val="0"/>
              <w:bidi w:val="0"/>
              <w:spacing w:line="440" w:lineRule="exact"/>
              <w:ind w:leftChars="0"/>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10.具备记忆功能，可将产品的重要参数显示在监视器上；</w:t>
            </w:r>
          </w:p>
          <w:p w14:paraId="3DD8E9B0">
            <w:pPr>
              <w:pStyle w:val="112"/>
              <w:pageBreakBefore w:val="0"/>
              <w:numPr>
                <w:ilvl w:val="0"/>
                <w:numId w:val="0"/>
              </w:numPr>
              <w:kinsoku/>
              <w:overflowPunct/>
              <w:topLinePunct w:val="0"/>
              <w:bidi w:val="0"/>
              <w:spacing w:line="440" w:lineRule="exact"/>
              <w:ind w:leftChars="0"/>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11.医用硅橡胶的视频连接线缆，具备良好的柔软性和操控感、耐腐蚀、耐老化、耐高温等特性；</w:t>
            </w:r>
          </w:p>
          <w:p w14:paraId="41A31E9C">
            <w:pPr>
              <w:pStyle w:val="112"/>
              <w:pageBreakBefore w:val="0"/>
              <w:numPr>
                <w:ilvl w:val="0"/>
                <w:numId w:val="0"/>
              </w:numPr>
              <w:kinsoku/>
              <w:overflowPunct/>
              <w:topLinePunct w:val="0"/>
              <w:bidi w:val="0"/>
              <w:spacing w:line="440" w:lineRule="exact"/>
              <w:ind w:leftChars="0"/>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12.线缆两端包胶一体化注塑成型，且无污渍残留空间，可清洗，具有灭菌功能；</w:t>
            </w:r>
          </w:p>
          <w:p w14:paraId="59CA5AA0">
            <w:pPr>
              <w:pStyle w:val="112"/>
              <w:pageBreakBefore w:val="0"/>
              <w:numPr>
                <w:ilvl w:val="0"/>
                <w:numId w:val="0"/>
              </w:numPr>
              <w:kinsoku/>
              <w:overflowPunct/>
              <w:topLinePunct w:val="0"/>
              <w:bidi w:val="0"/>
              <w:spacing w:line="440" w:lineRule="exact"/>
              <w:ind w:leftChars="0"/>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13.视频线插头全防水，一键式插拔，无需防水帽；</w:t>
            </w:r>
          </w:p>
          <w:p w14:paraId="0BFBBDC0">
            <w:pPr>
              <w:pStyle w:val="112"/>
              <w:pageBreakBefore w:val="0"/>
              <w:numPr>
                <w:ilvl w:val="0"/>
                <w:numId w:val="0"/>
              </w:numPr>
              <w:kinsoku/>
              <w:overflowPunct/>
              <w:topLinePunct w:val="0"/>
              <w:bidi w:val="0"/>
              <w:spacing w:line="440" w:lineRule="exact"/>
              <w:ind w:leftChars="0"/>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14.内镜可一体式完全浸泡进行清洗、消毒，具有灭菌功能；</w:t>
            </w:r>
          </w:p>
          <w:p w14:paraId="4FFE9C8C">
            <w:pPr>
              <w:pStyle w:val="112"/>
              <w:pageBreakBefore w:val="0"/>
              <w:numPr>
                <w:ilvl w:val="0"/>
                <w:numId w:val="0"/>
              </w:numPr>
              <w:kinsoku/>
              <w:overflowPunct/>
              <w:topLinePunct w:val="0"/>
              <w:bidi w:val="0"/>
              <w:spacing w:line="440" w:lineRule="exact"/>
              <w:ind w:leftChars="0"/>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15.可低温等离子灭菌。</w:t>
            </w:r>
          </w:p>
        </w:tc>
      </w:tr>
    </w:tbl>
    <w:p w14:paraId="0F3F0031">
      <w:pPr>
        <w:pageBreakBefore w:val="0"/>
        <w:kinsoku/>
        <w:overflowPunct/>
        <w:topLinePunct w:val="0"/>
        <w:bidi w:val="0"/>
        <w:spacing w:line="44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bl>
      <w:tblPr>
        <w:tblStyle w:val="48"/>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7655"/>
      </w:tblGrid>
      <w:tr w14:paraId="1AA93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9019" w:type="dxa"/>
            <w:gridSpan w:val="2"/>
            <w:tcBorders>
              <w:top w:val="single" w:color="auto" w:sz="4" w:space="0"/>
              <w:left w:val="single" w:color="auto" w:sz="4" w:space="0"/>
              <w:bottom w:val="single" w:color="auto" w:sz="4" w:space="0"/>
              <w:right w:val="single" w:color="auto" w:sz="4" w:space="0"/>
            </w:tcBorders>
            <w:noWrap/>
          </w:tcPr>
          <w:p w14:paraId="1CA4BBF0">
            <w:pPr>
              <w:pageBreakBefore w:val="0"/>
              <w:widowControl/>
              <w:kinsoku/>
              <w:overflowPunct/>
              <w:topLinePunct w:val="0"/>
              <w:autoSpaceDE w:val="0"/>
              <w:autoSpaceDN w:val="0"/>
              <w:bidi w:val="0"/>
              <w:spacing w:after="120" w:line="440" w:lineRule="exact"/>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二、</w:t>
            </w:r>
            <w:r>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t>商务条款要求</w:t>
            </w:r>
          </w:p>
        </w:tc>
      </w:tr>
      <w:tr w14:paraId="6BFD7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tcBorders>
              <w:top w:val="single" w:color="auto" w:sz="4" w:space="0"/>
              <w:left w:val="single" w:color="auto" w:sz="4" w:space="0"/>
              <w:bottom w:val="single" w:color="auto" w:sz="4" w:space="0"/>
              <w:right w:val="single" w:color="auto" w:sz="4" w:space="0"/>
            </w:tcBorders>
            <w:noWrap/>
            <w:vAlign w:val="center"/>
          </w:tcPr>
          <w:p w14:paraId="05C85E8C">
            <w:pPr>
              <w:pageBreakBefore w:val="0"/>
              <w:kinsoku/>
              <w:overflowPunct/>
              <w:topLinePunct w:val="0"/>
              <w:bidi w:val="0"/>
              <w:snapToGrid w:val="0"/>
              <w:spacing w:line="440" w:lineRule="exact"/>
              <w:ind w:firstLine="198"/>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1"/>
                <w:szCs w:val="21"/>
                <w:highlight w:val="none"/>
                <w14:textFill>
                  <w14:solidFill>
                    <w14:schemeClr w14:val="tx1"/>
                  </w14:solidFill>
                </w14:textFill>
              </w:rPr>
              <w:t>质保期</w:t>
            </w:r>
          </w:p>
        </w:tc>
        <w:tc>
          <w:tcPr>
            <w:tcW w:w="7655" w:type="dxa"/>
            <w:tcBorders>
              <w:top w:val="single" w:color="auto" w:sz="4" w:space="0"/>
              <w:left w:val="single" w:color="auto" w:sz="4" w:space="0"/>
              <w:bottom w:val="single" w:color="auto" w:sz="4" w:space="0"/>
              <w:right w:val="single" w:color="auto" w:sz="4" w:space="0"/>
            </w:tcBorders>
            <w:noWrap/>
            <w:vAlign w:val="center"/>
          </w:tcPr>
          <w:p w14:paraId="221F42B5">
            <w:pPr>
              <w:pageBreakBefore w:val="0"/>
              <w:kinsoku/>
              <w:overflowPunct/>
              <w:topLinePunct w:val="0"/>
              <w:bidi w:val="0"/>
              <w:spacing w:line="44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按国家有关的产品“三包”规定实行“三包”，所有产品为全新产品，符合国家相关标准；所有设备安装调试并经用户验收合格之日起质保期不少于2年（若国家或生产厂家对本项目所涉及货物的质量保证期的规定高于本项目要求的，应按国家或生产厂家的规定执行，若投标人在投标文件中承诺高于该期限，按照投标人承诺），质保期内维修、更换配件，提供设备维修及正常维护保养所需的零部件，质保期外提供终身维修服务。需求表中特别注明的按需求表中的执行。</w:t>
            </w:r>
          </w:p>
        </w:tc>
      </w:tr>
      <w:tr w14:paraId="43251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noWrap/>
            <w:vAlign w:val="center"/>
          </w:tcPr>
          <w:p w14:paraId="7CD7FC7F">
            <w:pPr>
              <w:pageBreakBefore w:val="0"/>
              <w:kinsoku/>
              <w:overflowPunct/>
              <w:topLinePunct w:val="0"/>
              <w:bidi w:val="0"/>
              <w:snapToGrid w:val="0"/>
              <w:spacing w:line="440" w:lineRule="exact"/>
              <w:ind w:firstLine="198"/>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1"/>
                <w:szCs w:val="21"/>
                <w:highlight w:val="none"/>
                <w14:textFill>
                  <w14:solidFill>
                    <w14:schemeClr w14:val="tx1"/>
                  </w14:solidFill>
                </w14:textFill>
              </w:rPr>
              <w:t>售后服务要求</w:t>
            </w:r>
          </w:p>
        </w:tc>
        <w:tc>
          <w:tcPr>
            <w:tcW w:w="7655" w:type="dxa"/>
            <w:noWrap/>
            <w:vAlign w:val="center"/>
          </w:tcPr>
          <w:p w14:paraId="2A06C85B">
            <w:pPr>
              <w:pageBreakBefore w:val="0"/>
              <w:numPr>
                <w:ilvl w:val="0"/>
                <w:numId w:val="9"/>
              </w:numPr>
              <w:kinsoku/>
              <w:overflowPunct/>
              <w:topLinePunct w:val="0"/>
              <w:bidi w:val="0"/>
              <w:spacing w:line="440" w:lineRule="exact"/>
              <w:ind w:firstLine="198"/>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中标人负责送货至钦州市第二人民医院，负责安装调试，并对操作人员进行操作培训。</w:t>
            </w:r>
          </w:p>
          <w:p w14:paraId="6E4AE4DA">
            <w:pPr>
              <w:pageBreakBefore w:val="0"/>
              <w:numPr>
                <w:ilvl w:val="0"/>
                <w:numId w:val="0"/>
              </w:numPr>
              <w:kinsoku/>
              <w:overflowPunct/>
              <w:topLinePunct w:val="0"/>
              <w:bidi w:val="0"/>
              <w:spacing w:line="440" w:lineRule="exact"/>
              <w:ind w:firstLine="210" w:firstLineChars="1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2.维护保养的安排：中标人一年至少两次派工程技术人员对设备进行维护保养。质保期内当设备有重大级别提升时，中标人应为设备进行软件升级。</w:t>
            </w:r>
          </w:p>
          <w:p w14:paraId="0C52A59A">
            <w:pPr>
              <w:pageBreakBefore w:val="0"/>
              <w:kinsoku/>
              <w:overflowPunct/>
              <w:topLinePunct w:val="0"/>
              <w:bidi w:val="0"/>
              <w:spacing w:line="440" w:lineRule="exact"/>
              <w:ind w:firstLine="198"/>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维修时间安排应急维修时间安排：至少提供5×8小时远程桌面或7×24小时电话技术支持，使用中出故障接到通知后应立即响应，对重大问题提供现场技术支持，24小时内派工程技术人员到达现场维修。如果需要更换配件的，更换的配件应跟被更换的品牌、类型相一致或者是同类同档次的替代品，后者需征得采购人管理人员同意。</w:t>
            </w:r>
          </w:p>
          <w:p w14:paraId="48211498">
            <w:pPr>
              <w:pageBreakBefore w:val="0"/>
              <w:kinsoku/>
              <w:overflowPunct/>
              <w:topLinePunct w:val="0"/>
              <w:bidi w:val="0"/>
              <w:spacing w:line="440" w:lineRule="exact"/>
              <w:ind w:firstLine="198"/>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4.主要零配件价格；为采购人提供优惠的零配件及易耗品。</w:t>
            </w:r>
          </w:p>
          <w:p w14:paraId="7F580C11">
            <w:pPr>
              <w:pageBreakBefore w:val="0"/>
              <w:kinsoku/>
              <w:overflowPunct/>
              <w:topLinePunct w:val="0"/>
              <w:bidi w:val="0"/>
              <w:spacing w:line="440" w:lineRule="exact"/>
              <w:ind w:firstLine="198"/>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5.设备质保期内一周如出现</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3次及以上停机或设备故障的</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，采购人有权要求中标人退货或更换新机器，所产生费用由中标人承担。</w:t>
            </w:r>
          </w:p>
          <w:p w14:paraId="21193E52">
            <w:pPr>
              <w:pageBreakBefore w:val="0"/>
              <w:kinsoku/>
              <w:overflowPunct/>
              <w:topLinePunct w:val="0"/>
              <w:bidi w:val="0"/>
              <w:spacing w:line="440" w:lineRule="exact"/>
              <w:ind w:firstLine="198"/>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6.培训对象：包括使用科室的设备使用人员及维修人员，</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由生产厂家为采购人提供使用技术培训</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，使用培训为验收要件之一，没有经过培训，视为没能完成验收。</w:t>
            </w:r>
          </w:p>
          <w:p w14:paraId="4A779720">
            <w:pPr>
              <w:pageBreakBefore w:val="0"/>
              <w:kinsoku/>
              <w:overflowPunct/>
              <w:topLinePunct w:val="0"/>
              <w:bidi w:val="0"/>
              <w:spacing w:line="440" w:lineRule="exact"/>
              <w:ind w:firstLine="198"/>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7.设备如需接入医院HIS、LIS或PACS系统及互联互通系统，相关费用由中标人负责。</w:t>
            </w:r>
          </w:p>
        </w:tc>
      </w:tr>
      <w:tr w14:paraId="32134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noWrap/>
            <w:vAlign w:val="center"/>
          </w:tcPr>
          <w:p w14:paraId="4724E336">
            <w:pPr>
              <w:pageBreakBefore w:val="0"/>
              <w:kinsoku/>
              <w:overflowPunct/>
              <w:topLinePunct w:val="0"/>
              <w:bidi w:val="0"/>
              <w:snapToGrid w:val="0"/>
              <w:spacing w:line="440" w:lineRule="exact"/>
              <w:ind w:firstLine="198"/>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1"/>
                <w:szCs w:val="21"/>
                <w:highlight w:val="none"/>
                <w14:textFill>
                  <w14:solidFill>
                    <w14:schemeClr w14:val="tx1"/>
                  </w14:solidFill>
                </w14:textFill>
              </w:rPr>
              <w:t>培训计划</w:t>
            </w:r>
          </w:p>
        </w:tc>
        <w:tc>
          <w:tcPr>
            <w:tcW w:w="7655" w:type="dxa"/>
            <w:noWrap/>
            <w:vAlign w:val="center"/>
          </w:tcPr>
          <w:p w14:paraId="2E0E7E10">
            <w:pPr>
              <w:pageBreakBefore w:val="0"/>
              <w:kinsoku/>
              <w:overflowPunct/>
              <w:topLinePunct w:val="0"/>
              <w:bidi w:val="0"/>
              <w:spacing w:line="440" w:lineRule="exact"/>
              <w:ind w:firstLine="198"/>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由生产厂家为采购人提供使用技术培训</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，使用培训为验收要件之一，没有经过培训，视为没能完成验收。</w:t>
            </w:r>
          </w:p>
          <w:p w14:paraId="5FEA1438">
            <w:pPr>
              <w:pageBreakBefore w:val="0"/>
              <w:kinsoku/>
              <w:overflowPunct/>
              <w:topLinePunct w:val="0"/>
              <w:bidi w:val="0"/>
              <w:spacing w:line="440" w:lineRule="exact"/>
              <w:ind w:firstLine="198"/>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1.培训对象：使用科室的设备使用人员及维修人员。</w:t>
            </w:r>
          </w:p>
          <w:p w14:paraId="10C14A05">
            <w:pPr>
              <w:pageBreakBefore w:val="0"/>
              <w:kinsoku/>
              <w:overflowPunct/>
              <w:topLinePunct w:val="0"/>
              <w:bidi w:val="0"/>
              <w:spacing w:line="440" w:lineRule="exact"/>
              <w:ind w:firstLine="198"/>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2.培训形式：</w:t>
            </w:r>
          </w:p>
          <w:p w14:paraId="45CB860F">
            <w:pPr>
              <w:pageBreakBefore w:val="0"/>
              <w:kinsoku/>
              <w:overflowPunct/>
              <w:topLinePunct w:val="0"/>
              <w:bidi w:val="0"/>
              <w:spacing w:line="440" w:lineRule="exact"/>
              <w:ind w:firstLine="198"/>
              <w:jc w:val="lef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① 现场使用培训：安装调试结束后，中标人组织培训工程师对机器正确使用方法进行示范操作，保证教会使用人员能正确使用设备</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6ED5EE4B">
            <w:pPr>
              <w:pageBreakBefore w:val="0"/>
              <w:kinsoku/>
              <w:overflowPunct/>
              <w:topLinePunct w:val="0"/>
              <w:bidi w:val="0"/>
              <w:spacing w:line="440" w:lineRule="exact"/>
              <w:ind w:firstLine="198"/>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② 集中授课：应由厂方培训工程师使用专门讲义进行授课，并进行考核考试。</w:t>
            </w:r>
          </w:p>
        </w:tc>
      </w:tr>
      <w:tr w14:paraId="6C7C3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noWrap/>
            <w:vAlign w:val="center"/>
          </w:tcPr>
          <w:p w14:paraId="5F1228C9">
            <w:pPr>
              <w:pageBreakBefore w:val="0"/>
              <w:kinsoku/>
              <w:overflowPunct/>
              <w:topLinePunct w:val="0"/>
              <w:bidi w:val="0"/>
              <w:snapToGrid w:val="0"/>
              <w:spacing w:line="440" w:lineRule="exact"/>
              <w:ind w:firstLine="198"/>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1"/>
                <w:szCs w:val="21"/>
                <w:highlight w:val="none"/>
                <w14:textFill>
                  <w14:solidFill>
                    <w14:schemeClr w14:val="tx1"/>
                  </w14:solidFill>
                </w14:textFill>
              </w:rPr>
              <w:t>交货期</w:t>
            </w:r>
          </w:p>
        </w:tc>
        <w:tc>
          <w:tcPr>
            <w:tcW w:w="7655" w:type="dxa"/>
            <w:noWrap/>
            <w:vAlign w:val="center"/>
          </w:tcPr>
          <w:p w14:paraId="05972DF3">
            <w:pPr>
              <w:pageBreakBefore w:val="0"/>
              <w:kinsoku/>
              <w:overflowPunct/>
              <w:topLinePunct w:val="0"/>
              <w:bidi w:val="0"/>
              <w:spacing w:line="440" w:lineRule="exact"/>
              <w:jc w:val="lef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提供的货物为进口设备的，自签订合同之日起</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天内调试完毕验收合格并交付使用；提供的货物为国产设备的，</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自签订合同之日30天内调试完毕验收合格并交付使用</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c>
      </w:tr>
      <w:tr w14:paraId="00640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noWrap/>
            <w:vAlign w:val="center"/>
          </w:tcPr>
          <w:p w14:paraId="16AA1A47">
            <w:pPr>
              <w:pageBreakBefore w:val="0"/>
              <w:kinsoku/>
              <w:overflowPunct/>
              <w:topLinePunct w:val="0"/>
              <w:bidi w:val="0"/>
              <w:snapToGrid w:val="0"/>
              <w:spacing w:line="440" w:lineRule="exact"/>
              <w:ind w:firstLine="198"/>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1"/>
                <w:szCs w:val="21"/>
                <w:highlight w:val="none"/>
                <w14:textFill>
                  <w14:solidFill>
                    <w14:schemeClr w14:val="tx1"/>
                  </w14:solidFill>
                </w14:textFill>
              </w:rPr>
              <w:t>交货地点</w:t>
            </w:r>
          </w:p>
        </w:tc>
        <w:tc>
          <w:tcPr>
            <w:tcW w:w="7655" w:type="dxa"/>
            <w:noWrap/>
            <w:vAlign w:val="center"/>
          </w:tcPr>
          <w:p w14:paraId="6D859265">
            <w:pPr>
              <w:pageBreakBefore w:val="0"/>
              <w:kinsoku/>
              <w:overflowPunct/>
              <w:topLinePunct w:val="0"/>
              <w:bidi w:val="0"/>
              <w:spacing w:line="440" w:lineRule="exact"/>
              <w:ind w:firstLine="198"/>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钦州市第二人民医院内采购人指定地点</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c>
      </w:tr>
      <w:tr w14:paraId="1BD09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noWrap/>
            <w:vAlign w:val="center"/>
          </w:tcPr>
          <w:p w14:paraId="3BECF1F5">
            <w:pPr>
              <w:pageBreakBefore w:val="0"/>
              <w:kinsoku/>
              <w:overflowPunct/>
              <w:topLinePunct w:val="0"/>
              <w:bidi w:val="0"/>
              <w:snapToGrid w:val="0"/>
              <w:spacing w:line="440" w:lineRule="exact"/>
              <w:ind w:firstLine="198"/>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1"/>
                <w:szCs w:val="21"/>
                <w:highlight w:val="none"/>
                <w14:textFill>
                  <w14:solidFill>
                    <w14:schemeClr w14:val="tx1"/>
                  </w14:solidFill>
                </w14:textFill>
              </w:rPr>
              <w:t>签订合同日期</w:t>
            </w:r>
          </w:p>
        </w:tc>
        <w:tc>
          <w:tcPr>
            <w:tcW w:w="7655" w:type="dxa"/>
            <w:noWrap/>
            <w:vAlign w:val="center"/>
          </w:tcPr>
          <w:p w14:paraId="5270A994">
            <w:pPr>
              <w:pageBreakBefore w:val="0"/>
              <w:kinsoku/>
              <w:overflowPunct/>
              <w:topLinePunct w:val="0"/>
              <w:bidi w:val="0"/>
              <w:spacing w:line="440" w:lineRule="exact"/>
              <w:ind w:firstLine="198"/>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自中标通知书发出之日起25天内。</w:t>
            </w:r>
          </w:p>
        </w:tc>
      </w:tr>
      <w:tr w14:paraId="78EBD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noWrap/>
            <w:vAlign w:val="center"/>
          </w:tcPr>
          <w:p w14:paraId="47470A64">
            <w:pPr>
              <w:pageBreakBefore w:val="0"/>
              <w:kinsoku/>
              <w:overflowPunct/>
              <w:topLinePunct w:val="0"/>
              <w:bidi w:val="0"/>
              <w:snapToGrid w:val="0"/>
              <w:spacing w:line="440" w:lineRule="exact"/>
              <w:ind w:firstLine="198"/>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1"/>
                <w:szCs w:val="21"/>
                <w:highlight w:val="none"/>
                <w14:textFill>
                  <w14:solidFill>
                    <w14:schemeClr w14:val="tx1"/>
                  </w14:solidFill>
                </w14:textFill>
              </w:rPr>
              <w:t>付款条件</w:t>
            </w:r>
          </w:p>
        </w:tc>
        <w:tc>
          <w:tcPr>
            <w:tcW w:w="7655" w:type="dxa"/>
            <w:noWrap/>
            <w:vAlign w:val="center"/>
          </w:tcPr>
          <w:p w14:paraId="4E8B066E">
            <w:pPr>
              <w:pageBreakBefore w:val="0"/>
              <w:kinsoku/>
              <w:overflowPunct/>
              <w:topLinePunct w:val="0"/>
              <w:bidi w:val="0"/>
              <w:spacing w:before="240" w:after="60" w:line="440" w:lineRule="exact"/>
              <w:ind w:firstLine="210" w:firstLineChars="100"/>
              <w:outlineLvl w:val="0"/>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签订合同后无预付款，验收合格后1年6个月付清，到货验收合格后支付合同款的5%，验收合格第一年满后付45%，整个付款期满后付合同款的50%。</w:t>
            </w:r>
          </w:p>
        </w:tc>
      </w:tr>
      <w:tr w14:paraId="3FE9A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noWrap/>
            <w:vAlign w:val="center"/>
          </w:tcPr>
          <w:p w14:paraId="790412CC">
            <w:pPr>
              <w:pageBreakBefore w:val="0"/>
              <w:kinsoku/>
              <w:overflowPunct/>
              <w:topLinePunct w:val="0"/>
              <w:bidi w:val="0"/>
              <w:snapToGrid w:val="0"/>
              <w:spacing w:line="440" w:lineRule="exact"/>
              <w:ind w:firstLine="198"/>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1"/>
                <w:szCs w:val="21"/>
                <w:highlight w:val="none"/>
                <w14:textFill>
                  <w14:solidFill>
                    <w14:schemeClr w14:val="tx1"/>
                  </w14:solidFill>
                </w14:textFill>
              </w:rPr>
              <w:t>备品备件或耗材等要求</w:t>
            </w:r>
          </w:p>
        </w:tc>
        <w:tc>
          <w:tcPr>
            <w:tcW w:w="7655" w:type="dxa"/>
            <w:noWrap/>
            <w:vAlign w:val="center"/>
          </w:tcPr>
          <w:p w14:paraId="3F1F17B4">
            <w:pPr>
              <w:pageBreakBefore w:val="0"/>
              <w:kinsoku/>
              <w:overflowPunct/>
              <w:topLinePunct w:val="0"/>
              <w:bidi w:val="0"/>
              <w:spacing w:line="440" w:lineRule="exact"/>
              <w:ind w:firstLine="210" w:firstLineChars="1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1.投标人必须有完善的备品备件库体系，质保期内能提供相应的措施和备件，保证过质保期后五年内有足够的备品备件，</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为本项目技术支持</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、服务需求提供可靠保证；需在投标报价时提供主要零配件及易耗品供货价格及质保期外零配件优质服务方案及报价</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（如有）</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，否则投标无效</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0F18D2B7">
            <w:pPr>
              <w:pageBreakBefore w:val="0"/>
              <w:kinsoku/>
              <w:overflowPunct/>
              <w:topLinePunct w:val="0"/>
              <w:bidi w:val="0"/>
              <w:spacing w:line="440" w:lineRule="exact"/>
              <w:ind w:firstLine="210" w:firstLineChars="1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2.所有零部件、配件必须是全新未使用过的并符合国家有关质量安全标准的产品。</w:t>
            </w:r>
          </w:p>
        </w:tc>
      </w:tr>
      <w:tr w14:paraId="2BCFA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noWrap/>
            <w:vAlign w:val="center"/>
          </w:tcPr>
          <w:p w14:paraId="00EC2BB6">
            <w:pPr>
              <w:pageBreakBefore w:val="0"/>
              <w:kinsoku/>
              <w:overflowPunct/>
              <w:topLinePunct w:val="0"/>
              <w:bidi w:val="0"/>
              <w:snapToGrid w:val="0"/>
              <w:spacing w:line="440" w:lineRule="exact"/>
              <w:ind w:firstLine="198"/>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1"/>
                <w:szCs w:val="21"/>
                <w:highlight w:val="none"/>
                <w14:textFill>
                  <w14:solidFill>
                    <w14:schemeClr w14:val="tx1"/>
                  </w14:solidFill>
                </w14:textFill>
              </w:rPr>
              <w:t>验收标准</w:t>
            </w:r>
          </w:p>
        </w:tc>
        <w:tc>
          <w:tcPr>
            <w:tcW w:w="7655" w:type="dxa"/>
            <w:noWrap/>
            <w:vAlign w:val="center"/>
          </w:tcPr>
          <w:p w14:paraId="276E371D">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1.验收过程中所产生的一切费用均由中标人承担。报价时应考虑相关费用。</w:t>
            </w:r>
          </w:p>
          <w:p w14:paraId="64FAEE2A">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2.中标人在货物验收时由</w:t>
            </w:r>
            <w:r>
              <w:rPr>
                <w:rFonts w:hint="eastAsia" w:ascii="宋体" w:hAnsi="宋体" w:cs="宋体"/>
                <w:color w:val="000000" w:themeColor="text1"/>
                <w:szCs w:val="21"/>
                <w:highlight w:val="none"/>
                <w:lang w:eastAsia="zh-CN"/>
                <w14:textFill>
                  <w14:solidFill>
                    <w14:schemeClr w14:val="tx1"/>
                  </w14:solidFill>
                </w14:textFill>
              </w:rPr>
              <w:t>采购人对照采购文件</w:t>
            </w:r>
            <w:r>
              <w:rPr>
                <w:rFonts w:hint="eastAsia" w:ascii="宋体" w:hAnsi="宋体" w:cs="宋体"/>
                <w:color w:val="000000" w:themeColor="text1"/>
                <w:szCs w:val="21"/>
                <w:highlight w:val="none"/>
                <w14:textFill>
                  <w14:solidFill>
                    <w14:schemeClr w14:val="tx1"/>
                  </w14:solidFill>
                </w14:textFill>
              </w:rPr>
              <w:t>的功能目标及技术指标全面核对检验，对所有要求出具的证明文件的原件进行核查，如不符合采购文件的技术需求及要求以及提供虚假承诺的，按相关规定做退货处理及违约处理，中标人承担所有责任和费用，采购人保留进一步追究责任的权利。安装标准：符合国际、国家及行业有关技术规范和技术标准。采购项目有其他要求的按其要求。</w:t>
            </w:r>
          </w:p>
          <w:p w14:paraId="209CEFD3">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标人负责安装的技术人员按照验收流程要求提供合格证标明的内容及技术参数表逐条进行验收。验收应符合国家相关法规及合同的技术要求，同时也应符合厂家或医疗器械厂家提供的技术资料中各项技术指标和参数要求，参数要求必须符合采购参数规定，不能以“标准配置”、“选购配置”为由与采购参数不符。</w:t>
            </w:r>
          </w:p>
          <w:p w14:paraId="6D9FF9A0">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3.设备的合法性证明材料：</w:t>
            </w:r>
          </w:p>
          <w:p w14:paraId="232BF8E8">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1)提供设备的生产许可证明材料（适用于国产品牌）：</w:t>
            </w:r>
          </w:p>
          <w:p w14:paraId="7380CBB4">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a.具有医疗器械属性的设备：医疗器械生产企业许可证复印件 1 份及 PDF 文档 1 份。</w:t>
            </w:r>
          </w:p>
          <w:p w14:paraId="4CDF92F5">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b.具有计量仪器属性的设备：制造计量器具许可证复印件 1 份及 PDF 文档 1 份。</w:t>
            </w:r>
          </w:p>
          <w:p w14:paraId="1316A59B">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2)提供设备生产合格证明：</w:t>
            </w:r>
          </w:p>
          <w:p w14:paraId="12A4D010">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出厂合格证明：原件及 PDF 文档各 1 份</w:t>
            </w:r>
          </w:p>
          <w:p w14:paraId="6BA09CD7">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3)医疗器械市场监管合法证明材料</w:t>
            </w:r>
          </w:p>
          <w:p w14:paraId="1DB5B312">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a.医疗器械注册证（含注册登记表）（如涉及 2 类、3 类医疗器械时必须提供，1 类如有请提供）复印件 1 件及 PDF 文档 1 份。</w:t>
            </w:r>
          </w:p>
          <w:p w14:paraId="3A597D0B">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4)经销商的合法性证明材料：</w:t>
            </w:r>
          </w:p>
          <w:p w14:paraId="62EB07B9">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a.营业执照复印件及 PDF 文档各 1 份，经营范围必须与所经营的类别相符，并在有效期内。</w:t>
            </w:r>
          </w:p>
          <w:p w14:paraId="727EF3E4">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b.医疗器械经营企业许可证或属于二类的备案凭证复印件 1 份及 PDF 文档 1 份，经营医疗器械级别及经营类别必须与设备的医疗器械注册证相符（如涉及 2 类、3 类医疗器械时必须提供，1 类如有请提供）。</w:t>
            </w:r>
          </w:p>
          <w:p w14:paraId="58F6DD4B">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c.中标人取得投标产品经销或代理的合法授权书原件 1 份及 PDF 文档 1 份，存在多级授权的须同时提供完整各级授权的证明文件。（验收时需提供）</w:t>
            </w:r>
          </w:p>
          <w:p w14:paraId="76AC6144">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5)设备随机资料：</w:t>
            </w:r>
          </w:p>
          <w:p w14:paraId="60448A16">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a.纸质《使用说明书》一式两份和电子版一份。纸质版一份留使用科室，一份存档案室，不能提供两份原版的，可提供一份原版。</w:t>
            </w:r>
          </w:p>
          <w:p w14:paraId="1A18DDED">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b.电路图、其它技术文件、软件光盘、系统光盘、视频光盘及其它电子版原件资料，设备安装调试结束后必须存放医院档案室。</w:t>
            </w:r>
          </w:p>
          <w:p w14:paraId="29C453AC">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c.如是计量仪器必须提供相关计量仪器检定合格证明材料原件及 PDF 文档各 1 份。</w:t>
            </w:r>
          </w:p>
          <w:p w14:paraId="533BC763">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d.设备装箱单、配置清单。</w:t>
            </w:r>
          </w:p>
          <w:p w14:paraId="1424CC2F">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e.每台设备 1 份操作规定程序（操作规程）卡片，由中标人或厂方制作的质量好耐用纸质版。</w:t>
            </w:r>
          </w:p>
          <w:p w14:paraId="67807B7C">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f.出库清单，清单包括设备名称、型号、单价，总金额，出库公司与合同公司一致。</w:t>
            </w:r>
          </w:p>
          <w:p w14:paraId="03F21814">
            <w:pPr>
              <w:widowControl/>
              <w:spacing w:line="360" w:lineRule="exact"/>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4.货物要求:</w:t>
            </w:r>
          </w:p>
          <w:p w14:paraId="2D5D3E67">
            <w:pPr>
              <w:widowControl/>
              <w:spacing w:line="360" w:lineRule="exact"/>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所供设备必须是全新的、未经改装的、合格的、满足本项目技术需求及要求的设备，提供的设备及制作安装采用的各种配件、材料均必须满足国家和行业规范标准。</w:t>
            </w:r>
          </w:p>
          <w:p w14:paraId="092173B7">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5.技术性能验收：</w:t>
            </w:r>
          </w:p>
          <w:p w14:paraId="394C2D0D">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1)以采购参数为依据，以满足使用要求为原则，验收由设备使用科室人员负责,投标参数是否符合采购参数要求以验收实际结果为准。</w:t>
            </w:r>
          </w:p>
          <w:p w14:paraId="670F49A7">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2)设备清单必须与采购参数相符合,如有出入，以招标文件参数为准。</w:t>
            </w:r>
          </w:p>
          <w:p w14:paraId="2C57F657">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3)验收必须以采购参数为基准，对投标技术响应表逐条进行验收，对于技术响应表与采购技术参数不符的，作如下处理：</w:t>
            </w:r>
          </w:p>
          <w:p w14:paraId="66217102">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a.技术响应表与采购参数比较有漏项的，以不实质响应采购要求论处。</w:t>
            </w:r>
          </w:p>
          <w:p w14:paraId="1B441115">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b.实际是负偏离的参数，响应表中标明负偏离，经评标仍然中标的，说明不影响设备质量、使用与档次，验收时以负偏离验收，设备视为接受。如果对质量、使用与档次有影响的，以不实质响应采购要求论处。</w:t>
            </w:r>
          </w:p>
          <w:p w14:paraId="2CE675D6">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c.实际是负偏离的参数，在投标文件中技术响应表明是无偏离或正偏离，以虚假应标论处，验收不予通过。</w:t>
            </w:r>
          </w:p>
          <w:p w14:paraId="475968E7">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d.实际是无偏离参数，在投标文件中技术响应表明是正偏离，以虚假应标论处，验收不予通过。</w:t>
            </w:r>
          </w:p>
          <w:p w14:paraId="0FDFE914">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e.实际是正偏离参数，但验收时并没有达到投标文件中技术响应表明的正偏离幅度，以虚假应标论处，验收不予通过。</w:t>
            </w:r>
          </w:p>
          <w:p w14:paraId="05D77B45">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f.备用功能。是指设备主机具备相应的功能，但需要增加相应的软件硬件配件才能实现，除非需要在使用期限内升级，本次投标中不设“备用功能”参数，需要这种功能时，投标文件必须有明确注明“备用功能”字样。验收时中标人必须携带相关部件进行验收，以证明设备确实具备相关功能，验收完成后相关部件中标人带回，如果拒绝携带相关部件验收，以虚假应标论处，验收不予通过。</w:t>
            </w:r>
          </w:p>
          <w:p w14:paraId="53B43778">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g.对于采购文件只要求具备的功能或性能，但采购文件没有详细标明硬件配置参数，同时采购文件也没有注明“备用功能”字样，中标人必须无条件配齐相关软件硬件后，予以接受，凡出现“可配”等不明确意义字样，以虚假应标论处，验收不予通过。</w:t>
            </w:r>
          </w:p>
          <w:p w14:paraId="0965F1B3">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h.如是“可配可不配的必须配”，不得以“必须增购相关软硬件才能具备”或者以此为“选配，必须加钱另买”为由要求采购人额外开支才能达到相应功能项。如果中标人不愿意提供相关软硬件配置，以虚假应标论处，验收不予通过。</w:t>
            </w:r>
          </w:p>
          <w:p w14:paraId="7994F432">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i.对于以采购参数不同的参数概念，应标时出现张冠李戴现象，如以“速度”参数响应“长度”参数等，按虚假应标论处。</w:t>
            </w:r>
          </w:p>
          <w:p w14:paraId="7040EA35">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j.替代技术或同类技术，指用另一种与采购参数完全不一样的技术应标，验收时必须提供技术白皮书，说明与采购参数原理不同但目的与效果相同，验收时实际使用效果与采购参数一样，并得到使用科室验收专家的认可，才能判定无偏离，否则判定为负偏离，如果达不到相应使用效果，投投标文件却以无偏离甚至以正偏离响应，以虚假应标论处，验收不予通过。</w:t>
            </w:r>
          </w:p>
          <w:p w14:paraId="57CA4394">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k.对于以含义相同而名字不同的参数名称响应，中标人必须提供白皮书等有效证明材料，并得到医院有关专业人员的认可，以无偏离论处，否则判定为负偏离，负偏离情况下，如果投标文件标明为无偏离或正偏离响应，以虚假应标论处，验收不予通过。</w:t>
            </w:r>
          </w:p>
          <w:p w14:paraId="5FB68639">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l.复合参数，一个参数有多个技术指标，必须全部响应。</w:t>
            </w:r>
            <w:r>
              <w:rPr>
                <w:rFonts w:hint="eastAsia" w:ascii="宋体" w:hAnsi="宋体" w:cs="宋体"/>
                <w:color w:val="000000" w:themeColor="text1"/>
                <w:szCs w:val="21"/>
                <w:highlight w:val="none"/>
                <w:lang w:eastAsia="zh-CN"/>
                <w14:textFill>
                  <w14:solidFill>
                    <w14:schemeClr w14:val="tx1"/>
                  </w14:solidFill>
                </w14:textFill>
              </w:rPr>
              <w:t>如果只响应其中部份指标</w:t>
            </w:r>
            <w:r>
              <w:rPr>
                <w:rFonts w:hint="eastAsia" w:ascii="宋体" w:hAnsi="宋体" w:cs="宋体"/>
                <w:color w:val="000000" w:themeColor="text1"/>
                <w:szCs w:val="21"/>
                <w:highlight w:val="none"/>
                <w14:textFill>
                  <w14:solidFill>
                    <w14:schemeClr w14:val="tx1"/>
                  </w14:solidFill>
                </w14:textFill>
              </w:rPr>
              <w:t>，以负偏离论处，如果投标文件标明为无偏离或正偏离，以虚假应标论处，验收不予通过。</w:t>
            </w:r>
          </w:p>
          <w:p w14:paraId="5DC9FFB8">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m.对于区间涵盖值参数，如“频率范围为 x-y，”等，其下界值更低，上界值更高，才能判定正偏离；其中一端负偏离，不管另一端实际情况如何，均判定负偏离，如果投标文件还标明正偏离，以虚假应标论处，验收不予通过。</w:t>
            </w:r>
          </w:p>
          <w:p w14:paraId="701A8C76">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n.对于区间任意值参数，如“a</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××尺寸</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b”，“ ××尺寸”在区间 a-b 内任意一个数值均为无偏离，超出约定区间范围为负偏离，此类情形，如果投标文件仍标明为无偏离以虚假应标论处，验收不予通过，此类参数出现正偏离，也以虚假应标论处，验收不予通过。</w:t>
            </w:r>
          </w:p>
          <w:p w14:paraId="0D185AA5">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o.对于指定值参数：不是大于值也不是小于值，更不是区间值，只有应标数据与采购文件一致，才能定为无偏离，应标参数不一致，为负偏离。如果与应标参数不一致，而响应为“无偏离”，以虚假应标论处，验收不予通过。</w:t>
            </w:r>
          </w:p>
          <w:p w14:paraId="33E563B6">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p.按常识，设备特殊的工作环境工作条件必须配置的软硬件才能发挥设备效用的，即使采购技术参数表没有表明，中标人也必须提供，不能以采购参数没有要求而拒绝提供。（如：除颤器有可能在远离电源的情况下使用，必须配置电池，即使招标文件没有明确标明电池，中标人也不能以此为由拒绝提供电池）。</w:t>
            </w:r>
          </w:p>
          <w:p w14:paraId="0099D551">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4）试运行：设备使用科室验收人员按设备说明书要求在中标人指导下，常规负荷试运行七个工作日，没有出现异常者，为合格。</w:t>
            </w:r>
          </w:p>
          <w:p w14:paraId="00866D88">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5）如果发现属于负偏离，偏离表说明仍写无偏离或正偏离，属于无偏离，偏离说明仍写正偏离，作无效投标论处。</w:t>
            </w:r>
          </w:p>
          <w:p w14:paraId="59A30D69">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6）设备符合下列情形的，不予接收：</w:t>
            </w:r>
          </w:p>
          <w:p w14:paraId="66551D5C">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ascii="Calibri" w:hAnsi="Calibri" w:cs="Calibri"/>
                <w:color w:val="000000" w:themeColor="text1"/>
                <w:szCs w:val="21"/>
                <w:highlight w:val="none"/>
                <w14:textFill>
                  <w14:solidFill>
                    <w14:schemeClr w14:val="tx1"/>
                  </w14:solidFill>
                </w14:textFill>
              </w:rPr>
              <w:t>①</w:t>
            </w:r>
            <w:r>
              <w:rPr>
                <w:rFonts w:hint="eastAsia" w:ascii="宋体" w:hAnsi="宋体" w:cs="宋体"/>
                <w:color w:val="000000" w:themeColor="text1"/>
                <w:szCs w:val="21"/>
                <w:highlight w:val="none"/>
                <w14:textFill>
                  <w14:solidFill>
                    <w14:schemeClr w14:val="tx1"/>
                  </w14:solidFill>
                </w14:textFill>
              </w:rPr>
              <w:t>设备部件损伤，影响整机外观或性能，中标人又不愿意更换的不予接收。</w:t>
            </w:r>
          </w:p>
          <w:p w14:paraId="7E18A66A">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ascii="Calibri" w:hAnsi="Calibri" w:cs="Calibri"/>
                <w:color w:val="000000" w:themeColor="text1"/>
                <w:szCs w:val="21"/>
                <w:highlight w:val="none"/>
                <w14:textFill>
                  <w14:solidFill>
                    <w14:schemeClr w14:val="tx1"/>
                  </w14:solidFill>
                </w14:textFill>
              </w:rPr>
              <w:t>②</w:t>
            </w:r>
            <w:r>
              <w:rPr>
                <w:rFonts w:hint="eastAsia" w:ascii="宋体" w:hAnsi="宋体" w:cs="宋体"/>
                <w:color w:val="000000" w:themeColor="text1"/>
                <w:szCs w:val="21"/>
                <w:highlight w:val="none"/>
                <w14:textFill>
                  <w14:solidFill>
                    <w14:schemeClr w14:val="tx1"/>
                  </w14:solidFill>
                </w14:textFill>
              </w:rPr>
              <w:t>带▲号的参数，必须百分之百满足，验收发现是负偏离，不予接收。</w:t>
            </w:r>
          </w:p>
          <w:p w14:paraId="6FD824F0">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ascii="Calibri" w:hAnsi="Calibri" w:cs="Calibri"/>
                <w:color w:val="000000" w:themeColor="text1"/>
                <w:szCs w:val="21"/>
                <w:highlight w:val="none"/>
                <w14:textFill>
                  <w14:solidFill>
                    <w14:schemeClr w14:val="tx1"/>
                  </w14:solidFill>
                </w14:textFill>
              </w:rPr>
              <w:t>③</w:t>
            </w:r>
            <w:r>
              <w:rPr>
                <w:rFonts w:hint="eastAsia" w:ascii="宋体" w:hAnsi="宋体" w:cs="宋体"/>
                <w:color w:val="000000" w:themeColor="text1"/>
                <w:szCs w:val="21"/>
                <w:highlight w:val="none"/>
                <w14:textFill>
                  <w14:solidFill>
                    <w14:schemeClr w14:val="tx1"/>
                  </w14:solidFill>
                </w14:textFill>
              </w:rPr>
              <w:t>对于标准功能或者常规操作所必须的软硬件配置，设备安全必须的软硬件配置，国家相关标准规定配置，行业内认可的配置，如果不配置，即使采购参数没有标明详细配置，中标人必须无条件提供，如不提供，设备不予接收。</w:t>
            </w:r>
          </w:p>
          <w:p w14:paraId="278110A8">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 4 \* GB3 \* MERGEFORMAT </w:instrText>
            </w:r>
            <w:r>
              <w:rPr>
                <w:rFonts w:hint="eastAsia" w:ascii="宋体" w:hAnsi="宋体" w:cs="宋体"/>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④</w:t>
            </w:r>
            <w:r>
              <w:rPr>
                <w:rFonts w:hint="eastAsia" w:ascii="宋体" w:hAnsi="宋体" w:cs="宋体"/>
                <w:color w:val="000000" w:themeColor="text1"/>
                <w:szCs w:val="2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t>验收时出现一项不实质性响应采购要求或一项验收条款规定的虚假应标情形者，设备不予接收。</w:t>
            </w:r>
          </w:p>
          <w:p w14:paraId="5A4A474B">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 5 \* GB3 \* MERGEFORMAT </w:instrText>
            </w:r>
            <w:r>
              <w:rPr>
                <w:rFonts w:hint="eastAsia" w:ascii="宋体" w:hAnsi="宋体" w:cs="宋体"/>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⑤</w:t>
            </w:r>
            <w:r>
              <w:rPr>
                <w:rFonts w:hint="eastAsia" w:ascii="宋体" w:hAnsi="宋体" w:cs="宋体"/>
                <w:color w:val="000000" w:themeColor="text1"/>
                <w:szCs w:val="2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t>设备使用没有完成，使用人员还未能独立使用，中标人必须按合同要求提供培训，否则不予接收。</w:t>
            </w:r>
          </w:p>
          <w:p w14:paraId="6214CBE3">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7）设备属于不予接收的情形，视为设备没有交接，中标人不得将设备放在医院任何场地，无条件搬走。</w:t>
            </w:r>
          </w:p>
          <w:p w14:paraId="7B09B7C8">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8）培训条款验收：按商务要求执行。设备安装结束后，中标人必须培训使用科室的操作人员，直到熟悉掌握机器性能及操作。</w:t>
            </w:r>
          </w:p>
          <w:p w14:paraId="11451223">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9）验收合格证签署 ：设备经中标人安装人员、设备科工程技术人员、使用科室负责人、验收人员均认为合格并全部签署验收合格证后，验收合格证生效。</w:t>
            </w:r>
          </w:p>
          <w:p w14:paraId="25EAE9B1">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10）验收合格生效：验收合格日期以最后验收完成项目为准，设备验收时间计算在供货期内，按合同相关规定执行，由于中标人原因造成不按时完成验收造成逾期供货事实，由中标人承担相关合同责任。</w:t>
            </w:r>
          </w:p>
          <w:p w14:paraId="6AC7C4F4">
            <w:pPr>
              <w:pageBreakBefore w:val="0"/>
              <w:widowControl/>
              <w:kinsoku/>
              <w:overflowPunct/>
              <w:topLinePunct w:val="0"/>
              <w:bidi w:val="0"/>
              <w:spacing w:line="440" w:lineRule="exact"/>
              <w:ind w:firstLine="210" w:firstLineChars="1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其他要求：在设备验收时，采购人可按照推荐排名邀请其他投标人共同验收，包括所提供的产品参数的真实性、实际性能等按采购文件要求逐条测试，如发现投标产品及产品资质、性能指标不满足采购文件要求或不满足投标承诺的，视为虚假应标并报监管部门查处。</w:t>
            </w:r>
          </w:p>
        </w:tc>
      </w:tr>
      <w:tr w14:paraId="4A6E1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noWrap/>
            <w:vAlign w:val="center"/>
          </w:tcPr>
          <w:p w14:paraId="39887728">
            <w:pPr>
              <w:pageBreakBefore w:val="0"/>
              <w:kinsoku/>
              <w:overflowPunct/>
              <w:topLinePunct w:val="0"/>
              <w:bidi w:val="0"/>
              <w:snapToGrid w:val="0"/>
              <w:spacing w:line="440" w:lineRule="exact"/>
              <w:ind w:firstLine="198"/>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1"/>
                <w:szCs w:val="21"/>
                <w:highlight w:val="none"/>
                <w14:textFill>
                  <w14:solidFill>
                    <w14:schemeClr w14:val="tx1"/>
                  </w14:solidFill>
                </w14:textFill>
              </w:rPr>
              <w:t>报价要求</w:t>
            </w:r>
          </w:p>
        </w:tc>
        <w:tc>
          <w:tcPr>
            <w:tcW w:w="7655" w:type="dxa"/>
            <w:noWrap/>
            <w:vAlign w:val="center"/>
          </w:tcPr>
          <w:p w14:paraId="73ADB5F0">
            <w:pPr>
              <w:pageBreakBefore w:val="0"/>
              <w:kinsoku/>
              <w:overflowPunct/>
              <w:topLinePunct w:val="0"/>
              <w:bidi w:val="0"/>
              <w:spacing w:line="440" w:lineRule="exact"/>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投标报价包括但不限于货款、标准附件、备品备件、专用工具、包装、运输、装卸、保险、税金、货到就位以及安装、调试、培训、保修、验收等一切税金和费用。投标人在固定总价中必须考虑各种风险费用。在合同履行过程中，采购人不予支付合同以外的其他费用。投标人负责工人人身、设备安全责任，验收前，设备丢失自行负责。</w:t>
            </w:r>
          </w:p>
          <w:p w14:paraId="7498941D">
            <w:pPr>
              <w:pageBreakBefore w:val="0"/>
              <w:kinsoku/>
              <w:overflowPunct/>
              <w:topLinePunct w:val="0"/>
              <w:bidi w:val="0"/>
              <w:spacing w:line="440" w:lineRule="exact"/>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2.要求投标货物是全新的、未经改装的、合格的、满足本项目技术需求及要求的货物，提供的货物及制作安装采用的各种配件、材料均必须满足国家和行业规范标准。</w:t>
            </w:r>
          </w:p>
        </w:tc>
      </w:tr>
      <w:tr w14:paraId="55D14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9" w:type="dxa"/>
            <w:gridSpan w:val="2"/>
            <w:noWrap/>
            <w:vAlign w:val="center"/>
          </w:tcPr>
          <w:p w14:paraId="346CFE5B">
            <w:pPr>
              <w:pageBreakBefore w:val="0"/>
              <w:kinsoku/>
              <w:overflowPunct/>
              <w:topLinePunct w:val="0"/>
              <w:bidi w:val="0"/>
              <w:spacing w:line="440" w:lineRule="exact"/>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1"/>
                <w:szCs w:val="21"/>
                <w:highlight w:val="none"/>
                <w14:textFill>
                  <w14:solidFill>
                    <w14:schemeClr w14:val="tx1"/>
                  </w14:solidFill>
                </w14:textFill>
              </w:rPr>
              <w:t>三、其他</w:t>
            </w:r>
            <w:r>
              <w:rPr>
                <w:rFonts w:hint="eastAsia" w:asciiTheme="minorEastAsia" w:hAnsiTheme="minorEastAsia" w:eastAsiaTheme="minorEastAsia" w:cstheme="minorEastAsia"/>
                <w:b/>
                <w:color w:val="000000" w:themeColor="text1"/>
                <w:kern w:val="0"/>
                <w:sz w:val="21"/>
                <w:szCs w:val="21"/>
                <w:highlight w:val="none"/>
                <w:lang w:val="en-US" w:eastAsia="zh-CN"/>
                <w14:textFill>
                  <w14:solidFill>
                    <w14:schemeClr w14:val="tx1"/>
                  </w14:solidFill>
                </w14:textFill>
              </w:rPr>
              <w:t>要求</w:t>
            </w:r>
          </w:p>
        </w:tc>
      </w:tr>
      <w:tr w14:paraId="046AB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9" w:type="dxa"/>
            <w:gridSpan w:val="2"/>
            <w:noWrap/>
            <w:vAlign w:val="center"/>
          </w:tcPr>
          <w:p w14:paraId="330C65E9">
            <w:pPr>
              <w:pageBreakBefore w:val="0"/>
              <w:kinsoku/>
              <w:overflowPunct/>
              <w:topLinePunct w:val="0"/>
              <w:bidi w:val="0"/>
              <w:spacing w:line="44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1.投标人在投标活动中如提供任何虚假材料，以及投标产品的技术参数不如实说明，</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其投标无效</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，并报监管部门查处。</w:t>
            </w:r>
          </w:p>
          <w:p w14:paraId="729242AA">
            <w:pPr>
              <w:pageBreakBefore w:val="0"/>
              <w:kinsoku/>
              <w:overflowPunct/>
              <w:topLinePunct w:val="0"/>
              <w:bidi w:val="0"/>
              <w:spacing w:line="44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2.若中标人所供产品及售后服务不按招标文件要求履约的，将按照相关有关规定严肃处理。</w:t>
            </w:r>
          </w:p>
          <w:p w14:paraId="4CB74C0A">
            <w:pPr>
              <w:pageBreakBefore w:val="0"/>
              <w:kinsoku/>
              <w:overflowPunct/>
              <w:topLinePunct w:val="0"/>
              <w:bidi w:val="0"/>
              <w:spacing w:line="44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3.投标人在投标文件中针对本项目提供切实可行的项目实施方案（格式自拟）【包含但不限于项目实施方案、质量保证措施、售后服务承诺方案等】。</w:t>
            </w:r>
          </w:p>
          <w:p w14:paraId="3525C087">
            <w:pPr>
              <w:pageBreakBefore w:val="0"/>
              <w:kinsoku/>
              <w:overflowPunct/>
              <w:topLinePunct w:val="0"/>
              <w:bidi w:val="0"/>
              <w:spacing w:before="25" w:after="25" w:line="440" w:lineRule="exact"/>
              <w:jc w:val="left"/>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r>
              <w:rPr>
                <w:rFonts w:hint="eastAsia" w:ascii="宋体" w:hAnsi="宋体" w:cs="宋体"/>
                <w:color w:val="000000" w:themeColor="text1"/>
                <w:sz w:val="21"/>
                <w:szCs w:val="21"/>
                <w:highlight w:val="none"/>
                <w14:textFill>
                  <w14:solidFill>
                    <w14:schemeClr w14:val="tx1"/>
                  </w14:solidFill>
                </w14:textFill>
              </w:rPr>
              <w:t>进口产品说明：本分标</w:t>
            </w:r>
            <w:r>
              <w:rPr>
                <w:rFonts w:hint="eastAsia" w:ascii="宋体" w:hAnsi="宋体" w:cs="宋体"/>
                <w:b/>
                <w:color w:val="000000" w:themeColor="text1"/>
                <w:sz w:val="21"/>
                <w:szCs w:val="21"/>
                <w:highlight w:val="none"/>
                <w14:textFill>
                  <w14:solidFill>
                    <w14:schemeClr w14:val="tx1"/>
                  </w14:solidFill>
                </w14:textFill>
              </w:rPr>
              <w:t>第</w:t>
            </w:r>
            <w:r>
              <w:rPr>
                <w:rFonts w:hint="eastAsia" w:ascii="宋体" w:hAnsi="宋体" w:cs="宋体"/>
                <w:b/>
                <w:color w:val="000000" w:themeColor="text1"/>
                <w:sz w:val="21"/>
                <w:szCs w:val="21"/>
                <w:highlight w:val="none"/>
                <w:lang w:val="en-US" w:eastAsia="zh-CN"/>
                <w14:textFill>
                  <w14:solidFill>
                    <w14:schemeClr w14:val="tx1"/>
                  </w14:solidFill>
                </w14:textFill>
              </w:rPr>
              <w:t>3</w:t>
            </w:r>
            <w:r>
              <w:rPr>
                <w:rFonts w:hint="eastAsia" w:ascii="宋体" w:hAnsi="宋体" w:cs="宋体"/>
                <w:b/>
                <w:color w:val="000000" w:themeColor="text1"/>
                <w:sz w:val="21"/>
                <w:szCs w:val="21"/>
                <w:highlight w:val="none"/>
                <w14:textFill>
                  <w14:solidFill>
                    <w14:schemeClr w14:val="tx1"/>
                  </w14:solidFill>
                </w14:textFill>
              </w:rPr>
              <w:t>项货物“</w:t>
            </w:r>
            <w:r>
              <w:rPr>
                <w:rFonts w:hint="eastAsia" w:asciiTheme="minorEastAsia" w:hAnsiTheme="minorEastAsia" w:eastAsiaTheme="minorEastAsia" w:cstheme="minorEastAsia"/>
                <w:b/>
                <w:bCs w:val="0"/>
                <w:color w:val="000000" w:themeColor="text1"/>
                <w:sz w:val="21"/>
                <w:szCs w:val="21"/>
                <w:highlight w:val="none"/>
                <w:lang w:eastAsia="zh-CN"/>
                <w14:textFill>
                  <w14:solidFill>
                    <w14:schemeClr w14:val="tx1"/>
                  </w14:solidFill>
                </w14:textFill>
              </w:rPr>
              <w:t>高清电子鼻咽喉镜</w:t>
            </w:r>
            <w:r>
              <w:rPr>
                <w:rFonts w:hint="eastAsia" w:ascii="宋体" w:hAnsi="宋体" w:cs="宋体"/>
                <w:b/>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均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优先采购向我国企业转让技术、与我国企业签订消化吸收再创新方案的投标人的进口产品。</w:t>
            </w:r>
            <w:r>
              <w:rPr>
                <w:rFonts w:hint="eastAsia" w:ascii="宋体" w:hAnsi="宋体" w:cs="宋体"/>
                <w:b/>
                <w:color w:val="000000" w:themeColor="text1"/>
                <w:sz w:val="21"/>
                <w:szCs w:val="21"/>
                <w:highlight w:val="none"/>
                <w14:textFill>
                  <w14:solidFill>
                    <w14:schemeClr w14:val="tx1"/>
                  </w14:solidFill>
                </w14:textFill>
              </w:rPr>
              <w:t>其他货物不接受进口产品参与投标，</w:t>
            </w:r>
            <w:r>
              <w:rPr>
                <w:rFonts w:hint="eastAsia" w:ascii="宋体" w:hAnsi="宋体" w:cs="宋体"/>
                <w:b/>
                <w:color w:val="000000" w:themeColor="text1"/>
                <w:sz w:val="21"/>
                <w:szCs w:val="21"/>
                <w:highlight w:val="none"/>
                <w:lang w:eastAsia="zh-CN"/>
                <w14:textFill>
                  <w14:solidFill>
                    <w14:schemeClr w14:val="tx1"/>
                  </w14:solidFill>
                </w14:textFill>
              </w:rPr>
              <w:t>否则投标文件按无效处理</w:t>
            </w:r>
            <w:r>
              <w:rPr>
                <w:rFonts w:hint="eastAsia" w:ascii="宋体" w:hAnsi="宋体" w:cs="宋体"/>
                <w:b/>
                <w:color w:val="000000" w:themeColor="text1"/>
                <w:sz w:val="21"/>
                <w:szCs w:val="21"/>
                <w:highlight w:val="none"/>
                <w14:textFill>
                  <w14:solidFill>
                    <w14:schemeClr w14:val="tx1"/>
                  </w14:solidFill>
                </w14:textFill>
              </w:rPr>
              <w:t>。</w:t>
            </w:r>
          </w:p>
          <w:p w14:paraId="4035A2DD">
            <w:pPr>
              <w:pageBreakBefore w:val="0"/>
              <w:kinsoku/>
              <w:overflowPunct/>
              <w:topLinePunct w:val="0"/>
              <w:bidi w:val="0"/>
              <w:spacing w:before="25" w:after="25" w:line="440" w:lineRule="exact"/>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5.货物一览表中，中标注“▲”项的内容为实质性响应条款，必须满足或优于，</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否则投标无效</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；不带“▲”的参数发生负偏离达4项（含）以上的，视为不实质性响应采购文件要求，</w:t>
            </w:r>
            <w:r>
              <w:rPr>
                <w:rFonts w:hint="eastAsia" w:asciiTheme="minorEastAsia" w:hAnsiTheme="minorEastAsia" w:eastAsiaTheme="minorEastAsia" w:cstheme="minorEastAsia"/>
                <w:b/>
                <w:color w:val="000000" w:themeColor="text1"/>
                <w:sz w:val="21"/>
                <w:szCs w:val="21"/>
                <w:highlight w:val="none"/>
                <w:lang w:eastAsia="zh-CN"/>
                <w14:textFill>
                  <w14:solidFill>
                    <w14:schemeClr w14:val="tx1"/>
                  </w14:solidFill>
                </w14:textFill>
              </w:rPr>
              <w:t>评审时投标文件将被作为无效处理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403741CB">
            <w:pPr>
              <w:pStyle w:val="2"/>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6.本项目核心产品为第4项货物“电子上消化道内窥镜”。</w:t>
            </w:r>
          </w:p>
          <w:p w14:paraId="38283CDC">
            <w:pPr>
              <w:pStyle w:val="21"/>
              <w:rPr>
                <w:rFonts w:hint="default"/>
                <w:color w:val="000000" w:themeColor="text1"/>
                <w:highlight w:val="none"/>
                <w:lang w:val="en-US" w:eastAsia="zh-CN"/>
                <w14:textFill>
                  <w14:solidFill>
                    <w14:schemeClr w14:val="tx1"/>
                  </w14:solidFill>
                </w14:textFill>
              </w:rPr>
            </w:pPr>
            <w:r>
              <w:rPr>
                <w:rFonts w:hint="eastAsia" w:ascii="宋体" w:hAnsi="宋体" w:cs="宋体"/>
                <w:bCs w:val="0"/>
                <w:color w:val="000000" w:themeColor="text1"/>
                <w:spacing w:val="0"/>
                <w:kern w:val="2"/>
                <w:sz w:val="21"/>
                <w:szCs w:val="21"/>
                <w:highlight w:val="none"/>
                <w:lang w:val="en-US" w:eastAsia="zh-CN"/>
                <w14:textFill>
                  <w14:solidFill>
                    <w14:schemeClr w14:val="tx1"/>
                  </w14:solidFill>
                </w14:textFill>
              </w:rPr>
              <w:t>7.投标人业绩及综合实力：具体详见“评标方法及评标标准”</w:t>
            </w:r>
          </w:p>
        </w:tc>
      </w:tr>
    </w:tbl>
    <w:p w14:paraId="570F8423">
      <w:pPr>
        <w:pageBreakBefore w:val="0"/>
        <w:kinsoku/>
        <w:overflowPunct/>
        <w:topLinePunct w:val="0"/>
        <w:bidi w:val="0"/>
        <w:spacing w:line="440" w:lineRule="exac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br w:type="page"/>
      </w:r>
    </w:p>
    <w:p w14:paraId="3D103D57">
      <w:pPr>
        <w:pageBreakBefore w:val="0"/>
        <w:kinsoku/>
        <w:overflowPunct/>
        <w:topLinePunct w:val="0"/>
        <w:bidi w:val="0"/>
        <w:spacing w:line="440" w:lineRule="exact"/>
        <w:rPr>
          <w:rFonts w:hint="eastAsia" w:asciiTheme="minorEastAsia" w:hAnsiTheme="minorEastAsia" w:eastAsiaTheme="minorEastAsia" w:cstheme="minorEastAsia"/>
          <w:b/>
          <w:color w:val="000000" w:themeColor="text1"/>
          <w:kern w:val="0"/>
          <w:sz w:val="21"/>
          <w:szCs w:val="21"/>
          <w:highlight w:val="none"/>
          <w:u w:val="single"/>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kern w:val="0"/>
          <w:sz w:val="21"/>
          <w:szCs w:val="21"/>
          <w:highlight w:val="none"/>
          <w:u w:val="single"/>
          <w:lang w:val="en-US" w:eastAsia="zh-CN"/>
          <w14:textFill>
            <w14:solidFill>
              <w14:schemeClr w14:val="tx1"/>
            </w14:solidFill>
          </w14:textFill>
        </w:rPr>
        <w:t>2分标：</w:t>
      </w:r>
    </w:p>
    <w:p w14:paraId="13560CE2">
      <w:pPr>
        <w:pStyle w:val="2"/>
        <w:rPr>
          <w:rFonts w:hint="default"/>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kern w:val="0"/>
          <w:sz w:val="21"/>
          <w:szCs w:val="21"/>
          <w:highlight w:val="none"/>
          <w:u w:val="single"/>
          <w:lang w:val="en-US" w:eastAsia="zh-CN"/>
          <w14:textFill>
            <w14:solidFill>
              <w14:schemeClr w14:val="tx1"/>
            </w14:solidFill>
          </w14:textFill>
        </w:rPr>
        <w:t>一、技术要求</w:t>
      </w:r>
    </w:p>
    <w:tbl>
      <w:tblPr>
        <w:tblStyle w:val="48"/>
        <w:tblW w:w="899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16"/>
        <w:gridCol w:w="926"/>
        <w:gridCol w:w="851"/>
        <w:gridCol w:w="1139"/>
        <w:gridCol w:w="5560"/>
      </w:tblGrid>
      <w:tr w14:paraId="3C942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516" w:type="dxa"/>
            <w:vAlign w:val="center"/>
          </w:tcPr>
          <w:p w14:paraId="32F22C07">
            <w:pPr>
              <w:pageBreakBefore w:val="0"/>
              <w:tabs>
                <w:tab w:val="left" w:pos="180"/>
                <w:tab w:val="left" w:pos="1620"/>
              </w:tabs>
              <w:kinsoku/>
              <w:overflowPunct/>
              <w:topLinePunct w:val="0"/>
              <w:bidi w:val="0"/>
              <w:spacing w:line="44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926" w:type="dxa"/>
            <w:vAlign w:val="center"/>
          </w:tcPr>
          <w:p w14:paraId="706CC1E4">
            <w:pPr>
              <w:pageBreakBefore w:val="0"/>
              <w:tabs>
                <w:tab w:val="left" w:pos="180"/>
                <w:tab w:val="left" w:pos="1620"/>
              </w:tabs>
              <w:kinsoku/>
              <w:overflowPunct/>
              <w:topLinePunct w:val="0"/>
              <w:bidi w:val="0"/>
              <w:spacing w:line="44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标的的名称</w:t>
            </w:r>
          </w:p>
        </w:tc>
        <w:tc>
          <w:tcPr>
            <w:tcW w:w="851" w:type="dxa"/>
          </w:tcPr>
          <w:p w14:paraId="049E3048">
            <w:pPr>
              <w:pageBreakBefore w:val="0"/>
              <w:tabs>
                <w:tab w:val="left" w:pos="180"/>
                <w:tab w:val="left" w:pos="1620"/>
              </w:tabs>
              <w:kinsoku/>
              <w:overflowPunct/>
              <w:topLinePunct w:val="0"/>
              <w:bidi w:val="0"/>
              <w:spacing w:line="44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数量及</w:t>
            </w:r>
          </w:p>
          <w:p w14:paraId="7AEEDE0E">
            <w:pPr>
              <w:pageBreakBefore w:val="0"/>
              <w:tabs>
                <w:tab w:val="left" w:pos="180"/>
                <w:tab w:val="left" w:pos="1620"/>
              </w:tabs>
              <w:kinsoku/>
              <w:overflowPunct/>
              <w:topLinePunct w:val="0"/>
              <w:bidi w:val="0"/>
              <w:spacing w:line="44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单位</w:t>
            </w:r>
          </w:p>
        </w:tc>
        <w:tc>
          <w:tcPr>
            <w:tcW w:w="1139" w:type="dxa"/>
            <w:vAlign w:val="center"/>
          </w:tcPr>
          <w:p w14:paraId="3F5E7EB2">
            <w:pPr>
              <w:pageBreakBefore w:val="0"/>
              <w:tabs>
                <w:tab w:val="left" w:pos="180"/>
                <w:tab w:val="left" w:pos="1620"/>
              </w:tabs>
              <w:kinsoku/>
              <w:overflowPunct/>
              <w:topLinePunct w:val="0"/>
              <w:bidi w:val="0"/>
              <w:spacing w:line="440" w:lineRule="exact"/>
              <w:jc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总最高限价（万元）</w:t>
            </w:r>
          </w:p>
        </w:tc>
        <w:tc>
          <w:tcPr>
            <w:tcW w:w="5560" w:type="dxa"/>
            <w:vAlign w:val="center"/>
          </w:tcPr>
          <w:p w14:paraId="58E915A9">
            <w:pPr>
              <w:pageBreakBefore w:val="0"/>
              <w:tabs>
                <w:tab w:val="left" w:pos="180"/>
                <w:tab w:val="left" w:pos="1620"/>
              </w:tabs>
              <w:kinsoku/>
              <w:overflowPunct/>
              <w:topLinePunct w:val="0"/>
              <w:bidi w:val="0"/>
              <w:spacing w:line="44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技术要求</w:t>
            </w:r>
          </w:p>
        </w:tc>
      </w:tr>
      <w:tr w14:paraId="25051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9" w:hRule="atLeast"/>
          <w:jc w:val="center"/>
        </w:trPr>
        <w:tc>
          <w:tcPr>
            <w:tcW w:w="516" w:type="dxa"/>
            <w:vAlign w:val="center"/>
          </w:tcPr>
          <w:p w14:paraId="7BCE5909">
            <w:pPr>
              <w:pageBreakBefore w:val="0"/>
              <w:tabs>
                <w:tab w:val="left" w:pos="180"/>
                <w:tab w:val="left" w:pos="1620"/>
              </w:tabs>
              <w:kinsoku/>
              <w:overflowPunct/>
              <w:topLinePunct w:val="0"/>
              <w:bidi w:val="0"/>
              <w:spacing w:line="44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926" w:type="dxa"/>
            <w:vAlign w:val="center"/>
          </w:tcPr>
          <w:p w14:paraId="65089604">
            <w:pPr>
              <w:pageBreakBefore w:val="0"/>
              <w:tabs>
                <w:tab w:val="left" w:pos="180"/>
                <w:tab w:val="left" w:pos="1620"/>
              </w:tabs>
              <w:kinsoku/>
              <w:overflowPunct/>
              <w:topLinePunct w:val="0"/>
              <w:bidi w:val="0"/>
              <w:spacing w:line="440" w:lineRule="exact"/>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超声刀</w:t>
            </w:r>
          </w:p>
        </w:tc>
        <w:tc>
          <w:tcPr>
            <w:tcW w:w="851" w:type="dxa"/>
            <w:vAlign w:val="center"/>
          </w:tcPr>
          <w:p w14:paraId="302B7D71">
            <w:pPr>
              <w:pageBreakBefore w:val="0"/>
              <w:kinsoku/>
              <w:overflowPunct/>
              <w:topLinePunct w:val="0"/>
              <w:bidi w:val="0"/>
              <w:spacing w:line="440"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2套</w:t>
            </w:r>
          </w:p>
        </w:tc>
        <w:tc>
          <w:tcPr>
            <w:tcW w:w="1139" w:type="dxa"/>
            <w:vAlign w:val="center"/>
          </w:tcPr>
          <w:p w14:paraId="37DA063A">
            <w:pPr>
              <w:pageBreakBefore w:val="0"/>
              <w:kinsoku/>
              <w:overflowPunct/>
              <w:topLinePunct w:val="0"/>
              <w:bidi w:val="0"/>
              <w:spacing w:line="440"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w:t>
            </w:r>
          </w:p>
        </w:tc>
        <w:tc>
          <w:tcPr>
            <w:tcW w:w="5560" w:type="dxa"/>
          </w:tcPr>
          <w:p w14:paraId="08147BC3">
            <w:pPr>
              <w:pageBreakBefore w:val="0"/>
              <w:kinsoku/>
              <w:overflowPunct/>
              <w:topLinePunct w:val="0"/>
              <w:bidi w:val="0"/>
              <w:spacing w:line="440" w:lineRule="exac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主电源输入值：100-240V、50/60Hz、150 VA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662B7FEA">
            <w:pPr>
              <w:pageBreakBefore w:val="0"/>
              <w:kinsoku/>
              <w:overflowPunct/>
              <w:topLinePunct w:val="0"/>
              <w:bidi w:val="0"/>
              <w:spacing w:line="44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振动频率55.5K</w:t>
            </w:r>
            <w:r>
              <w:rPr>
                <w:color w:val="000000" w:themeColor="text1"/>
                <w:highlight w:val="none"/>
                <w14:textFill>
                  <w14:solidFill>
                    <w14:schemeClr w14:val="tx1"/>
                  </w14:solidFill>
                </w14:textFill>
              </w:rPr>
              <w:t>Hz</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±1K</w:t>
            </w:r>
            <w:r>
              <w:rPr>
                <w:color w:val="000000" w:themeColor="text1"/>
                <w:highlight w:val="none"/>
                <w14:textFill>
                  <w14:solidFill>
                    <w14:schemeClr w14:val="tx1"/>
                  </w14:solidFill>
                </w14:textFill>
              </w:rPr>
              <w:t>Hz</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2E1858C1">
            <w:pPr>
              <w:pageBreakBefore w:val="0"/>
              <w:kinsoku/>
              <w:overflowPunct/>
              <w:topLinePunct w:val="0"/>
              <w:bidi w:val="0"/>
              <w:spacing w:line="440" w:lineRule="exac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输出功率 ：最大</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达到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50W持续，</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达到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30-80kHz（工作时55.5kHz）</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3D593BA7">
            <w:pPr>
              <w:pageBreakBefore w:val="0"/>
              <w:kinsoku/>
              <w:overflowPunct/>
              <w:topLinePunct w:val="0"/>
              <w:bidi w:val="0"/>
              <w:spacing w:line="440" w:lineRule="exac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工作环境：温度：10℃– 30℃，湿度：</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70% 不结露，大气压范围：</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达到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860 hPa– 1060 hPa</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7ED94D89">
            <w:pPr>
              <w:pageBreakBefore w:val="0"/>
              <w:kinsoku/>
              <w:overflowPunct/>
              <w:topLinePunct w:val="0"/>
              <w:bidi w:val="0"/>
              <w:spacing w:line="440" w:lineRule="exac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刀头振幅：刀头振动幅度为55—95um，具有空洞化效应</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2BB27555">
            <w:pPr>
              <w:pageBreakBefore w:val="0"/>
              <w:kinsoku/>
              <w:overflowPunct/>
              <w:topLinePunct w:val="0"/>
              <w:bidi w:val="0"/>
              <w:spacing w:line="44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主机具有彩色液晶显示器，显示清晰鲜艳，工作状态可视角度更佳，文字提示信息丰富，按键式操作；</w:t>
            </w:r>
          </w:p>
          <w:p w14:paraId="73F82E94">
            <w:pPr>
              <w:pageBreakBefore w:val="0"/>
              <w:kinsoku/>
              <w:overflowPunct/>
              <w:topLinePunct w:val="0"/>
              <w:bidi w:val="0"/>
              <w:spacing w:line="44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超声刀主机功率有大小档位显示，且具备</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至少</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个</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档</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可调节；</w:t>
            </w:r>
          </w:p>
          <w:p w14:paraId="0E59F137">
            <w:pPr>
              <w:pageBreakBefore w:val="0"/>
              <w:kinsoku/>
              <w:overflowPunct/>
              <w:topLinePunct w:val="0"/>
              <w:bidi w:val="0"/>
              <w:spacing w:line="44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主机具有开机智能自检系统，自检时间不超过5秒；</w:t>
            </w:r>
          </w:p>
          <w:p w14:paraId="1C768BE5">
            <w:pPr>
              <w:pageBreakBefore w:val="0"/>
              <w:kinsoku/>
              <w:overflowPunct/>
              <w:topLinePunct w:val="0"/>
              <w:bidi w:val="0"/>
              <w:spacing w:line="44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具有主机、手柄和刀头的自动化故障检测功能，可根据显示屏文字提示，方便地进行故障排除；</w:t>
            </w:r>
          </w:p>
          <w:p w14:paraId="2589F1B3">
            <w:pPr>
              <w:pageBreakBefore w:val="0"/>
              <w:kinsoku/>
              <w:overflowPunct/>
              <w:topLinePunct w:val="0"/>
              <w:bidi w:val="0"/>
              <w:spacing w:line="440" w:lineRule="exac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主机操作系统自带音声反馈，且输出过程中，可调节提示音量大小</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30F721E6">
            <w:pPr>
              <w:pageBreakBefore w:val="0"/>
              <w:kinsoku/>
              <w:overflowPunct/>
              <w:topLinePunct w:val="0"/>
              <w:bidi w:val="0"/>
              <w:spacing w:line="440" w:lineRule="exac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可连接“手控”“脚控”，根据术者习惯进行随时切换</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4C315DF2">
            <w:pPr>
              <w:pageBreakBefore w:val="0"/>
              <w:kinsoku/>
              <w:overflowPunct/>
              <w:topLinePunct w:val="0"/>
              <w:bidi w:val="0"/>
              <w:spacing w:line="440" w:lineRule="exac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主机设备可通过U盘更新系统软件版本，兼容后续新产品刀头</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68C33922">
            <w:pPr>
              <w:pageBreakBefore w:val="0"/>
              <w:kinsoku/>
              <w:overflowPunct/>
              <w:topLinePunct w:val="0"/>
              <w:bidi w:val="0"/>
              <w:spacing w:line="440" w:lineRule="exac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主机内置频率跟踪算法，能控制输出能量，</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能</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延长刀头使用寿命，提高刀头切割和凝血能力</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358B917E">
            <w:pPr>
              <w:pageBreakBefore w:val="0"/>
              <w:kinsoku/>
              <w:overflowPunct/>
              <w:topLinePunct w:val="0"/>
              <w:bidi w:val="0"/>
              <w:spacing w:line="440" w:lineRule="exac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主机采用过载保护技术，</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能</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降低手术中垫片过热融化的风险</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0EBC2FF5">
            <w:pPr>
              <w:pageBreakBefore w:val="0"/>
              <w:kinsoku/>
              <w:overflowPunct/>
              <w:topLinePunct w:val="0"/>
              <w:bidi w:val="0"/>
              <w:spacing w:line="44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主机拥有智能的组织感应技术，能根据所夹持组织的状态变化相应的调整能量输出；</w:t>
            </w:r>
          </w:p>
          <w:p w14:paraId="7F52E79D">
            <w:pPr>
              <w:pageBreakBefore w:val="0"/>
              <w:kinsoku/>
              <w:overflowPunct/>
              <w:topLinePunct w:val="0"/>
              <w:bidi w:val="0"/>
              <w:spacing w:line="440" w:lineRule="exac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提供一体式手柄</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0AF6C90E">
            <w:pPr>
              <w:pageBreakBefore w:val="0"/>
              <w:kinsoku/>
              <w:overflowPunct/>
              <w:topLinePunct w:val="0"/>
              <w:bidi w:val="0"/>
              <w:spacing w:line="440" w:lineRule="exac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换能器具有兼容性</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6247760C">
            <w:pPr>
              <w:pageBreakBefore w:val="0"/>
              <w:kinsoku/>
              <w:overflowPunct/>
              <w:topLinePunct w:val="0"/>
              <w:bidi w:val="0"/>
              <w:spacing w:line="440" w:lineRule="exac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18.</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换能器具备计次功能，且不限制使用次数</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tc>
      </w:tr>
      <w:tr w14:paraId="2CDAD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16" w:type="dxa"/>
            <w:vAlign w:val="center"/>
          </w:tcPr>
          <w:p w14:paraId="3311D1D8">
            <w:pPr>
              <w:pageBreakBefore w:val="0"/>
              <w:tabs>
                <w:tab w:val="left" w:pos="180"/>
                <w:tab w:val="left" w:pos="1620"/>
              </w:tabs>
              <w:kinsoku/>
              <w:overflowPunct/>
              <w:topLinePunct w:val="0"/>
              <w:bidi w:val="0"/>
              <w:spacing w:line="44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tc>
        <w:tc>
          <w:tcPr>
            <w:tcW w:w="926" w:type="dxa"/>
            <w:vAlign w:val="center"/>
          </w:tcPr>
          <w:p w14:paraId="4AD0B440">
            <w:pPr>
              <w:pageBreakBefore w:val="0"/>
              <w:tabs>
                <w:tab w:val="left" w:pos="180"/>
                <w:tab w:val="left" w:pos="1620"/>
              </w:tabs>
              <w:kinsoku/>
              <w:overflowPunct/>
              <w:topLinePunct w:val="0"/>
              <w:bidi w:val="0"/>
              <w:spacing w:line="44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超声乳化仪手柄</w:t>
            </w:r>
          </w:p>
        </w:tc>
        <w:tc>
          <w:tcPr>
            <w:tcW w:w="851" w:type="dxa"/>
            <w:vAlign w:val="center"/>
          </w:tcPr>
          <w:p w14:paraId="6018A1EC">
            <w:pPr>
              <w:pageBreakBefore w:val="0"/>
              <w:tabs>
                <w:tab w:val="left" w:pos="180"/>
                <w:tab w:val="left" w:pos="1620"/>
              </w:tabs>
              <w:kinsoku/>
              <w:overflowPunct/>
              <w:topLinePunct w:val="0"/>
              <w:bidi w:val="0"/>
              <w:spacing w:line="440"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4套</w:t>
            </w:r>
          </w:p>
        </w:tc>
        <w:tc>
          <w:tcPr>
            <w:tcW w:w="1139" w:type="dxa"/>
            <w:vAlign w:val="center"/>
          </w:tcPr>
          <w:p w14:paraId="545EE155">
            <w:pPr>
              <w:pageBreakBefore w:val="0"/>
              <w:tabs>
                <w:tab w:val="left" w:pos="180"/>
                <w:tab w:val="left" w:pos="1620"/>
              </w:tabs>
              <w:kinsoku/>
              <w:overflowPunct/>
              <w:topLinePunct w:val="0"/>
              <w:bidi w:val="0"/>
              <w:spacing w:line="440"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32</w:t>
            </w:r>
          </w:p>
        </w:tc>
        <w:tc>
          <w:tcPr>
            <w:tcW w:w="5560" w:type="dxa"/>
          </w:tcPr>
          <w:p w14:paraId="18D5D04A">
            <w:pPr>
              <w:pStyle w:val="4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440" w:lineRule="exact"/>
              <w:ind w:left="0" w:leftChars="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超声频率： 28.5kHz。</w:t>
            </w:r>
          </w:p>
          <w:p w14:paraId="3D1867DA">
            <w:pPr>
              <w:pStyle w:val="19"/>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压电晶片手柄：≥6晶片手柄，锁定式灌注管接口消除术中管线意外断开的风险。</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要求具备</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高温高压消毒，能量输出稳定</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的特性</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490731AD">
            <w:pPr>
              <w:pStyle w:val="19"/>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多种超声模式：</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具有</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连续超声，脉冲模式，固定脉冲模式，单次爆破模式，多重爆破模式等模式</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p>
          <w:p w14:paraId="038C48F2">
            <w:pPr>
              <w:pStyle w:val="19"/>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t>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脉冲超声模式，脉冲次数</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达到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1-250pps；（5-100%占空比可调）爆破宽度</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达到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5-600ms连续可调。</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t>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爆破模式：能量线性和恒定任意可调，爆破宽度</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达到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5-600ms可调，占空比</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达到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50-99ms可调。爆破持续时间</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达到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2-800毫秒之间可调节。</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p>
          <w:p w14:paraId="5A0E68E2">
            <w:pPr>
              <w:pStyle w:val="4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440" w:lineRule="exact"/>
              <w:ind w:left="0" w:leftChars="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.提供</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多种针头可选，满足个性化手术选择，</w:t>
            </w:r>
            <w:r>
              <w:rPr>
                <w:rFonts w:hint="eastAsia"/>
                <w:color w:val="000000" w:themeColor="text1"/>
                <w:highlight w:val="none"/>
                <w:lang w:eastAsia="zh-CN"/>
                <w14:textFill>
                  <w14:solidFill>
                    <w14:schemeClr w14:val="tx1"/>
                  </w14:solidFill>
                </w14:textFill>
              </w:rPr>
              <w:t>至少包含</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1.8mm、2.2mm、2.8mm</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三种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手术方式的选择。</w:t>
            </w:r>
          </w:p>
        </w:tc>
      </w:tr>
      <w:tr w14:paraId="36C66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16" w:type="dxa"/>
            <w:vAlign w:val="center"/>
          </w:tcPr>
          <w:p w14:paraId="27FA5224">
            <w:pPr>
              <w:pageBreakBefore w:val="0"/>
              <w:tabs>
                <w:tab w:val="left" w:pos="180"/>
                <w:tab w:val="left" w:pos="1620"/>
              </w:tabs>
              <w:kinsoku/>
              <w:overflowPunct/>
              <w:topLinePunct w:val="0"/>
              <w:bidi w:val="0"/>
              <w:spacing w:line="440"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w:t>
            </w:r>
          </w:p>
        </w:tc>
        <w:tc>
          <w:tcPr>
            <w:tcW w:w="926" w:type="dxa"/>
            <w:vAlign w:val="center"/>
          </w:tcPr>
          <w:p w14:paraId="533A9978">
            <w:pPr>
              <w:pageBreakBefore w:val="0"/>
              <w:tabs>
                <w:tab w:val="left" w:pos="180"/>
                <w:tab w:val="left" w:pos="1620"/>
              </w:tabs>
              <w:kinsoku/>
              <w:overflowPunct/>
              <w:topLinePunct w:val="0"/>
              <w:bidi w:val="0"/>
              <w:spacing w:line="44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成人腹腔镜镜头</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 xml:space="preserve"> </w:t>
            </w:r>
          </w:p>
        </w:tc>
        <w:tc>
          <w:tcPr>
            <w:tcW w:w="851" w:type="dxa"/>
            <w:vAlign w:val="center"/>
          </w:tcPr>
          <w:p w14:paraId="10DF171C">
            <w:pPr>
              <w:pageBreakBefore w:val="0"/>
              <w:tabs>
                <w:tab w:val="left" w:pos="180"/>
                <w:tab w:val="left" w:pos="1620"/>
              </w:tabs>
              <w:kinsoku/>
              <w:overflowPunct/>
              <w:topLinePunct w:val="0"/>
              <w:bidi w:val="0"/>
              <w:spacing w:line="440"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5支</w:t>
            </w:r>
          </w:p>
        </w:tc>
        <w:tc>
          <w:tcPr>
            <w:tcW w:w="1139" w:type="dxa"/>
            <w:vAlign w:val="center"/>
          </w:tcPr>
          <w:p w14:paraId="762EC44E">
            <w:pPr>
              <w:pageBreakBefore w:val="0"/>
              <w:tabs>
                <w:tab w:val="left" w:pos="180"/>
                <w:tab w:val="left" w:pos="1620"/>
              </w:tabs>
              <w:kinsoku/>
              <w:overflowPunct/>
              <w:topLinePunct w:val="0"/>
              <w:bidi w:val="0"/>
              <w:spacing w:line="440"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40</w:t>
            </w:r>
          </w:p>
        </w:tc>
        <w:tc>
          <w:tcPr>
            <w:tcW w:w="5560" w:type="dxa"/>
          </w:tcPr>
          <w:p w14:paraId="505A6121">
            <w:pPr>
              <w:pageBreakBefore w:val="0"/>
              <w:widowControl w:val="0"/>
              <w:numPr>
                <w:ilvl w:val="0"/>
                <w:numId w:val="0"/>
              </w:numPr>
              <w:kinsoku/>
              <w:overflowPunct/>
              <w:topLinePunct w:val="0"/>
              <w:bidi w:val="0"/>
              <w:spacing w:after="0" w:line="440" w:lineRule="exact"/>
              <w:ind w:left="425" w:leftChars="0" w:hanging="425" w:firstLineChars="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可传输白光和近红外光</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08C097CB">
            <w:pPr>
              <w:pageBreakBefore w:val="0"/>
              <w:widowControl w:val="0"/>
              <w:numPr>
                <w:ilvl w:val="0"/>
                <w:numId w:val="0"/>
              </w:numPr>
              <w:kinsoku/>
              <w:overflowPunct/>
              <w:topLinePunct w:val="0"/>
              <w:bidi w:val="0"/>
              <w:spacing w:after="0" w:line="440" w:lineRule="exact"/>
              <w:ind w:left="425" w:leftChars="0" w:hanging="425" w:firstLineChars="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支持高温高压、低温等离子等消毒灭菌方式</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6A6B598E">
            <w:pPr>
              <w:pageBreakBefore w:val="0"/>
              <w:widowControl w:val="0"/>
              <w:numPr>
                <w:ilvl w:val="0"/>
                <w:numId w:val="0"/>
              </w:numPr>
              <w:kinsoku/>
              <w:overflowPunct/>
              <w:topLinePunct w:val="0"/>
              <w:bidi w:val="0"/>
              <w:spacing w:after="0" w:line="440" w:lineRule="exact"/>
              <w:ind w:left="425" w:leftChars="0" w:hanging="425" w:firstLineChars="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直径10mm，30度视野方向，视野角度≥80°，工作长度≥320mm</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28C21516">
            <w:pPr>
              <w:pageBreakBefore w:val="0"/>
              <w:widowControl w:val="0"/>
              <w:numPr>
                <w:ilvl w:val="0"/>
                <w:numId w:val="0"/>
              </w:numPr>
              <w:kinsoku/>
              <w:overflowPunct/>
              <w:topLinePunct w:val="0"/>
              <w:bidi w:val="0"/>
              <w:spacing w:after="0" w:line="440" w:lineRule="exact"/>
              <w:ind w:left="425" w:leftChars="0" w:hanging="425" w:firstLineChars="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视场中心角分辨率≥7.0C/(°)</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08D8062D">
            <w:pPr>
              <w:pageBreakBefore w:val="0"/>
              <w:widowControl w:val="0"/>
              <w:numPr>
                <w:ilvl w:val="0"/>
                <w:numId w:val="0"/>
              </w:numPr>
              <w:kinsoku/>
              <w:overflowPunct/>
              <w:topLinePunct w:val="0"/>
              <w:bidi w:val="0"/>
              <w:spacing w:after="0" w:line="440" w:lineRule="exact"/>
              <w:ind w:left="425" w:leftChars="0" w:hanging="425" w:firstLineChars="0"/>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大景深光学视管，有效景深</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达到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3mm-200mm。</w:t>
            </w:r>
          </w:p>
        </w:tc>
      </w:tr>
      <w:tr w14:paraId="3E12E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8" w:hRule="atLeast"/>
          <w:jc w:val="center"/>
        </w:trPr>
        <w:tc>
          <w:tcPr>
            <w:tcW w:w="516" w:type="dxa"/>
            <w:vAlign w:val="center"/>
          </w:tcPr>
          <w:p w14:paraId="153FD806">
            <w:pPr>
              <w:pageBreakBefore w:val="0"/>
              <w:tabs>
                <w:tab w:val="left" w:pos="180"/>
                <w:tab w:val="left" w:pos="1620"/>
              </w:tabs>
              <w:kinsoku/>
              <w:overflowPunct/>
              <w:topLinePunct w:val="0"/>
              <w:bidi w:val="0"/>
              <w:spacing w:line="440"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w:t>
            </w:r>
          </w:p>
        </w:tc>
        <w:tc>
          <w:tcPr>
            <w:tcW w:w="926" w:type="dxa"/>
            <w:vAlign w:val="center"/>
          </w:tcPr>
          <w:p w14:paraId="6DC1D3EF">
            <w:pPr>
              <w:pageBreakBefore w:val="0"/>
              <w:tabs>
                <w:tab w:val="left" w:pos="180"/>
                <w:tab w:val="left" w:pos="1620"/>
              </w:tabs>
              <w:kinsoku/>
              <w:overflowPunct/>
              <w:topLinePunct w:val="0"/>
              <w:bidi w:val="0"/>
              <w:spacing w:line="440" w:lineRule="exact"/>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高频电刀</w:t>
            </w:r>
          </w:p>
        </w:tc>
        <w:tc>
          <w:tcPr>
            <w:tcW w:w="851" w:type="dxa"/>
            <w:vAlign w:val="center"/>
          </w:tcPr>
          <w:p w14:paraId="4781CF27">
            <w:pPr>
              <w:pageBreakBefore w:val="0"/>
              <w:widowControl w:val="0"/>
              <w:numPr>
                <w:ilvl w:val="0"/>
                <w:numId w:val="0"/>
              </w:numPr>
              <w:kinsoku/>
              <w:overflowPunct/>
              <w:topLinePunct w:val="0"/>
              <w:bidi w:val="0"/>
              <w:spacing w:after="0" w:line="440" w:lineRule="exact"/>
              <w:ind w:left="425" w:leftChars="0" w:hanging="425" w:firstLineChars="0"/>
              <w:jc w:val="both"/>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3台</w:t>
            </w:r>
          </w:p>
        </w:tc>
        <w:tc>
          <w:tcPr>
            <w:tcW w:w="1139" w:type="dxa"/>
            <w:vAlign w:val="center"/>
          </w:tcPr>
          <w:p w14:paraId="3701DD1B">
            <w:pPr>
              <w:pageBreakBefore w:val="0"/>
              <w:widowControl w:val="0"/>
              <w:numPr>
                <w:ilvl w:val="0"/>
                <w:numId w:val="0"/>
              </w:numPr>
              <w:kinsoku/>
              <w:overflowPunct/>
              <w:topLinePunct w:val="0"/>
              <w:bidi w:val="0"/>
              <w:spacing w:after="0" w:line="440" w:lineRule="exact"/>
              <w:ind w:left="425" w:leftChars="0" w:hanging="425" w:firstLineChars="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13.44</w:t>
            </w:r>
          </w:p>
        </w:tc>
        <w:tc>
          <w:tcPr>
            <w:tcW w:w="5560" w:type="dxa"/>
          </w:tcPr>
          <w:p w14:paraId="709D0228">
            <w:pPr>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left="0" w:leftChars="0" w:firstLine="0" w:firstLineChars="0"/>
              <w:jc w:val="both"/>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输出全悬浮，具有两个相互独立和隔离的CF型防除颤应用部分（单极和双极）</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1DB18795">
            <w:pPr>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left="0" w:leftChars="0" w:firstLine="0" w:firstLineChars="0"/>
              <w:jc w:val="both"/>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2.设备</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用于需要切割和/或凝血的各类外科手术，普外、骨科、脑外科、心胸外科、肝胆外科、泌尿外科、妇科、神经外科、五官科、手外、肛肠、肿瘤等科室，配以合适附件可应用于腹腔镜、膀胱镜、宫腔镜等内镜手术</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56C1F7E1">
            <w:pPr>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left="0" w:leftChars="0" w:firstLine="0" w:firstLineChars="0"/>
              <w:jc w:val="both"/>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具有单极纯切、混1、混2、混3、单极软凝、点凝、面凝和双极普凝、强凝</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等</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9个工作模式</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32E3DABF">
            <w:pPr>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left="0" w:leftChars="0" w:firstLine="0" w:firstLineChars="0"/>
              <w:jc w:val="both"/>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具有五路输出：两路单极手控输出，两路单极脚控输出，一路双极脚控输出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1E5A4E6B">
            <w:pPr>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left="0" w:leftChars="0" w:firstLine="0" w:firstLineChars="0"/>
              <w:jc w:val="both"/>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具有面板按键、手控和脚踏启动按键防粘连识别</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4090A746">
            <w:pPr>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left="0" w:leftChars="0" w:firstLine="0" w:firstLineChars="0"/>
              <w:jc w:val="both"/>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每次开机时，内设软件检测系统对设备参数进行自检，视情形进行自修复，如不能修复则禁止输出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71A98D0B">
            <w:pPr>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left="0" w:leftChars="0" w:firstLine="0" w:firstLineChars="0"/>
              <w:jc w:val="both"/>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具有主机故障识别功能，即主机一旦无输出，面板会有相应提示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0659820F">
            <w:pPr>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left="0" w:leftChars="0" w:firstLine="0" w:firstLineChars="0"/>
              <w:jc w:val="both"/>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采用断线自检技术，全程对极板连线进行检测，一旦发现断线情况，立即发出声光报警</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76CC4929">
            <w:pPr>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left="0" w:leftChars="0" w:firstLine="0" w:firstLineChars="0"/>
              <w:jc w:val="both"/>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采用极板接触质量检测系统对双片极板接触质量进行全程动态监测，一旦发现短路、开路或接触质量降低情况，立即发出声光报警，切断输出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特别针对阻抗偏低的患者（如皮下脂肪稀少的病人，儿童，婴儿）</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6DD9EF53">
            <w:pPr>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left="0" w:leftChars="0" w:firstLine="0" w:firstLineChars="0"/>
              <w:jc w:val="both"/>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对输出功率实行双重采样和双重控制（双重闭环控制）</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6AA91B28">
            <w:pPr>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left="0" w:leftChars="0" w:firstLine="0" w:firstLineChars="0"/>
              <w:jc w:val="both"/>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采用CPU控制，记忆上次手术所用功率，当再次开机时可复现上次功率设定值</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7F12FAAA">
            <w:pPr>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left="0" w:leftChars="0" w:firstLine="0" w:firstLineChars="0"/>
              <w:jc w:val="both"/>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单极切、凝和双极凝具有独立的功率设定和显示装置，手术过程中不必进行单极、双极模式转换</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1CF0B1AB">
            <w:pPr>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left="0" w:leftChars="0" w:firstLine="0" w:firstLineChars="0"/>
              <w:jc w:val="both"/>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保护 </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本机具有开路、短路、过功率、过电流自动保护功能。冷却方式</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自然冷却，无风扇</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36CBDD07">
            <w:pPr>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left="0" w:leftChars="0" w:firstLine="0" w:firstLineChars="0"/>
              <w:jc w:val="both"/>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14</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间歇加载允许连续使用，允许长时间开路和短路</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5ECB4D96">
            <w:pPr>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left="0" w:leftChars="0" w:firstLine="0" w:firstLineChars="0"/>
              <w:jc w:val="both"/>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15</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功率器件和开关电路制作电刀的高压电源和高频功放</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478A0A62">
            <w:pPr>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left="0" w:leftChars="0" w:firstLine="0" w:firstLineChars="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16</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附件齐全（</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包含</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各种中性电极、普通手术电极、密封手术电极、可高温消毒手术附件等）。</w:t>
            </w:r>
          </w:p>
        </w:tc>
      </w:tr>
      <w:tr w14:paraId="129E90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16" w:type="dxa"/>
            <w:vAlign w:val="center"/>
          </w:tcPr>
          <w:p w14:paraId="41616CF5">
            <w:pPr>
              <w:pageBreakBefore w:val="0"/>
              <w:tabs>
                <w:tab w:val="left" w:pos="180"/>
                <w:tab w:val="left" w:pos="1620"/>
              </w:tabs>
              <w:kinsoku/>
              <w:overflowPunct/>
              <w:topLinePunct w:val="0"/>
              <w:bidi w:val="0"/>
              <w:spacing w:line="440"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w:t>
            </w:r>
          </w:p>
        </w:tc>
        <w:tc>
          <w:tcPr>
            <w:tcW w:w="926" w:type="dxa"/>
            <w:vAlign w:val="center"/>
          </w:tcPr>
          <w:p w14:paraId="0B444B6A">
            <w:pPr>
              <w:pageBreakBefore w:val="0"/>
              <w:tabs>
                <w:tab w:val="left" w:pos="180"/>
                <w:tab w:val="left" w:pos="1620"/>
              </w:tabs>
              <w:kinsoku/>
              <w:overflowPunct/>
              <w:topLinePunct w:val="0"/>
              <w:bidi w:val="0"/>
              <w:spacing w:line="440" w:lineRule="exact"/>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iCs/>
                <w:color w:val="000000" w:themeColor="text1"/>
                <w:sz w:val="21"/>
                <w:szCs w:val="21"/>
                <w:highlight w:val="none"/>
                <w:lang w:eastAsia="zh-CN"/>
                <w14:textFill>
                  <w14:solidFill>
                    <w14:schemeClr w14:val="tx1"/>
                  </w14:solidFill>
                </w14:textFill>
              </w:rPr>
              <w:t>骨电钻</w:t>
            </w:r>
          </w:p>
        </w:tc>
        <w:tc>
          <w:tcPr>
            <w:tcW w:w="851" w:type="dxa"/>
            <w:vAlign w:val="center"/>
          </w:tcPr>
          <w:p w14:paraId="68B7910D">
            <w:pPr>
              <w:pageBreakBefore w:val="0"/>
              <w:tabs>
                <w:tab w:val="left" w:pos="180"/>
                <w:tab w:val="left" w:pos="1620"/>
              </w:tabs>
              <w:kinsoku/>
              <w:overflowPunct/>
              <w:topLinePunct w:val="0"/>
              <w:bidi w:val="0"/>
              <w:spacing w:line="440"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10台</w:t>
            </w:r>
          </w:p>
        </w:tc>
        <w:tc>
          <w:tcPr>
            <w:tcW w:w="1139" w:type="dxa"/>
            <w:vAlign w:val="center"/>
          </w:tcPr>
          <w:p w14:paraId="0E58ED34">
            <w:pPr>
              <w:pageBreakBefore w:val="0"/>
              <w:tabs>
                <w:tab w:val="left" w:pos="180"/>
                <w:tab w:val="left" w:pos="1620"/>
              </w:tabs>
              <w:kinsoku/>
              <w:overflowPunct/>
              <w:topLinePunct w:val="0"/>
              <w:bidi w:val="0"/>
              <w:spacing w:line="440"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10</w:t>
            </w:r>
          </w:p>
        </w:tc>
        <w:tc>
          <w:tcPr>
            <w:tcW w:w="5560" w:type="dxa"/>
          </w:tcPr>
          <w:p w14:paraId="2569B068">
            <w:pPr>
              <w:pageBreakBefore w:val="0"/>
              <w:kinsoku/>
              <w:overflowPunct/>
              <w:topLinePunct w:val="0"/>
              <w:bidi w:val="0"/>
              <w:adjustRightInd w:val="0"/>
              <w:spacing w:line="440" w:lineRule="exac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1．可整机高温高压消毒，耐134℃高温；</w:t>
            </w:r>
          </w:p>
          <w:p w14:paraId="1905EDD8">
            <w:pPr>
              <w:pageBreakBefore w:val="0"/>
              <w:kinsoku/>
              <w:overflowPunct/>
              <w:topLinePunct w:val="0"/>
              <w:bidi w:val="0"/>
              <w:adjustRightInd w:val="0"/>
              <w:spacing w:line="440" w:lineRule="exac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2．转速≥600转／分；</w:t>
            </w:r>
          </w:p>
          <w:p w14:paraId="2D23E6FE">
            <w:pPr>
              <w:pageBreakBefore w:val="0"/>
              <w:kinsoku/>
              <w:overflowPunct/>
              <w:topLinePunct w:val="0"/>
              <w:bidi w:val="0"/>
              <w:adjustRightInd w:val="0"/>
              <w:spacing w:line="440" w:lineRule="exac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3．扭矩≥3牛顿·米；</w:t>
            </w:r>
          </w:p>
          <w:p w14:paraId="66101C11">
            <w:pPr>
              <w:pageBreakBefore w:val="0"/>
              <w:kinsoku/>
              <w:overflowPunct/>
              <w:topLinePunct w:val="0"/>
              <w:bidi w:val="0"/>
              <w:adjustRightInd w:val="0"/>
              <w:spacing w:line="440" w:lineRule="exac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4．使用免消毒镍氢环保电池；</w:t>
            </w:r>
          </w:p>
          <w:p w14:paraId="2F6D3664">
            <w:pPr>
              <w:pageBreakBefore w:val="0"/>
              <w:kinsoku/>
              <w:overflowPunct/>
              <w:topLinePunct w:val="0"/>
              <w:bidi w:val="0"/>
              <w:adjustRightInd w:val="0"/>
              <w:spacing w:line="440" w:lineRule="exac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5.充电器输入电压交流110V～220V  50/60HZ；</w:t>
            </w:r>
          </w:p>
          <w:p w14:paraId="2D242550">
            <w:pPr>
              <w:pageBreakBefore w:val="0"/>
              <w:kinsoku/>
              <w:overflowPunct/>
              <w:topLinePunct w:val="0"/>
              <w:bidi w:val="0"/>
              <w:adjustRightInd w:val="0"/>
              <w:spacing w:line="440" w:lineRule="exac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6．电池电压≥14.4伏；容量≥1800mAh；</w:t>
            </w:r>
          </w:p>
          <w:p w14:paraId="358ABDF6">
            <w:pPr>
              <w:pageBreakBefore w:val="0"/>
              <w:kinsoku/>
              <w:overflowPunct/>
              <w:topLinePunct w:val="0"/>
              <w:bidi w:val="0"/>
              <w:adjustRightInd w:val="0"/>
              <w:spacing w:line="440" w:lineRule="exac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7．铝合金外壳，中空直径≥4.0mm；</w:t>
            </w:r>
          </w:p>
          <w:p w14:paraId="269EB088">
            <w:pPr>
              <w:pageBreakBefore w:val="0"/>
              <w:kinsoku/>
              <w:overflowPunct/>
              <w:topLinePunct w:val="0"/>
              <w:bidi w:val="0"/>
              <w:adjustRightInd w:val="0"/>
              <w:spacing w:line="440" w:lineRule="exact"/>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8．噪声</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75dB；</w:t>
            </w:r>
          </w:p>
          <w:p w14:paraId="0211DB8A">
            <w:pPr>
              <w:pageBreakBefore w:val="0"/>
              <w:kinsoku/>
              <w:overflowPunct/>
              <w:topLinePunct w:val="0"/>
              <w:bidi w:val="0"/>
              <w:adjustRightInd w:val="0"/>
              <w:spacing w:line="440" w:lineRule="exact"/>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9．温升</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25℃</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w:t>
            </w:r>
          </w:p>
        </w:tc>
      </w:tr>
      <w:tr w14:paraId="65235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16" w:type="dxa"/>
            <w:shd w:val="clear" w:color="auto" w:fill="auto"/>
            <w:vAlign w:val="center"/>
          </w:tcPr>
          <w:p w14:paraId="73B646FF">
            <w:pPr>
              <w:pageBreakBefore w:val="0"/>
              <w:tabs>
                <w:tab w:val="left" w:pos="180"/>
                <w:tab w:val="left" w:pos="1620"/>
              </w:tabs>
              <w:kinsoku/>
              <w:overflowPunct/>
              <w:topLinePunct w:val="0"/>
              <w:bidi w:val="0"/>
              <w:spacing w:line="440" w:lineRule="exact"/>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w:t>
            </w:r>
          </w:p>
        </w:tc>
        <w:tc>
          <w:tcPr>
            <w:tcW w:w="926" w:type="dxa"/>
            <w:shd w:val="clear" w:color="auto" w:fill="auto"/>
            <w:vAlign w:val="center"/>
          </w:tcPr>
          <w:p w14:paraId="40A2F604">
            <w:pPr>
              <w:pageBreakBefore w:val="0"/>
              <w:tabs>
                <w:tab w:val="left" w:pos="180"/>
                <w:tab w:val="left" w:pos="1620"/>
              </w:tabs>
              <w:kinsoku/>
              <w:overflowPunct/>
              <w:topLinePunct w:val="0"/>
              <w:bidi w:val="0"/>
              <w:spacing w:line="440" w:lineRule="exact"/>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灌注吸引系统</w:t>
            </w:r>
          </w:p>
        </w:tc>
        <w:tc>
          <w:tcPr>
            <w:tcW w:w="851" w:type="dxa"/>
            <w:shd w:val="clear" w:color="auto" w:fill="auto"/>
            <w:vAlign w:val="center"/>
          </w:tcPr>
          <w:p w14:paraId="59DADDDA">
            <w:pPr>
              <w:pageBreakBefore w:val="0"/>
              <w:tabs>
                <w:tab w:val="left" w:pos="180"/>
                <w:tab w:val="left" w:pos="1620"/>
              </w:tabs>
              <w:kinsoku/>
              <w:overflowPunct/>
              <w:topLinePunct w:val="0"/>
              <w:bidi w:val="0"/>
              <w:spacing w:line="440" w:lineRule="exact"/>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1台</w:t>
            </w:r>
          </w:p>
        </w:tc>
        <w:tc>
          <w:tcPr>
            <w:tcW w:w="1139" w:type="dxa"/>
            <w:vAlign w:val="center"/>
          </w:tcPr>
          <w:p w14:paraId="33664D5D">
            <w:pPr>
              <w:pageBreakBefore w:val="0"/>
              <w:tabs>
                <w:tab w:val="left" w:pos="180"/>
                <w:tab w:val="left" w:pos="1620"/>
              </w:tabs>
              <w:kinsoku/>
              <w:overflowPunct/>
              <w:topLinePunct w:val="0"/>
              <w:bidi w:val="0"/>
              <w:spacing w:line="440" w:lineRule="exact"/>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25</w:t>
            </w:r>
          </w:p>
        </w:tc>
        <w:tc>
          <w:tcPr>
            <w:tcW w:w="5560" w:type="dxa"/>
          </w:tcPr>
          <w:p w14:paraId="221A6A11">
            <w:pPr>
              <w:pageBreakBefore w:val="0"/>
              <w:tabs>
                <w:tab w:val="left" w:pos="1077"/>
              </w:tabs>
              <w:kinsoku/>
              <w:overflowPunct/>
              <w:topLinePunct w:val="0"/>
              <w:bidi w:val="0"/>
              <w:spacing w:line="440" w:lineRule="exact"/>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（一）</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用途</w:t>
            </w:r>
          </w:p>
          <w:p w14:paraId="3CA6F80E">
            <w:pPr>
              <w:pageBreakBefore w:val="0"/>
              <w:tabs>
                <w:tab w:val="left" w:pos="1077"/>
              </w:tabs>
              <w:kinsoku/>
              <w:overflowPunct/>
              <w:topLinePunct w:val="0"/>
              <w:bidi w:val="0"/>
              <w:spacing w:line="440" w:lineRule="exac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肾及输尿管结石自然通道碎石取石术</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292BF19B">
            <w:pPr>
              <w:pageBreakBefore w:val="0"/>
              <w:tabs>
                <w:tab w:val="left" w:pos="1077"/>
              </w:tabs>
              <w:kinsoku/>
              <w:overflowPunct/>
              <w:topLinePunct w:val="0"/>
              <w:bidi w:val="0"/>
              <w:spacing w:line="440" w:lineRule="exact"/>
              <w:rPr>
                <w:rFonts w:hint="eastAsia" w:eastAsia="宋体" w:asciiTheme="minorEastAsia" w:hAnsi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膀胱结石经尿道碎石取石术</w:t>
            </w:r>
            <w:r>
              <w:rPr>
                <w:rFonts w:hint="eastAsia"/>
                <w:color w:val="000000" w:themeColor="text1"/>
                <w:highlight w:val="none"/>
                <w:lang w:eastAsia="zh-CN"/>
                <w14:textFill>
                  <w14:solidFill>
                    <w14:schemeClr w14:val="tx1"/>
                  </w14:solidFill>
                </w14:textFill>
              </w:rPr>
              <w:t>；</w:t>
            </w:r>
          </w:p>
          <w:p w14:paraId="59245AF6">
            <w:pPr>
              <w:pageBreakBefore w:val="0"/>
              <w:tabs>
                <w:tab w:val="left" w:pos="1077"/>
              </w:tabs>
              <w:kinsoku/>
              <w:overflowPunct/>
              <w:topLinePunct w:val="0"/>
              <w:bidi w:val="0"/>
              <w:spacing w:line="440" w:lineRule="exact"/>
              <w:rPr>
                <w:rFonts w:hint="eastAsia" w:eastAsia="宋体" w:asciiTheme="minorEastAsia" w:hAnsi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3</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经皮肾镜负压碎石取石术</w:t>
            </w:r>
            <w:r>
              <w:rPr>
                <w:rFonts w:hint="eastAsia"/>
                <w:color w:val="000000" w:themeColor="text1"/>
                <w:highlight w:val="none"/>
                <w:lang w:eastAsia="zh-CN"/>
                <w14:textFill>
                  <w14:solidFill>
                    <w14:schemeClr w14:val="tx1"/>
                  </w14:solidFill>
                </w14:textFill>
              </w:rPr>
              <w:t>；</w:t>
            </w:r>
          </w:p>
          <w:p w14:paraId="46661516">
            <w:pPr>
              <w:pageBreakBefore w:val="0"/>
              <w:tabs>
                <w:tab w:val="left" w:pos="1077"/>
              </w:tabs>
              <w:kinsoku/>
              <w:overflowPunct/>
              <w:topLinePunct w:val="0"/>
              <w:bidi w:val="0"/>
              <w:spacing w:line="440" w:lineRule="exact"/>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（二）</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主要性能：</w:t>
            </w:r>
          </w:p>
          <w:p w14:paraId="5583ED1A">
            <w:pPr>
              <w:pageBreakBefore w:val="0"/>
              <w:tabs>
                <w:tab w:val="left" w:pos="1077"/>
              </w:tabs>
              <w:kinsoku/>
              <w:overflowPunct/>
              <w:topLinePunct w:val="0"/>
              <w:bidi w:val="0"/>
              <w:spacing w:line="440" w:lineRule="exac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可以在调节范围内任意调节设定灌注压力和灌注流量，根据手术需要对冲洗液进行智能控压和灌注</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39F8D330">
            <w:pPr>
              <w:pageBreakBefore w:val="0"/>
              <w:tabs>
                <w:tab w:val="left" w:pos="1077"/>
              </w:tabs>
              <w:kinsoku/>
              <w:overflowPunct/>
              <w:topLinePunct w:val="0"/>
              <w:bidi w:val="0"/>
              <w:spacing w:line="440" w:lineRule="exac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可以在调节范围内任意调节设定吸引装置（真空瓶）的抽气速率和最高吸引负压值，根据手术需要对冲洗液（含微创手术中碎块和结石碎片）进行智能吸引</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49437584">
            <w:pPr>
              <w:pageBreakBefore w:val="0"/>
              <w:tabs>
                <w:tab w:val="left" w:pos="1077"/>
              </w:tabs>
              <w:kinsoku/>
              <w:overflowPunct/>
              <w:topLinePunct w:val="0"/>
              <w:bidi w:val="0"/>
              <w:spacing w:line="440" w:lineRule="exac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采用压力传感器，压力控制核心数据实时动态数字化显示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6664F8E6">
            <w:pPr>
              <w:pageBreakBefore w:val="0"/>
              <w:tabs>
                <w:tab w:val="left" w:pos="1077"/>
              </w:tabs>
              <w:kinsoku/>
              <w:overflowPunct/>
              <w:topLinePunct w:val="0"/>
              <w:bidi w:val="0"/>
              <w:spacing w:line="440" w:lineRule="exac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工作过程采用微电脑全自动控制</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340F375F">
            <w:pPr>
              <w:pageBreakBefore w:val="0"/>
              <w:tabs>
                <w:tab w:val="left" w:pos="1077"/>
              </w:tabs>
              <w:kinsoku/>
              <w:overflowPunct/>
              <w:topLinePunct w:val="0"/>
              <w:bidi w:val="0"/>
              <w:spacing w:line="440" w:lineRule="exact"/>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▲5</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具有软镜和硬镜两种工作模式，灌注吸引联动状态、纯灌注状态和纯负压吸引状态四种工作状态，具备低压、恒流、持续灌注、吸引和自动排液的功能。</w:t>
            </w:r>
          </w:p>
          <w:p w14:paraId="1BC60275">
            <w:pPr>
              <w:pageBreakBefore w:val="0"/>
              <w:tabs>
                <w:tab w:val="left" w:pos="1077"/>
              </w:tabs>
              <w:kinsoku/>
              <w:overflowPunct/>
              <w:topLinePunct w:val="0"/>
              <w:bidi w:val="0"/>
              <w:spacing w:line="440" w:lineRule="exact"/>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（三）</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主要技术参数</w:t>
            </w:r>
          </w:p>
          <w:p w14:paraId="2C92424B">
            <w:pPr>
              <w:pageBreakBefore w:val="0"/>
              <w:tabs>
                <w:tab w:val="left" w:pos="1077"/>
              </w:tabs>
              <w:kinsoku/>
              <w:overflowPunct/>
              <w:topLinePunct w:val="0"/>
              <w:bidi w:val="0"/>
              <w:spacing w:line="440" w:lineRule="exac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具有4种工作模式：灌吸联动模式、纯灌注软镜模式、纯灌注硬镜模式、纯吸附模式</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112F6230">
            <w:pPr>
              <w:pageBreakBefore w:val="0"/>
              <w:tabs>
                <w:tab w:val="left" w:pos="1077"/>
              </w:tabs>
              <w:kinsoku/>
              <w:overflowPunct/>
              <w:topLinePunct w:val="0"/>
              <w:bidi w:val="0"/>
              <w:spacing w:line="440" w:lineRule="exact"/>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▲2</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预置压强限的调节范围：灌注吸引系统的预置灌注压强限可调节，范围(0～33.3)kPa(0mmHg～250mmHg)。灌注吸引系统的预置吸引压强限可调节，范围</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达到</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(-49～0)kPa(-367mmHg～0mmHg)</w:t>
            </w: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w:t>
            </w:r>
          </w:p>
          <w:p w14:paraId="7B8D2087">
            <w:pPr>
              <w:pageBreakBefore w:val="0"/>
              <w:tabs>
                <w:tab w:val="left" w:pos="1077"/>
              </w:tabs>
              <w:kinsoku/>
              <w:overflowPunct/>
              <w:topLinePunct w:val="0"/>
              <w:bidi w:val="0"/>
              <w:spacing w:line="440" w:lineRule="exac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压强限预置的准确性：当设置压强限≥6650Pa(50mmHg)时，压强限设置的允差为±10%；当设置压强限</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6650Pa(50mmHg)时，压强限设置的允差为665Pa(5mmHg)</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52AEF4CC">
            <w:pPr>
              <w:pageBreakBefore w:val="0"/>
              <w:tabs>
                <w:tab w:val="left" w:pos="1077"/>
              </w:tabs>
              <w:kinsoku/>
              <w:overflowPunct/>
              <w:topLinePunct w:val="0"/>
              <w:bidi w:val="0"/>
              <w:spacing w:line="440" w:lineRule="exac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预置流量的调节范围：灌注吸引系统的预置灌注流量可调节，范围</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达到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(0～900)mL/min</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742FE187">
            <w:pPr>
              <w:pageBreakBefore w:val="0"/>
              <w:tabs>
                <w:tab w:val="left" w:pos="1077"/>
              </w:tabs>
              <w:kinsoku/>
              <w:overflowPunct/>
              <w:topLinePunct w:val="0"/>
              <w:bidi w:val="0"/>
              <w:spacing w:line="440" w:lineRule="exac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流量预置的准确性：当设置流量≥100mL/min(0.006m</w:t>
            </w:r>
            <w:r>
              <w:rPr>
                <w:rFonts w:hint="eastAsia" w:asciiTheme="minorEastAsia" w:hAnsiTheme="minorEastAsia" w:eastAsiaTheme="minorEastAsia" w:cstheme="minorEastAsia"/>
                <w:color w:val="000000" w:themeColor="text1"/>
                <w:sz w:val="21"/>
                <w:szCs w:val="21"/>
                <w:highlight w:val="none"/>
                <w:vertAlign w:val="superscript"/>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/h)时，流量设置的允差为±10%；当设置流量＜100mL/min(0.006m</w:t>
            </w:r>
            <w:r>
              <w:rPr>
                <w:rFonts w:hint="eastAsia" w:asciiTheme="minorEastAsia" w:hAnsiTheme="minorEastAsia" w:eastAsiaTheme="minorEastAsia" w:cstheme="minorEastAsia"/>
                <w:color w:val="000000" w:themeColor="text1"/>
                <w:sz w:val="21"/>
                <w:szCs w:val="21"/>
                <w:highlight w:val="none"/>
                <w:vertAlign w:val="superscript"/>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/h)时，流量设置的允差为±10mL/min(0.0006m</w:t>
            </w:r>
            <w:r>
              <w:rPr>
                <w:rFonts w:hint="eastAsia" w:asciiTheme="minorEastAsia" w:hAnsiTheme="minorEastAsia" w:eastAsiaTheme="minorEastAsia" w:cstheme="minorEastAsia"/>
                <w:color w:val="000000" w:themeColor="text1"/>
                <w:sz w:val="21"/>
                <w:szCs w:val="21"/>
                <w:highlight w:val="none"/>
                <w:vertAlign w:val="superscript"/>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/h)</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010604AD">
            <w:pPr>
              <w:pageBreakBefore w:val="0"/>
              <w:tabs>
                <w:tab w:val="left" w:pos="1077"/>
              </w:tabs>
              <w:kinsoku/>
              <w:overflowPunct/>
              <w:topLinePunct w:val="0"/>
              <w:bidi w:val="0"/>
              <w:spacing w:line="440" w:lineRule="exact"/>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▲6</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预置抽气速率的调节范围：灌注吸引系统的预置抽气速率可调节，范围</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达到</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(0～38)L/min</w:t>
            </w: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w:t>
            </w:r>
          </w:p>
          <w:p w14:paraId="30BF1939">
            <w:pPr>
              <w:pageBreakBefore w:val="0"/>
              <w:tabs>
                <w:tab w:val="left" w:pos="1077"/>
              </w:tabs>
              <w:kinsoku/>
              <w:overflowPunct/>
              <w:topLinePunct w:val="0"/>
              <w:bidi w:val="0"/>
              <w:spacing w:line="440" w:lineRule="exac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抽气速率预置的准确性：当设置抽气速率≥20L/min(1.2m</w:t>
            </w:r>
            <w:r>
              <w:rPr>
                <w:rFonts w:hint="eastAsia" w:asciiTheme="minorEastAsia" w:hAnsiTheme="minorEastAsia" w:eastAsiaTheme="minorEastAsia" w:cstheme="minorEastAsia"/>
                <w:color w:val="000000" w:themeColor="text1"/>
                <w:sz w:val="21"/>
                <w:szCs w:val="21"/>
                <w:highlight w:val="none"/>
                <w:vertAlign w:val="superscript"/>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/h)时，抽气速率设置的允差为±15%；当设置抽气速率</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20L/min(1.2m</w:t>
            </w:r>
            <w:r>
              <w:rPr>
                <w:rFonts w:hint="eastAsia" w:asciiTheme="minorEastAsia" w:hAnsiTheme="minorEastAsia" w:eastAsiaTheme="minorEastAsia" w:cstheme="minorEastAsia"/>
                <w:color w:val="000000" w:themeColor="text1"/>
                <w:sz w:val="21"/>
                <w:szCs w:val="21"/>
                <w:highlight w:val="none"/>
                <w:vertAlign w:val="superscript"/>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/h)时，抽气速率设置的允差为±5L/min(0.3m</w:t>
            </w:r>
            <w:r>
              <w:rPr>
                <w:rFonts w:hint="eastAsia" w:asciiTheme="minorEastAsia" w:hAnsiTheme="minorEastAsia" w:eastAsiaTheme="minorEastAsia" w:cstheme="minorEastAsia"/>
                <w:color w:val="000000" w:themeColor="text1"/>
                <w:sz w:val="21"/>
                <w:szCs w:val="21"/>
                <w:highlight w:val="none"/>
                <w:vertAlign w:val="superscript"/>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/h)</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1C329414">
            <w:pPr>
              <w:pageBreakBefore w:val="0"/>
              <w:tabs>
                <w:tab w:val="left" w:pos="1077"/>
              </w:tabs>
              <w:kinsoku/>
              <w:overflowPunct/>
              <w:topLinePunct w:val="0"/>
              <w:bidi w:val="0"/>
              <w:spacing w:line="440" w:lineRule="exac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流量稳定性：连续工作5小时以内，灌注流量误差</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25BC5DF1">
            <w:pPr>
              <w:pageBreakBefore w:val="0"/>
              <w:tabs>
                <w:tab w:val="left" w:pos="1077"/>
              </w:tabs>
              <w:kinsoku/>
              <w:overflowPunct/>
              <w:topLinePunct w:val="0"/>
              <w:bidi w:val="0"/>
              <w:spacing w:line="440" w:lineRule="exac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具有腔内液体实时相对压力监测，实时监测负压并可将吸引负压值显示屏上、压力测定定范围为</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达到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-20mmHg～60mmHg</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09E1FEF5">
            <w:pPr>
              <w:pageBreakBefore w:val="0"/>
              <w:tabs>
                <w:tab w:val="left" w:pos="1077"/>
              </w:tabs>
              <w:kinsoku/>
              <w:overflowPunct/>
              <w:topLinePunct w:val="0"/>
              <w:bidi w:val="0"/>
              <w:spacing w:line="440" w:lineRule="exac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10</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主机工作噪声</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60dB</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664F6E5C">
            <w:pPr>
              <w:pageBreakBefore w:val="0"/>
              <w:tabs>
                <w:tab w:val="left" w:pos="1077"/>
              </w:tabs>
              <w:kinsoku/>
              <w:overflowPunct/>
              <w:topLinePunct w:val="0"/>
              <w:bidi w:val="0"/>
              <w:spacing w:line="440" w:lineRule="exac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≥7英寸显示屏，数字化、图形化显示灌注及吸引功能的设置数值和实时输出的灌注压力、流量、负压值、抽气速率等数据</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tc>
      </w:tr>
      <w:tr w14:paraId="3E78A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16" w:type="dxa"/>
            <w:vAlign w:val="center"/>
          </w:tcPr>
          <w:p w14:paraId="040AD295">
            <w:pPr>
              <w:pageBreakBefore w:val="0"/>
              <w:tabs>
                <w:tab w:val="left" w:pos="180"/>
                <w:tab w:val="left" w:pos="1620"/>
              </w:tabs>
              <w:kinsoku/>
              <w:overflowPunct/>
              <w:topLinePunct w:val="0"/>
              <w:bidi w:val="0"/>
              <w:spacing w:line="440"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7</w:t>
            </w:r>
          </w:p>
        </w:tc>
        <w:tc>
          <w:tcPr>
            <w:tcW w:w="926" w:type="dxa"/>
            <w:vAlign w:val="center"/>
          </w:tcPr>
          <w:p w14:paraId="35C9116F">
            <w:pPr>
              <w:pageBreakBefore w:val="0"/>
              <w:tabs>
                <w:tab w:val="left" w:pos="180"/>
                <w:tab w:val="left" w:pos="1620"/>
              </w:tabs>
              <w:kinsoku/>
              <w:overflowPunct/>
              <w:topLinePunct w:val="0"/>
              <w:bidi w:val="0"/>
              <w:spacing w:line="44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颅钻</w:t>
            </w:r>
          </w:p>
        </w:tc>
        <w:tc>
          <w:tcPr>
            <w:tcW w:w="851" w:type="dxa"/>
            <w:vAlign w:val="center"/>
          </w:tcPr>
          <w:p w14:paraId="50A1D1A2">
            <w:pPr>
              <w:pageBreakBefore w:val="0"/>
              <w:tabs>
                <w:tab w:val="left" w:pos="180"/>
                <w:tab w:val="left" w:pos="1620"/>
              </w:tabs>
              <w:kinsoku/>
              <w:overflowPunct/>
              <w:topLinePunct w:val="0"/>
              <w:bidi w:val="0"/>
              <w:spacing w:line="440"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2套</w:t>
            </w:r>
          </w:p>
        </w:tc>
        <w:tc>
          <w:tcPr>
            <w:tcW w:w="1139" w:type="dxa"/>
            <w:shd w:val="clear" w:color="auto" w:fill="auto"/>
            <w:vAlign w:val="center"/>
          </w:tcPr>
          <w:p w14:paraId="5EBC12A8">
            <w:pPr>
              <w:pageBreakBefore w:val="0"/>
              <w:tabs>
                <w:tab w:val="left" w:pos="180"/>
                <w:tab w:val="left" w:pos="1620"/>
              </w:tabs>
              <w:kinsoku/>
              <w:overflowPunct/>
              <w:topLinePunct w:val="0"/>
              <w:bidi w:val="0"/>
              <w:spacing w:line="440"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30</w:t>
            </w:r>
          </w:p>
        </w:tc>
        <w:tc>
          <w:tcPr>
            <w:tcW w:w="5560" w:type="dxa"/>
            <w:shd w:val="clear" w:color="auto" w:fill="auto"/>
            <w:vAlign w:val="top"/>
          </w:tcPr>
          <w:p w14:paraId="796BEFD9">
            <w:pPr>
              <w:pStyle w:val="117"/>
              <w:pageBreakBefore w:val="0"/>
              <w:kinsoku/>
              <w:overflowPunct/>
              <w:topLinePunct w:val="0"/>
              <w:bidi w:val="0"/>
              <w:spacing w:before="46" w:line="440" w:lineRule="exact"/>
              <w:ind w:left="107"/>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（一）微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电机</w:t>
            </w:r>
          </w:p>
          <w:p w14:paraId="26A8E68C">
            <w:pPr>
              <w:pStyle w:val="117"/>
              <w:pageBreakBefore w:val="0"/>
              <w:kinsoku/>
              <w:overflowPunct/>
              <w:topLinePunct w:val="0"/>
              <w:bidi w:val="0"/>
              <w:spacing w:before="46" w:line="440" w:lineRule="exact"/>
              <w:ind w:left="107"/>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可高温高压消毒；</w:t>
            </w:r>
          </w:p>
          <w:p w14:paraId="29006CB4">
            <w:pPr>
              <w:pStyle w:val="117"/>
              <w:pageBreakBefore w:val="0"/>
              <w:kinsoku/>
              <w:overflowPunct/>
              <w:topLinePunct w:val="0"/>
              <w:bidi w:val="0"/>
              <w:spacing w:before="91" w:line="440" w:lineRule="exact"/>
              <w:ind w:left="107" w:right="9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开颅用无碳刷微电机， 输出动力稳定， 峰值输出功率</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150W， 转速</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40000r/min；</w:t>
            </w:r>
          </w:p>
          <w:p w14:paraId="6BD7DA4C">
            <w:pPr>
              <w:pStyle w:val="117"/>
              <w:pageBreakBefore w:val="0"/>
              <w:kinsoku/>
              <w:overflowPunct/>
              <w:topLinePunct w:val="0"/>
              <w:bidi w:val="0"/>
              <w:spacing w:before="2" w:line="440" w:lineRule="exact"/>
              <w:ind w:left="107"/>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自动风冷技术，</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具备</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温升小，运行不发烫</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特想</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6A658B6D">
            <w:pPr>
              <w:pStyle w:val="117"/>
              <w:pageBreakBefore w:val="0"/>
              <w:kinsoku/>
              <w:overflowPunct/>
              <w:topLinePunct w:val="0"/>
              <w:bidi w:val="0"/>
              <w:spacing w:before="91" w:line="440" w:lineRule="exact"/>
              <w:ind w:left="107" w:right="9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4.具有</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快速拔插安装接口。</w:t>
            </w:r>
          </w:p>
          <w:p w14:paraId="2D47E356">
            <w:pPr>
              <w:pStyle w:val="117"/>
              <w:pageBreakBefore w:val="0"/>
              <w:kinsoku/>
              <w:overflowPunct/>
              <w:topLinePunct w:val="0"/>
              <w:bidi w:val="0"/>
              <w:spacing w:before="91" w:line="440" w:lineRule="exact"/>
              <w:ind w:left="107" w:right="9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（二）</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颅骨钻手柄</w:t>
            </w:r>
          </w:p>
          <w:p w14:paraId="48A8C796">
            <w:pPr>
              <w:pageBreakBefore w:val="0"/>
              <w:kinsoku/>
              <w:overflowPunct/>
              <w:topLinePunct w:val="0"/>
              <w:bidi w:val="0"/>
              <w:spacing w:line="44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7"/>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7"/>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pacing w:val="-7"/>
                <w:sz w:val="21"/>
                <w:szCs w:val="21"/>
                <w:highlight w:val="none"/>
                <w14:textFill>
                  <w14:solidFill>
                    <w14:schemeClr w14:val="tx1"/>
                  </w14:solidFill>
                </w14:textFill>
              </w:rPr>
              <w:t xml:space="preserve">最大外径 </w:t>
            </w:r>
            <w:r>
              <w:rPr>
                <w:color w:val="000000" w:themeColor="text1"/>
                <w:sz w:val="21"/>
                <w:szCs w:val="21"/>
                <w:highlight w:val="none"/>
                <w14:textFill>
                  <w14:solidFill>
                    <w14:schemeClr w14:val="tx1"/>
                  </w14:solidFill>
                </w14:textFill>
              </w:rPr>
              <w:t>Φ</w:t>
            </w:r>
            <w:r>
              <w:rPr>
                <w:rFonts w:hint="eastAsia" w:asciiTheme="minorEastAsia" w:hAnsiTheme="minorEastAsia" w:eastAsiaTheme="minorEastAsia" w:cstheme="minorEastAsia"/>
                <w:color w:val="000000" w:themeColor="text1"/>
                <w:spacing w:val="-6"/>
                <w:sz w:val="21"/>
                <w:szCs w:val="21"/>
                <w:highlight w:val="none"/>
                <w14:textFill>
                  <w14:solidFill>
                    <w14:schemeClr w14:val="tx1"/>
                  </w14:solidFill>
                </w14:textFill>
              </w:rPr>
              <w:t>30mm</w:t>
            </w:r>
            <w:r>
              <w:rPr>
                <w:rFonts w:hint="eastAsia" w:asciiTheme="minorEastAsia" w:hAnsiTheme="minorEastAsia" w:eastAsiaTheme="minorEastAsia" w:cstheme="minorEastAsia"/>
                <w:color w:val="000000" w:themeColor="text1"/>
                <w:spacing w:val="-17"/>
                <w:sz w:val="21"/>
                <w:szCs w:val="21"/>
                <w:highlight w:val="none"/>
                <w14:textFill>
                  <w14:solidFill>
                    <w14:schemeClr w14:val="tx1"/>
                  </w14:solidFill>
                </w14:textFill>
              </w:rPr>
              <w:t>，长</w:t>
            </w:r>
            <w:r>
              <w:rPr>
                <w:rFonts w:hint="eastAsia" w:asciiTheme="minorEastAsia" w:hAnsiTheme="minorEastAsia" w:eastAsiaTheme="minorEastAsia" w:cstheme="minorEastAsia"/>
                <w:color w:val="000000" w:themeColor="text1"/>
                <w:spacing w:val="-17"/>
                <w:sz w:val="21"/>
                <w:szCs w:val="21"/>
                <w:highlight w:val="none"/>
                <w:lang w:val="en-US" w:eastAsia="zh-CN"/>
                <w14:textFill>
                  <w14:solidFill>
                    <w14:schemeClr w14:val="tx1"/>
                  </w14:solidFill>
                </w14:textFill>
              </w:rPr>
              <w:t>约</w:t>
            </w:r>
            <w:r>
              <w:rPr>
                <w:rFonts w:hint="eastAsia" w:asciiTheme="minorEastAsia" w:hAnsiTheme="minorEastAsia" w:eastAsiaTheme="minorEastAsia" w:cstheme="minorEastAsia"/>
                <w:color w:val="000000" w:themeColor="text1"/>
                <w:spacing w:val="-17"/>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5"/>
                <w:sz w:val="21"/>
                <w:szCs w:val="21"/>
                <w:highlight w:val="none"/>
                <w14:textFill>
                  <w14:solidFill>
                    <w14:schemeClr w14:val="tx1"/>
                  </w14:solidFill>
                </w14:textFill>
              </w:rPr>
              <w:t>132mm</w:t>
            </w:r>
            <w:r>
              <w:rPr>
                <w:rFonts w:hint="eastAsia" w:asciiTheme="minorEastAsia" w:hAnsiTheme="minorEastAsia" w:eastAsiaTheme="minorEastAsia" w:cstheme="minorEastAsia"/>
                <w:color w:val="000000" w:themeColor="text1"/>
                <w:spacing w:val="-9"/>
                <w:sz w:val="21"/>
                <w:szCs w:val="21"/>
                <w:highlight w:val="none"/>
                <w14:textFill>
                  <w14:solidFill>
                    <w14:schemeClr w14:val="tx1"/>
                  </w14:solidFill>
                </w14:textFill>
              </w:rPr>
              <w:t xml:space="preserve">，合金材料制造，重量 </w:t>
            </w:r>
            <w:r>
              <w:rPr>
                <w:rFonts w:hint="eastAsia" w:asciiTheme="minorEastAsia" w:hAnsiTheme="minorEastAsia" w:eastAsiaTheme="minorEastAsia" w:cstheme="minorEastAsia"/>
                <w:color w:val="000000" w:themeColor="text1"/>
                <w:spacing w:val="-9"/>
                <w:sz w:val="21"/>
                <w:szCs w:val="21"/>
                <w:highlight w:val="none"/>
                <w:lang w:val="en-US" w:eastAsia="zh-CN"/>
                <w14:textFill>
                  <w14:solidFill>
                    <w14:schemeClr w14:val="tx1"/>
                  </w14:solidFill>
                </w14:textFill>
              </w:rPr>
              <w:t>约</w:t>
            </w:r>
            <w:r>
              <w:rPr>
                <w:rFonts w:hint="eastAsia" w:asciiTheme="minorEastAsia" w:hAnsiTheme="minorEastAsia" w:eastAsiaTheme="minorEastAsia" w:cstheme="minorEastAsia"/>
                <w:color w:val="000000" w:themeColor="text1"/>
                <w:spacing w:val="-4"/>
                <w:sz w:val="21"/>
                <w:szCs w:val="21"/>
                <w:highlight w:val="none"/>
                <w14:textFill>
                  <w14:solidFill>
                    <w14:schemeClr w14:val="tx1"/>
                  </w14:solidFill>
                </w14:textFill>
              </w:rPr>
              <w:t>0.45kg，</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免钥匙接口，表面硬质阳极氧化</w:t>
            </w:r>
            <w:r>
              <w:rPr>
                <w:rFonts w:hint="eastAsia" w:asciiTheme="minorEastAsia" w:hAnsiTheme="minorEastAsia" w:eastAsiaTheme="minorEastAsia" w:cstheme="minorEastAsia"/>
                <w:color w:val="000000" w:themeColor="text1"/>
                <w:spacing w:val="-2"/>
                <w:sz w:val="21"/>
                <w:szCs w:val="21"/>
                <w:highlight w:val="none"/>
                <w14:textFill>
                  <w14:solidFill>
                    <w14:schemeClr w14:val="tx1"/>
                  </w14:solidFill>
                </w14:textFill>
              </w:rPr>
              <w:t xml:space="preserve">； </w:t>
            </w:r>
          </w:p>
          <w:p w14:paraId="7E805ECD">
            <w:pPr>
              <w:pStyle w:val="117"/>
              <w:pageBreakBefore w:val="0"/>
              <w:kinsoku/>
              <w:overflowPunct/>
              <w:topLinePunct w:val="0"/>
              <w:bidi w:val="0"/>
              <w:spacing w:before="2" w:line="440" w:lineRule="exact"/>
              <w:ind w:left="107"/>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带手把，</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要求</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握持舒适；</w:t>
            </w:r>
          </w:p>
          <w:p w14:paraId="6F276B2E">
            <w:pPr>
              <w:pStyle w:val="117"/>
              <w:pageBreakBefore w:val="0"/>
              <w:kinsoku/>
              <w:overflowPunct/>
              <w:topLinePunct w:val="0"/>
              <w:bidi w:val="0"/>
              <w:spacing w:before="91" w:line="440" w:lineRule="exact"/>
              <w:ind w:left="107" w:right="93"/>
              <w:rPr>
                <w:rFonts w:hint="eastAsia" w:asciiTheme="minorEastAsia" w:hAnsiTheme="minorEastAsia" w:eastAsiaTheme="minorEastAsia" w:cstheme="minorEastAsia"/>
                <w:color w:val="000000" w:themeColor="text1"/>
                <w:spacing w:val="-3"/>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转速：</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达到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0-1500r/min，</w:t>
            </w:r>
            <w:r>
              <w:rPr>
                <w:rFonts w:hint="eastAsia" w:asciiTheme="minorEastAsia" w:hAnsiTheme="minorEastAsia" w:eastAsiaTheme="minorEastAsia" w:cstheme="minorEastAsia"/>
                <w:color w:val="000000" w:themeColor="text1"/>
                <w:spacing w:val="-2"/>
                <w:sz w:val="21"/>
                <w:szCs w:val="21"/>
                <w:highlight w:val="none"/>
                <w14:textFill>
                  <w14:solidFill>
                    <w14:schemeClr w14:val="tx1"/>
                  </w14:solidFill>
                </w14:textFill>
              </w:rPr>
              <w:t>可高</w:t>
            </w:r>
            <w:r>
              <w:rPr>
                <w:rFonts w:hint="eastAsia" w:asciiTheme="minorEastAsia" w:hAnsiTheme="minorEastAsia" w:eastAsiaTheme="minorEastAsia" w:cstheme="minorEastAsia"/>
                <w:color w:val="000000" w:themeColor="text1"/>
                <w:spacing w:val="-3"/>
                <w:sz w:val="21"/>
                <w:szCs w:val="21"/>
                <w:highlight w:val="none"/>
                <w14:textFill>
                  <w14:solidFill>
                    <w14:schemeClr w14:val="tx1"/>
                  </w14:solidFill>
                </w14:textFill>
              </w:rPr>
              <w:t>温高压消毒；</w:t>
            </w:r>
          </w:p>
          <w:p w14:paraId="3CE52867">
            <w:pPr>
              <w:pStyle w:val="117"/>
              <w:pageBreakBefore w:val="0"/>
              <w:kinsoku/>
              <w:overflowPunct/>
              <w:topLinePunct w:val="0"/>
              <w:bidi w:val="0"/>
              <w:spacing w:before="91" w:line="440" w:lineRule="exact"/>
              <w:ind w:left="107" w:right="93"/>
              <w:rPr>
                <w:rFonts w:hint="eastAsia" w:asciiTheme="minorEastAsia" w:hAnsiTheme="minorEastAsia" w:eastAsiaTheme="minorEastAsia" w:cstheme="minorEastAsia"/>
                <w:color w:val="000000" w:themeColor="text1"/>
                <w:spacing w:val="-3"/>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1"/>
                <w:szCs w:val="21"/>
                <w:highlight w:val="none"/>
                <w:lang w:val="en-US" w:eastAsia="zh-CN"/>
                <w14:textFill>
                  <w14:solidFill>
                    <w14:schemeClr w14:val="tx1"/>
                  </w14:solidFill>
                </w14:textFill>
              </w:rPr>
              <w:t>（三）</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颅骨</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铣</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手柄</w:t>
            </w:r>
          </w:p>
          <w:p w14:paraId="0DCD490D">
            <w:pPr>
              <w:pStyle w:val="117"/>
              <w:pageBreakBefore w:val="0"/>
              <w:kinsoku/>
              <w:overflowPunct/>
              <w:topLinePunct w:val="0"/>
              <w:bidi w:val="0"/>
              <w:spacing w:before="49" w:line="440" w:lineRule="exact"/>
              <w:ind w:left="107" w:right="9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最大外径 20mm，</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具有</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表面防滑设计，可握持式或执笔式操作；</w:t>
            </w:r>
          </w:p>
          <w:p w14:paraId="5C5D3F9E">
            <w:pPr>
              <w:pStyle w:val="117"/>
              <w:pageBreakBefore w:val="0"/>
              <w:kinsoku/>
              <w:overflowPunct/>
              <w:topLinePunct w:val="0"/>
              <w:bidi w:val="0"/>
              <w:spacing w:before="2" w:line="440" w:lineRule="exact"/>
              <w:ind w:left="107"/>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铣刀安装接口；</w:t>
            </w:r>
          </w:p>
          <w:p w14:paraId="60F0C380">
            <w:pPr>
              <w:pStyle w:val="117"/>
              <w:pageBreakBefore w:val="0"/>
              <w:kinsoku/>
              <w:overflowPunct/>
              <w:topLinePunct w:val="0"/>
              <w:bidi w:val="0"/>
              <w:spacing w:before="88" w:line="440" w:lineRule="exact"/>
              <w:ind w:left="107"/>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配置</w:t>
            </w:r>
            <w:r>
              <w:rPr>
                <w:rFonts w:hint="eastAsia"/>
                <w:color w:val="000000" w:themeColor="text1"/>
                <w:highlight w:val="none"/>
                <w:lang w:eastAsia="zh-CN"/>
                <w14:textFill>
                  <w14:solidFill>
                    <w14:schemeClr w14:val="tx1"/>
                  </w14:solidFill>
                </w14:textFill>
              </w:rPr>
              <w:t>具有</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可旋转</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功能及可</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固定</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功能的</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护靴，旋转护靴可 360°自由旋转；</w:t>
            </w:r>
          </w:p>
          <w:p w14:paraId="1639F10C">
            <w:pPr>
              <w:pStyle w:val="117"/>
              <w:pageBreakBefore w:val="0"/>
              <w:kinsoku/>
              <w:overflowPunct/>
              <w:topLinePunct w:val="0"/>
              <w:bidi w:val="0"/>
              <w:spacing w:before="92" w:line="440" w:lineRule="exact"/>
              <w:ind w:left="107"/>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无级调速，最高输出转速</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达到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40000r/min；</w:t>
            </w:r>
          </w:p>
          <w:p w14:paraId="6652C1D0">
            <w:pPr>
              <w:pStyle w:val="117"/>
              <w:pageBreakBefore w:val="0"/>
              <w:kinsoku/>
              <w:overflowPunct/>
              <w:topLinePunct w:val="0"/>
              <w:bidi w:val="0"/>
              <w:spacing w:before="91" w:line="440" w:lineRule="exact"/>
              <w:ind w:left="107" w:right="9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可高温高压消毒。</w:t>
            </w:r>
          </w:p>
          <w:p w14:paraId="37EC5CB4">
            <w:pPr>
              <w:pageBreakBefore w:val="0"/>
              <w:kinsoku/>
              <w:overflowPunct/>
              <w:topLinePunct w:val="0"/>
              <w:bidi w:val="0"/>
              <w:spacing w:line="440" w:lineRule="exac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（四）磨钻手柄</w:t>
            </w:r>
          </w:p>
          <w:p w14:paraId="4AD2B079">
            <w:pPr>
              <w:pageBreakBefore w:val="0"/>
              <w:numPr>
                <w:ilvl w:val="0"/>
                <w:numId w:val="0"/>
              </w:numPr>
              <w:kinsoku/>
              <w:overflowPunct/>
              <w:topLinePunct w:val="0"/>
              <w:bidi w:val="0"/>
              <w:spacing w:line="440" w:lineRule="exact"/>
              <w:ind w:leftChars="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磨钻手柄与微电机连接具有锁定功能，</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能</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防止任意旋转，适合精细手术操作；</w:t>
            </w:r>
          </w:p>
          <w:p w14:paraId="3B4CB210">
            <w:pPr>
              <w:pageBreakBefore w:val="0"/>
              <w:kinsoku/>
              <w:overflowPunct/>
              <w:topLinePunct w:val="0"/>
              <w:bidi w:val="0"/>
              <w:spacing w:line="440" w:lineRule="exac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最高转速：</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80000r/min。</w:t>
            </w:r>
          </w:p>
        </w:tc>
      </w:tr>
      <w:tr w14:paraId="4CA83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16" w:type="dxa"/>
            <w:vAlign w:val="center"/>
          </w:tcPr>
          <w:p w14:paraId="3E30E5C1">
            <w:pPr>
              <w:pageBreakBefore w:val="0"/>
              <w:tabs>
                <w:tab w:val="left" w:pos="180"/>
                <w:tab w:val="left" w:pos="1620"/>
              </w:tabs>
              <w:kinsoku/>
              <w:overflowPunct/>
              <w:topLinePunct w:val="0"/>
              <w:bidi w:val="0"/>
              <w:spacing w:line="440"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8</w:t>
            </w:r>
          </w:p>
        </w:tc>
        <w:tc>
          <w:tcPr>
            <w:tcW w:w="926" w:type="dxa"/>
            <w:vAlign w:val="center"/>
          </w:tcPr>
          <w:p w14:paraId="0BD676B0">
            <w:pPr>
              <w:pageBreakBefore w:val="0"/>
              <w:tabs>
                <w:tab w:val="left" w:pos="180"/>
                <w:tab w:val="left" w:pos="1620"/>
              </w:tabs>
              <w:kinsoku/>
              <w:overflowPunct/>
              <w:topLinePunct w:val="0"/>
              <w:bidi w:val="0"/>
              <w:spacing w:line="440" w:lineRule="exact"/>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电动止血仪</w:t>
            </w:r>
          </w:p>
        </w:tc>
        <w:tc>
          <w:tcPr>
            <w:tcW w:w="851" w:type="dxa"/>
            <w:vAlign w:val="center"/>
          </w:tcPr>
          <w:p w14:paraId="0928A253">
            <w:pPr>
              <w:pageBreakBefore w:val="0"/>
              <w:tabs>
                <w:tab w:val="left" w:pos="180"/>
                <w:tab w:val="left" w:pos="1620"/>
              </w:tabs>
              <w:kinsoku/>
              <w:overflowPunct/>
              <w:topLinePunct w:val="0"/>
              <w:bidi w:val="0"/>
              <w:spacing w:line="440"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2套</w:t>
            </w:r>
          </w:p>
        </w:tc>
        <w:tc>
          <w:tcPr>
            <w:tcW w:w="1139" w:type="dxa"/>
            <w:shd w:val="clear" w:color="auto" w:fill="auto"/>
            <w:vAlign w:val="center"/>
          </w:tcPr>
          <w:p w14:paraId="632F0694">
            <w:pPr>
              <w:pageBreakBefore w:val="0"/>
              <w:tabs>
                <w:tab w:val="left" w:pos="180"/>
                <w:tab w:val="left" w:pos="1620"/>
              </w:tabs>
              <w:kinsoku/>
              <w:overflowPunct/>
              <w:topLinePunct w:val="0"/>
              <w:bidi w:val="0"/>
              <w:spacing w:line="440"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7.4</w:t>
            </w:r>
          </w:p>
        </w:tc>
        <w:tc>
          <w:tcPr>
            <w:tcW w:w="5560" w:type="dxa"/>
            <w:shd w:val="clear" w:color="auto" w:fill="auto"/>
            <w:vAlign w:val="top"/>
          </w:tcPr>
          <w:p w14:paraId="16F3BE6C">
            <w:pPr>
              <w:pStyle w:val="112"/>
              <w:pageBreakBefore w:val="0"/>
              <w:numPr>
                <w:ilvl w:val="0"/>
                <w:numId w:val="0"/>
              </w:numPr>
              <w:kinsoku/>
              <w:overflowPunct/>
              <w:topLinePunct w:val="0"/>
              <w:bidi w:val="0"/>
              <w:spacing w:line="440" w:lineRule="exact"/>
              <w:ind w:leftChars="0"/>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1.压力可调节范围：达到0kPa—100 kPa；</w:t>
            </w:r>
          </w:p>
          <w:p w14:paraId="7BB1D3DE">
            <w:pPr>
              <w:pStyle w:val="112"/>
              <w:pageBreakBefore w:val="0"/>
              <w:numPr>
                <w:ilvl w:val="0"/>
                <w:numId w:val="0"/>
              </w:numPr>
              <w:kinsoku/>
              <w:overflowPunct/>
              <w:topLinePunct w:val="0"/>
              <w:bidi w:val="0"/>
              <w:spacing w:line="440" w:lineRule="exact"/>
              <w:ind w:leftChars="0"/>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2.</w:t>
            </w:r>
            <w:r>
              <w:rPr>
                <w:rFonts w:hint="eastAsia" w:asciiTheme="minorEastAsia" w:hAnsiTheme="minorEastAsia" w:eastAsiaTheme="minorEastAsia" w:cstheme="minorEastAsia"/>
                <w:b/>
                <w:bCs/>
                <w:color w:val="000000" w:themeColor="text1"/>
                <w:kern w:val="2"/>
                <w:sz w:val="21"/>
                <w:szCs w:val="21"/>
                <w:highlight w:val="none"/>
                <w:lang w:val="en-US" w:eastAsia="zh-CN" w:bidi="ar-SA"/>
                <w14:textFill>
                  <w14:solidFill>
                    <w14:schemeClr w14:val="tx1"/>
                  </w14:solidFill>
                </w14:textFill>
              </w:rPr>
              <w:t>▲时间可调节范围：达到0~240分钟；</w:t>
            </w:r>
          </w:p>
          <w:p w14:paraId="6C41237F">
            <w:pPr>
              <w:pStyle w:val="112"/>
              <w:pageBreakBefore w:val="0"/>
              <w:numPr>
                <w:ilvl w:val="0"/>
                <w:numId w:val="0"/>
              </w:numPr>
              <w:kinsoku/>
              <w:overflowPunct/>
              <w:topLinePunct w:val="0"/>
              <w:bidi w:val="0"/>
              <w:spacing w:line="440" w:lineRule="exact"/>
              <w:ind w:leftChars="0"/>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3.工作时间到自动阶梯放气，能防止患者心、脑突然缺血；</w:t>
            </w:r>
          </w:p>
          <w:p w14:paraId="5C46BCB5">
            <w:pPr>
              <w:pStyle w:val="112"/>
              <w:pageBreakBefore w:val="0"/>
              <w:numPr>
                <w:ilvl w:val="0"/>
                <w:numId w:val="0"/>
              </w:numPr>
              <w:kinsoku/>
              <w:overflowPunct/>
              <w:topLinePunct w:val="0"/>
              <w:bidi w:val="0"/>
              <w:spacing w:line="440" w:lineRule="exact"/>
              <w:ind w:leftChars="0"/>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4.仪器拥有自动检测漏气功能；</w:t>
            </w:r>
          </w:p>
          <w:p w14:paraId="05AEC547">
            <w:pPr>
              <w:pStyle w:val="112"/>
              <w:pageBreakBefore w:val="0"/>
              <w:numPr>
                <w:ilvl w:val="0"/>
                <w:numId w:val="0"/>
              </w:numPr>
              <w:kinsoku/>
              <w:overflowPunct/>
              <w:topLinePunct w:val="0"/>
              <w:bidi w:val="0"/>
              <w:spacing w:line="440" w:lineRule="exact"/>
              <w:ind w:leftChars="0"/>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5.在突然断电情况下能始终保持压力；</w:t>
            </w:r>
          </w:p>
          <w:p w14:paraId="2F89E815">
            <w:pPr>
              <w:pStyle w:val="112"/>
              <w:pageBreakBefore w:val="0"/>
              <w:numPr>
                <w:ilvl w:val="0"/>
                <w:numId w:val="0"/>
              </w:numPr>
              <w:kinsoku/>
              <w:overflowPunct/>
              <w:topLinePunct w:val="0"/>
              <w:bidi w:val="0"/>
              <w:spacing w:line="440" w:lineRule="exact"/>
              <w:ind w:leftChars="0"/>
              <w:rPr>
                <w:rFonts w:hint="eastAsia" w:asciiTheme="minorEastAsia" w:hAnsiTheme="minorEastAsia" w:eastAsiaTheme="minorEastAsia" w:cstheme="minorEastAsia"/>
                <w:b/>
                <w:bCs/>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6</w:t>
            </w:r>
            <w:r>
              <w:rPr>
                <w:rFonts w:hint="eastAsia" w:asciiTheme="minorEastAsia" w:hAnsiTheme="minorEastAsia" w:eastAsiaTheme="minorEastAsia" w:cstheme="minorEastAsia"/>
                <w:b/>
                <w:bCs/>
                <w:color w:val="000000" w:themeColor="text1"/>
                <w:kern w:val="2"/>
                <w:sz w:val="21"/>
                <w:szCs w:val="21"/>
                <w:highlight w:val="none"/>
                <w:lang w:val="en-US" w:eastAsia="zh-CN" w:bidi="ar-SA"/>
                <w14:textFill>
                  <w14:solidFill>
                    <w14:schemeClr w14:val="tx1"/>
                  </w14:solidFill>
                </w14:textFill>
              </w:rPr>
              <w:t>.▲手术剩余时间报警，例如：在10分、5分、1分进行报警提醒，提醒操作员；</w:t>
            </w:r>
          </w:p>
          <w:p w14:paraId="0C042B7D">
            <w:pPr>
              <w:pStyle w:val="112"/>
              <w:pageBreakBefore w:val="0"/>
              <w:numPr>
                <w:ilvl w:val="0"/>
                <w:numId w:val="0"/>
              </w:numPr>
              <w:kinsoku/>
              <w:overflowPunct/>
              <w:topLinePunct w:val="0"/>
              <w:bidi w:val="0"/>
              <w:spacing w:line="440" w:lineRule="exact"/>
              <w:ind w:leftChars="0"/>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7.拥有检测元器件故障报警；</w:t>
            </w:r>
          </w:p>
          <w:p w14:paraId="08F49616">
            <w:pPr>
              <w:pStyle w:val="112"/>
              <w:pageBreakBefore w:val="0"/>
              <w:numPr>
                <w:ilvl w:val="0"/>
                <w:numId w:val="0"/>
              </w:numPr>
              <w:kinsoku/>
              <w:overflowPunct/>
              <w:topLinePunct w:val="0"/>
              <w:bidi w:val="0"/>
              <w:spacing w:line="440" w:lineRule="exact"/>
              <w:ind w:leftChars="0"/>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8.压力超过80 kPa，显示屏闪烁报警；</w:t>
            </w:r>
          </w:p>
          <w:p w14:paraId="034A162D">
            <w:pPr>
              <w:pStyle w:val="112"/>
              <w:pageBreakBefore w:val="0"/>
              <w:numPr>
                <w:ilvl w:val="0"/>
                <w:numId w:val="0"/>
              </w:numPr>
              <w:kinsoku/>
              <w:overflowPunct/>
              <w:topLinePunct w:val="0"/>
              <w:bidi w:val="0"/>
              <w:spacing w:line="440" w:lineRule="exact"/>
              <w:ind w:leftChars="0"/>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9.充、放气功能：</w:t>
            </w:r>
          </w:p>
          <w:p w14:paraId="12461DA1">
            <w:pPr>
              <w:pStyle w:val="112"/>
              <w:pageBreakBefore w:val="0"/>
              <w:numPr>
                <w:ilvl w:val="0"/>
                <w:numId w:val="0"/>
              </w:numPr>
              <w:kinsoku/>
              <w:overflowPunct/>
              <w:topLinePunct w:val="0"/>
              <w:bidi w:val="0"/>
              <w:spacing w:line="440" w:lineRule="exact"/>
              <w:ind w:leftChars="0"/>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1）充气：防止动脉闭塞前，血液充盈动脉。</w:t>
            </w:r>
          </w:p>
          <w:p w14:paraId="16C310E6">
            <w:pPr>
              <w:pStyle w:val="112"/>
              <w:pageBreakBefore w:val="0"/>
              <w:numPr>
                <w:ilvl w:val="0"/>
                <w:numId w:val="0"/>
              </w:numPr>
              <w:kinsoku/>
              <w:overflowPunct/>
              <w:topLinePunct w:val="0"/>
              <w:bidi w:val="0"/>
              <w:spacing w:line="440" w:lineRule="exact"/>
              <w:ind w:leftChars="0"/>
              <w:rPr>
                <w:rFonts w:hint="eastAsia" w:asciiTheme="minorEastAsia" w:hAnsiTheme="minorEastAsia" w:eastAsiaTheme="minorEastAsia" w:cstheme="minorEastAsia"/>
                <w:b/>
                <w:bCs/>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2）放气：（1）采用以3 kPa阶梯的慢放功能。</w:t>
            </w:r>
            <w:r>
              <w:rPr>
                <w:rFonts w:hint="eastAsia" w:asciiTheme="minorEastAsia" w:hAnsiTheme="minorEastAsia" w:eastAsiaTheme="minorEastAsia" w:cstheme="minorEastAsia"/>
                <w:b/>
                <w:bCs/>
                <w:color w:val="000000" w:themeColor="text1"/>
                <w:kern w:val="2"/>
                <w:sz w:val="21"/>
                <w:szCs w:val="21"/>
                <w:highlight w:val="none"/>
                <w:lang w:val="en-US" w:eastAsia="zh-CN" w:bidi="ar-SA"/>
                <w14:textFill>
                  <w14:solidFill>
                    <w14:schemeClr w14:val="tx1"/>
                  </w14:solidFill>
                </w14:textFill>
              </w:rPr>
              <w:t>▲（2）快速放气，≤2秒。</w:t>
            </w:r>
          </w:p>
          <w:p w14:paraId="5D5F5F28">
            <w:pPr>
              <w:pStyle w:val="112"/>
              <w:pageBreakBefore w:val="0"/>
              <w:numPr>
                <w:ilvl w:val="0"/>
                <w:numId w:val="0"/>
              </w:numPr>
              <w:kinsoku/>
              <w:overflowPunct/>
              <w:topLinePunct w:val="0"/>
              <w:bidi w:val="0"/>
              <w:spacing w:line="440" w:lineRule="exact"/>
              <w:ind w:leftChars="0"/>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10.手术计时，术中可随时增减时间、压力设定值，上次手术使用参数自动记忆；</w:t>
            </w:r>
          </w:p>
          <w:p w14:paraId="718A9F1A">
            <w:pPr>
              <w:pStyle w:val="112"/>
              <w:pageBreakBefore w:val="0"/>
              <w:numPr>
                <w:ilvl w:val="0"/>
                <w:numId w:val="0"/>
              </w:numPr>
              <w:kinsoku/>
              <w:overflowPunct/>
              <w:topLinePunct w:val="0"/>
              <w:bidi w:val="0"/>
              <w:spacing w:line="440" w:lineRule="exact"/>
              <w:ind w:leftChars="0"/>
              <w:rPr>
                <w:rFonts w:hint="eastAsia" w:asciiTheme="minorEastAsia" w:hAnsiTheme="minorEastAsia" w:eastAsiaTheme="minorEastAsia" w:cstheme="minorEastAsia"/>
                <w:b/>
                <w:bCs/>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1"/>
                <w:szCs w:val="21"/>
                <w:highlight w:val="none"/>
                <w:lang w:val="en-US" w:eastAsia="zh-CN" w:bidi="ar-SA"/>
                <w14:textFill>
                  <w14:solidFill>
                    <w14:schemeClr w14:val="tx1"/>
                  </w14:solidFill>
                </w14:textFill>
              </w:rPr>
              <w:t>11.▲双通道采用完全独立的两套系统，不影响任何一个通道的使用。可同时做两个不同部位手术；</w:t>
            </w:r>
          </w:p>
          <w:p w14:paraId="34229574">
            <w:pPr>
              <w:pStyle w:val="112"/>
              <w:pageBreakBefore w:val="0"/>
              <w:numPr>
                <w:ilvl w:val="0"/>
                <w:numId w:val="0"/>
              </w:numPr>
              <w:kinsoku/>
              <w:overflowPunct/>
              <w:topLinePunct w:val="0"/>
              <w:bidi w:val="0"/>
              <w:spacing w:line="440" w:lineRule="exact"/>
              <w:ind w:leftChars="0"/>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12.立式支架：可调高度，占地小；</w:t>
            </w:r>
          </w:p>
          <w:p w14:paraId="4E78EC77">
            <w:pPr>
              <w:pStyle w:val="112"/>
              <w:pageBreakBefore w:val="0"/>
              <w:numPr>
                <w:ilvl w:val="0"/>
                <w:numId w:val="0"/>
              </w:numPr>
              <w:kinsoku/>
              <w:overflowPunct/>
              <w:topLinePunct w:val="0"/>
              <w:bidi w:val="0"/>
              <w:spacing w:line="440" w:lineRule="exact"/>
              <w:ind w:leftChars="0"/>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13.全铝外壳：牢固、表面喷塑处理。</w:t>
            </w:r>
          </w:p>
        </w:tc>
      </w:tr>
      <w:tr w14:paraId="1BE06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16" w:type="dxa"/>
            <w:vAlign w:val="center"/>
          </w:tcPr>
          <w:p w14:paraId="74A29C98">
            <w:pPr>
              <w:pageBreakBefore w:val="0"/>
              <w:tabs>
                <w:tab w:val="left" w:pos="180"/>
                <w:tab w:val="left" w:pos="1620"/>
              </w:tabs>
              <w:kinsoku/>
              <w:overflowPunct/>
              <w:topLinePunct w:val="0"/>
              <w:bidi w:val="0"/>
              <w:spacing w:line="440"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9</w:t>
            </w:r>
          </w:p>
        </w:tc>
        <w:tc>
          <w:tcPr>
            <w:tcW w:w="926" w:type="dxa"/>
            <w:vAlign w:val="center"/>
          </w:tcPr>
          <w:p w14:paraId="72AC1BDC">
            <w:pPr>
              <w:pageBreakBefore w:val="0"/>
              <w:tabs>
                <w:tab w:val="left" w:pos="180"/>
                <w:tab w:val="left" w:pos="1620"/>
              </w:tabs>
              <w:kinsoku/>
              <w:overflowPunct/>
              <w:topLinePunct w:val="0"/>
              <w:bidi w:val="0"/>
              <w:spacing w:line="440" w:lineRule="exact"/>
              <w:jc w:val="cente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 xml:space="preserve">手术动力系统 </w:t>
            </w:r>
          </w:p>
        </w:tc>
        <w:tc>
          <w:tcPr>
            <w:tcW w:w="851" w:type="dxa"/>
            <w:vAlign w:val="center"/>
          </w:tcPr>
          <w:p w14:paraId="5229583B">
            <w:pPr>
              <w:pageBreakBefore w:val="0"/>
              <w:tabs>
                <w:tab w:val="left" w:pos="180"/>
                <w:tab w:val="left" w:pos="1620"/>
              </w:tabs>
              <w:kinsoku/>
              <w:overflowPunct/>
              <w:topLinePunct w:val="0"/>
              <w:bidi w:val="0"/>
              <w:spacing w:line="440"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1套</w:t>
            </w:r>
          </w:p>
        </w:tc>
        <w:tc>
          <w:tcPr>
            <w:tcW w:w="1139" w:type="dxa"/>
            <w:shd w:val="clear" w:color="auto" w:fill="auto"/>
            <w:vAlign w:val="center"/>
          </w:tcPr>
          <w:p w14:paraId="1983A679">
            <w:pPr>
              <w:pageBreakBefore w:val="0"/>
              <w:tabs>
                <w:tab w:val="left" w:pos="180"/>
                <w:tab w:val="left" w:pos="1620"/>
              </w:tabs>
              <w:kinsoku/>
              <w:overflowPunct/>
              <w:topLinePunct w:val="0"/>
              <w:bidi w:val="0"/>
              <w:spacing w:line="440"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19</w:t>
            </w:r>
          </w:p>
        </w:tc>
        <w:tc>
          <w:tcPr>
            <w:tcW w:w="5560" w:type="dxa"/>
            <w:shd w:val="clear" w:color="auto" w:fill="auto"/>
            <w:vAlign w:val="top"/>
          </w:tcPr>
          <w:p w14:paraId="411DEE2D">
            <w:pPr>
              <w:numPr>
                <w:ilvl w:val="0"/>
                <w:numId w:val="0"/>
              </w:numPr>
              <w:jc w:val="left"/>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1.鼻科吸切手柄（1个）</w:t>
            </w:r>
          </w:p>
          <w:p w14:paraId="411DEE2E">
            <w:pPr>
              <w:numPr>
                <w:ilvl w:val="0"/>
                <w:numId w:val="10"/>
              </w:numPr>
              <w:jc w:val="left"/>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▲转速：往复≥5000转/分，单向≥12000转/分，最低50转/分用于精细手术,可用脚踏开关随意控制转速。</w:t>
            </w:r>
          </w:p>
          <w:p w14:paraId="411DEE2F">
            <w:pPr>
              <w:numPr>
                <w:ilvl w:val="0"/>
                <w:numId w:val="10"/>
              </w:numPr>
              <w:jc w:val="left"/>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▲直排式设计：从刀头到吸引排出口为直排式吸引，切割、排出为一直线，克服术中堵塞难题。</w:t>
            </w:r>
          </w:p>
          <w:p w14:paraId="411DEE30">
            <w:pPr>
              <w:numPr>
                <w:ilvl w:val="0"/>
                <w:numId w:val="10"/>
              </w:numPr>
              <w:jc w:val="left"/>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▲手柄可控制刀头开口360度旋转，更精确吸切。</w:t>
            </w:r>
          </w:p>
          <w:p w14:paraId="411DEE31">
            <w:pPr>
              <w:numPr>
                <w:ilvl w:val="0"/>
                <w:numId w:val="10"/>
              </w:numPr>
              <w:jc w:val="left"/>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握笔式设计，可自由改变方向和方位。</w:t>
            </w:r>
          </w:p>
          <w:p w14:paraId="411DEE32">
            <w:pPr>
              <w:numPr>
                <w:ilvl w:val="0"/>
                <w:numId w:val="10"/>
              </w:numPr>
              <w:jc w:val="left"/>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手柄同电缆可用高温高压及熏蒸的方式消毒。</w:t>
            </w:r>
          </w:p>
          <w:p w14:paraId="411DEE33">
            <w:pPr>
              <w:numPr>
                <w:ilvl w:val="0"/>
                <w:numId w:val="10"/>
              </w:numPr>
              <w:jc w:val="left"/>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能与≥100种刀头及钻头匹配，可以完成鼻部、咽部、喉部及颅底的各种手术和整形科手术。</w:t>
            </w:r>
          </w:p>
          <w:p w14:paraId="411DEE34">
            <w:pPr>
              <w:numPr>
                <w:ilvl w:val="0"/>
                <w:numId w:val="0"/>
              </w:numPr>
              <w:jc w:val="left"/>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2.鼻科刀头</w:t>
            </w:r>
          </w:p>
          <w:p w14:paraId="411DEE35">
            <w:pPr>
              <w:numPr>
                <w:ilvl w:val="0"/>
                <w:numId w:val="11"/>
              </w:numPr>
              <w:jc w:val="left"/>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钻头刀头可以注水和吸引。</w:t>
            </w:r>
          </w:p>
          <w:p w14:paraId="411DEE36">
            <w:pPr>
              <w:numPr>
                <w:ilvl w:val="0"/>
                <w:numId w:val="11"/>
              </w:numPr>
              <w:jc w:val="left"/>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刃面对刃面，对组织真正实现切割，对周围组织无损伤，真正实现微创手术。内壁光滑，不易堵塞.</w:t>
            </w:r>
          </w:p>
          <w:p w14:paraId="411DEE37">
            <w:pPr>
              <w:numPr>
                <w:ilvl w:val="0"/>
                <w:numId w:val="11"/>
              </w:numPr>
              <w:jc w:val="left"/>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刀头（各1把，共3把）。</w:t>
            </w:r>
          </w:p>
          <w:p w14:paraId="411DEE38">
            <w:pPr>
              <w:ind w:firstLine="420" w:firstLineChars="200"/>
              <w:jc w:val="left"/>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0°刀头: 长度≥11cm，能切除鼻息肉及筛房。刀头经特殊加工，锐性切割组织，充分保护周边粘膜，坚固耐用，可切割筛窦骨性组织，不易堵塞。</w:t>
            </w:r>
          </w:p>
          <w:p w14:paraId="411DEE39">
            <w:pPr>
              <w:ind w:firstLine="420" w:firstLineChars="200"/>
              <w:jc w:val="left"/>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40°刀头：长度≥11cm，能切除上颌窦口组织，主要用于处理上颌窦窦口的病变。</w:t>
            </w:r>
          </w:p>
          <w:p w14:paraId="4AF8624B">
            <w:pPr>
              <w:pageBreakBefore w:val="0"/>
              <w:numPr>
                <w:ilvl w:val="0"/>
                <w:numId w:val="0"/>
              </w:numPr>
              <w:kinsoku/>
              <w:overflowPunct/>
              <w:topLinePunct w:val="0"/>
              <w:bidi w:val="0"/>
              <w:spacing w:line="440" w:lineRule="exact"/>
              <w:ind w:leftChars="0"/>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60°刀头：长度≥11cm，能切除额窦口组织，主要用于额窦手术中切除软组织。</w:t>
            </w:r>
          </w:p>
        </w:tc>
      </w:tr>
      <w:tr w14:paraId="076C1A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16" w:type="dxa"/>
            <w:vAlign w:val="center"/>
          </w:tcPr>
          <w:p w14:paraId="6843F7F5">
            <w:pPr>
              <w:pageBreakBefore w:val="0"/>
              <w:tabs>
                <w:tab w:val="left" w:pos="180"/>
                <w:tab w:val="left" w:pos="1620"/>
              </w:tabs>
              <w:kinsoku/>
              <w:overflowPunct/>
              <w:topLinePunct w:val="0"/>
              <w:bidi w:val="0"/>
              <w:spacing w:line="440"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10</w:t>
            </w:r>
          </w:p>
        </w:tc>
        <w:tc>
          <w:tcPr>
            <w:tcW w:w="926" w:type="dxa"/>
            <w:vAlign w:val="center"/>
          </w:tcPr>
          <w:p w14:paraId="4F57D14D">
            <w:pPr>
              <w:pageBreakBefore w:val="0"/>
              <w:tabs>
                <w:tab w:val="left" w:pos="180"/>
                <w:tab w:val="left" w:pos="1620"/>
              </w:tabs>
              <w:kinsoku/>
              <w:overflowPunct/>
              <w:topLinePunct w:val="0"/>
              <w:bidi w:val="0"/>
              <w:spacing w:line="440" w:lineRule="exact"/>
              <w:jc w:val="cente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输血输液加压仪</w:t>
            </w:r>
          </w:p>
        </w:tc>
        <w:tc>
          <w:tcPr>
            <w:tcW w:w="851" w:type="dxa"/>
            <w:vAlign w:val="center"/>
          </w:tcPr>
          <w:p w14:paraId="4E23E686">
            <w:pPr>
              <w:pageBreakBefore w:val="0"/>
              <w:tabs>
                <w:tab w:val="left" w:pos="180"/>
                <w:tab w:val="left" w:pos="1620"/>
              </w:tabs>
              <w:kinsoku/>
              <w:overflowPunct/>
              <w:topLinePunct w:val="0"/>
              <w:bidi w:val="0"/>
              <w:spacing w:line="440"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1台</w:t>
            </w:r>
          </w:p>
        </w:tc>
        <w:tc>
          <w:tcPr>
            <w:tcW w:w="1139" w:type="dxa"/>
            <w:shd w:val="clear" w:color="auto" w:fill="auto"/>
            <w:vAlign w:val="center"/>
          </w:tcPr>
          <w:p w14:paraId="6A593AA3">
            <w:pPr>
              <w:pageBreakBefore w:val="0"/>
              <w:tabs>
                <w:tab w:val="left" w:pos="180"/>
                <w:tab w:val="left" w:pos="1620"/>
              </w:tabs>
              <w:kinsoku/>
              <w:overflowPunct/>
              <w:topLinePunct w:val="0"/>
              <w:bidi w:val="0"/>
              <w:spacing w:line="440"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w:t>
            </w:r>
          </w:p>
        </w:tc>
        <w:tc>
          <w:tcPr>
            <w:tcW w:w="5560" w:type="dxa"/>
            <w:shd w:val="clear" w:color="auto" w:fill="auto"/>
            <w:vAlign w:val="top"/>
          </w:tcPr>
          <w:p w14:paraId="12DDB9C7">
            <w:pPr>
              <w:pageBreakBefore w:val="0"/>
              <w:kinsoku/>
              <w:overflowPunct/>
              <w:topLinePunct w:val="0"/>
              <w:bidi w:val="0"/>
              <w:spacing w:line="440" w:lineRule="exac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（一）基础参数：加压、加温功能一体</w:t>
            </w:r>
          </w:p>
          <w:p w14:paraId="6837E2AE">
            <w:pPr>
              <w:pageBreakBefore w:val="0"/>
              <w:kinsoku/>
              <w:overflowPunct/>
              <w:topLinePunct w:val="0"/>
              <w:bidi w:val="0"/>
              <w:spacing w:line="440" w:lineRule="exac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1</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由主机、加压袋、加温条、固定装置组成，适用于临床上输液输血时的加压、加温输入，以帮助血液、血浆、营养液、冲洗液、灌洗液、心脏停搏液等袋装液体加速输出；</w:t>
            </w:r>
          </w:p>
          <w:p w14:paraId="3F2470D7">
            <w:pPr>
              <w:pageBreakBefore w:val="0"/>
              <w:kinsoku/>
              <w:overflowPunct/>
              <w:topLinePunct w:val="0"/>
              <w:bidi w:val="0"/>
              <w:spacing w:line="440" w:lineRule="exac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2</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工作模式：加温和加压通道可独立运行，也可同时工作，加温双通道可独立或协同工作；</w:t>
            </w:r>
          </w:p>
          <w:p w14:paraId="7D29FFE4">
            <w:pPr>
              <w:pageBreakBefore w:val="0"/>
              <w:kinsoku/>
              <w:overflowPunct/>
              <w:topLinePunct w:val="0"/>
              <w:bidi w:val="0"/>
              <w:spacing w:line="440" w:lineRule="exac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3</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适用范围：满足临床输血和输液加温而设计的包裹式加温并可以为输注液体提供恒定压力的加温仪，用于输血、输液过程中对输液（输血）管路内的液体进行即时加温加压。</w:t>
            </w:r>
          </w:p>
          <w:p w14:paraId="46326294">
            <w:pPr>
              <w:pageBreakBefore w:val="0"/>
              <w:kinsoku/>
              <w:overflowPunct/>
              <w:topLinePunct w:val="0"/>
              <w:bidi w:val="0"/>
              <w:spacing w:line="440" w:lineRule="exac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4</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外形尺寸：260mmx150mmx127mm(长x宽x高)</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±30mm</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w:t>
            </w:r>
          </w:p>
          <w:p w14:paraId="5BBA6A77">
            <w:pPr>
              <w:pageBreakBefore w:val="0"/>
              <w:kinsoku/>
              <w:overflowPunct/>
              <w:topLinePunct w:val="0"/>
              <w:bidi w:val="0"/>
              <w:spacing w:line="440" w:lineRule="exac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5</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主机结构：一体化支架提手，</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能</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移动仪器和固定加热管；薄膜轻触按键，操作可靠；</w:t>
            </w:r>
          </w:p>
          <w:p w14:paraId="31FF6F3F">
            <w:pPr>
              <w:pageBreakBefore w:val="0"/>
              <w:kinsoku/>
              <w:overflowPunct/>
              <w:topLinePunct w:val="0"/>
              <w:bidi w:val="0"/>
              <w:spacing w:line="440" w:lineRule="exac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6</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配置微电脑温控系统，</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5.0英寸图形点阵65K色IPS屏，可同时显示加压、加温工作信息；</w:t>
            </w:r>
          </w:p>
          <w:p w14:paraId="34BFA099">
            <w:pPr>
              <w:pageBreakBefore w:val="0"/>
              <w:kinsoku/>
              <w:overflowPunct/>
              <w:topLinePunct w:val="0"/>
              <w:bidi w:val="0"/>
              <w:spacing w:line="440" w:lineRule="exac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7</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屏幕监测数据包括：设定压力值、当前压力值、设定温度、当前温度，加热时间、故障信息；</w:t>
            </w:r>
          </w:p>
          <w:p w14:paraId="6B550510">
            <w:pPr>
              <w:pageBreakBefore w:val="0"/>
              <w:kinsoku/>
              <w:overflowPunct/>
              <w:topLinePunct w:val="0"/>
              <w:bidi w:val="0"/>
              <w:spacing w:line="440" w:lineRule="exac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（二）加压功能</w:t>
            </w:r>
          </w:p>
          <w:p w14:paraId="1D2DEF50">
            <w:pPr>
              <w:pageBreakBefore w:val="0"/>
              <w:kinsoku/>
              <w:overflowPunct/>
              <w:topLinePunct w:val="0"/>
              <w:bidi w:val="0"/>
              <w:spacing w:line="440" w:lineRule="exac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1</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加压模式：自动加压，无需外置加压泵；</w:t>
            </w:r>
          </w:p>
          <w:p w14:paraId="3EC2C582">
            <w:pPr>
              <w:pageBreakBefore w:val="0"/>
              <w:kinsoku/>
              <w:overflowPunct/>
              <w:topLinePunct w:val="0"/>
              <w:bidi w:val="0"/>
              <w:spacing w:line="440" w:lineRule="exac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2</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▲压力范围：</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达到</w:t>
            </w: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10-300mmHg，调整步距</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具备</w:t>
            </w: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5mmHg和10mmHg两档可选；</w:t>
            </w:r>
          </w:p>
          <w:p w14:paraId="68D5D2C0">
            <w:pPr>
              <w:pageBreakBefore w:val="0"/>
              <w:kinsoku/>
              <w:overflowPunct/>
              <w:topLinePunct w:val="0"/>
              <w:bidi w:val="0"/>
              <w:spacing w:line="440" w:lineRule="exac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3</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▲压力精度：</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达到</w:t>
            </w: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设定值±5%或±5mmHg；</w:t>
            </w:r>
          </w:p>
          <w:p w14:paraId="3F4EA61C">
            <w:pPr>
              <w:pageBreakBefore w:val="0"/>
              <w:kinsoku/>
              <w:overflowPunct/>
              <w:topLinePunct w:val="0"/>
              <w:bidi w:val="0"/>
              <w:spacing w:line="440" w:lineRule="exac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4</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快速加压：25s内可达到300mmHg；</w:t>
            </w:r>
          </w:p>
          <w:p w14:paraId="587A4CFC">
            <w:pPr>
              <w:pageBreakBefore w:val="0"/>
              <w:kinsoku/>
              <w:overflowPunct/>
              <w:topLinePunct w:val="0"/>
              <w:bidi w:val="0"/>
              <w:spacing w:line="440" w:lineRule="exac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5</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恒定压力：具备独立压力监测柱，随着液体量减少，自动补充压力，保持恒定设置的压力值，可以自动保持恒压，自动控制，无需人工干预；</w:t>
            </w:r>
          </w:p>
          <w:p w14:paraId="0194720A">
            <w:pPr>
              <w:pageBreakBefore w:val="0"/>
              <w:kinsoku/>
              <w:overflowPunct/>
              <w:topLinePunct w:val="0"/>
              <w:bidi w:val="0"/>
              <w:spacing w:line="440" w:lineRule="exac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6</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压力显示：通过输血输液加压仪操作面板调节压力设置，按照设定压力加压，并在显示屏显示当前压力；</w:t>
            </w:r>
          </w:p>
          <w:p w14:paraId="478FFE7D">
            <w:pPr>
              <w:pageBreakBefore w:val="0"/>
              <w:kinsoku/>
              <w:overflowPunct/>
              <w:topLinePunct w:val="0"/>
              <w:bidi w:val="0"/>
              <w:spacing w:line="440" w:lineRule="exac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7</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超压报警：加压工作状态下，连续10秒钟测到的压力高于设定值的20mmHg时，发出声音报警，显示屏显示“超压报警”；</w:t>
            </w:r>
          </w:p>
          <w:p w14:paraId="5DBC2E4C">
            <w:pPr>
              <w:pageBreakBefore w:val="0"/>
              <w:kinsoku/>
              <w:overflowPunct/>
              <w:topLinePunct w:val="0"/>
              <w:bidi w:val="0"/>
              <w:spacing w:line="440" w:lineRule="exac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8</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▲加压袋规格：250ml（A型），500ml（B型），1000ml（C型），2000（D型）ml， 3000ml（E型）。</w:t>
            </w:r>
          </w:p>
          <w:p w14:paraId="49656DF2">
            <w:pPr>
              <w:pageBreakBefore w:val="0"/>
              <w:kinsoku/>
              <w:overflowPunct/>
              <w:topLinePunct w:val="0"/>
              <w:bidi w:val="0"/>
              <w:spacing w:line="440" w:lineRule="exac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（三）加温功能</w:t>
            </w:r>
          </w:p>
          <w:p w14:paraId="61045A82">
            <w:pPr>
              <w:pageBreakBefore w:val="0"/>
              <w:kinsoku/>
              <w:overflowPunct/>
              <w:topLinePunct w:val="0"/>
              <w:bidi w:val="0"/>
              <w:spacing w:line="440" w:lineRule="exac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1</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通道独立控温：双通道互不干扰，可设置不同温度，可独立或协同工作；</w:t>
            </w:r>
          </w:p>
          <w:p w14:paraId="280D1ECC">
            <w:pPr>
              <w:pageBreakBefore w:val="0"/>
              <w:kinsoku/>
              <w:overflowPunct/>
              <w:topLinePunct w:val="0"/>
              <w:bidi w:val="0"/>
              <w:spacing w:line="440" w:lineRule="exact"/>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2</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▲预热时间：从20℃-38℃小于</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等于</w:t>
            </w: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2分钟；</w:t>
            </w:r>
          </w:p>
          <w:p w14:paraId="5310086B">
            <w:pPr>
              <w:pageBreakBefore w:val="0"/>
              <w:kinsoku/>
              <w:overflowPunct/>
              <w:topLinePunct w:val="0"/>
              <w:bidi w:val="0"/>
              <w:spacing w:line="440" w:lineRule="exac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3</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▲温度可调范围：</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达到</w:t>
            </w: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33℃-43℃，连续可调，0.1℃/1.0℃步进可选；</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 xml:space="preserve"> </w:t>
            </w:r>
          </w:p>
          <w:p w14:paraId="48D90C9B">
            <w:pPr>
              <w:pageBreakBefore w:val="0"/>
              <w:kinsoku/>
              <w:overflowPunct/>
              <w:topLinePunct w:val="0"/>
              <w:bidi w:val="0"/>
              <w:spacing w:line="440" w:lineRule="exac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4</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控温精度为±1.0℃；</w:t>
            </w:r>
          </w:p>
          <w:p w14:paraId="6E785FC5">
            <w:pPr>
              <w:pageBreakBefore w:val="0"/>
              <w:kinsoku/>
              <w:overflowPunct/>
              <w:topLinePunct w:val="0"/>
              <w:bidi w:val="0"/>
              <w:spacing w:line="440" w:lineRule="exac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5</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▲高温报警：超过44℃系统声光报警，发出报警屏幕显示“高温报警”；</w:t>
            </w:r>
          </w:p>
          <w:p w14:paraId="52D47AA5">
            <w:pPr>
              <w:pageBreakBefore w:val="0"/>
              <w:kinsoku/>
              <w:overflowPunct/>
              <w:topLinePunct w:val="0"/>
              <w:bidi w:val="0"/>
              <w:spacing w:line="440" w:lineRule="exac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6</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▲低温报警：开始加温5分钟后温度低于32℃，发出报警，屏幕显示“低温报警”</w:t>
            </w:r>
          </w:p>
          <w:p w14:paraId="6A90CDB1">
            <w:pPr>
              <w:pageBreakBefore w:val="0"/>
              <w:kinsoku/>
              <w:overflowPunct/>
              <w:topLinePunct w:val="0"/>
              <w:bidi w:val="0"/>
              <w:spacing w:line="440" w:lineRule="exac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7</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加温条常规内径3.0-6.0mm；</w:t>
            </w:r>
          </w:p>
          <w:p w14:paraId="50C0D22E">
            <w:pPr>
              <w:pageBreakBefore w:val="0"/>
              <w:kinsoku/>
              <w:overflowPunct/>
              <w:topLinePunct w:val="0"/>
              <w:bidi w:val="0"/>
              <w:spacing w:line="440" w:lineRule="exac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8</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故障报警和故障提示：加压通道故障报警、超压报警高温报警、传感器故障报警、加温器件故障报警、低温报警；</w:t>
            </w:r>
          </w:p>
          <w:p w14:paraId="1BEE6EFF">
            <w:pPr>
              <w:pageBreakBefore w:val="0"/>
              <w:kinsoku/>
              <w:overflowPunct/>
              <w:topLinePunct w:val="0"/>
              <w:bidi w:val="0"/>
              <w:spacing w:line="440" w:lineRule="exac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9</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报警提示包括：声音、灯光提示、报警信息文字，可进行报警排查。</w:t>
            </w:r>
          </w:p>
          <w:p w14:paraId="50ACABB9">
            <w:pPr>
              <w:pageBreakBefore w:val="0"/>
              <w:kinsoku/>
              <w:overflowPunct/>
              <w:topLinePunct w:val="0"/>
              <w:bidi w:val="0"/>
              <w:spacing w:line="440" w:lineRule="exac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1</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0.</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正常工作条件：环境温度 +10</w:t>
            </w:r>
            <w:r>
              <w:rPr>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 +40</w:t>
            </w:r>
            <w:r>
              <w:rPr>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 xml:space="preserve">相对湿度：30%－80%；   </w:t>
            </w:r>
          </w:p>
          <w:p w14:paraId="4889C386">
            <w:pPr>
              <w:pageBreakBefore w:val="0"/>
              <w:kinsoku/>
              <w:overflowPunct/>
              <w:topLinePunct w:val="0"/>
              <w:bidi w:val="0"/>
              <w:spacing w:line="440" w:lineRule="exact"/>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11.</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大气压力：</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达到</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700hPa－1060hPa；</w:t>
            </w:r>
          </w:p>
        </w:tc>
      </w:tr>
      <w:tr w14:paraId="1DAF5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16" w:type="dxa"/>
            <w:vAlign w:val="center"/>
          </w:tcPr>
          <w:p w14:paraId="13F7E415">
            <w:pPr>
              <w:pageBreakBefore w:val="0"/>
              <w:tabs>
                <w:tab w:val="left" w:pos="180"/>
                <w:tab w:val="left" w:pos="1620"/>
              </w:tabs>
              <w:kinsoku/>
              <w:overflowPunct/>
              <w:topLinePunct w:val="0"/>
              <w:bidi w:val="0"/>
              <w:spacing w:line="440"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11</w:t>
            </w:r>
          </w:p>
        </w:tc>
        <w:tc>
          <w:tcPr>
            <w:tcW w:w="926" w:type="dxa"/>
            <w:vAlign w:val="center"/>
          </w:tcPr>
          <w:p w14:paraId="26892C53">
            <w:pPr>
              <w:pageBreakBefore w:val="0"/>
              <w:tabs>
                <w:tab w:val="left" w:pos="180"/>
                <w:tab w:val="left" w:pos="1620"/>
              </w:tabs>
              <w:kinsoku/>
              <w:overflowPunct/>
              <w:topLinePunct w:val="0"/>
              <w:bidi w:val="0"/>
              <w:spacing w:line="440" w:lineRule="exact"/>
              <w:jc w:val="cente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小儿腹腔镜镜头</w:t>
            </w:r>
          </w:p>
        </w:tc>
        <w:tc>
          <w:tcPr>
            <w:tcW w:w="851" w:type="dxa"/>
            <w:vAlign w:val="center"/>
          </w:tcPr>
          <w:p w14:paraId="09CB6DD7">
            <w:pPr>
              <w:pageBreakBefore w:val="0"/>
              <w:tabs>
                <w:tab w:val="left" w:pos="180"/>
                <w:tab w:val="left" w:pos="1620"/>
              </w:tabs>
              <w:kinsoku/>
              <w:overflowPunct/>
              <w:topLinePunct w:val="0"/>
              <w:bidi w:val="0"/>
              <w:spacing w:line="440"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2支</w:t>
            </w:r>
          </w:p>
        </w:tc>
        <w:tc>
          <w:tcPr>
            <w:tcW w:w="1139" w:type="dxa"/>
            <w:shd w:val="clear" w:color="auto" w:fill="auto"/>
            <w:vAlign w:val="center"/>
          </w:tcPr>
          <w:p w14:paraId="5B890D0A">
            <w:pPr>
              <w:pageBreakBefore w:val="0"/>
              <w:tabs>
                <w:tab w:val="left" w:pos="180"/>
                <w:tab w:val="left" w:pos="1620"/>
              </w:tabs>
              <w:kinsoku/>
              <w:overflowPunct/>
              <w:topLinePunct w:val="0"/>
              <w:bidi w:val="0"/>
              <w:spacing w:line="440"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w:t>
            </w:r>
          </w:p>
        </w:tc>
        <w:tc>
          <w:tcPr>
            <w:tcW w:w="5560" w:type="dxa"/>
            <w:shd w:val="clear" w:color="auto" w:fill="auto"/>
            <w:vAlign w:val="top"/>
          </w:tcPr>
          <w:p w14:paraId="7CD3FC79">
            <w:pPr>
              <w:pageBreakBefore w:val="0"/>
              <w:kinsoku/>
              <w:overflowPunct/>
              <w:topLinePunct w:val="0"/>
              <w:bidi w:val="0"/>
              <w:spacing w:line="440" w:lineRule="exac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1</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直径5mm，30度视野方向，视野角度≥65°，工作长度≥290mm。</w:t>
            </w:r>
          </w:p>
          <w:p w14:paraId="17910DB0">
            <w:pPr>
              <w:pageBreakBefore w:val="0"/>
              <w:kinsoku/>
              <w:overflowPunct/>
              <w:topLinePunct w:val="0"/>
              <w:bidi w:val="0"/>
              <w:spacing w:line="440" w:lineRule="exac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2</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视场中心角分辨率≥7.0C/(°)。</w:t>
            </w:r>
          </w:p>
          <w:p w14:paraId="122B8266">
            <w:pPr>
              <w:pageBreakBefore w:val="0"/>
              <w:kinsoku/>
              <w:overflowPunct/>
              <w:topLinePunct w:val="0"/>
              <w:bidi w:val="0"/>
              <w:spacing w:line="440" w:lineRule="exac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3</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大景深光学视管，有效景深</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达到</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3mm-200mm。</w:t>
            </w:r>
          </w:p>
        </w:tc>
      </w:tr>
      <w:tr w14:paraId="28A07A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16" w:type="dxa"/>
            <w:vAlign w:val="center"/>
          </w:tcPr>
          <w:p w14:paraId="4DE402DE">
            <w:pPr>
              <w:pageBreakBefore w:val="0"/>
              <w:tabs>
                <w:tab w:val="left" w:pos="180"/>
                <w:tab w:val="left" w:pos="1620"/>
              </w:tabs>
              <w:kinsoku/>
              <w:overflowPunct/>
              <w:topLinePunct w:val="0"/>
              <w:bidi w:val="0"/>
              <w:spacing w:line="440"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12</w:t>
            </w:r>
          </w:p>
        </w:tc>
        <w:tc>
          <w:tcPr>
            <w:tcW w:w="926" w:type="dxa"/>
            <w:vAlign w:val="center"/>
          </w:tcPr>
          <w:p w14:paraId="7E75D2B1">
            <w:pPr>
              <w:pageBreakBefore w:val="0"/>
              <w:tabs>
                <w:tab w:val="left" w:pos="180"/>
                <w:tab w:val="left" w:pos="1620"/>
              </w:tabs>
              <w:kinsoku/>
              <w:overflowPunct/>
              <w:topLinePunct w:val="0"/>
              <w:bidi w:val="0"/>
              <w:spacing w:line="440" w:lineRule="exact"/>
              <w:jc w:val="cente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暖风机</w:t>
            </w:r>
          </w:p>
        </w:tc>
        <w:tc>
          <w:tcPr>
            <w:tcW w:w="851" w:type="dxa"/>
            <w:vAlign w:val="center"/>
          </w:tcPr>
          <w:p w14:paraId="34EB486A">
            <w:pPr>
              <w:pageBreakBefore w:val="0"/>
              <w:tabs>
                <w:tab w:val="left" w:pos="180"/>
                <w:tab w:val="left" w:pos="1620"/>
              </w:tabs>
              <w:kinsoku/>
              <w:overflowPunct/>
              <w:topLinePunct w:val="0"/>
              <w:bidi w:val="0"/>
              <w:spacing w:line="440"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10台</w:t>
            </w:r>
          </w:p>
        </w:tc>
        <w:tc>
          <w:tcPr>
            <w:tcW w:w="1139" w:type="dxa"/>
            <w:shd w:val="clear" w:color="auto" w:fill="auto"/>
            <w:vAlign w:val="center"/>
          </w:tcPr>
          <w:p w14:paraId="0A5D9E8A">
            <w:pPr>
              <w:pageBreakBefore w:val="0"/>
              <w:tabs>
                <w:tab w:val="left" w:pos="180"/>
                <w:tab w:val="left" w:pos="1620"/>
              </w:tabs>
              <w:kinsoku/>
              <w:overflowPunct/>
              <w:topLinePunct w:val="0"/>
              <w:bidi w:val="0"/>
              <w:spacing w:line="440"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36</w:t>
            </w:r>
          </w:p>
        </w:tc>
        <w:tc>
          <w:tcPr>
            <w:tcW w:w="5560" w:type="dxa"/>
            <w:shd w:val="clear" w:color="auto" w:fill="auto"/>
            <w:vAlign w:val="top"/>
          </w:tcPr>
          <w:p w14:paraId="357DE2C6">
            <w:pPr>
              <w:pageBreakBefore w:val="0"/>
              <w:kinsoku/>
              <w:overflowPunct/>
              <w:topLinePunct w:val="0"/>
              <w:bidi w:val="0"/>
              <w:spacing w:line="440" w:lineRule="exac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1</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产品为充热空气加温方式，具备气流量大、加热快等特点；</w:t>
            </w:r>
          </w:p>
          <w:p w14:paraId="0E20A1CE">
            <w:pPr>
              <w:pageBreakBefore w:val="0"/>
              <w:kinsoku/>
              <w:overflowPunct/>
              <w:topLinePunct w:val="0"/>
              <w:bidi w:val="0"/>
              <w:spacing w:line="440" w:lineRule="exac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2</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液晶显示屏能够显示热空气实时温度、显示当前设定的温度、显示当前是热风输出还是自然风输出、显示当前风量等级等工作状态信息 ；</w:t>
            </w:r>
          </w:p>
          <w:p w14:paraId="1596D3CB">
            <w:pPr>
              <w:pageBreakBefore w:val="0"/>
              <w:kinsoku/>
              <w:overflowPunct/>
              <w:topLinePunct w:val="0"/>
              <w:bidi w:val="0"/>
              <w:spacing w:line="440" w:lineRule="exact"/>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3</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▲主机面板具有一键式温度设置自然风键、38℃、43℃快捷键、温度调节及风量调节键；</w:t>
            </w:r>
          </w:p>
          <w:p w14:paraId="467B6C55">
            <w:pPr>
              <w:pageBreakBefore w:val="0"/>
              <w:kinsoku/>
              <w:overflowPunct/>
              <w:topLinePunct w:val="0"/>
              <w:bidi w:val="0"/>
              <w:spacing w:line="440" w:lineRule="exac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4</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▲温度调节范围</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达到</w:t>
            </w: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33-43℃，0.5℃步进，控温精度±0.5℃，任意温度可调节；</w:t>
            </w:r>
          </w:p>
          <w:p w14:paraId="4002D288">
            <w:pPr>
              <w:pageBreakBefore w:val="0"/>
              <w:kinsoku/>
              <w:overflowPunct/>
              <w:topLinePunct w:val="0"/>
              <w:bidi w:val="0"/>
              <w:spacing w:line="440" w:lineRule="exac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5</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风量</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至少</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5挡可调；0档 15m³/h；1档 30m³/h ；  2档 45m³/h；3档 60m³/h ；4档 70m³/h；5档 85m³/h。</w:t>
            </w:r>
          </w:p>
          <w:p w14:paraId="6C8C1884">
            <w:pPr>
              <w:pageBreakBefore w:val="0"/>
              <w:kinsoku/>
              <w:overflowPunct/>
              <w:topLinePunct w:val="0"/>
              <w:bidi w:val="0"/>
              <w:spacing w:line="440" w:lineRule="exac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6</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送风管</w:t>
            </w:r>
            <w:r>
              <w:rPr>
                <w:rFonts w:hint="eastAsia"/>
                <w:color w:val="000000" w:themeColor="text1"/>
                <w:highlight w:val="none"/>
                <w:lang w:val="en-US" w:eastAsia="zh-CN"/>
                <w14:textFill>
                  <w14:solidFill>
                    <w14:schemeClr w14:val="tx1"/>
                  </w14:solidFill>
                </w14:textFill>
              </w:rPr>
              <w:t>达到</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1.2m-1.7m可伸缩调节；</w:t>
            </w:r>
          </w:p>
          <w:p w14:paraId="63D1C4DB">
            <w:pPr>
              <w:pageBreakBefore w:val="0"/>
              <w:kinsoku/>
              <w:overflowPunct/>
              <w:topLinePunct w:val="0"/>
              <w:bidi w:val="0"/>
              <w:spacing w:line="440" w:lineRule="exac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7</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主机兼容其他品牌升温毯耗材；</w:t>
            </w:r>
          </w:p>
          <w:p w14:paraId="1A57AD1F">
            <w:pPr>
              <w:pageBreakBefore w:val="0"/>
              <w:kinsoku/>
              <w:overflowPunct/>
              <w:topLinePunct w:val="0"/>
              <w:bidi w:val="0"/>
              <w:spacing w:line="440" w:lineRule="exac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8</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升温方式：充热空气式；</w:t>
            </w:r>
          </w:p>
          <w:p w14:paraId="71D2C286">
            <w:pPr>
              <w:pageBreakBefore w:val="0"/>
              <w:kinsoku/>
              <w:overflowPunct/>
              <w:topLinePunct w:val="0"/>
              <w:bidi w:val="0"/>
              <w:spacing w:line="440" w:lineRule="exac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9</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具有空气过滤器，滤过颗粒直径≤0.2μm；</w:t>
            </w:r>
          </w:p>
          <w:p w14:paraId="6C0D0218">
            <w:pPr>
              <w:pageBreakBefore w:val="0"/>
              <w:kinsoku/>
              <w:overflowPunct/>
              <w:topLinePunct w:val="0"/>
              <w:bidi w:val="0"/>
              <w:spacing w:line="440" w:lineRule="exac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10</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最大运行风量噪声2档≤53dB、1档≤48dB；</w:t>
            </w:r>
          </w:p>
          <w:p w14:paraId="287BE49B">
            <w:pPr>
              <w:pageBreakBefore w:val="0"/>
              <w:kinsoku/>
              <w:overflowPunct/>
              <w:topLinePunct w:val="0"/>
              <w:bidi w:val="0"/>
              <w:spacing w:line="440" w:lineRule="exac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11</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具有温度传感器，可实时显示当前温度；</w:t>
            </w:r>
          </w:p>
          <w:p w14:paraId="354C3B08">
            <w:pPr>
              <w:pageBreakBefore w:val="0"/>
              <w:kinsoku/>
              <w:overflowPunct/>
              <w:topLinePunct w:val="0"/>
              <w:bidi w:val="0"/>
              <w:spacing w:line="440" w:lineRule="exac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12</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正常工作条件：环境温度＋10℃～＋40℃、相对湿度30％～75％、大气压力</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达到</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700hPa～1060hPa；</w:t>
            </w:r>
          </w:p>
          <w:p w14:paraId="4B3B40BD">
            <w:pPr>
              <w:pageBreakBefore w:val="0"/>
              <w:kinsoku/>
              <w:overflowPunct/>
              <w:topLinePunct w:val="0"/>
              <w:bidi w:val="0"/>
              <w:spacing w:line="440" w:lineRule="exac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13</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高温报警：温度持续1分钟≥45℃，主机报警、自动停止工作；</w:t>
            </w:r>
          </w:p>
          <w:p w14:paraId="4868C307">
            <w:pPr>
              <w:pageBreakBefore w:val="0"/>
              <w:kinsoku/>
              <w:overflowPunct/>
              <w:topLinePunct w:val="0"/>
              <w:bidi w:val="0"/>
              <w:spacing w:line="440" w:lineRule="exac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14</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多种声、光、图文报警提示：温度失调高、温度失调低、高温危险报警、风机故障报警、加热器故障报警、 传感器故障报警；</w:t>
            </w:r>
          </w:p>
          <w:p w14:paraId="600D2C8E">
            <w:pPr>
              <w:pageBreakBefore w:val="0"/>
              <w:kinsoku/>
              <w:overflowPunct/>
              <w:topLinePunct w:val="0"/>
              <w:bidi w:val="0"/>
              <w:spacing w:line="440" w:lineRule="exac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15</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具有全身盖毯、全身垫毯、上/下半身毯、全身盖毯等保温毯；</w:t>
            </w:r>
          </w:p>
          <w:p w14:paraId="27B6C775">
            <w:pPr>
              <w:pageBreakBefore w:val="0"/>
              <w:kinsoku/>
              <w:overflowPunct/>
              <w:topLinePunct w:val="0"/>
              <w:bidi w:val="0"/>
              <w:spacing w:line="440" w:lineRule="exac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16</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▲具有一次性使用升温毯及可重复性使用升温毯，重复性使用毯子可高温高压消毒、浸泡消毒；</w:t>
            </w:r>
          </w:p>
          <w:p w14:paraId="119F04A7">
            <w:pPr>
              <w:pageBreakBefore w:val="0"/>
              <w:kinsoku/>
              <w:overflowPunct/>
              <w:topLinePunct w:val="0"/>
              <w:bidi w:val="0"/>
              <w:spacing w:line="440" w:lineRule="exac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17</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具有防水设计。</w:t>
            </w:r>
          </w:p>
        </w:tc>
      </w:tr>
    </w:tbl>
    <w:p w14:paraId="10D1D4AE">
      <w:pPr>
        <w:pageBreakBefore w:val="0"/>
        <w:kinsoku/>
        <w:overflowPunct/>
        <w:topLinePunct w:val="0"/>
        <w:bidi w:val="0"/>
        <w:spacing w:line="44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bl>
      <w:tblPr>
        <w:tblStyle w:val="48"/>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7655"/>
      </w:tblGrid>
      <w:tr w14:paraId="25D83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9019" w:type="dxa"/>
            <w:gridSpan w:val="2"/>
            <w:tcBorders>
              <w:top w:val="single" w:color="auto" w:sz="4" w:space="0"/>
              <w:left w:val="single" w:color="auto" w:sz="4" w:space="0"/>
              <w:bottom w:val="single" w:color="auto" w:sz="4" w:space="0"/>
              <w:right w:val="single" w:color="auto" w:sz="4" w:space="0"/>
            </w:tcBorders>
            <w:noWrap/>
          </w:tcPr>
          <w:p w14:paraId="30C9BD85">
            <w:pPr>
              <w:pageBreakBefore w:val="0"/>
              <w:widowControl/>
              <w:kinsoku/>
              <w:overflowPunct/>
              <w:topLinePunct w:val="0"/>
              <w:autoSpaceDE w:val="0"/>
              <w:autoSpaceDN w:val="0"/>
              <w:bidi w:val="0"/>
              <w:spacing w:after="120" w:line="440" w:lineRule="exact"/>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二、</w:t>
            </w:r>
            <w:r>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t>商务条款要求</w:t>
            </w:r>
          </w:p>
        </w:tc>
      </w:tr>
      <w:tr w14:paraId="65F49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tcBorders>
              <w:top w:val="single" w:color="auto" w:sz="4" w:space="0"/>
              <w:left w:val="single" w:color="auto" w:sz="4" w:space="0"/>
              <w:bottom w:val="single" w:color="auto" w:sz="4" w:space="0"/>
              <w:right w:val="single" w:color="auto" w:sz="4" w:space="0"/>
            </w:tcBorders>
            <w:noWrap/>
            <w:vAlign w:val="center"/>
          </w:tcPr>
          <w:p w14:paraId="73A5234E">
            <w:pPr>
              <w:pageBreakBefore w:val="0"/>
              <w:kinsoku/>
              <w:overflowPunct/>
              <w:topLinePunct w:val="0"/>
              <w:bidi w:val="0"/>
              <w:snapToGrid w:val="0"/>
              <w:spacing w:line="440" w:lineRule="exact"/>
              <w:ind w:firstLine="198"/>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1"/>
                <w:szCs w:val="21"/>
                <w:highlight w:val="none"/>
                <w14:textFill>
                  <w14:solidFill>
                    <w14:schemeClr w14:val="tx1"/>
                  </w14:solidFill>
                </w14:textFill>
              </w:rPr>
              <w:t>质保期</w:t>
            </w:r>
          </w:p>
        </w:tc>
        <w:tc>
          <w:tcPr>
            <w:tcW w:w="7655" w:type="dxa"/>
            <w:tcBorders>
              <w:top w:val="single" w:color="auto" w:sz="4" w:space="0"/>
              <w:left w:val="single" w:color="auto" w:sz="4" w:space="0"/>
              <w:bottom w:val="single" w:color="auto" w:sz="4" w:space="0"/>
              <w:right w:val="single" w:color="auto" w:sz="4" w:space="0"/>
            </w:tcBorders>
            <w:noWrap/>
            <w:vAlign w:val="center"/>
          </w:tcPr>
          <w:p w14:paraId="00CB68AE">
            <w:pPr>
              <w:pageBreakBefore w:val="0"/>
              <w:kinsoku/>
              <w:overflowPunct/>
              <w:topLinePunct w:val="0"/>
              <w:bidi w:val="0"/>
              <w:spacing w:line="44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按国家有关的产品“三包”规定实行“三包”，所有产品为全新产品，符合国家相关标准；所有设备安装调试并经用户验收合格之日起质保期不少于2年（若国家或生产厂家对本项目所涉及货物的质量保证期的规定高于本项目要求的，应按国家或生产厂家的规定执行，若投标人在投标文件中承诺高于该期限，按照投标人承诺），质保期内维修、更换配件，提供设备维修及正常维护保养所需的零部件，质保期外提供终身维修服务。需求表中特别注明的按需求表中的执行。</w:t>
            </w:r>
          </w:p>
        </w:tc>
      </w:tr>
      <w:tr w14:paraId="5C41D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noWrap/>
            <w:vAlign w:val="center"/>
          </w:tcPr>
          <w:p w14:paraId="63845661">
            <w:pPr>
              <w:pageBreakBefore w:val="0"/>
              <w:kinsoku/>
              <w:overflowPunct/>
              <w:topLinePunct w:val="0"/>
              <w:bidi w:val="0"/>
              <w:snapToGrid w:val="0"/>
              <w:spacing w:line="440" w:lineRule="exact"/>
              <w:ind w:firstLine="198"/>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1"/>
                <w:szCs w:val="21"/>
                <w:highlight w:val="none"/>
                <w14:textFill>
                  <w14:solidFill>
                    <w14:schemeClr w14:val="tx1"/>
                  </w14:solidFill>
                </w14:textFill>
              </w:rPr>
              <w:t>售后服务要求</w:t>
            </w:r>
          </w:p>
        </w:tc>
        <w:tc>
          <w:tcPr>
            <w:tcW w:w="7655" w:type="dxa"/>
            <w:noWrap/>
            <w:vAlign w:val="center"/>
          </w:tcPr>
          <w:p w14:paraId="73DAA975">
            <w:pPr>
              <w:pageBreakBefore w:val="0"/>
              <w:kinsoku/>
              <w:overflowPunct/>
              <w:topLinePunct w:val="0"/>
              <w:bidi w:val="0"/>
              <w:spacing w:line="440" w:lineRule="exact"/>
              <w:ind w:firstLine="198"/>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1.中标人负责送货至钦州市第二人民医院，负责安装调试，并对操作人员进行操作培训。</w:t>
            </w:r>
          </w:p>
          <w:p w14:paraId="461E483D">
            <w:pPr>
              <w:pageBreakBefore w:val="0"/>
              <w:kinsoku/>
              <w:overflowPunct/>
              <w:topLinePunct w:val="0"/>
              <w:bidi w:val="0"/>
              <w:spacing w:line="440" w:lineRule="exact"/>
              <w:ind w:left="197" w:leftChars="94"/>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2.维护保养的安排：中标人一年至少两次派工程技术人员对设备进行维护保养。质保期内当设备有重大级别提升时，中标人应为设备进行软件升级。</w:t>
            </w:r>
          </w:p>
          <w:p w14:paraId="2FD6B05D">
            <w:pPr>
              <w:pageBreakBefore w:val="0"/>
              <w:kinsoku/>
              <w:overflowPunct/>
              <w:topLinePunct w:val="0"/>
              <w:bidi w:val="0"/>
              <w:spacing w:line="440" w:lineRule="exact"/>
              <w:ind w:firstLine="198"/>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维修时间安排应急维修时间安排：至少提供5×8小时远程桌面或7×24小时电话技术支持，使用中出故障接到通知后应立即响应，对重大问题提供现场技术支持，24小时内派工程技术人员到达现场维修。如果需要更换配件的，更换的配件应跟被更换的品牌、类型相一致或者是同类同档次的替代品，后者需征得采购人管理人员同意。</w:t>
            </w:r>
          </w:p>
          <w:p w14:paraId="289C17B2">
            <w:pPr>
              <w:pageBreakBefore w:val="0"/>
              <w:kinsoku/>
              <w:overflowPunct/>
              <w:topLinePunct w:val="0"/>
              <w:bidi w:val="0"/>
              <w:spacing w:line="440" w:lineRule="exact"/>
              <w:ind w:firstLine="198"/>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4.主要零配件价格；为采购人提供优惠的零配件及易耗品。</w:t>
            </w:r>
          </w:p>
          <w:p w14:paraId="5736D849">
            <w:pPr>
              <w:pageBreakBefore w:val="0"/>
              <w:kinsoku/>
              <w:overflowPunct/>
              <w:topLinePunct w:val="0"/>
              <w:bidi w:val="0"/>
              <w:spacing w:line="440" w:lineRule="exact"/>
              <w:ind w:firstLine="198"/>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5.设备质保期内一周如出现</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3次及以上停机或设备故障的</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，采购人有权要求中标人退货或更换新机器，所产生费用由中标人承担。</w:t>
            </w:r>
          </w:p>
          <w:p w14:paraId="513950B6">
            <w:pPr>
              <w:pageBreakBefore w:val="0"/>
              <w:kinsoku/>
              <w:overflowPunct/>
              <w:topLinePunct w:val="0"/>
              <w:bidi w:val="0"/>
              <w:spacing w:line="440" w:lineRule="exact"/>
              <w:ind w:firstLine="198"/>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6.培训对象：包括使用科室的设备使用人员及维修人员，</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由生产厂家为采购人提供使用技术培训</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，使用培训为验收要件之一，没有经过培训，视为没能完成验收。</w:t>
            </w:r>
          </w:p>
          <w:p w14:paraId="3EB1BE54">
            <w:pPr>
              <w:pageBreakBefore w:val="0"/>
              <w:kinsoku/>
              <w:overflowPunct/>
              <w:topLinePunct w:val="0"/>
              <w:bidi w:val="0"/>
              <w:spacing w:line="440" w:lineRule="exact"/>
              <w:ind w:firstLine="198"/>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7.设备如需接入医院HIS、LIS或PACS系统及互联互通系统，相关费用由中标人负责。</w:t>
            </w:r>
          </w:p>
        </w:tc>
      </w:tr>
      <w:tr w14:paraId="0F405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noWrap/>
            <w:vAlign w:val="center"/>
          </w:tcPr>
          <w:p w14:paraId="796A8342">
            <w:pPr>
              <w:pageBreakBefore w:val="0"/>
              <w:kinsoku/>
              <w:overflowPunct/>
              <w:topLinePunct w:val="0"/>
              <w:bidi w:val="0"/>
              <w:snapToGrid w:val="0"/>
              <w:spacing w:line="440" w:lineRule="exact"/>
              <w:ind w:firstLine="198"/>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1"/>
                <w:szCs w:val="21"/>
                <w:highlight w:val="none"/>
                <w14:textFill>
                  <w14:solidFill>
                    <w14:schemeClr w14:val="tx1"/>
                  </w14:solidFill>
                </w14:textFill>
              </w:rPr>
              <w:t>培训计划</w:t>
            </w:r>
          </w:p>
        </w:tc>
        <w:tc>
          <w:tcPr>
            <w:tcW w:w="7655" w:type="dxa"/>
            <w:noWrap/>
            <w:vAlign w:val="center"/>
          </w:tcPr>
          <w:p w14:paraId="45C09632">
            <w:pPr>
              <w:pageBreakBefore w:val="0"/>
              <w:kinsoku/>
              <w:overflowPunct/>
              <w:topLinePunct w:val="0"/>
              <w:bidi w:val="0"/>
              <w:spacing w:line="440" w:lineRule="exact"/>
              <w:ind w:firstLine="198"/>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由生产厂家为采购人提供使用技术培训</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，使用培训为验收要件之一，没有经过培训，视为没能完成验收。</w:t>
            </w:r>
          </w:p>
          <w:p w14:paraId="3B3DCF5E">
            <w:pPr>
              <w:pageBreakBefore w:val="0"/>
              <w:kinsoku/>
              <w:overflowPunct/>
              <w:topLinePunct w:val="0"/>
              <w:bidi w:val="0"/>
              <w:spacing w:line="440" w:lineRule="exact"/>
              <w:ind w:firstLine="198"/>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1.培训对象：使用科室的设备使用人员及维修人员。</w:t>
            </w:r>
          </w:p>
          <w:p w14:paraId="0C9B239E">
            <w:pPr>
              <w:pageBreakBefore w:val="0"/>
              <w:kinsoku/>
              <w:overflowPunct/>
              <w:topLinePunct w:val="0"/>
              <w:bidi w:val="0"/>
              <w:spacing w:line="440" w:lineRule="exact"/>
              <w:ind w:firstLine="198"/>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2.培训形式：</w:t>
            </w:r>
          </w:p>
          <w:p w14:paraId="0923FF43">
            <w:pPr>
              <w:pageBreakBefore w:val="0"/>
              <w:kinsoku/>
              <w:overflowPunct/>
              <w:topLinePunct w:val="0"/>
              <w:bidi w:val="0"/>
              <w:spacing w:line="440" w:lineRule="exact"/>
              <w:ind w:firstLine="198"/>
              <w:jc w:val="lef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① 现场使用培训：安装调试结束后，中标人组织培训工程师对机器正确使用方法进行示范操作，保证教会使用人员能正确使用设备</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4AF4398C">
            <w:pPr>
              <w:pageBreakBefore w:val="0"/>
              <w:kinsoku/>
              <w:overflowPunct/>
              <w:topLinePunct w:val="0"/>
              <w:bidi w:val="0"/>
              <w:spacing w:line="440" w:lineRule="exact"/>
              <w:ind w:firstLine="198"/>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② 集中授课：应由厂方培训工程师使用专门讲义进行授课，并进行考核考试。</w:t>
            </w:r>
          </w:p>
        </w:tc>
      </w:tr>
      <w:tr w14:paraId="31FC7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noWrap/>
            <w:vAlign w:val="center"/>
          </w:tcPr>
          <w:p w14:paraId="6B836C90">
            <w:pPr>
              <w:pageBreakBefore w:val="0"/>
              <w:kinsoku/>
              <w:overflowPunct/>
              <w:topLinePunct w:val="0"/>
              <w:bidi w:val="0"/>
              <w:snapToGrid w:val="0"/>
              <w:spacing w:line="440" w:lineRule="exact"/>
              <w:ind w:firstLine="198"/>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1"/>
                <w:szCs w:val="21"/>
                <w:highlight w:val="none"/>
                <w14:textFill>
                  <w14:solidFill>
                    <w14:schemeClr w14:val="tx1"/>
                  </w14:solidFill>
                </w14:textFill>
              </w:rPr>
              <w:t>交货期</w:t>
            </w:r>
          </w:p>
        </w:tc>
        <w:tc>
          <w:tcPr>
            <w:tcW w:w="7655" w:type="dxa"/>
            <w:noWrap/>
            <w:vAlign w:val="center"/>
          </w:tcPr>
          <w:p w14:paraId="48676346">
            <w:pPr>
              <w:pageBreakBefore w:val="0"/>
              <w:kinsoku/>
              <w:overflowPunct/>
              <w:topLinePunct w:val="0"/>
              <w:bidi w:val="0"/>
              <w:spacing w:line="440" w:lineRule="exact"/>
              <w:jc w:val="lef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提供的货物为进口设备的，自签订合同之日起</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0天内调试完毕验收合格并交付使用；提供的货物为国产设备的，自签订合同之日起30天内调试完毕验收合格并交付使用。</w:t>
            </w:r>
          </w:p>
        </w:tc>
      </w:tr>
      <w:tr w14:paraId="021FD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noWrap/>
            <w:vAlign w:val="center"/>
          </w:tcPr>
          <w:p w14:paraId="66528B0F">
            <w:pPr>
              <w:pageBreakBefore w:val="0"/>
              <w:kinsoku/>
              <w:overflowPunct/>
              <w:topLinePunct w:val="0"/>
              <w:bidi w:val="0"/>
              <w:snapToGrid w:val="0"/>
              <w:spacing w:line="440" w:lineRule="exact"/>
              <w:ind w:firstLine="198"/>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1"/>
                <w:szCs w:val="21"/>
                <w:highlight w:val="none"/>
                <w14:textFill>
                  <w14:solidFill>
                    <w14:schemeClr w14:val="tx1"/>
                  </w14:solidFill>
                </w14:textFill>
              </w:rPr>
              <w:t>交货地点</w:t>
            </w:r>
          </w:p>
        </w:tc>
        <w:tc>
          <w:tcPr>
            <w:tcW w:w="7655" w:type="dxa"/>
            <w:noWrap/>
            <w:vAlign w:val="center"/>
          </w:tcPr>
          <w:p w14:paraId="1799170B">
            <w:pPr>
              <w:pageBreakBefore w:val="0"/>
              <w:kinsoku/>
              <w:overflowPunct/>
              <w:topLinePunct w:val="0"/>
              <w:bidi w:val="0"/>
              <w:spacing w:line="440" w:lineRule="exact"/>
              <w:ind w:firstLine="198"/>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钦州市第二人民医院内采购人指定地点</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c>
      </w:tr>
      <w:tr w14:paraId="56CA6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noWrap/>
            <w:vAlign w:val="center"/>
          </w:tcPr>
          <w:p w14:paraId="58D4C2C6">
            <w:pPr>
              <w:pageBreakBefore w:val="0"/>
              <w:kinsoku/>
              <w:overflowPunct/>
              <w:topLinePunct w:val="0"/>
              <w:bidi w:val="0"/>
              <w:snapToGrid w:val="0"/>
              <w:spacing w:line="440" w:lineRule="exact"/>
              <w:ind w:firstLine="198"/>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1"/>
                <w:szCs w:val="21"/>
                <w:highlight w:val="none"/>
                <w14:textFill>
                  <w14:solidFill>
                    <w14:schemeClr w14:val="tx1"/>
                  </w14:solidFill>
                </w14:textFill>
              </w:rPr>
              <w:t>签订合同日期</w:t>
            </w:r>
          </w:p>
        </w:tc>
        <w:tc>
          <w:tcPr>
            <w:tcW w:w="7655" w:type="dxa"/>
            <w:noWrap/>
            <w:vAlign w:val="center"/>
          </w:tcPr>
          <w:p w14:paraId="4AB05657">
            <w:pPr>
              <w:pageBreakBefore w:val="0"/>
              <w:kinsoku/>
              <w:overflowPunct/>
              <w:topLinePunct w:val="0"/>
              <w:bidi w:val="0"/>
              <w:spacing w:line="440" w:lineRule="exact"/>
              <w:ind w:firstLine="198"/>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自中标通知书发出之日起25天内。</w:t>
            </w:r>
          </w:p>
        </w:tc>
      </w:tr>
      <w:tr w14:paraId="30C71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noWrap/>
            <w:vAlign w:val="center"/>
          </w:tcPr>
          <w:p w14:paraId="7309C069">
            <w:pPr>
              <w:pageBreakBefore w:val="0"/>
              <w:kinsoku/>
              <w:overflowPunct/>
              <w:topLinePunct w:val="0"/>
              <w:bidi w:val="0"/>
              <w:snapToGrid w:val="0"/>
              <w:spacing w:line="440" w:lineRule="exact"/>
              <w:ind w:firstLine="198"/>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1"/>
                <w:szCs w:val="21"/>
                <w:highlight w:val="none"/>
                <w14:textFill>
                  <w14:solidFill>
                    <w14:schemeClr w14:val="tx1"/>
                  </w14:solidFill>
                </w14:textFill>
              </w:rPr>
              <w:t>付款条件</w:t>
            </w:r>
          </w:p>
        </w:tc>
        <w:tc>
          <w:tcPr>
            <w:tcW w:w="7655" w:type="dxa"/>
            <w:noWrap/>
            <w:vAlign w:val="center"/>
          </w:tcPr>
          <w:p w14:paraId="15B69881">
            <w:pPr>
              <w:pageBreakBefore w:val="0"/>
              <w:kinsoku/>
              <w:overflowPunct/>
              <w:topLinePunct w:val="0"/>
              <w:bidi w:val="0"/>
              <w:spacing w:before="240" w:after="60" w:line="440" w:lineRule="exact"/>
              <w:ind w:firstLine="210" w:firstLineChars="100"/>
              <w:outlineLvl w:val="0"/>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签订合同后无预付款，验收合格后1年6个月付清，到货验收合格后支付合同款的5%，验收合格第一年满后付45%，整个付款期满后付合同款的50%。</w:t>
            </w:r>
          </w:p>
        </w:tc>
      </w:tr>
      <w:tr w14:paraId="71665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noWrap/>
            <w:vAlign w:val="center"/>
          </w:tcPr>
          <w:p w14:paraId="140C0ED0">
            <w:pPr>
              <w:pageBreakBefore w:val="0"/>
              <w:kinsoku/>
              <w:overflowPunct/>
              <w:topLinePunct w:val="0"/>
              <w:bidi w:val="0"/>
              <w:snapToGrid w:val="0"/>
              <w:spacing w:line="440" w:lineRule="exact"/>
              <w:ind w:firstLine="198"/>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1"/>
                <w:szCs w:val="21"/>
                <w:highlight w:val="none"/>
                <w14:textFill>
                  <w14:solidFill>
                    <w14:schemeClr w14:val="tx1"/>
                  </w14:solidFill>
                </w14:textFill>
              </w:rPr>
              <w:t>备品备件或耗材等要求</w:t>
            </w:r>
          </w:p>
        </w:tc>
        <w:tc>
          <w:tcPr>
            <w:tcW w:w="7655" w:type="dxa"/>
            <w:noWrap/>
            <w:vAlign w:val="center"/>
          </w:tcPr>
          <w:p w14:paraId="2CECD018">
            <w:pPr>
              <w:pageBreakBefore w:val="0"/>
              <w:kinsoku/>
              <w:overflowPunct/>
              <w:topLinePunct w:val="0"/>
              <w:bidi w:val="0"/>
              <w:spacing w:line="440" w:lineRule="exact"/>
              <w:ind w:firstLine="210" w:firstLineChars="1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1.投标人必须有完善的备品备件库体系，质保期内能提供相应的措施和备件，保证过质保期后五年内有足够的备品备件，</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为本项目技术支持</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、服务需求提供可靠保证；需在投标报价时提供主要零配件及易耗品供货价格及质保期外零配件优质服务方案及报价</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（如有）</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，否则投标无效</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0D7B6D9C">
            <w:pPr>
              <w:pageBreakBefore w:val="0"/>
              <w:kinsoku/>
              <w:overflowPunct/>
              <w:topLinePunct w:val="0"/>
              <w:bidi w:val="0"/>
              <w:spacing w:line="440" w:lineRule="exact"/>
              <w:ind w:firstLine="210" w:firstLineChars="1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2.所有零部件、配件必须是全新未使用过的并符合国家有关质量安全标准的产品。</w:t>
            </w:r>
          </w:p>
        </w:tc>
      </w:tr>
      <w:tr w14:paraId="14A42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noWrap/>
            <w:vAlign w:val="center"/>
          </w:tcPr>
          <w:p w14:paraId="3EC2BF64">
            <w:pPr>
              <w:pageBreakBefore w:val="0"/>
              <w:kinsoku/>
              <w:overflowPunct/>
              <w:topLinePunct w:val="0"/>
              <w:bidi w:val="0"/>
              <w:snapToGrid w:val="0"/>
              <w:spacing w:line="440" w:lineRule="exact"/>
              <w:ind w:firstLine="198"/>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1"/>
                <w:szCs w:val="21"/>
                <w:highlight w:val="none"/>
                <w14:textFill>
                  <w14:solidFill>
                    <w14:schemeClr w14:val="tx1"/>
                  </w14:solidFill>
                </w14:textFill>
              </w:rPr>
              <w:t>验收标准</w:t>
            </w:r>
          </w:p>
        </w:tc>
        <w:tc>
          <w:tcPr>
            <w:tcW w:w="7655" w:type="dxa"/>
            <w:noWrap/>
            <w:vAlign w:val="center"/>
          </w:tcPr>
          <w:p w14:paraId="25F7398C">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1.验收过程中所产生的一切费用均由中标人承担。报价时应考虑相关费用。</w:t>
            </w:r>
          </w:p>
          <w:p w14:paraId="5AA35D6C">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2.中标人在货物验收时由</w:t>
            </w:r>
            <w:r>
              <w:rPr>
                <w:rFonts w:hint="eastAsia" w:ascii="宋体" w:hAnsi="宋体" w:cs="宋体"/>
                <w:color w:val="000000" w:themeColor="text1"/>
                <w:szCs w:val="21"/>
                <w:highlight w:val="none"/>
                <w:lang w:eastAsia="zh-CN"/>
                <w14:textFill>
                  <w14:solidFill>
                    <w14:schemeClr w14:val="tx1"/>
                  </w14:solidFill>
                </w14:textFill>
              </w:rPr>
              <w:t>采购人对照采购文件</w:t>
            </w:r>
            <w:r>
              <w:rPr>
                <w:rFonts w:hint="eastAsia" w:ascii="宋体" w:hAnsi="宋体" w:cs="宋体"/>
                <w:color w:val="000000" w:themeColor="text1"/>
                <w:szCs w:val="21"/>
                <w:highlight w:val="none"/>
                <w14:textFill>
                  <w14:solidFill>
                    <w14:schemeClr w14:val="tx1"/>
                  </w14:solidFill>
                </w14:textFill>
              </w:rPr>
              <w:t>的功能目标及技术指标全面核对检验，对所有要求出具的证明文件的原件进行核查，如不符合采购文件的技术需求及要求以及提供虚假承诺的，按相关规定做退货处理及违约处理，中标人承担所有责任和费用，采购人保留进一步追究责任的权利。安装标准：符合国际、国家及行业有关技术规范和技术标准。采购项目有其他要求的按其要求。</w:t>
            </w:r>
          </w:p>
          <w:p w14:paraId="34AC58F5">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标人负责安装的技术人员按照验收流程要求提供合格证标明的内容及技术参数表逐条进行验收。验收应符合国家相关法规及合同的技术要求，同时也应符合厂家或医疗器械厂家提供的技术资料中各项技术指标和参数要求，参数要求必须符合采购参数规定，不能以“标准配置”、“选购配置”为由与采购参数不符。</w:t>
            </w:r>
          </w:p>
          <w:p w14:paraId="499256E9">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3.设备的合法性证明材料：</w:t>
            </w:r>
          </w:p>
          <w:p w14:paraId="41A65B4A">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1)提供设备的生产许可证明材料（适用于国产品牌）：</w:t>
            </w:r>
          </w:p>
          <w:p w14:paraId="2F916C44">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a.具有医疗器械属性的设备：医疗器械生产企业许可证复印件 1 份及 PDF 文档 1 份。</w:t>
            </w:r>
          </w:p>
          <w:p w14:paraId="5363000A">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b.具有计量仪器属性的设备：制造计量器具许可证复印件 1 份及 PDF 文档 1 份。</w:t>
            </w:r>
          </w:p>
          <w:p w14:paraId="560CB754">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2)提供设备生产合格证明：</w:t>
            </w:r>
          </w:p>
          <w:p w14:paraId="295BEE04">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出厂合格证明：原件及 PDF 文档各 1 份</w:t>
            </w:r>
          </w:p>
          <w:p w14:paraId="49F9BE65">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3)医疗器械市场监管合法证明材料</w:t>
            </w:r>
          </w:p>
          <w:p w14:paraId="758EFE40">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a.医疗器械注册证（含注册登记表）（如涉及 2 类、3 类医疗器械时必须提供，1 类如有请提供）复印件 1 件及 PDF 文档 1 份。</w:t>
            </w:r>
          </w:p>
          <w:p w14:paraId="3FDB7F8F">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4)经销商的合法性证明材料：</w:t>
            </w:r>
          </w:p>
          <w:p w14:paraId="37B9D33F">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a.营业执照复印件及 PDF 文档各 1 份，经营范围必须与所经营的类别相符，并在有效期内。</w:t>
            </w:r>
          </w:p>
          <w:p w14:paraId="676DB43F">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b.医疗器械经营企业许可证或属于二类的备案凭证复印件 1 份及 PDF 文档 1 份，经营医疗器械级别及经营类别必须与设备的医疗器械注册证相符（如涉及 2 类、3 类医疗器械时必须提供，1 类如有请提供）。</w:t>
            </w:r>
          </w:p>
          <w:p w14:paraId="50830086">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c.中标人取得投标产品经销或代理的合法授权书原件 1 份及 PDF 文档 1 份，存在多级授权的须同时提供完整各级授权的证明文件。（验收时需提供）</w:t>
            </w:r>
          </w:p>
          <w:p w14:paraId="1ED997F2">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5)设备随机资料：</w:t>
            </w:r>
          </w:p>
          <w:p w14:paraId="5332021A">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a.纸质《使用说明书》一式两份和电子版一份。纸质版一份留使用科室，一份存档案室，不能提供两份原版的，可提供一份原版。</w:t>
            </w:r>
          </w:p>
          <w:p w14:paraId="2CE7161C">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b.电路图、其它技术文件、软件光盘、系统光盘、视频光盘及其它电子版原件资料，设备安装调试结束后必须存放医院档案室。</w:t>
            </w:r>
          </w:p>
          <w:p w14:paraId="03B00BE0">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c.如是计量仪器必须提供相关计量仪器检定合格证明材料原件及 PDF 文档各 1 份。</w:t>
            </w:r>
          </w:p>
          <w:p w14:paraId="02C23C06">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d.设备装箱单、配置清单。</w:t>
            </w:r>
          </w:p>
          <w:p w14:paraId="7C8B946B">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e.每台设备 1 份操作规定程序（操作规程）卡片，由中标人或厂方制作的质量好耐用纸质版。</w:t>
            </w:r>
          </w:p>
          <w:p w14:paraId="1E8048D3">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f.出库清单，清单包括设备名称、型号、单价，总金额，出库公司与合同公司一致。</w:t>
            </w:r>
          </w:p>
          <w:p w14:paraId="751FF4E2">
            <w:pPr>
              <w:widowControl/>
              <w:spacing w:line="360" w:lineRule="exact"/>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4.货物要求:</w:t>
            </w:r>
          </w:p>
          <w:p w14:paraId="1751CB56">
            <w:pPr>
              <w:widowControl/>
              <w:spacing w:line="360" w:lineRule="exact"/>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所供设备必须是全新的、未经改装的、合格的、满足本项目技术需求及要求的设备，提供的设备及制作安装采用的各种配件、材料均必须满足国家和行业规范标准。</w:t>
            </w:r>
          </w:p>
          <w:p w14:paraId="4D3C1EF1">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5.技术性能验收：</w:t>
            </w:r>
          </w:p>
          <w:p w14:paraId="78F725EA">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1)以采购参数为依据，以满足使用要求为原则，验收由设备使用科室人员负责,投标参数是否符合采购参数要求以验收实际结果为准。</w:t>
            </w:r>
          </w:p>
          <w:p w14:paraId="03CC1E03">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2)设备清单必须与采购参数相符合,如有出入，以招标文件参数为准。</w:t>
            </w:r>
          </w:p>
          <w:p w14:paraId="61B12748">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3)验收必须以采购参数为基准，对投标技术响应表逐条进行验收，对于技术响应表与采购技术参数不符的，作如下处理：</w:t>
            </w:r>
          </w:p>
          <w:p w14:paraId="1A3D63D6">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a.技术响应表与采购参数比较有漏项的，以不实质响应采购要求论处。</w:t>
            </w:r>
          </w:p>
          <w:p w14:paraId="63FD349F">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b.实际是负偏离的参数，响应表中标明负偏离，经评标仍然中标的，说明不影响设备质量、使用与档次，验收时以负偏离验收，设备视为接受。如果对质量、使用与档次有影响的，以不实质响应采购要求论处。</w:t>
            </w:r>
          </w:p>
          <w:p w14:paraId="491F6280">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c.实际是负偏离的参数，在投标文件中技术响应表明是无偏离或正偏离，以虚假应标论处，验收不予通过。</w:t>
            </w:r>
          </w:p>
          <w:p w14:paraId="7A9FD9E2">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d.实际是无偏离参数，在投标文件中技术响应表明是正偏离，以虚假应标论处，验收不予通过。</w:t>
            </w:r>
          </w:p>
          <w:p w14:paraId="57A340BE">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e.实际是正偏离参数，但验收时并没有达到投标文件中技术响应表明的正偏离幅度，以虚假应标论处，验收不予通过。</w:t>
            </w:r>
          </w:p>
          <w:p w14:paraId="00073333">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f.备用功能。是指设备主机具备相应的功能，但需要增加相应的软件硬件配件才能实现，除非需要在使用期限内升级，本次投标中不设“备用功能”参数，需要这种功能时，投标文件必须有明确注明“备用功能”字样。验收时中标人必须携带相关部件进行验收，以证明设备确实具备相关功能，验收完成后相关部件中标人带回，如果拒绝携带相关部件验收，以虚假应标论处，验收不予通过。</w:t>
            </w:r>
          </w:p>
          <w:p w14:paraId="691EE43B">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g.对于采购文件只要求具备的功能或性能，但采购文件没有详细标明硬件配置参数，同时采购文件也没有注明“备用功能”字样，中标人必须无条件配齐相关软件硬件后，予以接受，凡出现“可配”等不明确意义字样，以虚假应标论处，验收不予通过。</w:t>
            </w:r>
          </w:p>
          <w:p w14:paraId="22B42CE5">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h.如是“可配可不配的必须配”，不得以“必须增购相关软硬件才能具备”或者以此为“选配，必须加钱另买”为由要求采购人额外开支才能达到相应功能项。如果中标人不愿意提供相关软硬件配置，以虚假应标论处，验收不予通过。</w:t>
            </w:r>
          </w:p>
          <w:p w14:paraId="488C9891">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i.对于以采购参数不同的参数概念，应标时出现张冠李戴现象，如以“速度”参数响应“长度”参数等，按虚假应标论处。</w:t>
            </w:r>
          </w:p>
          <w:p w14:paraId="0ADF1E6D">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j.替代技术或同类技术，指用另一种与采购参数完全不一样的技术应标，验收时必须提供技术白皮书，说明与采购参数原理不同但目的与效果相同，验收时实际使用效果与采购参数一样，并得到使用科室验收专家的认可，才能判定无偏离，否则判定为负偏离，如果达不到相应使用效果，投投标文件却以无偏离甚至以正偏离响应，以虚假应标论处，验收不予通过。</w:t>
            </w:r>
          </w:p>
          <w:p w14:paraId="285A1290">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k.对于以含义相同而名字不同的参数名称响应，中标人必须提供白皮书等有效证明材料，并得到医院有关专业人员的认可，以无偏离论处，否则判定为负偏离，负偏离情况下，如果投标文件标明为无偏离或正偏离响应，以虚假应标论处，验收不予通过。</w:t>
            </w:r>
          </w:p>
          <w:p w14:paraId="34C00E15">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l.复合参数，一个参数有多个技术指标，必须全部响应。</w:t>
            </w:r>
            <w:r>
              <w:rPr>
                <w:rFonts w:hint="eastAsia" w:ascii="宋体" w:hAnsi="宋体" w:cs="宋体"/>
                <w:color w:val="000000" w:themeColor="text1"/>
                <w:szCs w:val="21"/>
                <w:highlight w:val="none"/>
                <w:lang w:eastAsia="zh-CN"/>
                <w14:textFill>
                  <w14:solidFill>
                    <w14:schemeClr w14:val="tx1"/>
                  </w14:solidFill>
                </w14:textFill>
              </w:rPr>
              <w:t>如果只响应其中部份指标</w:t>
            </w:r>
            <w:r>
              <w:rPr>
                <w:rFonts w:hint="eastAsia" w:ascii="宋体" w:hAnsi="宋体" w:cs="宋体"/>
                <w:color w:val="000000" w:themeColor="text1"/>
                <w:szCs w:val="21"/>
                <w:highlight w:val="none"/>
                <w14:textFill>
                  <w14:solidFill>
                    <w14:schemeClr w14:val="tx1"/>
                  </w14:solidFill>
                </w14:textFill>
              </w:rPr>
              <w:t>，以负偏离论处，如果投标文件标明为无偏离或正偏离，以虚假应标论处，验收不予通过。</w:t>
            </w:r>
          </w:p>
          <w:p w14:paraId="61CA5F1C">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m.对于区间涵盖值参数，如“频率范围为 x-y，”等，其下界值更低，上界值更高，才能判定正偏离；其中一端负偏离，不管另一端实际情况如何，均判定负偏离，如果投标文件还标明正偏离，以虚假应标论处，验收不予通过。</w:t>
            </w:r>
          </w:p>
          <w:p w14:paraId="1F443EC3">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n.对于区间任意值参数，如“a</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××尺寸</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b”，“ ××尺寸”在区间 a-b 内任意一个数值均为无偏离，超出约定区间范围为负偏离，此类情形，如果投标文件仍标明为无偏离以虚假应标论处，验收不予通过，此类参数出现正偏离，也以虚假应标论处，验收不予通过。</w:t>
            </w:r>
          </w:p>
          <w:p w14:paraId="0786E415">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o.对于指定值参数：不是大于值也不是小于值，更不是区间值，只有应标数据与采购文件一致，才能定为无偏离，应标参数不一致，为负偏离。如果与应标参数不一致，而响应为“无偏离”，以虚假应标论处，验收不予通过。</w:t>
            </w:r>
          </w:p>
          <w:p w14:paraId="17EFBF3A">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p.按常识，设备特殊的工作环境工作条件必须配置的软硬件才能发挥设备效用的，即使采购技术参数表没有表明，中标人也必须提供，不能以采购参数没有要求而拒绝提供。（如：除颤器有可能在远离电源的情况下使用，必须配置电池，即使招标文件没有明确标明电池，中标人也不能以此为由拒绝提供电池）。</w:t>
            </w:r>
          </w:p>
          <w:p w14:paraId="30F56EF6">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4）试运行：设备使用科室验收人员按设备说明书要求在中标人指导下，常规负荷试运行七个工作日，没有出现异常者，为合格。</w:t>
            </w:r>
          </w:p>
          <w:p w14:paraId="6659F778">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5）如果发现属于负偏离，偏离表说明仍写无偏离或正偏离，属于无偏离，偏离说明仍写正偏离，作无效投标论处。</w:t>
            </w:r>
          </w:p>
          <w:p w14:paraId="64832ACA">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6）设备符合下列情形的，不予接收：</w:t>
            </w:r>
          </w:p>
          <w:p w14:paraId="01461567">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ascii="Calibri" w:hAnsi="Calibri" w:cs="Calibri"/>
                <w:color w:val="000000" w:themeColor="text1"/>
                <w:szCs w:val="21"/>
                <w:highlight w:val="none"/>
                <w14:textFill>
                  <w14:solidFill>
                    <w14:schemeClr w14:val="tx1"/>
                  </w14:solidFill>
                </w14:textFill>
              </w:rPr>
              <w:t>①</w:t>
            </w:r>
            <w:r>
              <w:rPr>
                <w:rFonts w:hint="eastAsia" w:ascii="宋体" w:hAnsi="宋体" w:cs="宋体"/>
                <w:color w:val="000000" w:themeColor="text1"/>
                <w:szCs w:val="21"/>
                <w:highlight w:val="none"/>
                <w14:textFill>
                  <w14:solidFill>
                    <w14:schemeClr w14:val="tx1"/>
                  </w14:solidFill>
                </w14:textFill>
              </w:rPr>
              <w:t>设备部件损伤，影响整机外观或性能，中标人又不愿意更换的不予接收。</w:t>
            </w:r>
          </w:p>
          <w:p w14:paraId="5A866EE5">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ascii="Calibri" w:hAnsi="Calibri" w:cs="Calibri"/>
                <w:color w:val="000000" w:themeColor="text1"/>
                <w:szCs w:val="21"/>
                <w:highlight w:val="none"/>
                <w14:textFill>
                  <w14:solidFill>
                    <w14:schemeClr w14:val="tx1"/>
                  </w14:solidFill>
                </w14:textFill>
              </w:rPr>
              <w:t>②</w:t>
            </w:r>
            <w:r>
              <w:rPr>
                <w:rFonts w:hint="eastAsia" w:ascii="宋体" w:hAnsi="宋体" w:cs="宋体"/>
                <w:color w:val="000000" w:themeColor="text1"/>
                <w:szCs w:val="21"/>
                <w:highlight w:val="none"/>
                <w14:textFill>
                  <w14:solidFill>
                    <w14:schemeClr w14:val="tx1"/>
                  </w14:solidFill>
                </w14:textFill>
              </w:rPr>
              <w:t>带▲号的参数，必须百分之百满足，验收发现是负偏离，不予接收。</w:t>
            </w:r>
          </w:p>
          <w:p w14:paraId="603F208F">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ascii="Calibri" w:hAnsi="Calibri" w:cs="Calibri"/>
                <w:color w:val="000000" w:themeColor="text1"/>
                <w:szCs w:val="21"/>
                <w:highlight w:val="none"/>
                <w14:textFill>
                  <w14:solidFill>
                    <w14:schemeClr w14:val="tx1"/>
                  </w14:solidFill>
                </w14:textFill>
              </w:rPr>
              <w:t>③</w:t>
            </w:r>
            <w:r>
              <w:rPr>
                <w:rFonts w:hint="eastAsia" w:ascii="宋体" w:hAnsi="宋体" w:cs="宋体"/>
                <w:color w:val="000000" w:themeColor="text1"/>
                <w:szCs w:val="21"/>
                <w:highlight w:val="none"/>
                <w14:textFill>
                  <w14:solidFill>
                    <w14:schemeClr w14:val="tx1"/>
                  </w14:solidFill>
                </w14:textFill>
              </w:rPr>
              <w:t>对于标准功能或者常规操作所必须的软硬件配置，设备安全必须的软硬件配置，国家相关标准规定配置，行业内认可的配置，如果不配置，即使采购参数没有标明详细配置，中标人必须无条件提供，如不提供，设备不予接收。</w:t>
            </w:r>
          </w:p>
          <w:p w14:paraId="43C363D8">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 4 \* GB3 \* MERGEFORMAT </w:instrText>
            </w:r>
            <w:r>
              <w:rPr>
                <w:rFonts w:hint="eastAsia" w:ascii="宋体" w:hAnsi="宋体" w:cs="宋体"/>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④</w:t>
            </w:r>
            <w:r>
              <w:rPr>
                <w:rFonts w:hint="eastAsia" w:ascii="宋体" w:hAnsi="宋体" w:cs="宋体"/>
                <w:color w:val="000000" w:themeColor="text1"/>
                <w:szCs w:val="2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t>验收时出现一项不实质性响应采购要求或一项验收条款规定的虚假应标情形者，设备不予接收。</w:t>
            </w:r>
          </w:p>
          <w:p w14:paraId="42D2EC68">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 5 \* GB3 \* MERGEFORMAT </w:instrText>
            </w:r>
            <w:r>
              <w:rPr>
                <w:rFonts w:hint="eastAsia" w:ascii="宋体" w:hAnsi="宋体" w:cs="宋体"/>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⑤</w:t>
            </w:r>
            <w:r>
              <w:rPr>
                <w:rFonts w:hint="eastAsia" w:ascii="宋体" w:hAnsi="宋体" w:cs="宋体"/>
                <w:color w:val="000000" w:themeColor="text1"/>
                <w:szCs w:val="2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t>设备使用没有完成，使用人员还未能独立使用，中标人必须按合同要求提供培训，否则不予接收。</w:t>
            </w:r>
          </w:p>
          <w:p w14:paraId="78AC098B">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7）设备属于不予接收的情形，视为设备没有交接，中标人不得将设备放在医院任何场地，无条件搬走。</w:t>
            </w:r>
          </w:p>
          <w:p w14:paraId="0E9B4CD4">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8）培训条款验收：按商务要求执行。设备安装结束后，中标人必须培训使用科室的操作人员，直到熟悉掌握机器性能及操作。</w:t>
            </w:r>
          </w:p>
          <w:p w14:paraId="6D70E270">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9）验收合格证签署 ：设备经中标人安装人员、设备科工程技术人员、使用科室负责人、验收人员均认为合格并全部签署验收合格证后，验收合格证生效。</w:t>
            </w:r>
          </w:p>
          <w:p w14:paraId="6518F29F">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10）验收合格生效：验收合格日期以最后验收完成项目为准，设备验收时间计算在供货期内，按合同相关规定执行，由于中标人原因造成不按时完成验收造成逾期供货事实，由中标人承担相关合同责任。</w:t>
            </w:r>
          </w:p>
          <w:p w14:paraId="30E7D06B">
            <w:pPr>
              <w:pageBreakBefore w:val="0"/>
              <w:widowControl/>
              <w:kinsoku/>
              <w:overflowPunct/>
              <w:topLinePunct w:val="0"/>
              <w:bidi w:val="0"/>
              <w:spacing w:line="440" w:lineRule="exact"/>
              <w:ind w:firstLine="210" w:firstLineChars="1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其他要求：在设备验收时，采购人可按照推荐排名邀请其他投标人共同验收，包括所提供的产品参数的真实性、实际性能等按采购文件要求逐条测试，如发现投标产品及产品资质、性能指标不满足采购文件要求或不满足投标承诺的，视为虚假应标并报监管部门查处。</w:t>
            </w:r>
          </w:p>
        </w:tc>
      </w:tr>
      <w:tr w14:paraId="330FD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noWrap/>
            <w:vAlign w:val="center"/>
          </w:tcPr>
          <w:p w14:paraId="217C7C20">
            <w:pPr>
              <w:pageBreakBefore w:val="0"/>
              <w:kinsoku/>
              <w:overflowPunct/>
              <w:topLinePunct w:val="0"/>
              <w:bidi w:val="0"/>
              <w:snapToGrid w:val="0"/>
              <w:spacing w:line="440" w:lineRule="exact"/>
              <w:ind w:firstLine="198"/>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1"/>
                <w:szCs w:val="21"/>
                <w:highlight w:val="none"/>
                <w14:textFill>
                  <w14:solidFill>
                    <w14:schemeClr w14:val="tx1"/>
                  </w14:solidFill>
                </w14:textFill>
              </w:rPr>
              <w:t>报价要求</w:t>
            </w:r>
          </w:p>
        </w:tc>
        <w:tc>
          <w:tcPr>
            <w:tcW w:w="7655" w:type="dxa"/>
            <w:noWrap/>
            <w:vAlign w:val="center"/>
          </w:tcPr>
          <w:p w14:paraId="6CC9BD20">
            <w:pPr>
              <w:pageBreakBefore w:val="0"/>
              <w:kinsoku/>
              <w:overflowPunct/>
              <w:topLinePunct w:val="0"/>
              <w:bidi w:val="0"/>
              <w:spacing w:line="440" w:lineRule="exact"/>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投标报价包括但不限于货款、标准附件、备品备件、专用工具、包装、运输、装卸、保险、税金、货到就位以及安装、调试、培训、保修、验收等一切税金和费用。投标人在固定总价中必须考虑各种风险费用。在合同履行过程中，采购人不予支付合同以外的其他费用。投标人负责工人人身、设备安全责任，验收前，设备丢失自行负责。</w:t>
            </w:r>
          </w:p>
          <w:p w14:paraId="5DEF9073">
            <w:pPr>
              <w:pageBreakBefore w:val="0"/>
              <w:kinsoku/>
              <w:overflowPunct/>
              <w:topLinePunct w:val="0"/>
              <w:bidi w:val="0"/>
              <w:spacing w:line="440" w:lineRule="exact"/>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2.要求投标货物是全新的、未经改装的、合格的、满足本项目技术需求及要求的货物，提供的货物及制作安装采用的各种配件、材料均必须满足国家和行业规范标准。</w:t>
            </w:r>
          </w:p>
        </w:tc>
      </w:tr>
      <w:tr w14:paraId="69C43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9" w:type="dxa"/>
            <w:gridSpan w:val="2"/>
            <w:noWrap/>
            <w:vAlign w:val="center"/>
          </w:tcPr>
          <w:p w14:paraId="17810FBC">
            <w:pPr>
              <w:pageBreakBefore w:val="0"/>
              <w:kinsoku/>
              <w:overflowPunct/>
              <w:topLinePunct w:val="0"/>
              <w:bidi w:val="0"/>
              <w:spacing w:line="440" w:lineRule="exact"/>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1"/>
                <w:szCs w:val="21"/>
                <w:highlight w:val="none"/>
                <w14:textFill>
                  <w14:solidFill>
                    <w14:schemeClr w14:val="tx1"/>
                  </w14:solidFill>
                </w14:textFill>
              </w:rPr>
              <w:t>三、其他</w:t>
            </w:r>
            <w:r>
              <w:rPr>
                <w:rFonts w:hint="eastAsia" w:asciiTheme="minorEastAsia" w:hAnsiTheme="minorEastAsia" w:eastAsiaTheme="minorEastAsia" w:cstheme="minorEastAsia"/>
                <w:b/>
                <w:color w:val="000000" w:themeColor="text1"/>
                <w:kern w:val="0"/>
                <w:sz w:val="21"/>
                <w:szCs w:val="21"/>
                <w:highlight w:val="none"/>
                <w:lang w:val="en-US" w:eastAsia="zh-CN"/>
                <w14:textFill>
                  <w14:solidFill>
                    <w14:schemeClr w14:val="tx1"/>
                  </w14:solidFill>
                </w14:textFill>
              </w:rPr>
              <w:t>要求</w:t>
            </w:r>
          </w:p>
        </w:tc>
      </w:tr>
      <w:tr w14:paraId="01060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9" w:type="dxa"/>
            <w:gridSpan w:val="2"/>
            <w:noWrap/>
            <w:vAlign w:val="center"/>
          </w:tcPr>
          <w:p w14:paraId="2B5C3BA9">
            <w:pPr>
              <w:pageBreakBefore w:val="0"/>
              <w:kinsoku/>
              <w:overflowPunct/>
              <w:topLinePunct w:val="0"/>
              <w:bidi w:val="0"/>
              <w:spacing w:line="44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1.投标人在投标活动中如提供任何虚假材料，以及投标产品的技术参数不如实说明，</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其投标无效</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，并报监管部门查处。</w:t>
            </w:r>
          </w:p>
          <w:p w14:paraId="30EA51AE">
            <w:pPr>
              <w:pageBreakBefore w:val="0"/>
              <w:kinsoku/>
              <w:overflowPunct/>
              <w:topLinePunct w:val="0"/>
              <w:bidi w:val="0"/>
              <w:spacing w:line="44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2.若中标人所供产品及售后服务不按招标文件要求履约的，将按照相关有关规定严肃处理。</w:t>
            </w:r>
          </w:p>
          <w:p w14:paraId="0E32196E">
            <w:pPr>
              <w:pageBreakBefore w:val="0"/>
              <w:kinsoku/>
              <w:overflowPunct/>
              <w:topLinePunct w:val="0"/>
              <w:bidi w:val="0"/>
              <w:spacing w:line="44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3.投标人在投标文件中针对本项目提供切实可行的项目实施方案（格式自拟）【包含但不限于项目实施方案、质量保证措施、售后服务承诺方案等】。</w:t>
            </w:r>
          </w:p>
          <w:p w14:paraId="44D8FBC5">
            <w:pPr>
              <w:pageBreakBefore w:val="0"/>
              <w:kinsoku/>
              <w:overflowPunct/>
              <w:topLinePunct w:val="0"/>
              <w:bidi w:val="0"/>
              <w:spacing w:before="25" w:after="25" w:line="440" w:lineRule="exact"/>
              <w:jc w:val="left"/>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r>
              <w:rPr>
                <w:rFonts w:hint="eastAsia" w:ascii="宋体" w:hAnsi="宋体" w:cs="宋体"/>
                <w:color w:val="000000" w:themeColor="text1"/>
                <w:sz w:val="21"/>
                <w:szCs w:val="21"/>
                <w:highlight w:val="none"/>
                <w14:textFill>
                  <w14:solidFill>
                    <w14:schemeClr w14:val="tx1"/>
                  </w14:solidFill>
                </w14:textFill>
              </w:rPr>
              <w:t>进口产品说明：本分标</w:t>
            </w:r>
            <w:r>
              <w:rPr>
                <w:rFonts w:hint="eastAsia" w:ascii="宋体" w:hAnsi="宋体" w:cs="宋体"/>
                <w:b/>
                <w:color w:val="000000" w:themeColor="text1"/>
                <w:sz w:val="21"/>
                <w:szCs w:val="21"/>
                <w:highlight w:val="none"/>
                <w14:textFill>
                  <w14:solidFill>
                    <w14:schemeClr w14:val="tx1"/>
                  </w14:solidFill>
                </w14:textFill>
              </w:rPr>
              <w:t>第</w:t>
            </w:r>
            <w:r>
              <w:rPr>
                <w:rFonts w:hint="eastAsia" w:ascii="宋体" w:hAnsi="宋体" w:cs="宋体"/>
                <w:b/>
                <w:color w:val="000000" w:themeColor="text1"/>
                <w:sz w:val="21"/>
                <w:szCs w:val="21"/>
                <w:highlight w:val="none"/>
                <w:lang w:val="en-US" w:eastAsia="zh-CN"/>
                <w14:textFill>
                  <w14:solidFill>
                    <w14:schemeClr w14:val="tx1"/>
                  </w14:solidFill>
                </w14:textFill>
              </w:rPr>
              <w:t>2</w:t>
            </w:r>
            <w:r>
              <w:rPr>
                <w:rFonts w:hint="eastAsia" w:ascii="宋体" w:hAnsi="宋体" w:cs="宋体"/>
                <w:b/>
                <w:color w:val="000000" w:themeColor="text1"/>
                <w:sz w:val="21"/>
                <w:szCs w:val="21"/>
                <w:highlight w:val="none"/>
                <w14:textFill>
                  <w14:solidFill>
                    <w14:schemeClr w14:val="tx1"/>
                  </w14:solidFill>
                </w14:textFill>
              </w:rPr>
              <w:t>项货物“</w:t>
            </w:r>
            <w:r>
              <w:rPr>
                <w:rFonts w:hint="eastAsia" w:ascii="宋体" w:hAnsi="宋体" w:cs="宋体"/>
                <w:b/>
                <w:color w:val="000000" w:themeColor="text1"/>
                <w:sz w:val="21"/>
                <w:szCs w:val="21"/>
                <w:highlight w:val="none"/>
                <w:lang w:val="en-US" w:eastAsia="zh-CN"/>
                <w14:textFill>
                  <w14:solidFill>
                    <w14:schemeClr w14:val="tx1"/>
                  </w14:solidFill>
                </w14:textFill>
              </w:rPr>
              <w:t xml:space="preserve"> 超声乳化仪手柄 </w:t>
            </w:r>
            <w:r>
              <w:rPr>
                <w:rFonts w:hint="eastAsia" w:ascii="宋体" w:hAnsi="宋体" w:cs="宋体"/>
                <w:b/>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优先采购向我国企业转让技术、与我国企业签订消化吸收再创新方案的投标人的进口产品。</w:t>
            </w:r>
            <w:r>
              <w:rPr>
                <w:rFonts w:hint="eastAsia" w:ascii="宋体" w:hAnsi="宋体" w:cs="宋体"/>
                <w:b/>
                <w:color w:val="000000" w:themeColor="text1"/>
                <w:sz w:val="21"/>
                <w:szCs w:val="21"/>
                <w:highlight w:val="none"/>
                <w14:textFill>
                  <w14:solidFill>
                    <w14:schemeClr w14:val="tx1"/>
                  </w14:solidFill>
                </w14:textFill>
              </w:rPr>
              <w:t>其他货物不接受进口产品参与投标，</w:t>
            </w:r>
            <w:r>
              <w:rPr>
                <w:rFonts w:hint="eastAsia" w:ascii="宋体" w:hAnsi="宋体" w:cs="宋体"/>
                <w:b/>
                <w:color w:val="000000" w:themeColor="text1"/>
                <w:sz w:val="21"/>
                <w:szCs w:val="21"/>
                <w:highlight w:val="none"/>
                <w:lang w:eastAsia="zh-CN"/>
                <w14:textFill>
                  <w14:solidFill>
                    <w14:schemeClr w14:val="tx1"/>
                  </w14:solidFill>
                </w14:textFill>
              </w:rPr>
              <w:t>否则投标文件按无效处理</w:t>
            </w:r>
            <w:r>
              <w:rPr>
                <w:rFonts w:hint="eastAsia" w:ascii="宋体" w:hAnsi="宋体" w:cs="宋体"/>
                <w:b/>
                <w:color w:val="000000" w:themeColor="text1"/>
                <w:sz w:val="21"/>
                <w:szCs w:val="21"/>
                <w:highlight w:val="none"/>
                <w14:textFill>
                  <w14:solidFill>
                    <w14:schemeClr w14:val="tx1"/>
                  </w14:solidFill>
                </w14:textFill>
              </w:rPr>
              <w:t>。</w:t>
            </w:r>
          </w:p>
          <w:p w14:paraId="29AF9189">
            <w:pPr>
              <w:pageBreakBefore w:val="0"/>
              <w:kinsoku/>
              <w:overflowPunct/>
              <w:topLinePunct w:val="0"/>
              <w:bidi w:val="0"/>
              <w:spacing w:before="25" w:after="25" w:line="440" w:lineRule="exact"/>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5.货物一览表中，中标注“▲”项的内容为实质性响应条款，必须满足或优于，</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否则投标无效</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；不带“▲”的参数发生负偏离达4项（含）以上的，视为不实质性响应采购文件要求，</w:t>
            </w:r>
            <w:r>
              <w:rPr>
                <w:rFonts w:hint="eastAsia" w:asciiTheme="minorEastAsia" w:hAnsiTheme="minorEastAsia" w:eastAsiaTheme="minorEastAsia" w:cstheme="minorEastAsia"/>
                <w:b/>
                <w:color w:val="000000" w:themeColor="text1"/>
                <w:sz w:val="21"/>
                <w:szCs w:val="21"/>
                <w:highlight w:val="none"/>
                <w:lang w:eastAsia="zh-CN"/>
                <w14:textFill>
                  <w14:solidFill>
                    <w14:schemeClr w14:val="tx1"/>
                  </w14:solidFill>
                </w14:textFill>
              </w:rPr>
              <w:t>评审时投标文件将被作为无效处理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240909A7">
            <w:pPr>
              <w:pStyle w:val="19"/>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6.本项目核心产品为第6 项货物“</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灌注吸引系统</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p>
          <w:p w14:paraId="1FF1EA14">
            <w:pPr>
              <w:pStyle w:val="21"/>
              <w:rPr>
                <w:rFonts w:hint="eastAsia"/>
                <w:color w:val="000000" w:themeColor="text1"/>
                <w:highlight w:val="none"/>
                <w14:textFill>
                  <w14:solidFill>
                    <w14:schemeClr w14:val="tx1"/>
                  </w14:solidFill>
                </w14:textFill>
              </w:rPr>
            </w:pPr>
            <w:r>
              <w:rPr>
                <w:rFonts w:hint="eastAsia" w:ascii="宋体" w:hAnsi="宋体" w:cs="宋体"/>
                <w:bCs w:val="0"/>
                <w:color w:val="000000" w:themeColor="text1"/>
                <w:spacing w:val="0"/>
                <w:kern w:val="2"/>
                <w:sz w:val="21"/>
                <w:szCs w:val="21"/>
                <w:highlight w:val="none"/>
                <w:lang w:val="en-US" w:eastAsia="zh-CN"/>
                <w14:textFill>
                  <w14:solidFill>
                    <w14:schemeClr w14:val="tx1"/>
                  </w14:solidFill>
                </w14:textFill>
              </w:rPr>
              <w:t>7.投标人业绩及综合实力：具体详见 评标方法及评标标准</w:t>
            </w:r>
          </w:p>
        </w:tc>
      </w:tr>
    </w:tbl>
    <w:p w14:paraId="2827C357">
      <w:pPr>
        <w:pageBreakBefore w:val="0"/>
        <w:kinsoku/>
        <w:overflowPunct/>
        <w:topLinePunct w:val="0"/>
        <w:bidi w:val="0"/>
        <w:spacing w:line="440" w:lineRule="exact"/>
        <w:rPr>
          <w:color w:val="000000" w:themeColor="text1"/>
          <w:sz w:val="21"/>
          <w:szCs w:val="21"/>
          <w:highlight w:val="none"/>
          <w14:textFill>
            <w14:solidFill>
              <w14:schemeClr w14:val="tx1"/>
            </w14:solidFill>
          </w14:textFill>
        </w:rPr>
      </w:pPr>
    </w:p>
    <w:p w14:paraId="48C99353">
      <w:pPr>
        <w:rPr>
          <w:rFonts w:hint="eastAsia" w:ascii="宋体" w:hAnsi="宋体" w:eastAsia="宋体" w:cs="宋体"/>
          <w:color w:val="000000" w:themeColor="text1"/>
          <w:sz w:val="21"/>
          <w:szCs w:val="21"/>
          <w:highlight w:val="none"/>
          <w14:textFill>
            <w14:solidFill>
              <w14:schemeClr w14:val="tx1"/>
            </w14:solidFill>
          </w14:textFill>
        </w:rPr>
      </w:pPr>
    </w:p>
    <w:p w14:paraId="3C4BAB0E">
      <w:pPr>
        <w:rPr>
          <w:rFonts w:hint="eastAsia" w:ascii="宋体" w:hAnsi="宋体" w:eastAsia="宋体" w:cs="宋体"/>
          <w:color w:val="000000" w:themeColor="text1"/>
          <w:sz w:val="21"/>
          <w:szCs w:val="21"/>
          <w:highlight w:val="none"/>
          <w14:textFill>
            <w14:solidFill>
              <w14:schemeClr w14:val="tx1"/>
            </w14:solidFill>
          </w14:textFill>
        </w:rPr>
      </w:pPr>
    </w:p>
    <w:p w14:paraId="3EFECA7D">
      <w:pP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br w:type="page"/>
      </w:r>
    </w:p>
    <w:p w14:paraId="0D0D3C8A">
      <w:pPr>
        <w:rPr>
          <w:color w:val="000000" w:themeColor="text1"/>
          <w:sz w:val="21"/>
          <w:szCs w:val="21"/>
          <w:highlight w:val="none"/>
          <w14:textFill>
            <w14:solidFill>
              <w14:schemeClr w14:val="tx1"/>
            </w14:solidFill>
          </w14:textFill>
        </w:rPr>
      </w:pPr>
    </w:p>
    <w:p w14:paraId="73E22A40">
      <w:pPr>
        <w:rPr>
          <w:color w:val="000000" w:themeColor="text1"/>
          <w:highlight w:val="none"/>
          <w14:textFill>
            <w14:solidFill>
              <w14:schemeClr w14:val="tx1"/>
            </w14:solidFill>
          </w14:textFill>
        </w:rPr>
      </w:pPr>
    </w:p>
    <w:p w14:paraId="326A5970">
      <w:pPr>
        <w:rPr>
          <w:color w:val="000000" w:themeColor="text1"/>
          <w:highlight w:val="none"/>
          <w14:textFill>
            <w14:solidFill>
              <w14:schemeClr w14:val="tx1"/>
            </w14:solidFill>
          </w14:textFill>
        </w:rPr>
      </w:pPr>
    </w:p>
    <w:p w14:paraId="416FCBDE">
      <w:pPr>
        <w:rPr>
          <w:color w:val="000000" w:themeColor="text1"/>
          <w:highlight w:val="none"/>
          <w14:textFill>
            <w14:solidFill>
              <w14:schemeClr w14:val="tx1"/>
            </w14:solidFill>
          </w14:textFill>
        </w:rPr>
      </w:pPr>
    </w:p>
    <w:p w14:paraId="17974380">
      <w:pPr>
        <w:spacing w:line="428" w:lineRule="exact"/>
        <w:ind w:left="119"/>
        <w:rPr>
          <w:rFonts w:ascii="Arial Unicode MS" w:hAnsi="Arial Unicode MS" w:eastAsia="Arial Unicode MS" w:cs="Arial Unicode MS"/>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附件1：</w:t>
      </w:r>
    </w:p>
    <w:p w14:paraId="22CC1BEF">
      <w:pPr>
        <w:spacing w:before="7"/>
        <w:rPr>
          <w:rFonts w:hint="eastAsia" w:ascii="Arial Unicode MS" w:hAnsi="Arial Unicode MS" w:eastAsia="Arial Unicode MS" w:cs="Arial Unicode MS"/>
          <w:color w:val="000000" w:themeColor="text1"/>
          <w:sz w:val="17"/>
          <w:szCs w:val="17"/>
          <w:highlight w:val="none"/>
          <w14:textFill>
            <w14:solidFill>
              <w14:schemeClr w14:val="tx1"/>
            </w14:solidFill>
          </w14:textFill>
        </w:rPr>
      </w:pPr>
    </w:p>
    <w:p w14:paraId="55AAB974">
      <w:pPr>
        <w:spacing w:line="528" w:lineRule="exact"/>
        <w:ind w:left="1871"/>
        <w:rPr>
          <w:rFonts w:hint="eastAsia" w:ascii="Arial Unicode MS" w:hAnsi="Arial Unicode MS" w:eastAsia="Arial Unicode MS" w:cs="Arial Unicode MS"/>
          <w:color w:val="000000" w:themeColor="text1"/>
          <w:sz w:val="40"/>
          <w:szCs w:val="40"/>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节能产品政府采购品目清单</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422"/>
        <w:gridCol w:w="1496"/>
        <w:gridCol w:w="1481"/>
        <w:gridCol w:w="3452"/>
      </w:tblGrid>
      <w:tr w14:paraId="3D028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2708A935">
            <w:pPr>
              <w:jc w:val="center"/>
              <w:rPr>
                <w:rFonts w:ascii="Calibri" w:hAnsi="Calibri"/>
                <w:color w:val="000000" w:themeColor="text1"/>
                <w:szCs w:val="22"/>
                <w:highlight w:val="none"/>
                <w14:textFill>
                  <w14:solidFill>
                    <w14:schemeClr w14:val="tx1"/>
                  </w14:solidFill>
                </w14:textFill>
              </w:rPr>
            </w:pPr>
            <w:r>
              <w:rPr>
                <w:rFonts w:hint="eastAsia" w:ascii="宋体" w:hAnsi="宋体" w:cs="宋体"/>
                <w:b/>
                <w:bCs/>
                <w:color w:val="000000" w:themeColor="text1"/>
                <w:w w:val="99"/>
                <w:highlight w:val="none"/>
                <w14:textFill>
                  <w14:solidFill>
                    <w14:schemeClr w14:val="tx1"/>
                  </w14:solidFill>
                </w14:textFill>
              </w:rPr>
              <w:t>品目序号</w:t>
            </w:r>
          </w:p>
        </w:tc>
        <w:tc>
          <w:tcPr>
            <w:tcW w:w="4399" w:type="dxa"/>
            <w:gridSpan w:val="3"/>
            <w:tcBorders>
              <w:top w:val="single" w:color="000000" w:sz="4" w:space="0"/>
              <w:left w:val="single" w:color="000000" w:sz="4" w:space="0"/>
              <w:bottom w:val="single" w:color="000000" w:sz="4" w:space="0"/>
              <w:right w:val="single" w:color="000000" w:sz="4" w:space="0"/>
            </w:tcBorders>
            <w:noWrap w:val="0"/>
            <w:vAlign w:val="center"/>
          </w:tcPr>
          <w:p w14:paraId="3292D789">
            <w:pPr>
              <w:jc w:val="center"/>
              <w:rPr>
                <w:rFonts w:ascii="Calibri" w:hAnsi="Calibri"/>
                <w:color w:val="000000" w:themeColor="text1"/>
                <w:szCs w:val="22"/>
                <w:highlight w:val="none"/>
                <w14:textFill>
                  <w14:solidFill>
                    <w14:schemeClr w14:val="tx1"/>
                  </w14:solidFill>
                </w14:textFill>
              </w:rPr>
            </w:pPr>
            <w:r>
              <w:rPr>
                <w:rFonts w:hint="eastAsia" w:ascii="宋体" w:hAnsi="宋体" w:cs="宋体"/>
                <w:b/>
                <w:bCs/>
                <w:color w:val="000000" w:themeColor="text1"/>
                <w:w w:val="99"/>
                <w:highlight w:val="none"/>
                <w14:textFill>
                  <w14:solidFill>
                    <w14:schemeClr w14:val="tx1"/>
                  </w14:solidFill>
                </w14:textFill>
              </w:rPr>
              <w:t>名称</w:t>
            </w:r>
          </w:p>
        </w:tc>
        <w:tc>
          <w:tcPr>
            <w:tcW w:w="3452" w:type="dxa"/>
            <w:tcBorders>
              <w:top w:val="single" w:color="000000" w:sz="4" w:space="0"/>
              <w:left w:val="single" w:color="000000" w:sz="4" w:space="0"/>
              <w:bottom w:val="single" w:color="000000" w:sz="4" w:space="0"/>
              <w:right w:val="single" w:color="000000" w:sz="4" w:space="0"/>
            </w:tcBorders>
            <w:noWrap w:val="0"/>
            <w:vAlign w:val="center"/>
          </w:tcPr>
          <w:p w14:paraId="6E8A9828">
            <w:pPr>
              <w:jc w:val="center"/>
              <w:rPr>
                <w:rFonts w:ascii="Calibri" w:hAnsi="Calibri"/>
                <w:color w:val="000000" w:themeColor="text1"/>
                <w:szCs w:val="22"/>
                <w:highlight w:val="none"/>
                <w14:textFill>
                  <w14:solidFill>
                    <w14:schemeClr w14:val="tx1"/>
                  </w14:solidFill>
                </w14:textFill>
              </w:rPr>
            </w:pPr>
            <w:r>
              <w:rPr>
                <w:rFonts w:hint="eastAsia" w:ascii="宋体" w:hAnsi="宋体" w:cs="宋体"/>
                <w:b/>
                <w:bCs/>
                <w:color w:val="000000" w:themeColor="text1"/>
                <w:w w:val="99"/>
                <w:highlight w:val="none"/>
                <w14:textFill>
                  <w14:solidFill>
                    <w14:schemeClr w14:val="tx1"/>
                  </w14:solidFill>
                </w14:textFill>
              </w:rPr>
              <w:t>依据的标准</w:t>
            </w:r>
          </w:p>
        </w:tc>
      </w:tr>
      <w:tr w14:paraId="23CF8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3888816D">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2DC89C55">
            <w:pPr>
              <w:jc w:val="center"/>
              <w:rPr>
                <w:rFonts w:ascii="宋体" w:hAnsi="宋体"/>
                <w:color w:val="000000" w:themeColor="text1"/>
                <w:szCs w:val="21"/>
                <w:highlight w:val="none"/>
                <w14:textFill>
                  <w14:solidFill>
                    <w14:schemeClr w14:val="tx1"/>
                  </w14:solidFill>
                </w14:textFill>
              </w:rPr>
            </w:pPr>
            <w:r>
              <w:rPr>
                <w:rFonts w:hint="eastAsia" w:ascii="宋体" w:hAnsi="宋体" w:cs="仿宋_GB2312"/>
                <w:color w:val="000000" w:themeColor="text1"/>
                <w:szCs w:val="21"/>
                <w:highlight w:val="none"/>
                <w14:textFill>
                  <w14:solidFill>
                    <w14:schemeClr w14:val="tx1"/>
                  </w14:solidFill>
                </w14:textFill>
              </w:rPr>
              <w:t>A02010100</w:t>
            </w:r>
            <w:r>
              <w:rPr>
                <w:rFonts w:hint="eastAsia" w:ascii="宋体" w:hAnsi="宋体" w:cs="宋体"/>
                <w:color w:val="000000" w:themeColor="text1"/>
                <w:w w:val="99"/>
                <w:szCs w:val="21"/>
                <w:highlight w:val="none"/>
                <w14:textFill>
                  <w14:solidFill>
                    <w14:schemeClr w14:val="tx1"/>
                  </w14:solidFill>
                </w14:textFill>
              </w:rPr>
              <w:t>计算机</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FF976D8">
            <w:pPr>
              <w:pStyle w:val="117"/>
              <w:spacing w:before="93"/>
              <w:ind w:left="7" w:right="5"/>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w w:val="99"/>
                <w:kern w:val="2"/>
                <w:sz w:val="21"/>
                <w:szCs w:val="21"/>
                <w:highlight w:val="none"/>
                <w14:textFill>
                  <w14:solidFill>
                    <w14:schemeClr w14:val="tx1"/>
                  </w14:solidFill>
                </w14:textFill>
              </w:rPr>
              <w:t>★</w:t>
            </w:r>
            <w:r>
              <w:rPr>
                <w:rFonts w:hint="eastAsia" w:ascii="宋体" w:hAnsi="宋体" w:cs="仿宋_GB2312"/>
                <w:color w:val="000000" w:themeColor="text1"/>
                <w:kern w:val="2"/>
                <w:sz w:val="21"/>
                <w:szCs w:val="21"/>
                <w:highlight w:val="none"/>
                <w14:textFill>
                  <w14:solidFill>
                    <w14:schemeClr w14:val="tx1"/>
                  </w14:solidFill>
                </w14:textFill>
              </w:rPr>
              <w:t>A02010105</w:t>
            </w:r>
            <w:r>
              <w:rPr>
                <w:rFonts w:hint="eastAsia" w:ascii="宋体" w:hAnsi="宋体" w:cs="宋体"/>
                <w:color w:val="000000" w:themeColor="text1"/>
                <w:w w:val="99"/>
                <w:kern w:val="2"/>
                <w:sz w:val="21"/>
                <w:szCs w:val="21"/>
                <w:highlight w:val="none"/>
                <w14:textFill>
                  <w14:solidFill>
                    <w14:schemeClr w14:val="tx1"/>
                  </w14:solidFill>
                </w14:textFill>
              </w:rPr>
              <w:t>台式计算机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DACCA6F">
            <w:pPr>
              <w:jc w:val="center"/>
              <w:rPr>
                <w:rFonts w:ascii="宋体" w:hAnsi="宋体"/>
                <w:color w:val="000000" w:themeColor="text1"/>
                <w:szCs w:val="21"/>
                <w:highlight w:val="none"/>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010EE5E4">
            <w:pPr>
              <w:pStyle w:val="117"/>
              <w:spacing w:before="131" w:line="276" w:lineRule="auto"/>
              <w:ind w:left="7" w:right="4"/>
              <w:rPr>
                <w:rFonts w:ascii="宋体" w:hAnsi="宋体" w:cs="宋体"/>
                <w:color w:val="000000" w:themeColor="text1"/>
                <w:spacing w:val="10"/>
                <w:kern w:val="2"/>
                <w:sz w:val="21"/>
                <w:szCs w:val="21"/>
                <w:highlight w:val="none"/>
                <w:lang w:eastAsia="zh-CN"/>
                <w14:textFill>
                  <w14:solidFill>
                    <w14:schemeClr w14:val="tx1"/>
                  </w14:solidFill>
                </w14:textFill>
              </w:rPr>
            </w:pPr>
            <w:r>
              <w:rPr>
                <w:rFonts w:hint="eastAsia" w:ascii="宋体" w:hAnsi="宋体" w:cs="宋体"/>
                <w:color w:val="000000" w:themeColor="text1"/>
                <w:spacing w:val="10"/>
                <w:kern w:val="2"/>
                <w:sz w:val="21"/>
                <w:szCs w:val="21"/>
                <w:highlight w:val="none"/>
                <w:lang w:eastAsia="zh-CN"/>
                <w14:textFill>
                  <w14:solidFill>
                    <w14:schemeClr w14:val="tx1"/>
                  </w14:solidFill>
                </w14:textFill>
              </w:rPr>
              <w:t>《微型计算机能效限定值及能效等级》（GB28380）</w:t>
            </w:r>
          </w:p>
        </w:tc>
      </w:tr>
      <w:tr w14:paraId="564A7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0A4AD67">
            <w:pPr>
              <w:widowControl/>
              <w:jc w:val="left"/>
              <w:rPr>
                <w:rFonts w:ascii="宋体" w:hAnsi="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18534DF">
            <w:pPr>
              <w:widowControl/>
              <w:jc w:val="left"/>
              <w:rPr>
                <w:rFonts w:ascii="宋体" w:hAnsi="宋体"/>
                <w:color w:val="000000" w:themeColor="text1"/>
                <w:szCs w:val="21"/>
                <w:highlight w:val="none"/>
                <w14:textFill>
                  <w14:solidFill>
                    <w14:schemeClr w14:val="tx1"/>
                  </w14:solidFill>
                </w14:textFill>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F295030">
            <w:pPr>
              <w:pStyle w:val="117"/>
              <w:spacing w:before="44"/>
              <w:ind w:left="7" w:right="5"/>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w w:val="99"/>
                <w:kern w:val="2"/>
                <w:sz w:val="21"/>
                <w:szCs w:val="21"/>
                <w:highlight w:val="none"/>
                <w14:textFill>
                  <w14:solidFill>
                    <w14:schemeClr w14:val="tx1"/>
                  </w14:solidFill>
                </w14:textFill>
              </w:rPr>
              <w:t>★</w:t>
            </w:r>
            <w:r>
              <w:rPr>
                <w:rFonts w:hint="eastAsia" w:ascii="宋体" w:hAnsi="宋体" w:cs="仿宋_GB2312"/>
                <w:color w:val="000000" w:themeColor="text1"/>
                <w:kern w:val="2"/>
                <w:sz w:val="21"/>
                <w:szCs w:val="21"/>
                <w:highlight w:val="none"/>
                <w14:textFill>
                  <w14:solidFill>
                    <w14:schemeClr w14:val="tx1"/>
                  </w14:solidFill>
                </w14:textFill>
              </w:rPr>
              <w:t>A02010108</w:t>
            </w:r>
            <w:r>
              <w:rPr>
                <w:rFonts w:hint="eastAsia" w:ascii="宋体" w:hAnsi="宋体" w:cs="宋体"/>
                <w:color w:val="000000" w:themeColor="text1"/>
                <w:w w:val="99"/>
                <w:kern w:val="2"/>
                <w:sz w:val="21"/>
                <w:szCs w:val="21"/>
                <w:highlight w:val="none"/>
                <w14:textFill>
                  <w14:solidFill>
                    <w14:schemeClr w14:val="tx1"/>
                  </w14:solidFill>
                </w14:textFill>
              </w:rPr>
              <w:t>便携式计算机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2194D2F">
            <w:pPr>
              <w:jc w:val="center"/>
              <w:rPr>
                <w:rFonts w:ascii="宋体" w:hAnsi="宋体"/>
                <w:color w:val="000000" w:themeColor="text1"/>
                <w:szCs w:val="21"/>
                <w:highlight w:val="none"/>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7E2705E1">
            <w:pPr>
              <w:pStyle w:val="117"/>
              <w:spacing w:before="131" w:line="276" w:lineRule="auto"/>
              <w:ind w:left="7" w:right="4"/>
              <w:rPr>
                <w:rFonts w:ascii="宋体" w:hAnsi="宋体" w:cs="宋体"/>
                <w:color w:val="000000" w:themeColor="text1"/>
                <w:spacing w:val="10"/>
                <w:kern w:val="2"/>
                <w:sz w:val="21"/>
                <w:szCs w:val="21"/>
                <w:highlight w:val="none"/>
                <w:lang w:eastAsia="zh-CN"/>
                <w14:textFill>
                  <w14:solidFill>
                    <w14:schemeClr w14:val="tx1"/>
                  </w14:solidFill>
                </w14:textFill>
              </w:rPr>
            </w:pPr>
            <w:r>
              <w:rPr>
                <w:rFonts w:hint="eastAsia" w:ascii="宋体" w:hAnsi="宋体" w:cs="宋体"/>
                <w:color w:val="000000" w:themeColor="text1"/>
                <w:spacing w:val="10"/>
                <w:kern w:val="2"/>
                <w:sz w:val="21"/>
                <w:szCs w:val="21"/>
                <w:highlight w:val="none"/>
                <w:lang w:eastAsia="zh-CN"/>
                <w14:textFill>
                  <w14:solidFill>
                    <w14:schemeClr w14:val="tx1"/>
                  </w14:solidFill>
                </w14:textFill>
              </w:rPr>
              <w:t>《微型计算机能效限定值及能效等级》（GB28380）</w:t>
            </w:r>
          </w:p>
        </w:tc>
      </w:tr>
      <w:tr w14:paraId="73DE7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5596F36">
            <w:pPr>
              <w:widowControl/>
              <w:jc w:val="left"/>
              <w:rPr>
                <w:rFonts w:ascii="宋体" w:hAnsi="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2ADC5C1">
            <w:pPr>
              <w:widowControl/>
              <w:jc w:val="left"/>
              <w:rPr>
                <w:rFonts w:ascii="宋体" w:hAnsi="宋体"/>
                <w:color w:val="000000" w:themeColor="text1"/>
                <w:szCs w:val="21"/>
                <w:highlight w:val="none"/>
                <w14:textFill>
                  <w14:solidFill>
                    <w14:schemeClr w14:val="tx1"/>
                  </w14:solidFill>
                </w14:textFill>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3EA980B">
            <w:pPr>
              <w:pStyle w:val="117"/>
              <w:spacing w:before="64"/>
              <w:ind w:left="7" w:right="5"/>
              <w:jc w:val="center"/>
              <w:rPr>
                <w:rFonts w:ascii="宋体" w:hAnsi="宋体" w:cs="宋体"/>
                <w:color w:val="000000" w:themeColor="text1"/>
                <w:kern w:val="2"/>
                <w:sz w:val="21"/>
                <w:szCs w:val="21"/>
                <w:highlight w:val="none"/>
                <w:lang w:eastAsia="zh-CN"/>
                <w14:textFill>
                  <w14:solidFill>
                    <w14:schemeClr w14:val="tx1"/>
                  </w14:solidFill>
                </w14:textFill>
              </w:rPr>
            </w:pPr>
            <w:r>
              <w:rPr>
                <w:rFonts w:hint="eastAsia" w:ascii="宋体" w:hAnsi="宋体" w:cs="宋体"/>
                <w:color w:val="000000" w:themeColor="text1"/>
                <w:w w:val="99"/>
                <w:kern w:val="2"/>
                <w:sz w:val="21"/>
                <w:szCs w:val="21"/>
                <w:highlight w:val="none"/>
                <w:lang w:eastAsia="zh-CN"/>
                <w14:textFill>
                  <w14:solidFill>
                    <w14:schemeClr w14:val="tx1"/>
                  </w14:solidFill>
                </w14:textFill>
              </w:rPr>
              <w:t>★</w:t>
            </w:r>
            <w:r>
              <w:rPr>
                <w:rFonts w:hint="eastAsia" w:ascii="宋体" w:hAnsi="宋体" w:cs="仿宋_GB2312"/>
                <w:color w:val="000000" w:themeColor="text1"/>
                <w:kern w:val="2"/>
                <w:sz w:val="21"/>
                <w:szCs w:val="21"/>
                <w:highlight w:val="none"/>
                <w:lang w:eastAsia="zh-CN"/>
                <w14:textFill>
                  <w14:solidFill>
                    <w14:schemeClr w14:val="tx1"/>
                  </w14:solidFill>
                </w14:textFill>
              </w:rPr>
              <w:t>A02010109平板式计算机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BC39310">
            <w:pPr>
              <w:jc w:val="center"/>
              <w:rPr>
                <w:rFonts w:ascii="宋体" w:hAnsi="宋体"/>
                <w:color w:val="000000" w:themeColor="text1"/>
                <w:szCs w:val="21"/>
                <w:highlight w:val="none"/>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35453C77">
            <w:pPr>
              <w:pStyle w:val="117"/>
              <w:spacing w:before="131" w:line="276" w:lineRule="auto"/>
              <w:ind w:left="7" w:right="4"/>
              <w:rPr>
                <w:rFonts w:ascii="宋体" w:hAnsi="宋体" w:cs="宋体"/>
                <w:color w:val="000000" w:themeColor="text1"/>
                <w:spacing w:val="10"/>
                <w:kern w:val="2"/>
                <w:sz w:val="21"/>
                <w:szCs w:val="21"/>
                <w:highlight w:val="none"/>
                <w:lang w:eastAsia="zh-CN"/>
                <w14:textFill>
                  <w14:solidFill>
                    <w14:schemeClr w14:val="tx1"/>
                  </w14:solidFill>
                </w14:textFill>
              </w:rPr>
            </w:pPr>
            <w:r>
              <w:rPr>
                <w:rFonts w:hint="eastAsia" w:ascii="宋体" w:hAnsi="宋体" w:cs="宋体"/>
                <w:color w:val="000000" w:themeColor="text1"/>
                <w:spacing w:val="10"/>
                <w:kern w:val="2"/>
                <w:sz w:val="21"/>
                <w:szCs w:val="21"/>
                <w:highlight w:val="none"/>
                <w:lang w:eastAsia="zh-CN"/>
                <w14:textFill>
                  <w14:solidFill>
                    <w14:schemeClr w14:val="tx1"/>
                  </w14:solidFill>
                </w14:textFill>
              </w:rPr>
              <w:t>《微型计算机能效限定值及能效等级》（GB28380）</w:t>
            </w:r>
          </w:p>
        </w:tc>
      </w:tr>
      <w:tr w14:paraId="5521C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544263CE">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7811B704">
            <w:pPr>
              <w:pStyle w:val="117"/>
              <w:ind w:left="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仿宋_GB2312"/>
                <w:color w:val="000000" w:themeColor="text1"/>
                <w:kern w:val="2"/>
                <w:sz w:val="21"/>
                <w:szCs w:val="21"/>
                <w:highlight w:val="none"/>
                <w14:textFill>
                  <w14:solidFill>
                    <w14:schemeClr w14:val="tx1"/>
                  </w14:solidFill>
                </w14:textFill>
              </w:rPr>
              <w:t>A02020000</w:t>
            </w:r>
            <w:r>
              <w:rPr>
                <w:rFonts w:hint="eastAsia" w:ascii="宋体" w:hAnsi="宋体" w:cs="宋体"/>
                <w:color w:val="000000" w:themeColor="text1"/>
                <w:w w:val="99"/>
                <w:kern w:val="2"/>
                <w:sz w:val="21"/>
                <w:szCs w:val="21"/>
                <w:highlight w:val="none"/>
                <w14:textFill>
                  <w14:solidFill>
                    <w14:schemeClr w14:val="tx1"/>
                  </w14:solidFill>
                </w14:textFill>
              </w:rPr>
              <w:t>办公设备</w:t>
            </w: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0FDF562C">
            <w:pPr>
              <w:jc w:val="center"/>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pacing w:val="1"/>
                <w:w w:val="99"/>
                <w:szCs w:val="21"/>
                <w:highlight w:val="none"/>
                <w14:textFill>
                  <w14:solidFill>
                    <w14:schemeClr w14:val="tx1"/>
                  </w14:solidFill>
                </w14:textFill>
              </w:rPr>
              <w:t>A02021000</w:t>
            </w:r>
            <w:r>
              <w:rPr>
                <w:rFonts w:hint="eastAsia" w:ascii="宋体" w:hAnsi="宋体" w:cs="Arial"/>
                <w:color w:val="000000" w:themeColor="text1"/>
                <w:szCs w:val="21"/>
                <w:highlight w:val="none"/>
                <w:shd w:val="clear" w:color="auto" w:fill="FFFFFF"/>
                <w14:textFill>
                  <w14:solidFill>
                    <w14:schemeClr w14:val="tx1"/>
                  </w14:solidFill>
                </w14:textFill>
              </w:rPr>
              <w:t>打印机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1B03330">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A02021001 A3黑白打印机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43880312">
            <w:pPr>
              <w:pStyle w:val="117"/>
              <w:spacing w:before="131" w:line="276" w:lineRule="auto"/>
              <w:ind w:left="7" w:right="4"/>
              <w:rPr>
                <w:rFonts w:ascii="宋体" w:hAnsi="宋体" w:cs="宋体"/>
                <w:color w:val="000000" w:themeColor="text1"/>
                <w:spacing w:val="10"/>
                <w:kern w:val="2"/>
                <w:sz w:val="21"/>
                <w:szCs w:val="21"/>
                <w:highlight w:val="none"/>
                <w:lang w:eastAsia="zh-CN"/>
                <w14:textFill>
                  <w14:solidFill>
                    <w14:schemeClr w14:val="tx1"/>
                  </w14:solidFill>
                </w14:textFill>
              </w:rPr>
            </w:pPr>
            <w:r>
              <w:rPr>
                <w:rFonts w:hint="eastAsia" w:ascii="宋体" w:hAnsi="宋体" w:cs="宋体"/>
                <w:color w:val="000000" w:themeColor="text1"/>
                <w:spacing w:val="10"/>
                <w:kern w:val="2"/>
                <w:sz w:val="21"/>
                <w:szCs w:val="21"/>
                <w:highlight w:val="none"/>
                <w:lang w:eastAsia="zh-CN"/>
                <w14:textFill>
                  <w14:solidFill>
                    <w14:schemeClr w14:val="tx1"/>
                  </w14:solidFill>
                </w14:textFill>
              </w:rPr>
              <w:t>《复印机、打印机和传真机能效限定值及能效等级》（GB21521）</w:t>
            </w:r>
          </w:p>
        </w:tc>
      </w:tr>
      <w:tr w14:paraId="5FD9E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58AE704">
            <w:pPr>
              <w:widowControl/>
              <w:jc w:val="left"/>
              <w:rPr>
                <w:rFonts w:ascii="宋体" w:hAnsi="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606B973">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DC3CC83">
            <w:pPr>
              <w:widowControl/>
              <w:jc w:val="left"/>
              <w:rPr>
                <w:rFonts w:ascii="宋体" w:hAnsi="宋体"/>
                <w:color w:val="000000" w:themeColor="text1"/>
                <w:szCs w:val="21"/>
                <w:highlight w:val="none"/>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DB22C42">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A02021002 A3彩色打印机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619B9AF7">
            <w:pPr>
              <w:pStyle w:val="117"/>
              <w:spacing w:before="131" w:line="276" w:lineRule="auto"/>
              <w:ind w:left="7" w:right="4"/>
              <w:rPr>
                <w:rFonts w:ascii="宋体" w:hAnsi="宋体" w:cs="宋体"/>
                <w:color w:val="000000" w:themeColor="text1"/>
                <w:spacing w:val="10"/>
                <w:kern w:val="2"/>
                <w:sz w:val="21"/>
                <w:szCs w:val="21"/>
                <w:highlight w:val="none"/>
                <w:lang w:eastAsia="zh-CN"/>
                <w14:textFill>
                  <w14:solidFill>
                    <w14:schemeClr w14:val="tx1"/>
                  </w14:solidFill>
                </w14:textFill>
              </w:rPr>
            </w:pPr>
            <w:r>
              <w:rPr>
                <w:rFonts w:hint="eastAsia" w:ascii="宋体" w:hAnsi="宋体" w:cs="宋体"/>
                <w:color w:val="000000" w:themeColor="text1"/>
                <w:spacing w:val="10"/>
                <w:kern w:val="2"/>
                <w:sz w:val="21"/>
                <w:szCs w:val="21"/>
                <w:highlight w:val="none"/>
                <w:lang w:eastAsia="zh-CN"/>
                <w14:textFill>
                  <w14:solidFill>
                    <w14:schemeClr w14:val="tx1"/>
                  </w14:solidFill>
                </w14:textFill>
              </w:rPr>
              <w:t>《复印机、打印机和传真机能效限定值及能效等级》（GB21521）</w:t>
            </w:r>
          </w:p>
        </w:tc>
      </w:tr>
      <w:tr w14:paraId="283B4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A9EE471">
            <w:pPr>
              <w:widowControl/>
              <w:jc w:val="left"/>
              <w:rPr>
                <w:rFonts w:ascii="宋体" w:hAnsi="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ED610FF">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C712D77">
            <w:pPr>
              <w:widowControl/>
              <w:jc w:val="left"/>
              <w:rPr>
                <w:rFonts w:ascii="宋体" w:hAnsi="宋体"/>
                <w:color w:val="000000" w:themeColor="text1"/>
                <w:szCs w:val="21"/>
                <w:highlight w:val="none"/>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A9DCAD0">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A02021003 A4黑白打印机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20F5419C">
            <w:pPr>
              <w:pStyle w:val="117"/>
              <w:spacing w:before="131" w:line="276" w:lineRule="auto"/>
              <w:ind w:left="7" w:right="4"/>
              <w:rPr>
                <w:rFonts w:ascii="宋体" w:hAnsi="宋体" w:cs="宋体"/>
                <w:color w:val="000000" w:themeColor="text1"/>
                <w:spacing w:val="10"/>
                <w:kern w:val="2"/>
                <w:sz w:val="21"/>
                <w:szCs w:val="21"/>
                <w:highlight w:val="none"/>
                <w:lang w:eastAsia="zh-CN"/>
                <w14:textFill>
                  <w14:solidFill>
                    <w14:schemeClr w14:val="tx1"/>
                  </w14:solidFill>
                </w14:textFill>
              </w:rPr>
            </w:pPr>
            <w:r>
              <w:rPr>
                <w:rFonts w:hint="eastAsia" w:ascii="宋体" w:hAnsi="宋体" w:cs="宋体"/>
                <w:color w:val="000000" w:themeColor="text1"/>
                <w:spacing w:val="10"/>
                <w:kern w:val="2"/>
                <w:sz w:val="21"/>
                <w:szCs w:val="21"/>
                <w:highlight w:val="none"/>
                <w:lang w:eastAsia="zh-CN"/>
                <w14:textFill>
                  <w14:solidFill>
                    <w14:schemeClr w14:val="tx1"/>
                  </w14:solidFill>
                </w14:textFill>
              </w:rPr>
              <w:t>《复印机、打印机和传真机能效限定值及能效等级》（GB21521）</w:t>
            </w:r>
          </w:p>
        </w:tc>
      </w:tr>
      <w:tr w14:paraId="2B3D4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F617C14">
            <w:pPr>
              <w:widowControl/>
              <w:jc w:val="left"/>
              <w:rPr>
                <w:rFonts w:ascii="宋体" w:hAnsi="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5208DD0">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D2CC547">
            <w:pPr>
              <w:widowControl/>
              <w:jc w:val="left"/>
              <w:rPr>
                <w:rFonts w:ascii="宋体" w:hAnsi="宋体"/>
                <w:color w:val="000000" w:themeColor="text1"/>
                <w:szCs w:val="21"/>
                <w:highlight w:val="none"/>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8252FD6">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A02021004 A4彩色打印机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04959561">
            <w:pPr>
              <w:pStyle w:val="117"/>
              <w:spacing w:before="131" w:line="276" w:lineRule="auto"/>
              <w:ind w:left="7" w:right="4"/>
              <w:rPr>
                <w:rFonts w:ascii="宋体" w:hAnsi="宋体" w:cs="宋体"/>
                <w:color w:val="000000" w:themeColor="text1"/>
                <w:spacing w:val="10"/>
                <w:kern w:val="2"/>
                <w:sz w:val="21"/>
                <w:szCs w:val="21"/>
                <w:highlight w:val="none"/>
                <w:lang w:eastAsia="zh-CN"/>
                <w14:textFill>
                  <w14:solidFill>
                    <w14:schemeClr w14:val="tx1"/>
                  </w14:solidFill>
                </w14:textFill>
              </w:rPr>
            </w:pPr>
            <w:r>
              <w:rPr>
                <w:rFonts w:hint="eastAsia" w:ascii="宋体" w:hAnsi="宋体" w:cs="宋体"/>
                <w:color w:val="000000" w:themeColor="text1"/>
                <w:spacing w:val="10"/>
                <w:kern w:val="2"/>
                <w:sz w:val="21"/>
                <w:szCs w:val="21"/>
                <w:highlight w:val="none"/>
                <w:lang w:eastAsia="zh-CN"/>
                <w14:textFill>
                  <w14:solidFill>
                    <w14:schemeClr w14:val="tx1"/>
                  </w14:solidFill>
                </w14:textFill>
              </w:rPr>
              <w:t>《复印机、打印机和传真机能效限定值及能效等级》（GB21521）</w:t>
            </w:r>
          </w:p>
        </w:tc>
      </w:tr>
      <w:tr w14:paraId="502F7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79B3A9E">
            <w:pPr>
              <w:widowControl/>
              <w:jc w:val="left"/>
              <w:rPr>
                <w:rFonts w:ascii="宋体" w:hAnsi="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A1AD2B2">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573E512">
            <w:pPr>
              <w:widowControl/>
              <w:jc w:val="left"/>
              <w:rPr>
                <w:rFonts w:ascii="宋体" w:hAnsi="宋体"/>
                <w:color w:val="000000" w:themeColor="text1"/>
                <w:szCs w:val="21"/>
                <w:highlight w:val="none"/>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BB005CD">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A02021005 3D打印机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2395779F">
            <w:pPr>
              <w:pStyle w:val="117"/>
              <w:spacing w:before="131" w:line="276" w:lineRule="auto"/>
              <w:ind w:left="7" w:right="4"/>
              <w:rPr>
                <w:rFonts w:ascii="宋体" w:hAnsi="宋体" w:cs="宋体"/>
                <w:color w:val="000000" w:themeColor="text1"/>
                <w:spacing w:val="10"/>
                <w:kern w:val="2"/>
                <w:sz w:val="21"/>
                <w:szCs w:val="21"/>
                <w:highlight w:val="none"/>
                <w:lang w:eastAsia="zh-CN"/>
                <w14:textFill>
                  <w14:solidFill>
                    <w14:schemeClr w14:val="tx1"/>
                  </w14:solidFill>
                </w14:textFill>
              </w:rPr>
            </w:pPr>
            <w:r>
              <w:rPr>
                <w:rFonts w:hint="eastAsia" w:ascii="宋体" w:hAnsi="宋体" w:cs="宋体"/>
                <w:color w:val="000000" w:themeColor="text1"/>
                <w:spacing w:val="10"/>
                <w:kern w:val="2"/>
                <w:sz w:val="21"/>
                <w:szCs w:val="21"/>
                <w:highlight w:val="none"/>
                <w:lang w:eastAsia="zh-CN"/>
                <w14:textFill>
                  <w14:solidFill>
                    <w14:schemeClr w14:val="tx1"/>
                  </w14:solidFill>
                </w14:textFill>
              </w:rPr>
              <w:t>《复印机、打印机和传真机能效限定值及能效等级》（GB21521）</w:t>
            </w:r>
          </w:p>
        </w:tc>
      </w:tr>
      <w:tr w14:paraId="51117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C079114">
            <w:pPr>
              <w:widowControl/>
              <w:jc w:val="left"/>
              <w:rPr>
                <w:rFonts w:ascii="宋体" w:hAnsi="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F5F4554">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EC67D97">
            <w:pPr>
              <w:widowControl/>
              <w:jc w:val="left"/>
              <w:rPr>
                <w:rFonts w:ascii="宋体" w:hAnsi="宋体"/>
                <w:color w:val="000000" w:themeColor="text1"/>
                <w:szCs w:val="21"/>
                <w:highlight w:val="none"/>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8771018">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A02021006票据打印机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08C6A135">
            <w:pPr>
              <w:pStyle w:val="117"/>
              <w:spacing w:before="131" w:line="276" w:lineRule="auto"/>
              <w:ind w:left="7" w:right="4"/>
              <w:rPr>
                <w:rFonts w:ascii="宋体" w:hAnsi="宋体" w:cs="宋体"/>
                <w:color w:val="000000" w:themeColor="text1"/>
                <w:spacing w:val="10"/>
                <w:kern w:val="2"/>
                <w:sz w:val="21"/>
                <w:szCs w:val="21"/>
                <w:highlight w:val="none"/>
                <w:lang w:eastAsia="zh-CN"/>
                <w14:textFill>
                  <w14:solidFill>
                    <w14:schemeClr w14:val="tx1"/>
                  </w14:solidFill>
                </w14:textFill>
              </w:rPr>
            </w:pPr>
            <w:r>
              <w:rPr>
                <w:rFonts w:hint="eastAsia" w:ascii="宋体" w:hAnsi="宋体" w:cs="宋体"/>
                <w:color w:val="000000" w:themeColor="text1"/>
                <w:spacing w:val="10"/>
                <w:kern w:val="2"/>
                <w:sz w:val="21"/>
                <w:szCs w:val="21"/>
                <w:highlight w:val="none"/>
                <w:lang w:eastAsia="zh-CN"/>
                <w14:textFill>
                  <w14:solidFill>
                    <w14:schemeClr w14:val="tx1"/>
                  </w14:solidFill>
                </w14:textFill>
              </w:rPr>
              <w:t>《复印机、打印机和传真机能效限定值及能效等级》（GB21521）</w:t>
            </w:r>
          </w:p>
        </w:tc>
      </w:tr>
      <w:tr w14:paraId="44FD5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6A3D482">
            <w:pPr>
              <w:widowControl/>
              <w:jc w:val="left"/>
              <w:rPr>
                <w:rFonts w:ascii="宋体" w:hAnsi="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26342E0">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F65C76A">
            <w:pPr>
              <w:widowControl/>
              <w:jc w:val="left"/>
              <w:rPr>
                <w:rFonts w:ascii="宋体" w:hAnsi="宋体"/>
                <w:color w:val="000000" w:themeColor="text1"/>
                <w:szCs w:val="21"/>
                <w:highlight w:val="none"/>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5B260B0">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A02021007条码打印机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024CCABA">
            <w:pPr>
              <w:pStyle w:val="117"/>
              <w:spacing w:before="131" w:line="276" w:lineRule="auto"/>
              <w:ind w:left="7" w:right="4"/>
              <w:rPr>
                <w:rFonts w:ascii="宋体" w:hAnsi="宋体" w:cs="宋体"/>
                <w:color w:val="000000" w:themeColor="text1"/>
                <w:spacing w:val="10"/>
                <w:kern w:val="2"/>
                <w:sz w:val="21"/>
                <w:szCs w:val="21"/>
                <w:highlight w:val="none"/>
                <w:lang w:eastAsia="zh-CN"/>
                <w14:textFill>
                  <w14:solidFill>
                    <w14:schemeClr w14:val="tx1"/>
                  </w14:solidFill>
                </w14:textFill>
              </w:rPr>
            </w:pPr>
            <w:r>
              <w:rPr>
                <w:rFonts w:hint="eastAsia" w:ascii="宋体" w:hAnsi="宋体" w:cs="宋体"/>
                <w:color w:val="000000" w:themeColor="text1"/>
                <w:spacing w:val="10"/>
                <w:kern w:val="2"/>
                <w:sz w:val="21"/>
                <w:szCs w:val="21"/>
                <w:highlight w:val="none"/>
                <w:lang w:eastAsia="zh-CN"/>
                <w14:textFill>
                  <w14:solidFill>
                    <w14:schemeClr w14:val="tx1"/>
                  </w14:solidFill>
                </w14:textFill>
              </w:rPr>
              <w:t>《复印机、打印机和传真机能效限定值及能效等级》（GB21521）</w:t>
            </w:r>
          </w:p>
        </w:tc>
      </w:tr>
      <w:tr w14:paraId="0221E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E1AE375">
            <w:pPr>
              <w:widowControl/>
              <w:jc w:val="left"/>
              <w:rPr>
                <w:rFonts w:ascii="宋体" w:hAnsi="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3906D6D">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5EF1C64">
            <w:pPr>
              <w:widowControl/>
              <w:jc w:val="left"/>
              <w:rPr>
                <w:rFonts w:ascii="宋体" w:hAnsi="宋体"/>
                <w:color w:val="000000" w:themeColor="text1"/>
                <w:szCs w:val="21"/>
                <w:highlight w:val="none"/>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E76F7B0">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A02021008地址打印机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725BF0FA">
            <w:pPr>
              <w:pStyle w:val="117"/>
              <w:spacing w:before="131" w:line="276" w:lineRule="auto"/>
              <w:ind w:left="7" w:right="4"/>
              <w:rPr>
                <w:rFonts w:ascii="宋体" w:hAnsi="宋体" w:cs="宋体"/>
                <w:color w:val="000000" w:themeColor="text1"/>
                <w:spacing w:val="10"/>
                <w:kern w:val="2"/>
                <w:sz w:val="21"/>
                <w:szCs w:val="21"/>
                <w:highlight w:val="none"/>
                <w:lang w:eastAsia="zh-CN"/>
                <w14:textFill>
                  <w14:solidFill>
                    <w14:schemeClr w14:val="tx1"/>
                  </w14:solidFill>
                </w14:textFill>
              </w:rPr>
            </w:pPr>
            <w:r>
              <w:rPr>
                <w:rFonts w:hint="eastAsia" w:ascii="宋体" w:hAnsi="宋体" w:cs="宋体"/>
                <w:color w:val="000000" w:themeColor="text1"/>
                <w:spacing w:val="10"/>
                <w:kern w:val="2"/>
                <w:sz w:val="21"/>
                <w:szCs w:val="21"/>
                <w:highlight w:val="none"/>
                <w:lang w:eastAsia="zh-CN"/>
                <w14:textFill>
                  <w14:solidFill>
                    <w14:schemeClr w14:val="tx1"/>
                  </w14:solidFill>
                </w14:textFill>
              </w:rPr>
              <w:t>《复印机、打印机和传真机能效限定值及能效等级》（GB21521）</w:t>
            </w:r>
          </w:p>
        </w:tc>
      </w:tr>
      <w:tr w14:paraId="0416A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015092F">
            <w:pPr>
              <w:widowControl/>
              <w:jc w:val="left"/>
              <w:rPr>
                <w:rFonts w:ascii="宋体" w:hAnsi="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1E4D75F">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CF717BE">
            <w:pPr>
              <w:widowControl/>
              <w:jc w:val="left"/>
              <w:rPr>
                <w:rFonts w:ascii="宋体" w:hAnsi="宋体"/>
                <w:color w:val="000000" w:themeColor="text1"/>
                <w:szCs w:val="21"/>
                <w:highlight w:val="none"/>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1974D0F">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A02021099其他打印机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1065489A">
            <w:pPr>
              <w:pStyle w:val="117"/>
              <w:spacing w:before="131" w:line="276" w:lineRule="auto"/>
              <w:ind w:left="7" w:right="4"/>
              <w:rPr>
                <w:rFonts w:ascii="宋体" w:hAnsi="宋体" w:cs="宋体"/>
                <w:color w:val="000000" w:themeColor="text1"/>
                <w:spacing w:val="10"/>
                <w:kern w:val="2"/>
                <w:sz w:val="21"/>
                <w:szCs w:val="21"/>
                <w:highlight w:val="none"/>
                <w:lang w:eastAsia="zh-CN"/>
                <w14:textFill>
                  <w14:solidFill>
                    <w14:schemeClr w14:val="tx1"/>
                  </w14:solidFill>
                </w14:textFill>
              </w:rPr>
            </w:pPr>
            <w:r>
              <w:rPr>
                <w:rFonts w:hint="eastAsia" w:ascii="宋体" w:hAnsi="宋体" w:cs="宋体"/>
                <w:color w:val="000000" w:themeColor="text1"/>
                <w:spacing w:val="10"/>
                <w:kern w:val="2"/>
                <w:sz w:val="21"/>
                <w:szCs w:val="21"/>
                <w:highlight w:val="none"/>
                <w:lang w:eastAsia="zh-CN"/>
                <w14:textFill>
                  <w14:solidFill>
                    <w14:schemeClr w14:val="tx1"/>
                  </w14:solidFill>
                </w14:textFill>
              </w:rPr>
              <w:t>《复印机、打印机和传真机能效限定值及能效等级》（GB21521）</w:t>
            </w:r>
          </w:p>
        </w:tc>
      </w:tr>
      <w:tr w14:paraId="38A4D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6924A1D">
            <w:pPr>
              <w:widowControl/>
              <w:jc w:val="left"/>
              <w:rPr>
                <w:rFonts w:ascii="宋体" w:hAnsi="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6A6C64D">
            <w:pPr>
              <w:widowControl/>
              <w:jc w:val="left"/>
              <w:rPr>
                <w:rFonts w:ascii="宋体" w:hAnsi="宋体" w:cs="宋体"/>
                <w:color w:val="000000" w:themeColor="text1"/>
                <w:szCs w:val="21"/>
                <w:highlight w:val="none"/>
                <w14:textFill>
                  <w14:solidFill>
                    <w14:schemeClr w14:val="tx1"/>
                  </w14:solidFill>
                </w14:textFill>
              </w:rPr>
            </w:pP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61D63A5A">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A02021100输入输出设备</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66DA943">
            <w:pPr>
              <w:jc w:val="center"/>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w w:val="99"/>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A02021104液晶显示器</w:t>
            </w:r>
          </w:p>
        </w:tc>
        <w:tc>
          <w:tcPr>
            <w:tcW w:w="3452" w:type="dxa"/>
            <w:tcBorders>
              <w:top w:val="single" w:color="000000" w:sz="4" w:space="0"/>
              <w:left w:val="single" w:color="000000" w:sz="4" w:space="0"/>
              <w:bottom w:val="single" w:color="000000" w:sz="4" w:space="0"/>
              <w:right w:val="single" w:color="000000" w:sz="4" w:space="0"/>
            </w:tcBorders>
            <w:noWrap w:val="0"/>
            <w:vAlign w:val="center"/>
          </w:tcPr>
          <w:p w14:paraId="48D9EC8A">
            <w:pPr>
              <w:pStyle w:val="117"/>
              <w:spacing w:before="131" w:line="276" w:lineRule="auto"/>
              <w:ind w:left="7" w:right="4"/>
              <w:rPr>
                <w:rFonts w:ascii="宋体" w:hAnsi="宋体" w:cs="宋体"/>
                <w:color w:val="000000" w:themeColor="text1"/>
                <w:spacing w:val="10"/>
                <w:kern w:val="2"/>
                <w:sz w:val="21"/>
                <w:szCs w:val="21"/>
                <w:highlight w:val="none"/>
                <w:lang w:eastAsia="zh-CN"/>
                <w14:textFill>
                  <w14:solidFill>
                    <w14:schemeClr w14:val="tx1"/>
                  </w14:solidFill>
                </w14:textFill>
              </w:rPr>
            </w:pPr>
            <w:r>
              <w:rPr>
                <w:rFonts w:hint="eastAsia" w:ascii="宋体" w:hAnsi="宋体" w:cs="宋体"/>
                <w:color w:val="000000" w:themeColor="text1"/>
                <w:spacing w:val="10"/>
                <w:kern w:val="2"/>
                <w:sz w:val="21"/>
                <w:szCs w:val="21"/>
                <w:highlight w:val="none"/>
                <w:lang w:eastAsia="zh-CN"/>
                <w14:textFill>
                  <w14:solidFill>
                    <w14:schemeClr w14:val="tx1"/>
                  </w14:solidFill>
                </w14:textFill>
              </w:rPr>
              <w:t>《计算机显示器能效限定值及能效等级》（GB21520）</w:t>
            </w:r>
          </w:p>
        </w:tc>
      </w:tr>
      <w:tr w14:paraId="0EED3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DCBE21A">
            <w:pPr>
              <w:widowControl/>
              <w:jc w:val="left"/>
              <w:rPr>
                <w:rFonts w:ascii="宋体" w:hAnsi="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CA9061F">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AFB8B80">
            <w:pPr>
              <w:widowControl/>
              <w:jc w:val="left"/>
              <w:rPr>
                <w:rFonts w:ascii="宋体" w:hAnsi="宋体"/>
                <w:color w:val="000000" w:themeColor="text1"/>
                <w:szCs w:val="21"/>
                <w:highlight w:val="none"/>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0A8978D">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A02021118扫描仪</w:t>
            </w:r>
          </w:p>
        </w:tc>
        <w:tc>
          <w:tcPr>
            <w:tcW w:w="3452" w:type="dxa"/>
            <w:tcBorders>
              <w:top w:val="single" w:color="000000" w:sz="4" w:space="0"/>
              <w:left w:val="single" w:color="000000" w:sz="4" w:space="0"/>
              <w:bottom w:val="single" w:color="000000" w:sz="4" w:space="0"/>
              <w:right w:val="single" w:color="000000" w:sz="4" w:space="0"/>
            </w:tcBorders>
            <w:noWrap w:val="0"/>
            <w:vAlign w:val="center"/>
          </w:tcPr>
          <w:p w14:paraId="150F37EE">
            <w:pPr>
              <w:pStyle w:val="117"/>
              <w:spacing w:before="131" w:line="276" w:lineRule="auto"/>
              <w:ind w:left="7" w:right="4"/>
              <w:rPr>
                <w:rFonts w:ascii="宋体" w:hAnsi="宋体" w:cs="宋体"/>
                <w:color w:val="000000" w:themeColor="text1"/>
                <w:spacing w:val="10"/>
                <w:kern w:val="2"/>
                <w:sz w:val="21"/>
                <w:szCs w:val="21"/>
                <w:highlight w:val="none"/>
                <w:lang w:eastAsia="zh-CN"/>
                <w14:textFill>
                  <w14:solidFill>
                    <w14:schemeClr w14:val="tx1"/>
                  </w14:solidFill>
                </w14:textFill>
              </w:rPr>
            </w:pPr>
            <w:r>
              <w:rPr>
                <w:rFonts w:hint="eastAsia" w:ascii="宋体" w:hAnsi="宋体" w:cs="宋体"/>
                <w:color w:val="000000" w:themeColor="text1"/>
                <w:spacing w:val="10"/>
                <w:kern w:val="2"/>
                <w:sz w:val="21"/>
                <w:szCs w:val="21"/>
                <w:highlight w:val="none"/>
                <w:lang w:eastAsia="zh-CN"/>
                <w14:textFill>
                  <w14:solidFill>
                    <w14:schemeClr w14:val="tx1"/>
                  </w14:solidFill>
                </w14:textFill>
              </w:rPr>
              <w:t>参照《复印机、打印机和传真机能效限定值及能效等级》（GB21521）中打印速度为15页/分的针式打印机相关要求</w:t>
            </w:r>
          </w:p>
        </w:tc>
      </w:tr>
      <w:tr w14:paraId="3CF7A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0F702E01">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w w:val="99"/>
                <w:szCs w:val="21"/>
                <w:highlight w:val="none"/>
                <w14:textFill>
                  <w14:solidFill>
                    <w14:schemeClr w14:val="tx1"/>
                  </w14:solidFill>
                </w14:textFill>
              </w:rPr>
              <w:t>3</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5DA4B4FF">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A02020200投影仪</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A0DD088">
            <w:pPr>
              <w:jc w:val="center"/>
              <w:rPr>
                <w:rFonts w:ascii="宋体" w:hAnsi="宋体"/>
                <w:color w:val="000000" w:themeColor="text1"/>
                <w:szCs w:val="21"/>
                <w:highlight w:val="none"/>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D911705">
            <w:pPr>
              <w:jc w:val="center"/>
              <w:rPr>
                <w:rFonts w:ascii="宋体" w:hAnsi="宋体"/>
                <w:color w:val="000000" w:themeColor="text1"/>
                <w:szCs w:val="21"/>
                <w:highlight w:val="none"/>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noWrap w:val="0"/>
            <w:vAlign w:val="center"/>
          </w:tcPr>
          <w:p w14:paraId="752F1209">
            <w:pPr>
              <w:pStyle w:val="117"/>
              <w:spacing w:before="131" w:line="276" w:lineRule="auto"/>
              <w:ind w:left="7" w:right="4"/>
              <w:rPr>
                <w:rFonts w:ascii="宋体" w:hAnsi="宋体" w:cs="宋体"/>
                <w:color w:val="000000" w:themeColor="text1"/>
                <w:spacing w:val="10"/>
                <w:kern w:val="2"/>
                <w:sz w:val="21"/>
                <w:szCs w:val="21"/>
                <w:highlight w:val="none"/>
                <w:lang w:eastAsia="zh-CN"/>
                <w14:textFill>
                  <w14:solidFill>
                    <w14:schemeClr w14:val="tx1"/>
                  </w14:solidFill>
                </w14:textFill>
              </w:rPr>
            </w:pPr>
            <w:r>
              <w:rPr>
                <w:rFonts w:hint="eastAsia" w:ascii="宋体" w:hAnsi="宋体" w:cs="宋体"/>
                <w:color w:val="000000" w:themeColor="text1"/>
                <w:spacing w:val="10"/>
                <w:kern w:val="2"/>
                <w:sz w:val="21"/>
                <w:szCs w:val="21"/>
                <w:highlight w:val="none"/>
                <w:lang w:eastAsia="zh-CN"/>
                <w14:textFill>
                  <w14:solidFill>
                    <w14:schemeClr w14:val="tx1"/>
                  </w14:solidFill>
                </w14:textFill>
              </w:rPr>
              <w:t>《投影机能效限定值及能效等级》（GB32028）</w:t>
            </w:r>
          </w:p>
        </w:tc>
      </w:tr>
      <w:tr w14:paraId="33C6A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771A96B8">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13A443B4">
            <w:pPr>
              <w:pStyle w:val="117"/>
              <w:spacing w:before="66"/>
              <w:ind w:left="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仿宋_GB2312"/>
                <w:color w:val="000000" w:themeColor="text1"/>
                <w:kern w:val="2"/>
                <w:sz w:val="21"/>
                <w:szCs w:val="21"/>
                <w:highlight w:val="none"/>
                <w14:textFill>
                  <w14:solidFill>
                    <w14:schemeClr w14:val="tx1"/>
                  </w14:solidFill>
                </w14:textFill>
              </w:rPr>
              <w:t>A02020400</w:t>
            </w:r>
            <w:r>
              <w:rPr>
                <w:rFonts w:hint="eastAsia" w:ascii="宋体" w:hAnsi="宋体" w:cs="宋体"/>
                <w:color w:val="000000" w:themeColor="text1"/>
                <w:w w:val="99"/>
                <w:kern w:val="2"/>
                <w:sz w:val="21"/>
                <w:szCs w:val="21"/>
                <w:highlight w:val="none"/>
                <w14:textFill>
                  <w14:solidFill>
                    <w14:schemeClr w14:val="tx1"/>
                  </w14:solidFill>
                </w14:textFill>
              </w:rPr>
              <w:t>多功能一体机</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D314792">
            <w:pPr>
              <w:jc w:val="center"/>
              <w:rPr>
                <w:rFonts w:ascii="宋体" w:hAnsi="宋体"/>
                <w:color w:val="000000" w:themeColor="text1"/>
                <w:szCs w:val="21"/>
                <w:highlight w:val="none"/>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7BE99A9">
            <w:pPr>
              <w:jc w:val="center"/>
              <w:rPr>
                <w:rFonts w:ascii="宋体" w:hAnsi="宋体"/>
                <w:color w:val="000000" w:themeColor="text1"/>
                <w:szCs w:val="21"/>
                <w:highlight w:val="none"/>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noWrap w:val="0"/>
            <w:vAlign w:val="center"/>
          </w:tcPr>
          <w:p w14:paraId="3EFA5A7A">
            <w:pPr>
              <w:pStyle w:val="117"/>
              <w:spacing w:before="131" w:line="276" w:lineRule="auto"/>
              <w:ind w:left="7" w:right="4"/>
              <w:rPr>
                <w:rFonts w:ascii="宋体" w:hAnsi="宋体" w:cs="宋体"/>
                <w:color w:val="000000" w:themeColor="text1"/>
                <w:spacing w:val="10"/>
                <w:kern w:val="2"/>
                <w:sz w:val="21"/>
                <w:szCs w:val="21"/>
                <w:highlight w:val="none"/>
                <w:lang w:eastAsia="zh-CN"/>
                <w14:textFill>
                  <w14:solidFill>
                    <w14:schemeClr w14:val="tx1"/>
                  </w14:solidFill>
                </w14:textFill>
              </w:rPr>
            </w:pPr>
            <w:r>
              <w:rPr>
                <w:rFonts w:hint="eastAsia" w:ascii="宋体" w:hAnsi="宋体" w:cs="宋体"/>
                <w:color w:val="000000" w:themeColor="text1"/>
                <w:spacing w:val="10"/>
                <w:kern w:val="2"/>
                <w:sz w:val="21"/>
                <w:szCs w:val="21"/>
                <w:highlight w:val="none"/>
                <w:lang w:eastAsia="zh-CN"/>
                <w14:textFill>
                  <w14:solidFill>
                    <w14:schemeClr w14:val="tx1"/>
                  </w14:solidFill>
                </w14:textFill>
              </w:rPr>
              <w:t>《复印机、打印机和传真机能效限定值及能效等级》（GB21521）</w:t>
            </w:r>
          </w:p>
        </w:tc>
      </w:tr>
      <w:tr w14:paraId="6F438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79C84A26">
            <w:pPr>
              <w:pStyle w:val="117"/>
              <w:spacing w:before="160"/>
              <w:ind w:right="1"/>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olor w:val="000000" w:themeColor="text1"/>
                <w:w w:val="99"/>
                <w:kern w:val="2"/>
                <w:sz w:val="21"/>
                <w:szCs w:val="21"/>
                <w:highlight w:val="none"/>
                <w14:textFill>
                  <w14:solidFill>
                    <w14:schemeClr w14:val="tx1"/>
                  </w14:solidFill>
                </w14:textFill>
              </w:rPr>
              <w:t>5</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51C8BB63">
            <w:pPr>
              <w:pStyle w:val="117"/>
              <w:spacing w:before="160"/>
              <w:ind w:left="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仿宋_GB2312"/>
                <w:color w:val="000000" w:themeColor="text1"/>
                <w:kern w:val="2"/>
                <w:sz w:val="21"/>
                <w:szCs w:val="21"/>
                <w:highlight w:val="none"/>
                <w14:textFill>
                  <w14:solidFill>
                    <w14:schemeClr w14:val="tx1"/>
                  </w14:solidFill>
                </w14:textFill>
              </w:rPr>
              <w:t>A02051900</w:t>
            </w:r>
            <w:r>
              <w:rPr>
                <w:rFonts w:hint="eastAsia" w:ascii="宋体" w:hAnsi="宋体" w:cs="宋体"/>
                <w:color w:val="000000" w:themeColor="text1"/>
                <w:w w:val="99"/>
                <w:kern w:val="2"/>
                <w:sz w:val="21"/>
                <w:szCs w:val="21"/>
                <w:highlight w:val="none"/>
                <w14:textFill>
                  <w14:solidFill>
                    <w14:schemeClr w14:val="tx1"/>
                  </w14:solidFill>
                </w14:textFill>
              </w:rPr>
              <w:t>泵</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DF07CA0">
            <w:pPr>
              <w:pStyle w:val="117"/>
              <w:spacing w:before="160"/>
              <w:ind w:left="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pacing w:val="1"/>
                <w:w w:val="99"/>
                <w:kern w:val="2"/>
                <w:sz w:val="21"/>
                <w:szCs w:val="21"/>
                <w:highlight w:val="none"/>
                <w14:textFill>
                  <w14:solidFill>
                    <w14:schemeClr w14:val="tx1"/>
                  </w14:solidFill>
                </w14:textFill>
              </w:rPr>
              <w:t>A02</w:t>
            </w:r>
            <w:r>
              <w:rPr>
                <w:rFonts w:hint="eastAsia" w:ascii="宋体" w:hAnsi="宋体" w:cs="宋体"/>
                <w:color w:val="000000" w:themeColor="text1"/>
                <w:w w:val="99"/>
                <w:kern w:val="2"/>
                <w:sz w:val="21"/>
                <w:szCs w:val="21"/>
                <w:highlight w:val="none"/>
                <w14:textFill>
                  <w14:solidFill>
                    <w14:schemeClr w14:val="tx1"/>
                  </w14:solidFill>
                </w14:textFill>
              </w:rPr>
              <w:t>05</w:t>
            </w:r>
            <w:r>
              <w:rPr>
                <w:rFonts w:hint="eastAsia" w:ascii="宋体" w:hAnsi="宋体" w:cs="宋体"/>
                <w:color w:val="000000" w:themeColor="text1"/>
                <w:spacing w:val="1"/>
                <w:w w:val="99"/>
                <w:kern w:val="2"/>
                <w:sz w:val="21"/>
                <w:szCs w:val="21"/>
                <w:highlight w:val="none"/>
                <w14:textFill>
                  <w14:solidFill>
                    <w14:schemeClr w14:val="tx1"/>
                  </w14:solidFill>
                </w14:textFill>
              </w:rPr>
              <w:t>1</w:t>
            </w:r>
            <w:r>
              <w:rPr>
                <w:rFonts w:hint="eastAsia" w:ascii="宋体" w:hAnsi="宋体" w:cs="宋体"/>
                <w:color w:val="000000" w:themeColor="text1"/>
                <w:w w:val="99"/>
                <w:kern w:val="2"/>
                <w:sz w:val="21"/>
                <w:szCs w:val="21"/>
                <w:highlight w:val="none"/>
                <w14:textFill>
                  <w14:solidFill>
                    <w14:schemeClr w14:val="tx1"/>
                  </w14:solidFill>
                </w14:textFill>
              </w:rPr>
              <w:t>901离心泵</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5180F92">
            <w:pPr>
              <w:jc w:val="center"/>
              <w:rPr>
                <w:rFonts w:ascii="宋体" w:hAnsi="宋体"/>
                <w:color w:val="000000" w:themeColor="text1"/>
                <w:szCs w:val="21"/>
                <w:highlight w:val="none"/>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2E00F906">
            <w:pPr>
              <w:pStyle w:val="117"/>
              <w:spacing w:before="131" w:line="276" w:lineRule="auto"/>
              <w:ind w:left="7" w:right="4"/>
              <w:rPr>
                <w:rFonts w:ascii="宋体" w:hAnsi="宋体" w:cs="宋体"/>
                <w:color w:val="000000" w:themeColor="text1"/>
                <w:spacing w:val="10"/>
                <w:kern w:val="2"/>
                <w:sz w:val="21"/>
                <w:szCs w:val="21"/>
                <w:highlight w:val="none"/>
                <w:lang w:eastAsia="zh-CN"/>
                <w14:textFill>
                  <w14:solidFill>
                    <w14:schemeClr w14:val="tx1"/>
                  </w14:solidFill>
                </w14:textFill>
              </w:rPr>
            </w:pPr>
            <w:r>
              <w:rPr>
                <w:rFonts w:hint="eastAsia" w:ascii="宋体" w:hAnsi="宋体" w:cs="宋体"/>
                <w:color w:val="000000" w:themeColor="text1"/>
                <w:spacing w:val="10"/>
                <w:kern w:val="2"/>
                <w:sz w:val="21"/>
                <w:szCs w:val="21"/>
                <w:highlight w:val="none"/>
                <w:lang w:eastAsia="zh-CN"/>
                <w14:textFill>
                  <w14:solidFill>
                    <w14:schemeClr w14:val="tx1"/>
                  </w14:solidFill>
                </w14:textFill>
              </w:rPr>
              <w:t>《清水离心泵能效限定值及节能评价值》（GB19762）</w:t>
            </w:r>
          </w:p>
        </w:tc>
      </w:tr>
      <w:tr w14:paraId="022AD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63EB73D8">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55A5BE2E">
            <w:pPr>
              <w:pStyle w:val="11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仿宋_GB2312"/>
                <w:color w:val="000000" w:themeColor="text1"/>
                <w:kern w:val="2"/>
                <w:sz w:val="21"/>
                <w:szCs w:val="21"/>
                <w:highlight w:val="none"/>
                <w14:textFill>
                  <w14:solidFill>
                    <w14:schemeClr w14:val="tx1"/>
                  </w14:solidFill>
                </w14:textFill>
              </w:rPr>
              <w:t>A02052300</w:t>
            </w:r>
            <w:r>
              <w:rPr>
                <w:rFonts w:hint="eastAsia" w:ascii="宋体" w:hAnsi="宋体" w:cs="宋体"/>
                <w:color w:val="000000" w:themeColor="text1"/>
                <w:w w:val="99"/>
                <w:kern w:val="2"/>
                <w:sz w:val="21"/>
                <w:szCs w:val="21"/>
                <w:highlight w:val="none"/>
                <w14:textFill>
                  <w14:solidFill>
                    <w14:schemeClr w14:val="tx1"/>
                  </w14:solidFill>
                </w14:textFill>
              </w:rPr>
              <w:t>制冷空调设备</w:t>
            </w: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681C5964">
            <w:pPr>
              <w:pStyle w:val="117"/>
              <w:spacing w:line="276" w:lineRule="auto"/>
              <w:ind w:right="5"/>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w w:val="99"/>
                <w:kern w:val="2"/>
                <w:sz w:val="21"/>
                <w:szCs w:val="21"/>
                <w:highlight w:val="none"/>
                <w14:textFill>
                  <w14:solidFill>
                    <w14:schemeClr w14:val="tx1"/>
                  </w14:solidFill>
                </w14:textFill>
              </w:rPr>
              <w:t>★</w:t>
            </w:r>
            <w:r>
              <w:rPr>
                <w:rFonts w:hint="eastAsia" w:ascii="宋体" w:hAnsi="宋体" w:cs="宋体"/>
                <w:color w:val="000000" w:themeColor="text1"/>
                <w:spacing w:val="1"/>
                <w:w w:val="99"/>
                <w:kern w:val="2"/>
                <w:sz w:val="21"/>
                <w:szCs w:val="21"/>
                <w:highlight w:val="none"/>
                <w14:textFill>
                  <w14:solidFill>
                    <w14:schemeClr w14:val="tx1"/>
                  </w14:solidFill>
                </w14:textFill>
              </w:rPr>
              <w:t>A020</w:t>
            </w:r>
            <w:r>
              <w:rPr>
                <w:rFonts w:hint="eastAsia" w:ascii="宋体" w:hAnsi="宋体" w:cs="宋体"/>
                <w:color w:val="000000" w:themeColor="text1"/>
                <w:w w:val="99"/>
                <w:kern w:val="2"/>
                <w:sz w:val="21"/>
                <w:szCs w:val="21"/>
                <w:highlight w:val="none"/>
                <w14:textFill>
                  <w14:solidFill>
                    <w14:schemeClr w14:val="tx1"/>
                  </w14:solidFill>
                </w14:textFill>
              </w:rPr>
              <w:t>52</w:t>
            </w:r>
            <w:r>
              <w:rPr>
                <w:rFonts w:hint="eastAsia" w:ascii="宋体" w:hAnsi="宋体" w:cs="宋体"/>
                <w:color w:val="000000" w:themeColor="text1"/>
                <w:spacing w:val="1"/>
                <w:w w:val="99"/>
                <w:kern w:val="2"/>
                <w:sz w:val="21"/>
                <w:szCs w:val="21"/>
                <w:highlight w:val="none"/>
                <w14:textFill>
                  <w14:solidFill>
                    <w14:schemeClr w14:val="tx1"/>
                  </w14:solidFill>
                </w14:textFill>
              </w:rPr>
              <w:t>3</w:t>
            </w:r>
            <w:r>
              <w:rPr>
                <w:rFonts w:hint="eastAsia" w:ascii="宋体" w:hAnsi="宋体" w:cs="宋体"/>
                <w:color w:val="000000" w:themeColor="text1"/>
                <w:w w:val="99"/>
                <w:kern w:val="2"/>
                <w:sz w:val="21"/>
                <w:szCs w:val="21"/>
                <w:highlight w:val="none"/>
                <w14:textFill>
                  <w14:solidFill>
                    <w14:schemeClr w14:val="tx1"/>
                  </w14:solidFill>
                </w14:textFill>
              </w:rPr>
              <w:t>01制冷压缩机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3FE53EC">
            <w:pPr>
              <w:pStyle w:val="11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w w:val="99"/>
                <w:kern w:val="2"/>
                <w:sz w:val="21"/>
                <w:szCs w:val="21"/>
                <w:highlight w:val="none"/>
                <w14:textFill>
                  <w14:solidFill>
                    <w14:schemeClr w14:val="tx1"/>
                  </w14:solidFill>
                </w14:textFill>
              </w:rPr>
              <w:t>冷水机组</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6EB4E528">
            <w:pPr>
              <w:pStyle w:val="117"/>
              <w:spacing w:before="131" w:line="276" w:lineRule="auto"/>
              <w:ind w:left="7" w:right="4"/>
              <w:rPr>
                <w:rFonts w:ascii="宋体" w:hAnsi="宋体" w:cs="宋体"/>
                <w:color w:val="000000" w:themeColor="text1"/>
                <w:spacing w:val="10"/>
                <w:kern w:val="2"/>
                <w:sz w:val="21"/>
                <w:szCs w:val="21"/>
                <w:highlight w:val="none"/>
                <w:lang w:eastAsia="zh-CN"/>
                <w14:textFill>
                  <w14:solidFill>
                    <w14:schemeClr w14:val="tx1"/>
                  </w14:solidFill>
                </w14:textFill>
              </w:rPr>
            </w:pPr>
            <w:r>
              <w:rPr>
                <w:rFonts w:hint="eastAsia" w:ascii="宋体" w:hAnsi="宋体" w:cs="宋体"/>
                <w:color w:val="000000" w:themeColor="text1"/>
                <w:spacing w:val="10"/>
                <w:kern w:val="2"/>
                <w:sz w:val="21"/>
                <w:szCs w:val="21"/>
                <w:highlight w:val="none"/>
                <w:lang w:eastAsia="zh-CN"/>
                <w14:textFill>
                  <w14:solidFill>
                    <w14:schemeClr w14:val="tx1"/>
                  </w14:solidFill>
                </w14:textFill>
              </w:rPr>
              <w:t>《冷水机组能效限定值及能效等级》（GB19577），《低环境温度空气源热泵（冷水）机组能效限定值及能效等级》（GB37480）</w:t>
            </w:r>
          </w:p>
        </w:tc>
      </w:tr>
      <w:tr w14:paraId="62387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BE6EE0D">
            <w:pPr>
              <w:widowControl/>
              <w:jc w:val="left"/>
              <w:rPr>
                <w:rFonts w:ascii="宋体" w:hAnsi="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FD28583">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E2D5EE7">
            <w:pPr>
              <w:widowControl/>
              <w:jc w:val="left"/>
              <w:rPr>
                <w:rFonts w:ascii="宋体" w:hAnsi="宋体" w:cs="宋体"/>
                <w:color w:val="000000" w:themeColor="text1"/>
                <w:szCs w:val="21"/>
                <w:highlight w:val="none"/>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C023168">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溴化锂吸收式冷水机组</w:t>
            </w:r>
          </w:p>
        </w:tc>
        <w:tc>
          <w:tcPr>
            <w:tcW w:w="3452" w:type="dxa"/>
            <w:tcBorders>
              <w:top w:val="single" w:color="000000" w:sz="4" w:space="0"/>
              <w:left w:val="single" w:color="000000" w:sz="4" w:space="0"/>
              <w:bottom w:val="single" w:color="000000" w:sz="4" w:space="0"/>
              <w:right w:val="single" w:color="000000" w:sz="4" w:space="0"/>
            </w:tcBorders>
            <w:noWrap w:val="0"/>
            <w:vAlign w:val="center"/>
          </w:tcPr>
          <w:p w14:paraId="42A3A009">
            <w:pPr>
              <w:pStyle w:val="117"/>
              <w:spacing w:before="131" w:line="276" w:lineRule="auto"/>
              <w:ind w:left="7" w:right="4"/>
              <w:rPr>
                <w:rFonts w:ascii="宋体" w:hAnsi="宋体" w:cs="宋体"/>
                <w:color w:val="000000" w:themeColor="text1"/>
                <w:spacing w:val="10"/>
                <w:kern w:val="2"/>
                <w:sz w:val="21"/>
                <w:szCs w:val="21"/>
                <w:highlight w:val="none"/>
                <w:lang w:eastAsia="zh-CN"/>
                <w14:textFill>
                  <w14:solidFill>
                    <w14:schemeClr w14:val="tx1"/>
                  </w14:solidFill>
                </w14:textFill>
              </w:rPr>
            </w:pPr>
            <w:r>
              <w:rPr>
                <w:rFonts w:hint="eastAsia" w:ascii="宋体" w:hAnsi="宋体" w:cs="宋体"/>
                <w:color w:val="000000" w:themeColor="text1"/>
                <w:spacing w:val="10"/>
                <w:kern w:val="2"/>
                <w:sz w:val="21"/>
                <w:szCs w:val="21"/>
                <w:highlight w:val="none"/>
                <w:lang w:eastAsia="zh-CN"/>
                <w14:textFill>
                  <w14:solidFill>
                    <w14:schemeClr w14:val="tx1"/>
                  </w14:solidFill>
                </w14:textFill>
              </w:rPr>
              <w:t>《溴化锂吸收式冷水机组能效限</w:t>
            </w:r>
          </w:p>
          <w:p w14:paraId="3C70FAAD">
            <w:pPr>
              <w:spacing w:before="131" w:line="276" w:lineRule="auto"/>
              <w:ind w:right="4"/>
              <w:rPr>
                <w:rFonts w:ascii="宋体" w:hAnsi="宋体" w:cs="宋体"/>
                <w:color w:val="000000" w:themeColor="text1"/>
                <w:spacing w:val="10"/>
                <w:szCs w:val="21"/>
                <w:highlight w:val="none"/>
                <w14:textFill>
                  <w14:solidFill>
                    <w14:schemeClr w14:val="tx1"/>
                  </w14:solidFill>
                </w14:textFill>
              </w:rPr>
            </w:pPr>
            <w:r>
              <w:rPr>
                <w:rFonts w:hint="eastAsia" w:ascii="宋体" w:hAnsi="宋体" w:cs="宋体"/>
                <w:color w:val="000000" w:themeColor="text1"/>
                <w:spacing w:val="10"/>
                <w:szCs w:val="21"/>
                <w:highlight w:val="none"/>
                <w14:textFill>
                  <w14:solidFill>
                    <w14:schemeClr w14:val="tx1"/>
                  </w14:solidFill>
                </w14:textFill>
              </w:rPr>
              <w:t>定值及能效等级》（GB29540）</w:t>
            </w:r>
          </w:p>
        </w:tc>
      </w:tr>
      <w:tr w14:paraId="587B6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00EFA2D">
            <w:pPr>
              <w:widowControl/>
              <w:jc w:val="left"/>
              <w:rPr>
                <w:rFonts w:ascii="宋体" w:hAnsi="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F34B893">
            <w:pPr>
              <w:widowControl/>
              <w:jc w:val="left"/>
              <w:rPr>
                <w:rFonts w:ascii="宋体" w:hAnsi="宋体" w:cs="宋体"/>
                <w:color w:val="000000" w:themeColor="text1"/>
                <w:szCs w:val="21"/>
                <w:highlight w:val="none"/>
                <w14:textFill>
                  <w14:solidFill>
                    <w14:schemeClr w14:val="tx1"/>
                  </w14:solidFill>
                </w14:textFill>
              </w:rPr>
            </w:pP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31136E07">
            <w:pPr>
              <w:pStyle w:val="117"/>
              <w:spacing w:line="276" w:lineRule="auto"/>
              <w:ind w:right="5"/>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w w:val="99"/>
                <w:kern w:val="2"/>
                <w:sz w:val="21"/>
                <w:szCs w:val="21"/>
                <w:highlight w:val="none"/>
                <w14:textFill>
                  <w14:solidFill>
                    <w14:schemeClr w14:val="tx1"/>
                  </w14:solidFill>
                </w14:textFill>
              </w:rPr>
              <w:t>★A02052305空调机组</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2BF3B95">
            <w:pPr>
              <w:pStyle w:val="117"/>
              <w:spacing w:before="4" w:line="276" w:lineRule="auto"/>
              <w:ind w:left="7" w:right="7"/>
              <w:jc w:val="center"/>
              <w:rPr>
                <w:rFonts w:ascii="宋体" w:hAnsi="宋体" w:cs="宋体"/>
                <w:color w:val="000000" w:themeColor="text1"/>
                <w:w w:val="99"/>
                <w:kern w:val="2"/>
                <w:sz w:val="21"/>
                <w:szCs w:val="21"/>
                <w:highlight w:val="none"/>
                <w:lang w:eastAsia="zh-CN"/>
                <w14:textFill>
                  <w14:solidFill>
                    <w14:schemeClr w14:val="tx1"/>
                  </w14:solidFill>
                </w14:textFill>
              </w:rPr>
            </w:pPr>
            <w:r>
              <w:rPr>
                <w:rFonts w:hint="eastAsia" w:ascii="宋体" w:hAnsi="宋体" w:cs="宋体"/>
                <w:color w:val="000000" w:themeColor="text1"/>
                <w:w w:val="99"/>
                <w:kern w:val="2"/>
                <w:sz w:val="21"/>
                <w:szCs w:val="21"/>
                <w:highlight w:val="none"/>
                <w:lang w:eastAsia="zh-CN"/>
                <w14:textFill>
                  <w14:solidFill>
                    <w14:schemeClr w14:val="tx1"/>
                  </w14:solidFill>
                </w14:textFill>
              </w:rPr>
              <w:t>多联式空调（热泵）机组（制冷量＞14000W）</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4AE8DFC3">
            <w:pPr>
              <w:pStyle w:val="117"/>
              <w:spacing w:before="131" w:line="276" w:lineRule="auto"/>
              <w:ind w:left="7" w:right="4"/>
              <w:rPr>
                <w:rFonts w:ascii="宋体" w:hAnsi="宋体" w:cs="宋体"/>
                <w:color w:val="000000" w:themeColor="text1"/>
                <w:spacing w:val="10"/>
                <w:kern w:val="2"/>
                <w:sz w:val="21"/>
                <w:szCs w:val="21"/>
                <w:highlight w:val="none"/>
                <w:lang w:eastAsia="zh-CN"/>
                <w14:textFill>
                  <w14:solidFill>
                    <w14:schemeClr w14:val="tx1"/>
                  </w14:solidFill>
                </w14:textFill>
              </w:rPr>
            </w:pPr>
            <w:r>
              <w:rPr>
                <w:rFonts w:hint="eastAsia" w:ascii="宋体" w:hAnsi="宋体" w:cs="宋体"/>
                <w:color w:val="000000" w:themeColor="text1"/>
                <w:spacing w:val="10"/>
                <w:kern w:val="2"/>
                <w:sz w:val="21"/>
                <w:szCs w:val="21"/>
                <w:highlight w:val="none"/>
                <w:lang w:eastAsia="zh-CN"/>
                <w14:textFill>
                  <w14:solidFill>
                    <w14:schemeClr w14:val="tx1"/>
                  </w14:solidFill>
                </w14:textFill>
              </w:rPr>
              <w:t>《多联式空调（热泵）机组能效限定值及能源效率等级》（GB21454）</w:t>
            </w:r>
          </w:p>
        </w:tc>
      </w:tr>
      <w:tr w14:paraId="2500B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D5C295C">
            <w:pPr>
              <w:widowControl/>
              <w:jc w:val="left"/>
              <w:rPr>
                <w:rFonts w:ascii="宋体" w:hAnsi="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A7AA7F0">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29D685A">
            <w:pPr>
              <w:widowControl/>
              <w:jc w:val="left"/>
              <w:rPr>
                <w:rFonts w:ascii="宋体" w:hAnsi="宋体" w:cs="宋体"/>
                <w:color w:val="000000" w:themeColor="text1"/>
                <w:szCs w:val="21"/>
                <w:highlight w:val="none"/>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D5168B7">
            <w:pPr>
              <w:jc w:val="center"/>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w w:val="99"/>
                <w:szCs w:val="21"/>
                <w:highlight w:val="none"/>
                <w14:textFill>
                  <w14:solidFill>
                    <w14:schemeClr w14:val="tx1"/>
                  </w14:solidFill>
                </w14:textFill>
              </w:rPr>
              <w:t>单元式空气调节机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7A3C446B">
            <w:pPr>
              <w:pStyle w:val="117"/>
              <w:spacing w:before="131" w:line="276" w:lineRule="auto"/>
              <w:ind w:left="7" w:right="4"/>
              <w:rPr>
                <w:rFonts w:ascii="宋体" w:hAnsi="宋体" w:cs="宋体"/>
                <w:color w:val="000000" w:themeColor="text1"/>
                <w:spacing w:val="10"/>
                <w:kern w:val="2"/>
                <w:sz w:val="21"/>
                <w:szCs w:val="21"/>
                <w:highlight w:val="none"/>
                <w:lang w:eastAsia="zh-CN"/>
                <w14:textFill>
                  <w14:solidFill>
                    <w14:schemeClr w14:val="tx1"/>
                  </w14:solidFill>
                </w14:textFill>
              </w:rPr>
            </w:pPr>
            <w:r>
              <w:rPr>
                <w:rFonts w:hint="eastAsia" w:ascii="宋体" w:hAnsi="宋体" w:cs="宋体"/>
                <w:color w:val="000000" w:themeColor="text1"/>
                <w:spacing w:val="10"/>
                <w:kern w:val="2"/>
                <w:sz w:val="21"/>
                <w:szCs w:val="21"/>
                <w:highlight w:val="none"/>
                <w:lang w:eastAsia="zh-CN"/>
                <w14:textFill>
                  <w14:solidFill>
                    <w14:schemeClr w14:val="tx1"/>
                  </w14:solidFill>
                </w14:textFill>
              </w:rPr>
              <w:t>《单元式空气调节机能效限定值及能效等级》（GB19576）《风管送风式空调机组能效限定值及能效等级》（GB37479）</w:t>
            </w:r>
          </w:p>
        </w:tc>
      </w:tr>
      <w:tr w14:paraId="364C9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6DCDB9B">
            <w:pPr>
              <w:widowControl/>
              <w:jc w:val="left"/>
              <w:rPr>
                <w:rFonts w:ascii="宋体" w:hAnsi="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B52A6B9">
            <w:pPr>
              <w:widowControl/>
              <w:jc w:val="left"/>
              <w:rPr>
                <w:rFonts w:ascii="宋体" w:hAnsi="宋体" w:cs="宋体"/>
                <w:color w:val="000000" w:themeColor="text1"/>
                <w:szCs w:val="21"/>
                <w:highlight w:val="none"/>
                <w14:textFill>
                  <w14:solidFill>
                    <w14:schemeClr w14:val="tx1"/>
                  </w14:solidFill>
                </w14:textFill>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B9B50F7">
            <w:pPr>
              <w:pStyle w:val="117"/>
              <w:spacing w:before="83"/>
              <w:ind w:left="7"/>
              <w:jc w:val="center"/>
              <w:rPr>
                <w:rFonts w:ascii="宋体" w:hAnsi="宋体" w:cs="宋体"/>
                <w:color w:val="000000" w:themeColor="text1"/>
                <w:w w:val="99"/>
                <w:kern w:val="2"/>
                <w:sz w:val="21"/>
                <w:szCs w:val="21"/>
                <w:highlight w:val="none"/>
                <w:lang w:eastAsia="zh-CN"/>
                <w14:textFill>
                  <w14:solidFill>
                    <w14:schemeClr w14:val="tx1"/>
                  </w14:solidFill>
                </w14:textFill>
              </w:rPr>
            </w:pPr>
            <w:r>
              <w:rPr>
                <w:rFonts w:hint="eastAsia" w:ascii="宋体" w:hAnsi="宋体" w:cs="宋体"/>
                <w:color w:val="000000" w:themeColor="text1"/>
                <w:w w:val="99"/>
                <w:kern w:val="2"/>
                <w:sz w:val="21"/>
                <w:szCs w:val="21"/>
                <w:highlight w:val="none"/>
                <w:lang w:eastAsia="zh-CN"/>
                <w14:textFill>
                  <w14:solidFill>
                    <w14:schemeClr w14:val="tx1"/>
                  </w14:solidFill>
                </w14:textFill>
              </w:rPr>
              <w:t>★A02052309专用制冷、空调设备</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66A8FC4">
            <w:pPr>
              <w:pStyle w:val="11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w w:val="99"/>
                <w:kern w:val="2"/>
                <w:sz w:val="21"/>
                <w:szCs w:val="21"/>
                <w:highlight w:val="none"/>
                <w14:textFill>
                  <w14:solidFill>
                    <w14:schemeClr w14:val="tx1"/>
                  </w14:solidFill>
                </w14:textFill>
              </w:rPr>
              <w:t>机房空调</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4700361E">
            <w:pPr>
              <w:pStyle w:val="117"/>
              <w:spacing w:before="131" w:line="276" w:lineRule="auto"/>
              <w:ind w:left="7" w:right="4"/>
              <w:rPr>
                <w:rFonts w:ascii="宋体" w:hAnsi="宋体" w:cs="宋体"/>
                <w:color w:val="000000" w:themeColor="text1"/>
                <w:spacing w:val="10"/>
                <w:kern w:val="2"/>
                <w:sz w:val="21"/>
                <w:szCs w:val="21"/>
                <w:highlight w:val="none"/>
                <w:lang w:eastAsia="zh-CN"/>
                <w14:textFill>
                  <w14:solidFill>
                    <w14:schemeClr w14:val="tx1"/>
                  </w14:solidFill>
                </w14:textFill>
              </w:rPr>
            </w:pPr>
            <w:r>
              <w:rPr>
                <w:rFonts w:hint="eastAsia" w:ascii="宋体" w:hAnsi="宋体" w:cs="宋体"/>
                <w:color w:val="000000" w:themeColor="text1"/>
                <w:spacing w:val="10"/>
                <w:kern w:val="2"/>
                <w:sz w:val="21"/>
                <w:szCs w:val="21"/>
                <w:highlight w:val="none"/>
                <w:lang w:eastAsia="zh-CN"/>
                <w14:textFill>
                  <w14:solidFill>
                    <w14:schemeClr w14:val="tx1"/>
                  </w14:solidFill>
                </w14:textFill>
              </w:rPr>
              <w:t>《单元式空气调节机能效限定值</w:t>
            </w:r>
          </w:p>
          <w:p w14:paraId="70178DDD">
            <w:pPr>
              <w:pStyle w:val="117"/>
              <w:spacing w:before="131" w:line="276" w:lineRule="auto"/>
              <w:ind w:left="7" w:right="4"/>
              <w:rPr>
                <w:rFonts w:ascii="宋体" w:hAnsi="宋体" w:cs="宋体"/>
                <w:color w:val="000000" w:themeColor="text1"/>
                <w:spacing w:val="10"/>
                <w:kern w:val="2"/>
                <w:sz w:val="21"/>
                <w:szCs w:val="21"/>
                <w:highlight w:val="none"/>
                <w:lang w:eastAsia="zh-CN"/>
                <w14:textFill>
                  <w14:solidFill>
                    <w14:schemeClr w14:val="tx1"/>
                  </w14:solidFill>
                </w14:textFill>
              </w:rPr>
            </w:pPr>
            <w:r>
              <w:rPr>
                <w:rFonts w:hint="eastAsia" w:ascii="宋体" w:hAnsi="宋体" w:cs="宋体"/>
                <w:color w:val="000000" w:themeColor="text1"/>
                <w:spacing w:val="10"/>
                <w:kern w:val="2"/>
                <w:sz w:val="21"/>
                <w:szCs w:val="21"/>
                <w:highlight w:val="none"/>
                <w:lang w:eastAsia="zh-CN"/>
                <w14:textFill>
                  <w14:solidFill>
                    <w14:schemeClr w14:val="tx1"/>
                  </w14:solidFill>
                </w14:textFill>
              </w:rPr>
              <w:t>及能效等级》（GB19576）</w:t>
            </w:r>
          </w:p>
        </w:tc>
      </w:tr>
      <w:tr w14:paraId="786DB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010571A">
            <w:pPr>
              <w:widowControl/>
              <w:jc w:val="left"/>
              <w:rPr>
                <w:rFonts w:ascii="宋体" w:hAnsi="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47E34B7">
            <w:pPr>
              <w:widowControl/>
              <w:jc w:val="left"/>
              <w:rPr>
                <w:rFonts w:ascii="宋体" w:hAnsi="宋体" w:cs="宋体"/>
                <w:color w:val="000000" w:themeColor="text1"/>
                <w:szCs w:val="21"/>
                <w:highlight w:val="none"/>
                <w14:textFill>
                  <w14:solidFill>
                    <w14:schemeClr w14:val="tx1"/>
                  </w14:solidFill>
                </w14:textFill>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DB8135A">
            <w:pPr>
              <w:pStyle w:val="117"/>
              <w:spacing w:line="254" w:lineRule="exact"/>
              <w:ind w:left="7"/>
              <w:jc w:val="center"/>
              <w:rPr>
                <w:rFonts w:ascii="宋体" w:hAnsi="宋体" w:cs="宋体"/>
                <w:color w:val="000000" w:themeColor="text1"/>
                <w:w w:val="99"/>
                <w:kern w:val="2"/>
                <w:sz w:val="21"/>
                <w:szCs w:val="21"/>
                <w:highlight w:val="none"/>
                <w14:textFill>
                  <w14:solidFill>
                    <w14:schemeClr w14:val="tx1"/>
                  </w14:solidFill>
                </w14:textFill>
              </w:rPr>
            </w:pPr>
            <w:r>
              <w:rPr>
                <w:rFonts w:hint="eastAsia" w:ascii="宋体" w:hAnsi="宋体" w:cs="宋体"/>
                <w:color w:val="000000" w:themeColor="text1"/>
                <w:w w:val="99"/>
                <w:kern w:val="2"/>
                <w:sz w:val="21"/>
                <w:szCs w:val="21"/>
                <w:highlight w:val="none"/>
                <w14:textFill>
                  <w14:solidFill>
                    <w14:schemeClr w14:val="tx1"/>
                  </w14:solidFill>
                </w14:textFill>
              </w:rPr>
              <w:t>A02052399其他制冷</w:t>
            </w:r>
          </w:p>
          <w:p w14:paraId="76A62344">
            <w:pPr>
              <w:pStyle w:val="117"/>
              <w:spacing w:line="254" w:lineRule="exact"/>
              <w:ind w:left="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w w:val="99"/>
                <w:kern w:val="2"/>
                <w:sz w:val="21"/>
                <w:szCs w:val="21"/>
                <w:highlight w:val="none"/>
                <w14:textFill>
                  <w14:solidFill>
                    <w14:schemeClr w14:val="tx1"/>
                  </w14:solidFill>
                </w14:textFill>
              </w:rPr>
              <w:t>空调设备</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F51ABF6">
            <w:pPr>
              <w:widowControl/>
              <w:jc w:val="center"/>
              <w:rPr>
                <w:rFonts w:ascii="宋体" w:hAnsi="宋体" w:cs="宋体"/>
                <w:color w:val="000000" w:themeColor="text1"/>
                <w:szCs w:val="21"/>
                <w:highlight w:val="none"/>
                <w:lang w:eastAsia="en-US"/>
                <w14:textFill>
                  <w14:solidFill>
                    <w14:schemeClr w14:val="tx1"/>
                  </w14:solidFill>
                </w14:textFill>
              </w:rPr>
            </w:pPr>
            <w:r>
              <w:rPr>
                <w:rFonts w:hint="eastAsia" w:ascii="宋体" w:hAnsi="宋体" w:cs="宋体"/>
                <w:color w:val="000000" w:themeColor="text1"/>
                <w:w w:val="99"/>
                <w:szCs w:val="21"/>
                <w:highlight w:val="none"/>
                <w14:textFill>
                  <w14:solidFill>
                    <w14:schemeClr w14:val="tx1"/>
                  </w14:solidFill>
                </w14:textFill>
              </w:rPr>
              <w:t>冷却塔</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480BC7B9">
            <w:pPr>
              <w:pStyle w:val="117"/>
              <w:spacing w:before="131" w:line="276" w:lineRule="auto"/>
              <w:ind w:left="7" w:right="4"/>
              <w:rPr>
                <w:rFonts w:ascii="宋体" w:hAnsi="宋体" w:cs="宋体"/>
                <w:color w:val="000000" w:themeColor="text1"/>
                <w:spacing w:val="10"/>
                <w:kern w:val="2"/>
                <w:sz w:val="21"/>
                <w:szCs w:val="21"/>
                <w:highlight w:val="none"/>
                <w:lang w:eastAsia="zh-CN"/>
                <w14:textFill>
                  <w14:solidFill>
                    <w14:schemeClr w14:val="tx1"/>
                  </w14:solidFill>
                </w14:textFill>
              </w:rPr>
            </w:pPr>
            <w:r>
              <w:rPr>
                <w:rFonts w:hint="eastAsia" w:ascii="宋体" w:hAnsi="宋体" w:cs="宋体"/>
                <w:color w:val="000000" w:themeColor="text1"/>
                <w:spacing w:val="10"/>
                <w:kern w:val="2"/>
                <w:sz w:val="21"/>
                <w:szCs w:val="21"/>
                <w:highlight w:val="none"/>
                <w:lang w:eastAsia="zh-CN"/>
                <w14:textFill>
                  <w14:solidFill>
                    <w14:schemeClr w14:val="tx1"/>
                  </w14:solidFill>
                </w14:textFill>
              </w:rPr>
              <w:t>《机械通风冷却塔第1部分：中小型开式冷却塔》（GB/T7190.1）</w:t>
            </w:r>
          </w:p>
          <w:p w14:paraId="161E42CA">
            <w:pPr>
              <w:pStyle w:val="117"/>
              <w:spacing w:before="131" w:line="276" w:lineRule="auto"/>
              <w:ind w:left="7" w:right="4"/>
              <w:rPr>
                <w:rFonts w:ascii="宋体" w:hAnsi="宋体" w:cs="宋体"/>
                <w:color w:val="000000" w:themeColor="text1"/>
                <w:spacing w:val="10"/>
                <w:kern w:val="2"/>
                <w:sz w:val="21"/>
                <w:szCs w:val="21"/>
                <w:highlight w:val="none"/>
                <w:lang w:eastAsia="zh-CN"/>
                <w14:textFill>
                  <w14:solidFill>
                    <w14:schemeClr w14:val="tx1"/>
                  </w14:solidFill>
                </w14:textFill>
              </w:rPr>
            </w:pPr>
            <w:r>
              <w:rPr>
                <w:rFonts w:hint="eastAsia" w:ascii="宋体" w:hAnsi="宋体" w:cs="宋体"/>
                <w:color w:val="000000" w:themeColor="text1"/>
                <w:spacing w:val="10"/>
                <w:kern w:val="2"/>
                <w:sz w:val="21"/>
                <w:szCs w:val="21"/>
                <w:highlight w:val="none"/>
                <w:lang w:eastAsia="zh-CN"/>
                <w14:textFill>
                  <w14:solidFill>
                    <w14:schemeClr w14:val="tx1"/>
                  </w14:solidFill>
                </w14:textFill>
              </w:rPr>
              <w:t>《机械通风冷却塔第2部分：大型开式冷却塔》（GB/T7190.2）</w:t>
            </w:r>
          </w:p>
        </w:tc>
      </w:tr>
      <w:tr w14:paraId="3EF18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4DDAA172">
            <w:pPr>
              <w:pStyle w:val="117"/>
              <w:ind w:right="1"/>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olor w:val="000000" w:themeColor="text1"/>
                <w:w w:val="99"/>
                <w:kern w:val="2"/>
                <w:sz w:val="21"/>
                <w:szCs w:val="21"/>
                <w:highlight w:val="none"/>
                <w14:textFill>
                  <w14:solidFill>
                    <w14:schemeClr w14:val="tx1"/>
                  </w14:solidFill>
                </w14:textFill>
              </w:rPr>
              <w:t>7</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71D9C709">
            <w:pPr>
              <w:pStyle w:val="11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仿宋_GB2312"/>
                <w:color w:val="000000" w:themeColor="text1"/>
                <w:kern w:val="2"/>
                <w:sz w:val="21"/>
                <w:szCs w:val="21"/>
                <w:highlight w:val="none"/>
                <w14:textFill>
                  <w14:solidFill>
                    <w14:schemeClr w14:val="tx1"/>
                  </w14:solidFill>
                </w14:textFill>
              </w:rPr>
              <w:t>A02060100</w:t>
            </w:r>
            <w:r>
              <w:rPr>
                <w:rFonts w:hint="eastAsia" w:ascii="宋体" w:hAnsi="宋体" w:cs="宋体"/>
                <w:color w:val="000000" w:themeColor="text1"/>
                <w:w w:val="99"/>
                <w:kern w:val="2"/>
                <w:sz w:val="21"/>
                <w:szCs w:val="21"/>
                <w:highlight w:val="none"/>
                <w14:textFill>
                  <w14:solidFill>
                    <w14:schemeClr w14:val="tx1"/>
                  </w14:solidFill>
                </w14:textFill>
              </w:rPr>
              <w:t>电机</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1ACFD2B">
            <w:pPr>
              <w:jc w:val="center"/>
              <w:rPr>
                <w:rFonts w:ascii="宋体" w:hAnsi="宋体"/>
                <w:color w:val="000000" w:themeColor="text1"/>
                <w:szCs w:val="21"/>
                <w:highlight w:val="none"/>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79B3C7D">
            <w:pPr>
              <w:jc w:val="center"/>
              <w:rPr>
                <w:rFonts w:ascii="宋体" w:hAnsi="宋体"/>
                <w:color w:val="000000" w:themeColor="text1"/>
                <w:szCs w:val="21"/>
                <w:highlight w:val="none"/>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1A9AFCB3">
            <w:pPr>
              <w:pStyle w:val="117"/>
              <w:spacing w:before="131" w:line="276" w:lineRule="auto"/>
              <w:ind w:left="7" w:right="4"/>
              <w:rPr>
                <w:rFonts w:ascii="宋体" w:hAnsi="宋体" w:cs="宋体"/>
                <w:color w:val="000000" w:themeColor="text1"/>
                <w:spacing w:val="10"/>
                <w:kern w:val="2"/>
                <w:sz w:val="21"/>
                <w:szCs w:val="21"/>
                <w:highlight w:val="none"/>
                <w:lang w:eastAsia="zh-CN"/>
                <w14:textFill>
                  <w14:solidFill>
                    <w14:schemeClr w14:val="tx1"/>
                  </w14:solidFill>
                </w14:textFill>
              </w:rPr>
            </w:pPr>
            <w:r>
              <w:rPr>
                <w:rFonts w:hint="eastAsia" w:ascii="宋体" w:hAnsi="宋体" w:cs="宋体"/>
                <w:color w:val="000000" w:themeColor="text1"/>
                <w:spacing w:val="10"/>
                <w:kern w:val="2"/>
                <w:sz w:val="21"/>
                <w:szCs w:val="21"/>
                <w:highlight w:val="none"/>
                <w:lang w:eastAsia="zh-CN"/>
                <w14:textFill>
                  <w14:solidFill>
                    <w14:schemeClr w14:val="tx1"/>
                  </w14:solidFill>
                </w14:textFill>
              </w:rPr>
              <w:t>《中小型三相异步电动机能效限定值及能效等级》（GB18613）</w:t>
            </w:r>
          </w:p>
        </w:tc>
      </w:tr>
      <w:tr w14:paraId="71B62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485EFA9F">
            <w:pPr>
              <w:pStyle w:val="117"/>
              <w:ind w:right="1"/>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olor w:val="000000" w:themeColor="text1"/>
                <w:w w:val="99"/>
                <w:kern w:val="2"/>
                <w:sz w:val="21"/>
                <w:szCs w:val="21"/>
                <w:highlight w:val="none"/>
                <w14:textFill>
                  <w14:solidFill>
                    <w14:schemeClr w14:val="tx1"/>
                  </w14:solidFill>
                </w14:textFill>
              </w:rPr>
              <w:t>8</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7BA71543">
            <w:pPr>
              <w:pStyle w:val="117"/>
              <w:spacing w:before="30"/>
              <w:ind w:left="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仿宋_GB2312"/>
                <w:color w:val="000000" w:themeColor="text1"/>
                <w:kern w:val="2"/>
                <w:sz w:val="21"/>
                <w:szCs w:val="21"/>
                <w:highlight w:val="none"/>
                <w14:textFill>
                  <w14:solidFill>
                    <w14:schemeClr w14:val="tx1"/>
                  </w14:solidFill>
                </w14:textFill>
              </w:rPr>
              <w:t>A02060200</w:t>
            </w:r>
            <w:r>
              <w:rPr>
                <w:rFonts w:hint="eastAsia" w:ascii="宋体" w:hAnsi="宋体" w:cs="宋体"/>
                <w:color w:val="000000" w:themeColor="text1"/>
                <w:w w:val="99"/>
                <w:kern w:val="2"/>
                <w:sz w:val="21"/>
                <w:szCs w:val="21"/>
                <w:highlight w:val="none"/>
                <w14:textFill>
                  <w14:solidFill>
                    <w14:schemeClr w14:val="tx1"/>
                  </w14:solidFill>
                </w14:textFill>
              </w:rPr>
              <w:t>变压</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45BEAF5">
            <w:pPr>
              <w:pStyle w:val="11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w w:val="99"/>
                <w:kern w:val="2"/>
                <w:sz w:val="21"/>
                <w:szCs w:val="21"/>
                <w:highlight w:val="none"/>
                <w14:textFill>
                  <w14:solidFill>
                    <w14:schemeClr w14:val="tx1"/>
                  </w14:solidFill>
                </w14:textFill>
              </w:rPr>
              <w:t>配电变压器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E037078">
            <w:pPr>
              <w:jc w:val="center"/>
              <w:rPr>
                <w:rFonts w:ascii="宋体" w:hAnsi="宋体"/>
                <w:color w:val="000000" w:themeColor="text1"/>
                <w:szCs w:val="21"/>
                <w:highlight w:val="none"/>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6A452C07">
            <w:pPr>
              <w:pStyle w:val="117"/>
              <w:spacing w:before="131" w:line="276" w:lineRule="auto"/>
              <w:ind w:left="7" w:right="4"/>
              <w:rPr>
                <w:rFonts w:ascii="宋体" w:hAnsi="宋体" w:cs="宋体"/>
                <w:color w:val="000000" w:themeColor="text1"/>
                <w:spacing w:val="10"/>
                <w:kern w:val="2"/>
                <w:sz w:val="21"/>
                <w:szCs w:val="21"/>
                <w:highlight w:val="none"/>
                <w:lang w:eastAsia="zh-CN"/>
                <w14:textFill>
                  <w14:solidFill>
                    <w14:schemeClr w14:val="tx1"/>
                  </w14:solidFill>
                </w14:textFill>
              </w:rPr>
            </w:pPr>
            <w:r>
              <w:rPr>
                <w:rFonts w:hint="eastAsia" w:ascii="宋体" w:hAnsi="宋体" w:cs="宋体"/>
                <w:color w:val="000000" w:themeColor="text1"/>
                <w:spacing w:val="10"/>
                <w:kern w:val="2"/>
                <w:sz w:val="21"/>
                <w:szCs w:val="21"/>
                <w:highlight w:val="none"/>
                <w:lang w:eastAsia="zh-CN"/>
                <w14:textFill>
                  <w14:solidFill>
                    <w14:schemeClr w14:val="tx1"/>
                  </w14:solidFill>
                </w14:textFill>
              </w:rPr>
              <w:t>《三相配电变压器能效限定值及能效等级》（GB 20052）</w:t>
            </w:r>
          </w:p>
        </w:tc>
      </w:tr>
      <w:tr w14:paraId="19ED2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0443E4D2">
            <w:pPr>
              <w:pStyle w:val="117"/>
              <w:ind w:right="1"/>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olor w:val="000000" w:themeColor="text1"/>
                <w:w w:val="99"/>
                <w:kern w:val="2"/>
                <w:sz w:val="21"/>
                <w:szCs w:val="21"/>
                <w:highlight w:val="none"/>
                <w14:textFill>
                  <w14:solidFill>
                    <w14:schemeClr w14:val="tx1"/>
                  </w14:solidFill>
                </w14:textFill>
              </w:rPr>
              <w:t>9</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58B9C400">
            <w:pPr>
              <w:pStyle w:val="117"/>
              <w:spacing w:before="126"/>
              <w:ind w:left="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w w:val="99"/>
                <w:kern w:val="2"/>
                <w:sz w:val="21"/>
                <w:szCs w:val="21"/>
                <w:highlight w:val="none"/>
                <w14:textFill>
                  <w14:solidFill>
                    <w14:schemeClr w14:val="tx1"/>
                  </w14:solidFill>
                </w14:textFill>
              </w:rPr>
              <w:t>★A02060900镇流器</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3692BBF6">
            <w:pPr>
              <w:pStyle w:val="11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w w:val="99"/>
                <w:kern w:val="2"/>
                <w:sz w:val="21"/>
                <w:szCs w:val="21"/>
                <w:highlight w:val="none"/>
                <w14:textFill>
                  <w14:solidFill>
                    <w14:schemeClr w14:val="tx1"/>
                  </w14:solidFill>
                </w14:textFill>
              </w:rPr>
              <w:t>管型荧光灯镇流器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01A4FDC">
            <w:pPr>
              <w:jc w:val="center"/>
              <w:rPr>
                <w:rFonts w:ascii="宋体" w:hAnsi="宋体"/>
                <w:color w:val="000000" w:themeColor="text1"/>
                <w:szCs w:val="21"/>
                <w:highlight w:val="none"/>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5097EE88">
            <w:pPr>
              <w:pStyle w:val="117"/>
              <w:spacing w:before="131" w:line="276" w:lineRule="auto"/>
              <w:ind w:left="7" w:right="4"/>
              <w:rPr>
                <w:rFonts w:ascii="宋体" w:hAnsi="宋体" w:cs="宋体"/>
                <w:color w:val="000000" w:themeColor="text1"/>
                <w:spacing w:val="10"/>
                <w:kern w:val="2"/>
                <w:sz w:val="21"/>
                <w:szCs w:val="21"/>
                <w:highlight w:val="none"/>
                <w:lang w:eastAsia="zh-CN"/>
                <w14:textFill>
                  <w14:solidFill>
                    <w14:schemeClr w14:val="tx1"/>
                  </w14:solidFill>
                </w14:textFill>
              </w:rPr>
            </w:pPr>
            <w:r>
              <w:rPr>
                <w:rFonts w:hint="eastAsia" w:ascii="宋体" w:hAnsi="宋体" w:cs="宋体"/>
                <w:color w:val="000000" w:themeColor="text1"/>
                <w:spacing w:val="10"/>
                <w:kern w:val="2"/>
                <w:sz w:val="21"/>
                <w:szCs w:val="21"/>
                <w:highlight w:val="none"/>
                <w:lang w:eastAsia="zh-CN"/>
                <w14:textFill>
                  <w14:solidFill>
                    <w14:schemeClr w14:val="tx1"/>
                  </w14:solidFill>
                </w14:textFill>
              </w:rPr>
              <w:t>《管形荧光灯镇流器能效限定值及能效等级》（GB17896）</w:t>
            </w:r>
          </w:p>
        </w:tc>
      </w:tr>
      <w:tr w14:paraId="67799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4A9F617C">
            <w:pPr>
              <w:pStyle w:val="11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olor w:val="000000" w:themeColor="text1"/>
                <w:w w:val="99"/>
                <w:kern w:val="2"/>
                <w:sz w:val="21"/>
                <w:szCs w:val="21"/>
                <w:highlight w:val="none"/>
                <w14:textFill>
                  <w14:solidFill>
                    <w14:schemeClr w14:val="tx1"/>
                  </w14:solidFill>
                </w14:textFill>
              </w:rPr>
              <w:t>10</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6F68E588">
            <w:pPr>
              <w:pStyle w:val="11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w w:val="99"/>
                <w:kern w:val="2"/>
                <w:sz w:val="21"/>
                <w:szCs w:val="21"/>
                <w:highlight w:val="none"/>
                <w14:textFill>
                  <w14:solidFill>
                    <w14:schemeClr w14:val="tx1"/>
                  </w14:solidFill>
                </w14:textFill>
              </w:rPr>
              <w:t>A02061800生活用电器</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7E00B302">
            <w:pPr>
              <w:pStyle w:val="11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w w:val="99"/>
                <w:kern w:val="2"/>
                <w:sz w:val="21"/>
                <w:szCs w:val="21"/>
                <w:highlight w:val="none"/>
                <w14:textFill>
                  <w14:solidFill>
                    <w14:schemeClr w14:val="tx1"/>
                  </w14:solidFill>
                </w14:textFill>
              </w:rPr>
              <w:t>A02061801电冰箱</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9E72EAD">
            <w:pPr>
              <w:jc w:val="center"/>
              <w:rPr>
                <w:rFonts w:ascii="宋体" w:hAnsi="宋体"/>
                <w:color w:val="000000" w:themeColor="text1"/>
                <w:szCs w:val="21"/>
                <w:highlight w:val="none"/>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385FF371">
            <w:pPr>
              <w:pStyle w:val="117"/>
              <w:spacing w:before="131" w:line="276" w:lineRule="auto"/>
              <w:ind w:left="7" w:right="4"/>
              <w:rPr>
                <w:rFonts w:ascii="宋体" w:hAnsi="宋体" w:cs="宋体"/>
                <w:color w:val="000000" w:themeColor="text1"/>
                <w:spacing w:val="10"/>
                <w:kern w:val="2"/>
                <w:sz w:val="21"/>
                <w:szCs w:val="21"/>
                <w:highlight w:val="none"/>
                <w:lang w:eastAsia="zh-CN"/>
                <w14:textFill>
                  <w14:solidFill>
                    <w14:schemeClr w14:val="tx1"/>
                  </w14:solidFill>
                </w14:textFill>
              </w:rPr>
            </w:pPr>
            <w:r>
              <w:rPr>
                <w:rFonts w:hint="eastAsia" w:ascii="宋体" w:hAnsi="宋体" w:cs="宋体"/>
                <w:color w:val="000000" w:themeColor="text1"/>
                <w:spacing w:val="10"/>
                <w:kern w:val="2"/>
                <w:sz w:val="21"/>
                <w:szCs w:val="21"/>
                <w:highlight w:val="none"/>
                <w:lang w:eastAsia="zh-CN"/>
                <w14:textFill>
                  <w14:solidFill>
                    <w14:schemeClr w14:val="tx1"/>
                  </w14:solidFill>
                </w14:textFill>
              </w:rPr>
              <w:t>《家用电冰箱耗电量限定值及能效等级》（GB12021.2）</w:t>
            </w:r>
          </w:p>
        </w:tc>
      </w:tr>
      <w:tr w14:paraId="74F68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3E99411">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B99F18A">
            <w:pPr>
              <w:widowControl/>
              <w:jc w:val="left"/>
              <w:rPr>
                <w:rFonts w:ascii="宋体" w:hAnsi="宋体" w:cs="宋体"/>
                <w:color w:val="000000" w:themeColor="text1"/>
                <w:szCs w:val="21"/>
                <w:highlight w:val="none"/>
                <w14:textFill>
                  <w14:solidFill>
                    <w14:schemeClr w14:val="tx1"/>
                  </w14:solidFill>
                </w14:textFill>
              </w:rPr>
            </w:pP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5B666951">
            <w:pPr>
              <w:pStyle w:val="117"/>
              <w:spacing w:before="171"/>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w w:val="99"/>
                <w:kern w:val="2"/>
                <w:sz w:val="21"/>
                <w:szCs w:val="21"/>
                <w:highlight w:val="none"/>
                <w14:textFill>
                  <w14:solidFill>
                    <w14:schemeClr w14:val="tx1"/>
                  </w14:solidFill>
                </w14:textFill>
              </w:rPr>
              <w:t>★</w:t>
            </w:r>
            <w:r>
              <w:rPr>
                <w:rFonts w:hint="eastAsia" w:ascii="宋体" w:hAnsi="宋体" w:cs="仿宋_GB2312"/>
                <w:color w:val="000000" w:themeColor="text1"/>
                <w:kern w:val="2"/>
                <w:sz w:val="21"/>
                <w:szCs w:val="21"/>
                <w:highlight w:val="none"/>
                <w14:textFill>
                  <w14:solidFill>
                    <w14:schemeClr w14:val="tx1"/>
                  </w14:solidFill>
                </w14:textFill>
              </w:rPr>
              <w:t>A02061804</w:t>
            </w:r>
            <w:r>
              <w:rPr>
                <w:rFonts w:hint="eastAsia" w:ascii="宋体" w:hAnsi="宋体" w:cs="宋体"/>
                <w:color w:val="000000" w:themeColor="text1"/>
                <w:w w:val="99"/>
                <w:kern w:val="2"/>
                <w:sz w:val="21"/>
                <w:szCs w:val="21"/>
                <w:highlight w:val="none"/>
                <w14:textFill>
                  <w14:solidFill>
                    <w14:schemeClr w14:val="tx1"/>
                  </w14:solidFill>
                </w14:textFill>
              </w:rPr>
              <w:t>空调机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C6A40F7">
            <w:pPr>
              <w:pStyle w:val="11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w w:val="99"/>
                <w:kern w:val="2"/>
                <w:sz w:val="21"/>
                <w:szCs w:val="21"/>
                <w:highlight w:val="none"/>
                <w14:textFill>
                  <w14:solidFill>
                    <w14:schemeClr w14:val="tx1"/>
                  </w14:solidFill>
                </w14:textFill>
              </w:rPr>
              <w:t>房间空气调节器</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5C6AD8C0">
            <w:pPr>
              <w:pStyle w:val="117"/>
              <w:spacing w:before="131" w:line="276" w:lineRule="auto"/>
              <w:ind w:left="7" w:right="4"/>
              <w:rPr>
                <w:rFonts w:ascii="宋体" w:hAnsi="宋体" w:cs="宋体"/>
                <w:color w:val="000000" w:themeColor="text1"/>
                <w:spacing w:val="10"/>
                <w:kern w:val="2"/>
                <w:sz w:val="21"/>
                <w:szCs w:val="21"/>
                <w:highlight w:val="none"/>
                <w:lang w:eastAsia="zh-CN"/>
                <w14:textFill>
                  <w14:solidFill>
                    <w14:schemeClr w14:val="tx1"/>
                  </w14:solidFill>
                </w14:textFill>
              </w:rPr>
            </w:pPr>
            <w:r>
              <w:rPr>
                <w:rFonts w:hint="eastAsia" w:ascii="宋体" w:hAnsi="宋体" w:cs="宋体"/>
                <w:color w:val="000000" w:themeColor="text1"/>
                <w:spacing w:val="10"/>
                <w:kern w:val="2"/>
                <w:sz w:val="21"/>
                <w:szCs w:val="21"/>
                <w:highlight w:val="none"/>
                <w:lang w:eastAsia="zh-CN"/>
                <w14:textFill>
                  <w14:solidFill>
                    <w14:schemeClr w14:val="tx1"/>
                  </w14:solidFill>
                </w14:textFill>
              </w:rPr>
              <w:t>《房间空气调节器能效限定值及能效等级》（GB21455-2019）</w:t>
            </w:r>
          </w:p>
        </w:tc>
      </w:tr>
      <w:tr w14:paraId="544DB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345899C">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1DB8A81">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EF12A1C">
            <w:pPr>
              <w:widowControl/>
              <w:jc w:val="left"/>
              <w:rPr>
                <w:rFonts w:ascii="宋体" w:hAnsi="宋体" w:cs="宋体"/>
                <w:color w:val="000000" w:themeColor="text1"/>
                <w:szCs w:val="21"/>
                <w:highlight w:val="none"/>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76B69A3">
            <w:pPr>
              <w:pStyle w:val="117"/>
              <w:spacing w:before="4" w:line="276" w:lineRule="auto"/>
              <w:ind w:left="7" w:right="7"/>
              <w:jc w:val="center"/>
              <w:rPr>
                <w:rFonts w:ascii="宋体" w:hAnsi="宋体" w:cs="宋体"/>
                <w:color w:val="000000" w:themeColor="text1"/>
                <w:kern w:val="2"/>
                <w:sz w:val="21"/>
                <w:szCs w:val="21"/>
                <w:highlight w:val="none"/>
                <w:lang w:eastAsia="zh-CN"/>
                <w14:textFill>
                  <w14:solidFill>
                    <w14:schemeClr w14:val="tx1"/>
                  </w14:solidFill>
                </w14:textFill>
              </w:rPr>
            </w:pPr>
            <w:r>
              <w:rPr>
                <w:rFonts w:hint="eastAsia" w:ascii="宋体" w:hAnsi="宋体" w:cs="宋体"/>
                <w:color w:val="000000" w:themeColor="text1"/>
                <w:w w:val="99"/>
                <w:kern w:val="2"/>
                <w:sz w:val="21"/>
                <w:szCs w:val="21"/>
                <w:highlight w:val="none"/>
                <w:lang w:eastAsia="zh-CN"/>
                <w14:textFill>
                  <w14:solidFill>
                    <w14:schemeClr w14:val="tx1"/>
                  </w14:solidFill>
                </w14:textFill>
              </w:rPr>
              <w:t>多联式空调（热泵）机组（制冷量≤ 14000W）</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0A07AFF7">
            <w:pPr>
              <w:pStyle w:val="117"/>
              <w:spacing w:before="131" w:line="276" w:lineRule="auto"/>
              <w:ind w:left="7" w:right="4"/>
              <w:rPr>
                <w:rFonts w:ascii="宋体" w:hAnsi="宋体" w:cs="宋体"/>
                <w:color w:val="000000" w:themeColor="text1"/>
                <w:spacing w:val="10"/>
                <w:kern w:val="2"/>
                <w:sz w:val="21"/>
                <w:szCs w:val="21"/>
                <w:highlight w:val="none"/>
                <w:lang w:eastAsia="zh-CN"/>
                <w14:textFill>
                  <w14:solidFill>
                    <w14:schemeClr w14:val="tx1"/>
                  </w14:solidFill>
                </w14:textFill>
              </w:rPr>
            </w:pPr>
            <w:r>
              <w:rPr>
                <w:rFonts w:hint="eastAsia" w:ascii="宋体" w:hAnsi="宋体" w:cs="宋体"/>
                <w:color w:val="000000" w:themeColor="text1"/>
                <w:spacing w:val="10"/>
                <w:kern w:val="2"/>
                <w:sz w:val="21"/>
                <w:szCs w:val="21"/>
                <w:highlight w:val="none"/>
                <w:lang w:eastAsia="zh-CN"/>
                <w14:textFill>
                  <w14:solidFill>
                    <w14:schemeClr w14:val="tx1"/>
                  </w14:solidFill>
                </w14:textFill>
              </w:rPr>
              <w:t>《多联式空调（热泵）机组能效限定值及能源效率等级》（GB21454）</w:t>
            </w:r>
          </w:p>
        </w:tc>
      </w:tr>
      <w:tr w14:paraId="3B306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47B02DA">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5475155">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44FBA8C">
            <w:pPr>
              <w:widowControl/>
              <w:jc w:val="left"/>
              <w:rPr>
                <w:rFonts w:ascii="宋体" w:hAnsi="宋体" w:cs="宋体"/>
                <w:color w:val="000000" w:themeColor="text1"/>
                <w:szCs w:val="21"/>
                <w:highlight w:val="none"/>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61E65C0">
            <w:pPr>
              <w:pStyle w:val="117"/>
              <w:jc w:val="center"/>
              <w:rPr>
                <w:rFonts w:ascii="宋体" w:hAnsi="宋体" w:cs="宋体"/>
                <w:color w:val="000000" w:themeColor="text1"/>
                <w:kern w:val="2"/>
                <w:sz w:val="21"/>
                <w:szCs w:val="21"/>
                <w:highlight w:val="none"/>
                <w:lang w:eastAsia="zh-CN"/>
                <w14:textFill>
                  <w14:solidFill>
                    <w14:schemeClr w14:val="tx1"/>
                  </w14:solidFill>
                </w14:textFill>
              </w:rPr>
            </w:pPr>
            <w:r>
              <w:rPr>
                <w:rFonts w:hint="eastAsia" w:ascii="宋体" w:hAnsi="宋体" w:cs="宋体"/>
                <w:color w:val="000000" w:themeColor="text1"/>
                <w:w w:val="99"/>
                <w:kern w:val="2"/>
                <w:sz w:val="21"/>
                <w:szCs w:val="21"/>
                <w:highlight w:val="none"/>
                <w:lang w:eastAsia="zh-CN"/>
                <w14:textFill>
                  <w14:solidFill>
                    <w14:schemeClr w14:val="tx1"/>
                  </w14:solidFill>
                </w14:textFill>
              </w:rPr>
              <w:t>单元式空气调节机（制冷量≤ 14000W）</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12EA5FC4">
            <w:pPr>
              <w:pStyle w:val="117"/>
              <w:spacing w:before="131" w:line="276" w:lineRule="auto"/>
              <w:ind w:left="7" w:right="4"/>
              <w:rPr>
                <w:rFonts w:ascii="宋体" w:hAnsi="宋体" w:cs="宋体"/>
                <w:color w:val="000000" w:themeColor="text1"/>
                <w:spacing w:val="10"/>
                <w:kern w:val="2"/>
                <w:sz w:val="21"/>
                <w:szCs w:val="21"/>
                <w:highlight w:val="none"/>
                <w:lang w:eastAsia="zh-CN"/>
                <w14:textFill>
                  <w14:solidFill>
                    <w14:schemeClr w14:val="tx1"/>
                  </w14:solidFill>
                </w14:textFill>
              </w:rPr>
            </w:pPr>
            <w:r>
              <w:rPr>
                <w:rFonts w:hint="eastAsia" w:ascii="宋体" w:hAnsi="宋体" w:cs="宋体"/>
                <w:color w:val="000000" w:themeColor="text1"/>
                <w:spacing w:val="10"/>
                <w:kern w:val="2"/>
                <w:sz w:val="21"/>
                <w:szCs w:val="21"/>
                <w:highlight w:val="none"/>
                <w:lang w:eastAsia="zh-CN"/>
                <w14:textFill>
                  <w14:solidFill>
                    <w14:schemeClr w14:val="tx1"/>
                  </w14:solidFill>
                </w14:textFill>
              </w:rPr>
              <w:t>《单元式空气调节机能效限定值及能源效率等级》（GB19576）《风管送风式空调机组能效限定值及能效等级》（GB37479）</w:t>
            </w:r>
          </w:p>
        </w:tc>
      </w:tr>
      <w:tr w14:paraId="33889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E8DD01B">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F997E9E">
            <w:pPr>
              <w:widowControl/>
              <w:jc w:val="left"/>
              <w:rPr>
                <w:rFonts w:ascii="宋体" w:hAnsi="宋体" w:cs="宋体"/>
                <w:color w:val="000000" w:themeColor="text1"/>
                <w:szCs w:val="21"/>
                <w:highlight w:val="none"/>
                <w14:textFill>
                  <w14:solidFill>
                    <w14:schemeClr w14:val="tx1"/>
                  </w14:solidFill>
                </w14:textFill>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239487E">
            <w:pPr>
              <w:pStyle w:val="117"/>
              <w:spacing w:before="162"/>
              <w:ind w:left="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仿宋_GB2312"/>
                <w:color w:val="000000" w:themeColor="text1"/>
                <w:kern w:val="2"/>
                <w:sz w:val="21"/>
                <w:szCs w:val="21"/>
                <w:highlight w:val="none"/>
                <w14:textFill>
                  <w14:solidFill>
                    <w14:schemeClr w14:val="tx1"/>
                  </w14:solidFill>
                </w14:textFill>
              </w:rPr>
              <w:t>A02061810</w:t>
            </w:r>
            <w:r>
              <w:rPr>
                <w:rFonts w:hint="eastAsia" w:ascii="宋体" w:hAnsi="宋体" w:cs="宋体"/>
                <w:color w:val="000000" w:themeColor="text1"/>
                <w:w w:val="99"/>
                <w:kern w:val="2"/>
                <w:sz w:val="21"/>
                <w:szCs w:val="21"/>
                <w:highlight w:val="none"/>
                <w14:textFill>
                  <w14:solidFill>
                    <w14:schemeClr w14:val="tx1"/>
                  </w14:solidFill>
                </w14:textFill>
              </w:rPr>
              <w:t>洗衣机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E17DE61">
            <w:pPr>
              <w:jc w:val="center"/>
              <w:rPr>
                <w:rFonts w:ascii="宋体" w:hAnsi="宋体"/>
                <w:color w:val="000000" w:themeColor="text1"/>
                <w:szCs w:val="21"/>
                <w:highlight w:val="none"/>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34510FC0">
            <w:pPr>
              <w:pStyle w:val="117"/>
              <w:spacing w:before="131" w:line="276" w:lineRule="auto"/>
              <w:ind w:left="7" w:right="4"/>
              <w:rPr>
                <w:rFonts w:ascii="宋体" w:hAnsi="宋体" w:cs="宋体"/>
                <w:color w:val="000000" w:themeColor="text1"/>
                <w:spacing w:val="10"/>
                <w:kern w:val="2"/>
                <w:sz w:val="21"/>
                <w:szCs w:val="21"/>
                <w:highlight w:val="none"/>
                <w:lang w:eastAsia="zh-CN"/>
                <w14:textFill>
                  <w14:solidFill>
                    <w14:schemeClr w14:val="tx1"/>
                  </w14:solidFill>
                </w14:textFill>
              </w:rPr>
            </w:pPr>
            <w:r>
              <w:rPr>
                <w:rFonts w:hint="eastAsia" w:ascii="宋体" w:hAnsi="宋体" w:cs="宋体"/>
                <w:color w:val="000000" w:themeColor="text1"/>
                <w:spacing w:val="10"/>
                <w:kern w:val="2"/>
                <w:sz w:val="21"/>
                <w:szCs w:val="21"/>
                <w:highlight w:val="none"/>
                <w:lang w:eastAsia="zh-CN"/>
                <w14:textFill>
                  <w14:solidFill>
                    <w14:schemeClr w14:val="tx1"/>
                  </w14:solidFill>
                </w14:textFill>
              </w:rPr>
              <w:t>《电动洗衣机能效水效限定值及等级》（GB12021.4）</w:t>
            </w:r>
          </w:p>
        </w:tc>
      </w:tr>
      <w:tr w14:paraId="145AA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DD41035">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F00A311">
            <w:pPr>
              <w:widowControl/>
              <w:jc w:val="left"/>
              <w:rPr>
                <w:rFonts w:ascii="宋体" w:hAnsi="宋体" w:cs="宋体"/>
                <w:color w:val="000000" w:themeColor="text1"/>
                <w:szCs w:val="21"/>
                <w:highlight w:val="none"/>
                <w14:textFill>
                  <w14:solidFill>
                    <w14:schemeClr w14:val="tx1"/>
                  </w14:solidFill>
                </w14:textFill>
              </w:rPr>
            </w:pP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072DE740">
            <w:pPr>
              <w:pStyle w:val="117"/>
              <w:spacing w:before="161"/>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仿宋_GB2312"/>
                <w:color w:val="000000" w:themeColor="text1"/>
                <w:kern w:val="2"/>
                <w:sz w:val="21"/>
                <w:szCs w:val="21"/>
                <w:highlight w:val="none"/>
                <w14:textFill>
                  <w14:solidFill>
                    <w14:schemeClr w14:val="tx1"/>
                  </w14:solidFill>
                </w14:textFill>
              </w:rPr>
              <w:t>A02061819</w:t>
            </w:r>
            <w:r>
              <w:rPr>
                <w:rFonts w:hint="eastAsia" w:ascii="宋体" w:hAnsi="宋体" w:cs="宋体"/>
                <w:color w:val="000000" w:themeColor="text1"/>
                <w:w w:val="99"/>
                <w:kern w:val="2"/>
                <w:sz w:val="21"/>
                <w:szCs w:val="21"/>
                <w:highlight w:val="none"/>
                <w14:textFill>
                  <w14:solidFill>
                    <w14:schemeClr w14:val="tx1"/>
                  </w14:solidFill>
                </w14:textFill>
              </w:rPr>
              <w:t>热水器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DDCE57E">
            <w:pPr>
              <w:pStyle w:val="11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w w:val="99"/>
                <w:kern w:val="2"/>
                <w:sz w:val="21"/>
                <w:szCs w:val="21"/>
                <w:highlight w:val="none"/>
                <w14:textFill>
                  <w14:solidFill>
                    <w14:schemeClr w14:val="tx1"/>
                  </w14:solidFill>
                </w14:textFill>
              </w:rPr>
              <w:t>★电热</w:t>
            </w:r>
            <w:r>
              <w:rPr>
                <w:rFonts w:hint="eastAsia" w:ascii="宋体" w:hAnsi="宋体" w:cs="宋体"/>
                <w:color w:val="000000" w:themeColor="text1"/>
                <w:spacing w:val="2"/>
                <w:w w:val="99"/>
                <w:kern w:val="2"/>
                <w:sz w:val="21"/>
                <w:szCs w:val="21"/>
                <w:highlight w:val="none"/>
                <w14:textFill>
                  <w14:solidFill>
                    <w14:schemeClr w14:val="tx1"/>
                  </w14:solidFill>
                </w14:textFill>
              </w:rPr>
              <w:t>水</w:t>
            </w:r>
            <w:r>
              <w:rPr>
                <w:rFonts w:hint="eastAsia" w:ascii="宋体" w:hAnsi="宋体" w:cs="宋体"/>
                <w:color w:val="000000" w:themeColor="text1"/>
                <w:w w:val="99"/>
                <w:kern w:val="2"/>
                <w:sz w:val="21"/>
                <w:szCs w:val="21"/>
                <w:highlight w:val="none"/>
                <w14:textFill>
                  <w14:solidFill>
                    <w14:schemeClr w14:val="tx1"/>
                  </w14:solidFill>
                </w14:textFill>
              </w:rPr>
              <w:t>器</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72BF0CF7">
            <w:pPr>
              <w:pStyle w:val="117"/>
              <w:spacing w:before="131" w:line="276" w:lineRule="auto"/>
              <w:ind w:left="7" w:right="4"/>
              <w:rPr>
                <w:rFonts w:ascii="宋体" w:hAnsi="宋体" w:cs="宋体"/>
                <w:color w:val="000000" w:themeColor="text1"/>
                <w:spacing w:val="10"/>
                <w:kern w:val="2"/>
                <w:sz w:val="21"/>
                <w:szCs w:val="21"/>
                <w:highlight w:val="none"/>
                <w:lang w:eastAsia="zh-CN"/>
                <w14:textFill>
                  <w14:solidFill>
                    <w14:schemeClr w14:val="tx1"/>
                  </w14:solidFill>
                </w14:textFill>
              </w:rPr>
            </w:pPr>
            <w:r>
              <w:rPr>
                <w:rFonts w:hint="eastAsia" w:ascii="宋体" w:hAnsi="宋体" w:cs="宋体"/>
                <w:color w:val="000000" w:themeColor="text1"/>
                <w:spacing w:val="10"/>
                <w:kern w:val="2"/>
                <w:sz w:val="21"/>
                <w:szCs w:val="21"/>
                <w:highlight w:val="none"/>
                <w:lang w:eastAsia="zh-CN"/>
                <w14:textFill>
                  <w14:solidFill>
                    <w14:schemeClr w14:val="tx1"/>
                  </w14:solidFill>
                </w14:textFill>
              </w:rPr>
              <w:t>《储水式电热水器能效限定值及能效等级》（GB21519）</w:t>
            </w:r>
          </w:p>
        </w:tc>
      </w:tr>
      <w:tr w14:paraId="6A2FE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6306DA6">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C7B7045">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B35805C">
            <w:pPr>
              <w:widowControl/>
              <w:jc w:val="left"/>
              <w:rPr>
                <w:rFonts w:ascii="宋体" w:hAnsi="宋体" w:cs="宋体"/>
                <w:color w:val="000000" w:themeColor="text1"/>
                <w:szCs w:val="21"/>
                <w:highlight w:val="none"/>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E10058E">
            <w:pPr>
              <w:pStyle w:val="11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w w:val="99"/>
                <w:kern w:val="2"/>
                <w:sz w:val="21"/>
                <w:szCs w:val="21"/>
                <w:highlight w:val="none"/>
                <w14:textFill>
                  <w14:solidFill>
                    <w14:schemeClr w14:val="tx1"/>
                  </w14:solidFill>
                </w14:textFill>
              </w:rPr>
              <w:t>燃气热</w:t>
            </w:r>
            <w:r>
              <w:rPr>
                <w:rFonts w:hint="eastAsia" w:ascii="宋体" w:hAnsi="宋体" w:cs="宋体"/>
                <w:color w:val="000000" w:themeColor="text1"/>
                <w:spacing w:val="2"/>
                <w:w w:val="99"/>
                <w:kern w:val="2"/>
                <w:sz w:val="21"/>
                <w:szCs w:val="21"/>
                <w:highlight w:val="none"/>
                <w14:textFill>
                  <w14:solidFill>
                    <w14:schemeClr w14:val="tx1"/>
                  </w14:solidFill>
                </w14:textFill>
              </w:rPr>
              <w:t>水</w:t>
            </w:r>
            <w:r>
              <w:rPr>
                <w:rFonts w:hint="eastAsia" w:ascii="宋体" w:hAnsi="宋体" w:cs="宋体"/>
                <w:color w:val="000000" w:themeColor="text1"/>
                <w:w w:val="99"/>
                <w:kern w:val="2"/>
                <w:sz w:val="21"/>
                <w:szCs w:val="21"/>
                <w:highlight w:val="none"/>
                <w14:textFill>
                  <w14:solidFill>
                    <w14:schemeClr w14:val="tx1"/>
                  </w14:solidFill>
                </w14:textFill>
              </w:rPr>
              <w:t>器</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11CA6132">
            <w:pPr>
              <w:pStyle w:val="117"/>
              <w:spacing w:before="131" w:line="276" w:lineRule="auto"/>
              <w:ind w:left="7" w:right="4"/>
              <w:rPr>
                <w:rFonts w:ascii="宋体" w:hAnsi="宋体" w:cs="宋体"/>
                <w:color w:val="000000" w:themeColor="text1"/>
                <w:spacing w:val="10"/>
                <w:kern w:val="2"/>
                <w:sz w:val="21"/>
                <w:szCs w:val="21"/>
                <w:highlight w:val="none"/>
                <w:lang w:eastAsia="zh-CN"/>
                <w14:textFill>
                  <w14:solidFill>
                    <w14:schemeClr w14:val="tx1"/>
                  </w14:solidFill>
                </w14:textFill>
              </w:rPr>
            </w:pPr>
            <w:r>
              <w:rPr>
                <w:rFonts w:hint="eastAsia" w:ascii="宋体" w:hAnsi="宋体" w:cs="宋体"/>
                <w:color w:val="000000" w:themeColor="text1"/>
                <w:spacing w:val="10"/>
                <w:kern w:val="2"/>
                <w:sz w:val="21"/>
                <w:szCs w:val="21"/>
                <w:highlight w:val="none"/>
                <w:lang w:eastAsia="zh-CN"/>
                <w14:textFill>
                  <w14:solidFill>
                    <w14:schemeClr w14:val="tx1"/>
                  </w14:solidFill>
                </w14:textFill>
              </w:rPr>
              <w:t>《家用燃气快速热水器和燃气采暖热水炉能效限定值及能效等级》（GB20665）</w:t>
            </w:r>
          </w:p>
        </w:tc>
      </w:tr>
      <w:tr w14:paraId="74416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0C10B0F">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4C0AF35">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FDF44DF">
            <w:pPr>
              <w:widowControl/>
              <w:jc w:val="left"/>
              <w:rPr>
                <w:rFonts w:ascii="宋体" w:hAnsi="宋体" w:cs="宋体"/>
                <w:color w:val="000000" w:themeColor="text1"/>
                <w:szCs w:val="21"/>
                <w:highlight w:val="none"/>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B3CAD8B">
            <w:pPr>
              <w:pStyle w:val="11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w w:val="99"/>
                <w:kern w:val="2"/>
                <w:sz w:val="21"/>
                <w:szCs w:val="21"/>
                <w:highlight w:val="none"/>
                <w14:textFill>
                  <w14:solidFill>
                    <w14:schemeClr w14:val="tx1"/>
                  </w14:solidFill>
                </w14:textFill>
              </w:rPr>
              <w:t>热泵热</w:t>
            </w:r>
            <w:r>
              <w:rPr>
                <w:rFonts w:hint="eastAsia" w:ascii="宋体" w:hAnsi="宋体" w:cs="宋体"/>
                <w:color w:val="000000" w:themeColor="text1"/>
                <w:spacing w:val="2"/>
                <w:w w:val="99"/>
                <w:kern w:val="2"/>
                <w:sz w:val="21"/>
                <w:szCs w:val="21"/>
                <w:highlight w:val="none"/>
                <w14:textFill>
                  <w14:solidFill>
                    <w14:schemeClr w14:val="tx1"/>
                  </w14:solidFill>
                </w14:textFill>
              </w:rPr>
              <w:t>水</w:t>
            </w:r>
            <w:r>
              <w:rPr>
                <w:rFonts w:hint="eastAsia" w:ascii="宋体" w:hAnsi="宋体" w:cs="宋体"/>
                <w:color w:val="000000" w:themeColor="text1"/>
                <w:w w:val="99"/>
                <w:kern w:val="2"/>
                <w:sz w:val="21"/>
                <w:szCs w:val="21"/>
                <w:highlight w:val="none"/>
                <w14:textFill>
                  <w14:solidFill>
                    <w14:schemeClr w14:val="tx1"/>
                  </w14:solidFill>
                </w14:textFill>
              </w:rPr>
              <w:t>器</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41DB128D">
            <w:pPr>
              <w:pStyle w:val="117"/>
              <w:spacing w:before="131" w:line="276" w:lineRule="auto"/>
              <w:ind w:left="7" w:right="4"/>
              <w:rPr>
                <w:rFonts w:ascii="宋体" w:hAnsi="宋体" w:cs="宋体"/>
                <w:color w:val="000000" w:themeColor="text1"/>
                <w:spacing w:val="10"/>
                <w:kern w:val="2"/>
                <w:sz w:val="21"/>
                <w:szCs w:val="21"/>
                <w:highlight w:val="none"/>
                <w:lang w:eastAsia="zh-CN"/>
                <w14:textFill>
                  <w14:solidFill>
                    <w14:schemeClr w14:val="tx1"/>
                  </w14:solidFill>
                </w14:textFill>
              </w:rPr>
            </w:pPr>
            <w:r>
              <w:rPr>
                <w:rFonts w:hint="eastAsia" w:ascii="宋体" w:hAnsi="宋体" w:cs="宋体"/>
                <w:color w:val="000000" w:themeColor="text1"/>
                <w:spacing w:val="10"/>
                <w:kern w:val="2"/>
                <w:sz w:val="21"/>
                <w:szCs w:val="21"/>
                <w:highlight w:val="none"/>
                <w:lang w:eastAsia="zh-CN"/>
                <w14:textFill>
                  <w14:solidFill>
                    <w14:schemeClr w14:val="tx1"/>
                  </w14:solidFill>
                </w14:textFill>
              </w:rPr>
              <w:t>《热泵热水机（器）能效限定值及能效等级》（GB29541）</w:t>
            </w:r>
          </w:p>
        </w:tc>
      </w:tr>
      <w:tr w14:paraId="26BAA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DEA3FCA">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4C7BB83">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13F9A90">
            <w:pPr>
              <w:widowControl/>
              <w:jc w:val="left"/>
              <w:rPr>
                <w:rFonts w:ascii="宋体" w:hAnsi="宋体" w:cs="宋体"/>
                <w:color w:val="000000" w:themeColor="text1"/>
                <w:szCs w:val="21"/>
                <w:highlight w:val="none"/>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212F089">
            <w:pPr>
              <w:pStyle w:val="11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w w:val="99"/>
                <w:kern w:val="2"/>
                <w:sz w:val="21"/>
                <w:szCs w:val="21"/>
                <w:highlight w:val="none"/>
                <w14:textFill>
                  <w14:solidFill>
                    <w14:schemeClr w14:val="tx1"/>
                  </w14:solidFill>
                </w14:textFill>
              </w:rPr>
              <w:t>太阳能</w:t>
            </w:r>
            <w:r>
              <w:rPr>
                <w:rFonts w:hint="eastAsia" w:ascii="宋体" w:hAnsi="宋体" w:cs="宋体"/>
                <w:color w:val="000000" w:themeColor="text1"/>
                <w:spacing w:val="2"/>
                <w:w w:val="99"/>
                <w:kern w:val="2"/>
                <w:sz w:val="21"/>
                <w:szCs w:val="21"/>
                <w:highlight w:val="none"/>
                <w14:textFill>
                  <w14:solidFill>
                    <w14:schemeClr w14:val="tx1"/>
                  </w14:solidFill>
                </w14:textFill>
              </w:rPr>
              <w:t>热</w:t>
            </w:r>
            <w:r>
              <w:rPr>
                <w:rFonts w:hint="eastAsia" w:ascii="宋体" w:hAnsi="宋体" w:cs="宋体"/>
                <w:color w:val="000000" w:themeColor="text1"/>
                <w:w w:val="99"/>
                <w:kern w:val="2"/>
                <w:sz w:val="21"/>
                <w:szCs w:val="21"/>
                <w:highlight w:val="none"/>
                <w14:textFill>
                  <w14:solidFill>
                    <w14:schemeClr w14:val="tx1"/>
                  </w14:solidFill>
                </w14:textFill>
              </w:rPr>
              <w:t>水系统</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776CCAE4">
            <w:pPr>
              <w:pStyle w:val="117"/>
              <w:spacing w:before="131" w:line="276" w:lineRule="auto"/>
              <w:ind w:left="7" w:right="4"/>
              <w:rPr>
                <w:rFonts w:ascii="宋体" w:hAnsi="宋体" w:cs="宋体"/>
                <w:color w:val="000000" w:themeColor="text1"/>
                <w:spacing w:val="10"/>
                <w:kern w:val="2"/>
                <w:sz w:val="21"/>
                <w:szCs w:val="21"/>
                <w:highlight w:val="none"/>
                <w:lang w:eastAsia="zh-CN"/>
                <w14:textFill>
                  <w14:solidFill>
                    <w14:schemeClr w14:val="tx1"/>
                  </w14:solidFill>
                </w14:textFill>
              </w:rPr>
            </w:pPr>
            <w:r>
              <w:rPr>
                <w:rFonts w:hint="eastAsia" w:ascii="宋体" w:hAnsi="宋体" w:cs="宋体"/>
                <w:color w:val="000000" w:themeColor="text1"/>
                <w:spacing w:val="10"/>
                <w:kern w:val="2"/>
                <w:sz w:val="21"/>
                <w:szCs w:val="21"/>
                <w:highlight w:val="none"/>
                <w:lang w:eastAsia="zh-CN"/>
                <w14:textFill>
                  <w14:solidFill>
                    <w14:schemeClr w14:val="tx1"/>
                  </w14:solidFill>
                </w14:textFill>
              </w:rPr>
              <w:t>《家用太阳能热水系统能效限定值及能效等级》（GB26969）</w:t>
            </w:r>
          </w:p>
        </w:tc>
      </w:tr>
      <w:tr w14:paraId="7F7E1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62634EEF">
            <w:pPr>
              <w:pStyle w:val="11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olor w:val="000000" w:themeColor="text1"/>
                <w:spacing w:val="1"/>
                <w:w w:val="99"/>
                <w:kern w:val="2"/>
                <w:sz w:val="21"/>
                <w:szCs w:val="21"/>
                <w:highlight w:val="none"/>
                <w14:textFill>
                  <w14:solidFill>
                    <w14:schemeClr w14:val="tx1"/>
                  </w14:solidFill>
                </w14:textFill>
              </w:rPr>
              <w:t>1</w:t>
            </w:r>
            <w:r>
              <w:rPr>
                <w:rFonts w:hint="eastAsia" w:ascii="宋体" w:hAnsi="宋体"/>
                <w:color w:val="000000" w:themeColor="text1"/>
                <w:w w:val="99"/>
                <w:kern w:val="2"/>
                <w:sz w:val="21"/>
                <w:szCs w:val="21"/>
                <w:highlight w:val="none"/>
                <w14:textFill>
                  <w14:solidFill>
                    <w14:schemeClr w14:val="tx1"/>
                  </w14:solidFill>
                </w14:textFill>
              </w:rPr>
              <w:t>1</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6A231473">
            <w:pPr>
              <w:pStyle w:val="117"/>
              <w:spacing w:before="15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pacing w:val="1"/>
                <w:w w:val="99"/>
                <w:kern w:val="2"/>
                <w:sz w:val="21"/>
                <w:szCs w:val="21"/>
                <w:highlight w:val="none"/>
                <w14:textFill>
                  <w14:solidFill>
                    <w14:schemeClr w14:val="tx1"/>
                  </w14:solidFill>
                </w14:textFill>
              </w:rPr>
              <w:t>A02</w:t>
            </w:r>
            <w:r>
              <w:rPr>
                <w:rFonts w:hint="eastAsia" w:ascii="宋体" w:hAnsi="宋体" w:cs="宋体"/>
                <w:color w:val="000000" w:themeColor="text1"/>
                <w:w w:val="99"/>
                <w:kern w:val="2"/>
                <w:sz w:val="21"/>
                <w:szCs w:val="21"/>
                <w:highlight w:val="none"/>
                <w14:textFill>
                  <w14:solidFill>
                    <w14:schemeClr w14:val="tx1"/>
                  </w14:solidFill>
                </w14:textFill>
              </w:rPr>
              <w:t>06</w:t>
            </w:r>
            <w:r>
              <w:rPr>
                <w:rFonts w:hint="eastAsia" w:ascii="宋体" w:hAnsi="宋体" w:cs="宋体"/>
                <w:color w:val="000000" w:themeColor="text1"/>
                <w:spacing w:val="1"/>
                <w:w w:val="99"/>
                <w:kern w:val="2"/>
                <w:sz w:val="21"/>
                <w:szCs w:val="21"/>
                <w:highlight w:val="none"/>
                <w14:textFill>
                  <w14:solidFill>
                    <w14:schemeClr w14:val="tx1"/>
                  </w14:solidFill>
                </w14:textFill>
              </w:rPr>
              <w:t>1</w:t>
            </w:r>
            <w:r>
              <w:rPr>
                <w:rFonts w:hint="eastAsia" w:ascii="宋体" w:hAnsi="宋体" w:cs="宋体"/>
                <w:color w:val="000000" w:themeColor="text1"/>
                <w:w w:val="99"/>
                <w:kern w:val="2"/>
                <w:sz w:val="21"/>
                <w:szCs w:val="21"/>
                <w:highlight w:val="none"/>
                <w14:textFill>
                  <w14:solidFill>
                    <w14:schemeClr w14:val="tx1"/>
                  </w14:solidFill>
                </w14:textFill>
              </w:rPr>
              <w:t>900照明设备</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3E6C8FE">
            <w:pPr>
              <w:pStyle w:val="117"/>
              <w:spacing w:before="133" w:line="276" w:lineRule="auto"/>
              <w:ind w:left="7" w:right="7"/>
              <w:jc w:val="center"/>
              <w:rPr>
                <w:rFonts w:ascii="宋体" w:hAnsi="宋体" w:cs="宋体"/>
                <w:color w:val="000000" w:themeColor="text1"/>
                <w:kern w:val="2"/>
                <w:sz w:val="21"/>
                <w:szCs w:val="21"/>
                <w:highlight w:val="none"/>
                <w:lang w:eastAsia="zh-CN"/>
                <w14:textFill>
                  <w14:solidFill>
                    <w14:schemeClr w14:val="tx1"/>
                  </w14:solidFill>
                </w14:textFill>
              </w:rPr>
            </w:pPr>
            <w:r>
              <w:rPr>
                <w:rFonts w:hint="eastAsia" w:ascii="宋体" w:hAnsi="宋体" w:cs="宋体"/>
                <w:color w:val="000000" w:themeColor="text1"/>
                <w:w w:val="99"/>
                <w:kern w:val="2"/>
                <w:sz w:val="21"/>
                <w:szCs w:val="21"/>
                <w:highlight w:val="none"/>
                <w:lang w:eastAsia="zh-CN"/>
                <w14:textFill>
                  <w14:solidFill>
                    <w14:schemeClr w14:val="tx1"/>
                  </w14:solidFill>
                </w14:textFill>
              </w:rPr>
              <w:t>★普通照明用双端荧光灯</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A62B7B9">
            <w:pPr>
              <w:jc w:val="center"/>
              <w:rPr>
                <w:rFonts w:ascii="宋体" w:hAnsi="宋体"/>
                <w:color w:val="000000" w:themeColor="text1"/>
                <w:szCs w:val="21"/>
                <w:highlight w:val="none"/>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265C6660">
            <w:pPr>
              <w:pStyle w:val="117"/>
              <w:spacing w:before="131" w:line="276" w:lineRule="auto"/>
              <w:ind w:left="7" w:right="4"/>
              <w:rPr>
                <w:rFonts w:ascii="宋体" w:hAnsi="宋体" w:cs="宋体"/>
                <w:color w:val="000000" w:themeColor="text1"/>
                <w:spacing w:val="10"/>
                <w:kern w:val="2"/>
                <w:sz w:val="21"/>
                <w:szCs w:val="21"/>
                <w:highlight w:val="none"/>
                <w:lang w:eastAsia="zh-CN"/>
                <w14:textFill>
                  <w14:solidFill>
                    <w14:schemeClr w14:val="tx1"/>
                  </w14:solidFill>
                </w14:textFill>
              </w:rPr>
            </w:pPr>
            <w:r>
              <w:rPr>
                <w:rFonts w:hint="eastAsia" w:ascii="宋体" w:hAnsi="宋体" w:cs="宋体"/>
                <w:color w:val="000000" w:themeColor="text1"/>
                <w:spacing w:val="10"/>
                <w:kern w:val="2"/>
                <w:sz w:val="21"/>
                <w:szCs w:val="21"/>
                <w:highlight w:val="none"/>
                <w:lang w:eastAsia="zh-CN"/>
                <w14:textFill>
                  <w14:solidFill>
                    <w14:schemeClr w14:val="tx1"/>
                  </w14:solidFill>
                </w14:textFill>
              </w:rPr>
              <w:t>《普通照明用双端荧光灯能效限定值及能效等级》（GB19043）</w:t>
            </w:r>
          </w:p>
        </w:tc>
      </w:tr>
      <w:tr w14:paraId="0A871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7256A39">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784CADF">
            <w:pPr>
              <w:widowControl/>
              <w:jc w:val="left"/>
              <w:rPr>
                <w:rFonts w:ascii="宋体" w:hAnsi="宋体" w:cs="宋体"/>
                <w:color w:val="000000" w:themeColor="text1"/>
                <w:szCs w:val="21"/>
                <w:highlight w:val="none"/>
                <w14:textFill>
                  <w14:solidFill>
                    <w14:schemeClr w14:val="tx1"/>
                  </w14:solidFill>
                </w14:textFill>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BB4FA9D">
            <w:pPr>
              <w:pStyle w:val="117"/>
              <w:spacing w:before="92" w:line="276" w:lineRule="auto"/>
              <w:ind w:left="7" w:right="2"/>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pacing w:val="1"/>
                <w:w w:val="99"/>
                <w:kern w:val="2"/>
                <w:sz w:val="21"/>
                <w:szCs w:val="21"/>
                <w:highlight w:val="none"/>
                <w14:textFill>
                  <w14:solidFill>
                    <w14:schemeClr w14:val="tx1"/>
                  </w14:solidFill>
                </w14:textFill>
              </w:rPr>
              <w:t>LE</w:t>
            </w:r>
            <w:r>
              <w:rPr>
                <w:rFonts w:hint="eastAsia" w:ascii="宋体" w:hAnsi="宋体" w:cs="宋体"/>
                <w:color w:val="000000" w:themeColor="text1"/>
                <w:w w:val="99"/>
                <w:kern w:val="2"/>
                <w:sz w:val="21"/>
                <w:szCs w:val="21"/>
                <w:highlight w:val="none"/>
                <w14:textFill>
                  <w14:solidFill>
                    <w14:schemeClr w14:val="tx1"/>
                  </w14:solidFill>
                </w14:textFill>
              </w:rPr>
              <w:t>D</w:t>
            </w:r>
            <w:r>
              <w:rPr>
                <w:rFonts w:hint="eastAsia" w:ascii="宋体" w:hAnsi="宋体" w:cs="宋体"/>
                <w:color w:val="000000" w:themeColor="text1"/>
                <w:spacing w:val="12"/>
                <w:w w:val="99"/>
                <w:kern w:val="2"/>
                <w:sz w:val="21"/>
                <w:szCs w:val="21"/>
                <w:highlight w:val="none"/>
                <w14:textFill>
                  <w14:solidFill>
                    <w14:schemeClr w14:val="tx1"/>
                  </w14:solidFill>
                </w14:textFill>
              </w:rPr>
              <w:t>道</w:t>
            </w:r>
            <w:r>
              <w:rPr>
                <w:rFonts w:hint="eastAsia" w:ascii="宋体" w:hAnsi="宋体" w:cs="宋体"/>
                <w:color w:val="000000" w:themeColor="text1"/>
                <w:spacing w:val="9"/>
                <w:w w:val="99"/>
                <w:kern w:val="2"/>
                <w:sz w:val="21"/>
                <w:szCs w:val="21"/>
                <w:highlight w:val="none"/>
                <w14:textFill>
                  <w14:solidFill>
                    <w14:schemeClr w14:val="tx1"/>
                  </w14:solidFill>
                </w14:textFill>
              </w:rPr>
              <w:t>路</w:t>
            </w:r>
            <w:r>
              <w:rPr>
                <w:rFonts w:hint="eastAsia" w:ascii="宋体" w:hAnsi="宋体" w:cs="宋体"/>
                <w:color w:val="000000" w:themeColor="text1"/>
                <w:spacing w:val="13"/>
                <w:w w:val="99"/>
                <w:kern w:val="2"/>
                <w:sz w:val="21"/>
                <w:szCs w:val="21"/>
                <w:highlight w:val="none"/>
                <w14:textFill>
                  <w14:solidFill>
                    <w14:schemeClr w14:val="tx1"/>
                  </w14:solidFill>
                </w14:textFill>
              </w:rPr>
              <w:t>/</w:t>
            </w:r>
            <w:r>
              <w:rPr>
                <w:rFonts w:hint="eastAsia" w:ascii="宋体" w:hAnsi="宋体" w:cs="宋体"/>
                <w:color w:val="000000" w:themeColor="text1"/>
                <w:spacing w:val="12"/>
                <w:w w:val="99"/>
                <w:kern w:val="2"/>
                <w:sz w:val="21"/>
                <w:szCs w:val="21"/>
                <w:highlight w:val="none"/>
                <w14:textFill>
                  <w14:solidFill>
                    <w14:schemeClr w14:val="tx1"/>
                  </w14:solidFill>
                </w14:textFill>
              </w:rPr>
              <w:t>隧道照</w:t>
            </w:r>
            <w:r>
              <w:rPr>
                <w:rFonts w:hint="eastAsia" w:ascii="宋体" w:hAnsi="宋体" w:cs="宋体"/>
                <w:color w:val="000000" w:themeColor="text1"/>
                <w:w w:val="99"/>
                <w:kern w:val="2"/>
                <w:sz w:val="21"/>
                <w:szCs w:val="21"/>
                <w:highlight w:val="none"/>
                <w14:textFill>
                  <w14:solidFill>
                    <w14:schemeClr w14:val="tx1"/>
                  </w14:solidFill>
                </w14:textFill>
              </w:rPr>
              <w:t>明产品</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E2A5E5F">
            <w:pPr>
              <w:jc w:val="center"/>
              <w:rPr>
                <w:rFonts w:ascii="宋体" w:hAnsi="宋体"/>
                <w:color w:val="000000" w:themeColor="text1"/>
                <w:szCs w:val="21"/>
                <w:highlight w:val="none"/>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0A10BE00">
            <w:pPr>
              <w:pStyle w:val="117"/>
              <w:spacing w:before="131" w:line="276" w:lineRule="auto"/>
              <w:ind w:left="7" w:right="4"/>
              <w:rPr>
                <w:rFonts w:ascii="宋体" w:hAnsi="宋体" w:cs="宋体"/>
                <w:color w:val="000000" w:themeColor="text1"/>
                <w:spacing w:val="10"/>
                <w:kern w:val="2"/>
                <w:sz w:val="21"/>
                <w:szCs w:val="21"/>
                <w:highlight w:val="none"/>
                <w:lang w:eastAsia="zh-CN"/>
                <w14:textFill>
                  <w14:solidFill>
                    <w14:schemeClr w14:val="tx1"/>
                  </w14:solidFill>
                </w14:textFill>
              </w:rPr>
            </w:pPr>
            <w:r>
              <w:rPr>
                <w:rFonts w:hint="eastAsia" w:ascii="宋体" w:hAnsi="宋体" w:cs="宋体"/>
                <w:color w:val="000000" w:themeColor="text1"/>
                <w:spacing w:val="10"/>
                <w:kern w:val="2"/>
                <w:sz w:val="21"/>
                <w:szCs w:val="21"/>
                <w:highlight w:val="none"/>
                <w:lang w:eastAsia="zh-CN"/>
                <w14:textFill>
                  <w14:solidFill>
                    <w14:schemeClr w14:val="tx1"/>
                  </w14:solidFill>
                </w14:textFill>
              </w:rPr>
              <w:t>《道路和隧道照明用LED灯具能效限定值及能效等级》（GB37478</w:t>
            </w:r>
            <w:r>
              <w:rPr>
                <w:rFonts w:ascii="宋体" w:hAnsi="宋体" w:cs="宋体"/>
                <w:color w:val="000000" w:themeColor="text1"/>
                <w:spacing w:val="10"/>
                <w:kern w:val="2"/>
                <w:sz w:val="21"/>
                <w:szCs w:val="21"/>
                <w:highlight w:val="none"/>
                <w:lang w:eastAsia="zh-CN"/>
                <w14:textFill>
                  <w14:solidFill>
                    <w14:schemeClr w14:val="tx1"/>
                  </w14:solidFill>
                </w14:textFill>
              </w:rPr>
              <w:t>）</w:t>
            </w:r>
          </w:p>
        </w:tc>
      </w:tr>
      <w:tr w14:paraId="0E789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186A6DC">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082C65B">
            <w:pPr>
              <w:widowControl/>
              <w:jc w:val="left"/>
              <w:rPr>
                <w:rFonts w:ascii="宋体" w:hAnsi="宋体" w:cs="宋体"/>
                <w:color w:val="000000" w:themeColor="text1"/>
                <w:szCs w:val="21"/>
                <w:highlight w:val="none"/>
                <w14:textFill>
                  <w14:solidFill>
                    <w14:schemeClr w14:val="tx1"/>
                  </w14:solidFill>
                </w14:textFill>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323F779">
            <w:pPr>
              <w:pStyle w:val="11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pacing w:val="1"/>
                <w:w w:val="99"/>
                <w:kern w:val="2"/>
                <w:sz w:val="21"/>
                <w:szCs w:val="21"/>
                <w:highlight w:val="none"/>
                <w14:textFill>
                  <w14:solidFill>
                    <w14:schemeClr w14:val="tx1"/>
                  </w14:solidFill>
                </w14:textFill>
              </w:rPr>
              <w:t>LE</w:t>
            </w:r>
            <w:r>
              <w:rPr>
                <w:rFonts w:hint="eastAsia" w:ascii="宋体" w:hAnsi="宋体" w:cs="宋体"/>
                <w:color w:val="000000" w:themeColor="text1"/>
                <w:w w:val="99"/>
                <w:kern w:val="2"/>
                <w:sz w:val="21"/>
                <w:szCs w:val="21"/>
                <w:highlight w:val="none"/>
                <w14:textFill>
                  <w14:solidFill>
                    <w14:schemeClr w14:val="tx1"/>
                  </w14:solidFill>
                </w14:textFill>
              </w:rPr>
              <w:t>D筒灯</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1827BA9">
            <w:pPr>
              <w:jc w:val="center"/>
              <w:rPr>
                <w:rFonts w:ascii="宋体" w:hAnsi="宋体"/>
                <w:color w:val="000000" w:themeColor="text1"/>
                <w:szCs w:val="21"/>
                <w:highlight w:val="none"/>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48B7351F">
            <w:pPr>
              <w:pStyle w:val="117"/>
              <w:spacing w:before="131" w:line="276" w:lineRule="auto"/>
              <w:ind w:left="7" w:right="4"/>
              <w:rPr>
                <w:rFonts w:ascii="宋体" w:hAnsi="宋体" w:cs="宋体"/>
                <w:color w:val="000000" w:themeColor="text1"/>
                <w:spacing w:val="10"/>
                <w:kern w:val="2"/>
                <w:sz w:val="21"/>
                <w:szCs w:val="21"/>
                <w:highlight w:val="none"/>
                <w:lang w:eastAsia="zh-CN"/>
                <w14:textFill>
                  <w14:solidFill>
                    <w14:schemeClr w14:val="tx1"/>
                  </w14:solidFill>
                </w14:textFill>
              </w:rPr>
            </w:pPr>
            <w:r>
              <w:rPr>
                <w:rFonts w:hint="eastAsia" w:ascii="宋体" w:hAnsi="宋体" w:cs="宋体"/>
                <w:color w:val="000000" w:themeColor="text1"/>
                <w:spacing w:val="10"/>
                <w:kern w:val="2"/>
                <w:sz w:val="21"/>
                <w:szCs w:val="21"/>
                <w:highlight w:val="none"/>
                <w:lang w:eastAsia="zh-CN"/>
                <w14:textFill>
                  <w14:solidFill>
                    <w14:schemeClr w14:val="tx1"/>
                  </w14:solidFill>
                </w14:textFill>
              </w:rPr>
              <w:t>《室内照明用LED产品能效限定值及能效等级》（GB30255）</w:t>
            </w:r>
          </w:p>
        </w:tc>
      </w:tr>
      <w:tr w14:paraId="72A1C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4D143FF">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71C4717">
            <w:pPr>
              <w:widowControl/>
              <w:jc w:val="left"/>
              <w:rPr>
                <w:rFonts w:ascii="宋体" w:hAnsi="宋体" w:cs="宋体"/>
                <w:color w:val="000000" w:themeColor="text1"/>
                <w:szCs w:val="21"/>
                <w:highlight w:val="none"/>
                <w14:textFill>
                  <w14:solidFill>
                    <w14:schemeClr w14:val="tx1"/>
                  </w14:solidFill>
                </w14:textFill>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06864BE">
            <w:pPr>
              <w:pStyle w:val="117"/>
              <w:spacing w:line="276" w:lineRule="auto"/>
              <w:ind w:right="7"/>
              <w:jc w:val="center"/>
              <w:rPr>
                <w:rFonts w:ascii="宋体" w:hAnsi="宋体" w:cs="宋体"/>
                <w:color w:val="000000" w:themeColor="text1"/>
                <w:kern w:val="2"/>
                <w:sz w:val="21"/>
                <w:szCs w:val="21"/>
                <w:highlight w:val="none"/>
                <w:lang w:eastAsia="zh-CN"/>
                <w14:textFill>
                  <w14:solidFill>
                    <w14:schemeClr w14:val="tx1"/>
                  </w14:solidFill>
                </w14:textFill>
              </w:rPr>
            </w:pPr>
            <w:r>
              <w:rPr>
                <w:rFonts w:hint="eastAsia" w:ascii="宋体" w:hAnsi="宋体" w:cs="宋体"/>
                <w:color w:val="000000" w:themeColor="text1"/>
                <w:w w:val="99"/>
                <w:kern w:val="2"/>
                <w:sz w:val="21"/>
                <w:szCs w:val="21"/>
                <w:highlight w:val="none"/>
                <w:lang w:eastAsia="zh-CN"/>
                <w14:textFill>
                  <w14:solidFill>
                    <w14:schemeClr w14:val="tx1"/>
                  </w14:solidFill>
                </w14:textFill>
              </w:rPr>
              <w:t>普</w:t>
            </w:r>
            <w:r>
              <w:rPr>
                <w:rFonts w:hint="eastAsia" w:ascii="宋体" w:hAnsi="宋体" w:cs="宋体"/>
                <w:color w:val="000000" w:themeColor="text1"/>
                <w:spacing w:val="24"/>
                <w:w w:val="99"/>
                <w:kern w:val="2"/>
                <w:sz w:val="21"/>
                <w:szCs w:val="21"/>
                <w:highlight w:val="none"/>
                <w:lang w:eastAsia="zh-CN"/>
                <w14:textFill>
                  <w14:solidFill>
                    <w14:schemeClr w14:val="tx1"/>
                  </w14:solidFill>
                </w14:textFill>
              </w:rPr>
              <w:t>通</w:t>
            </w:r>
            <w:r>
              <w:rPr>
                <w:rFonts w:hint="eastAsia" w:ascii="宋体" w:hAnsi="宋体" w:cs="宋体"/>
                <w:color w:val="000000" w:themeColor="text1"/>
                <w:w w:val="99"/>
                <w:kern w:val="2"/>
                <w:sz w:val="21"/>
                <w:szCs w:val="21"/>
                <w:highlight w:val="none"/>
                <w:lang w:eastAsia="zh-CN"/>
                <w14:textFill>
                  <w14:solidFill>
                    <w14:schemeClr w14:val="tx1"/>
                  </w14:solidFill>
                </w14:textFill>
              </w:rPr>
              <w:t>照明用非</w:t>
            </w:r>
            <w:r>
              <w:rPr>
                <w:rFonts w:hint="eastAsia" w:ascii="宋体" w:hAnsi="宋体" w:cs="宋体"/>
                <w:color w:val="000000" w:themeColor="text1"/>
                <w:spacing w:val="24"/>
                <w:w w:val="99"/>
                <w:kern w:val="2"/>
                <w:sz w:val="21"/>
                <w:szCs w:val="21"/>
                <w:highlight w:val="none"/>
                <w:lang w:eastAsia="zh-CN"/>
                <w14:textFill>
                  <w14:solidFill>
                    <w14:schemeClr w14:val="tx1"/>
                  </w14:solidFill>
                </w14:textFill>
              </w:rPr>
              <w:t>定</w:t>
            </w:r>
            <w:r>
              <w:rPr>
                <w:rFonts w:hint="eastAsia" w:ascii="宋体" w:hAnsi="宋体" w:cs="宋体"/>
                <w:color w:val="000000" w:themeColor="text1"/>
                <w:w w:val="99"/>
                <w:kern w:val="2"/>
                <w:sz w:val="21"/>
                <w:szCs w:val="21"/>
                <w:highlight w:val="none"/>
                <w:lang w:eastAsia="zh-CN"/>
                <w14:textFill>
                  <w14:solidFill>
                    <w14:schemeClr w14:val="tx1"/>
                  </w14:solidFill>
                </w14:textFill>
              </w:rPr>
              <w:t>向自镇流</w:t>
            </w:r>
            <w:r>
              <w:rPr>
                <w:rFonts w:hint="eastAsia" w:ascii="宋体" w:hAnsi="宋体" w:cs="宋体"/>
                <w:color w:val="000000" w:themeColor="text1"/>
                <w:spacing w:val="1"/>
                <w:w w:val="99"/>
                <w:kern w:val="2"/>
                <w:sz w:val="21"/>
                <w:szCs w:val="21"/>
                <w:highlight w:val="none"/>
                <w:lang w:eastAsia="zh-CN"/>
                <w14:textFill>
                  <w14:solidFill>
                    <w14:schemeClr w14:val="tx1"/>
                  </w14:solidFill>
                </w14:textFill>
              </w:rPr>
              <w:t>LE</w:t>
            </w:r>
            <w:r>
              <w:rPr>
                <w:rFonts w:hint="eastAsia" w:ascii="宋体" w:hAnsi="宋体" w:cs="宋体"/>
                <w:color w:val="000000" w:themeColor="text1"/>
                <w:w w:val="99"/>
                <w:kern w:val="2"/>
                <w:sz w:val="21"/>
                <w:szCs w:val="21"/>
                <w:highlight w:val="none"/>
                <w:lang w:eastAsia="zh-CN"/>
                <w14:textFill>
                  <w14:solidFill>
                    <w14:schemeClr w14:val="tx1"/>
                  </w14:solidFill>
                </w14:textFill>
              </w:rPr>
              <w:t>D灯</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CABA2F9">
            <w:pPr>
              <w:jc w:val="center"/>
              <w:rPr>
                <w:rFonts w:ascii="宋体" w:hAnsi="宋体"/>
                <w:color w:val="000000" w:themeColor="text1"/>
                <w:szCs w:val="21"/>
                <w:highlight w:val="none"/>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2703D14F">
            <w:pPr>
              <w:pStyle w:val="117"/>
              <w:spacing w:before="131" w:line="276" w:lineRule="auto"/>
              <w:ind w:left="7" w:right="4"/>
              <w:rPr>
                <w:rFonts w:ascii="宋体" w:hAnsi="宋体" w:cs="宋体"/>
                <w:color w:val="000000" w:themeColor="text1"/>
                <w:spacing w:val="10"/>
                <w:kern w:val="2"/>
                <w:sz w:val="21"/>
                <w:szCs w:val="21"/>
                <w:highlight w:val="none"/>
                <w:lang w:eastAsia="zh-CN"/>
                <w14:textFill>
                  <w14:solidFill>
                    <w14:schemeClr w14:val="tx1"/>
                  </w14:solidFill>
                </w14:textFill>
              </w:rPr>
            </w:pPr>
            <w:r>
              <w:rPr>
                <w:rFonts w:hint="eastAsia" w:ascii="宋体" w:hAnsi="宋体" w:cs="宋体"/>
                <w:color w:val="000000" w:themeColor="text1"/>
                <w:spacing w:val="10"/>
                <w:kern w:val="2"/>
                <w:sz w:val="21"/>
                <w:szCs w:val="21"/>
                <w:highlight w:val="none"/>
                <w:lang w:eastAsia="zh-CN"/>
                <w14:textFill>
                  <w14:solidFill>
                    <w14:schemeClr w14:val="tx1"/>
                  </w14:solidFill>
                </w14:textFill>
              </w:rPr>
              <w:t>《室内照明用LED产品能效限定值及能效等级》（GB30255）</w:t>
            </w:r>
          </w:p>
        </w:tc>
      </w:tr>
      <w:tr w14:paraId="01395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05D69D48">
            <w:pPr>
              <w:pStyle w:val="11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olor w:val="000000" w:themeColor="text1"/>
                <w:spacing w:val="1"/>
                <w:w w:val="99"/>
                <w:kern w:val="2"/>
                <w:sz w:val="21"/>
                <w:szCs w:val="21"/>
                <w:highlight w:val="none"/>
                <w14:textFill>
                  <w14:solidFill>
                    <w14:schemeClr w14:val="tx1"/>
                  </w14:solidFill>
                </w14:textFill>
              </w:rPr>
              <w:t>1</w:t>
            </w:r>
            <w:r>
              <w:rPr>
                <w:rFonts w:hint="eastAsia" w:ascii="宋体" w:hAnsi="宋体"/>
                <w:color w:val="000000" w:themeColor="text1"/>
                <w:w w:val="99"/>
                <w:kern w:val="2"/>
                <w:sz w:val="21"/>
                <w:szCs w:val="21"/>
                <w:highlight w:val="none"/>
                <w14:textFill>
                  <w14:solidFill>
                    <w14:schemeClr w14:val="tx1"/>
                  </w14:solidFill>
                </w14:textFill>
              </w:rPr>
              <w:t>2</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7407F541">
            <w:pPr>
              <w:pStyle w:val="117"/>
              <w:spacing w:before="81"/>
              <w:ind w:left="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w w:val="99"/>
                <w:kern w:val="2"/>
                <w:sz w:val="21"/>
                <w:szCs w:val="21"/>
                <w:highlight w:val="none"/>
                <w14:textFill>
                  <w14:solidFill>
                    <w14:schemeClr w14:val="tx1"/>
                  </w14:solidFill>
                </w14:textFill>
              </w:rPr>
              <w:t>★</w:t>
            </w:r>
            <w:r>
              <w:rPr>
                <w:rFonts w:hint="eastAsia" w:ascii="宋体" w:hAnsi="宋体" w:cs="宋体"/>
                <w:color w:val="000000" w:themeColor="text1"/>
                <w:spacing w:val="1"/>
                <w:w w:val="99"/>
                <w:kern w:val="2"/>
                <w:sz w:val="21"/>
                <w:szCs w:val="21"/>
                <w:highlight w:val="none"/>
                <w14:textFill>
                  <w14:solidFill>
                    <w14:schemeClr w14:val="tx1"/>
                  </w14:solidFill>
                </w14:textFill>
              </w:rPr>
              <w:t>A020</w:t>
            </w:r>
            <w:r>
              <w:rPr>
                <w:rFonts w:hint="eastAsia" w:ascii="宋体" w:hAnsi="宋体" w:cs="宋体"/>
                <w:color w:val="000000" w:themeColor="text1"/>
                <w:w w:val="99"/>
                <w:kern w:val="2"/>
                <w:sz w:val="21"/>
                <w:szCs w:val="21"/>
                <w:highlight w:val="none"/>
                <w14:textFill>
                  <w14:solidFill>
                    <w14:schemeClr w14:val="tx1"/>
                  </w14:solidFill>
                </w14:textFill>
              </w:rPr>
              <w:t>91000电视设备</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196FB4D">
            <w:pPr>
              <w:pStyle w:val="117"/>
              <w:spacing w:before="81" w:line="276" w:lineRule="auto"/>
              <w:ind w:left="7" w:right="5"/>
              <w:jc w:val="center"/>
              <w:rPr>
                <w:rFonts w:ascii="宋体" w:hAnsi="宋体" w:cs="宋体"/>
                <w:color w:val="000000" w:themeColor="text1"/>
                <w:kern w:val="2"/>
                <w:sz w:val="21"/>
                <w:szCs w:val="21"/>
                <w:highlight w:val="none"/>
                <w:lang w:eastAsia="zh-CN"/>
                <w14:textFill>
                  <w14:solidFill>
                    <w14:schemeClr w14:val="tx1"/>
                  </w14:solidFill>
                </w14:textFill>
              </w:rPr>
            </w:pPr>
            <w:r>
              <w:rPr>
                <w:rFonts w:hint="eastAsia" w:ascii="宋体" w:hAnsi="宋体" w:cs="宋体"/>
                <w:color w:val="000000" w:themeColor="text1"/>
                <w:spacing w:val="1"/>
                <w:w w:val="99"/>
                <w:kern w:val="2"/>
                <w:sz w:val="21"/>
                <w:szCs w:val="21"/>
                <w:highlight w:val="none"/>
                <w:lang w:eastAsia="zh-CN"/>
                <w14:textFill>
                  <w14:solidFill>
                    <w14:schemeClr w14:val="tx1"/>
                  </w14:solidFill>
                </w14:textFill>
              </w:rPr>
              <w:t>A02</w:t>
            </w:r>
            <w:r>
              <w:rPr>
                <w:rFonts w:hint="eastAsia" w:ascii="宋体" w:hAnsi="宋体" w:cs="宋体"/>
                <w:color w:val="000000" w:themeColor="text1"/>
                <w:w w:val="99"/>
                <w:kern w:val="2"/>
                <w:sz w:val="21"/>
                <w:szCs w:val="21"/>
                <w:highlight w:val="none"/>
                <w:lang w:eastAsia="zh-CN"/>
                <w14:textFill>
                  <w14:solidFill>
                    <w14:schemeClr w14:val="tx1"/>
                  </w14:solidFill>
                </w14:textFill>
              </w:rPr>
              <w:t>09</w:t>
            </w:r>
            <w:r>
              <w:rPr>
                <w:rFonts w:hint="eastAsia" w:ascii="宋体" w:hAnsi="宋体" w:cs="宋体"/>
                <w:color w:val="000000" w:themeColor="text1"/>
                <w:spacing w:val="1"/>
                <w:w w:val="99"/>
                <w:kern w:val="2"/>
                <w:sz w:val="21"/>
                <w:szCs w:val="21"/>
                <w:highlight w:val="none"/>
                <w:lang w:eastAsia="zh-CN"/>
                <w14:textFill>
                  <w14:solidFill>
                    <w14:schemeClr w14:val="tx1"/>
                  </w14:solidFill>
                </w14:textFill>
              </w:rPr>
              <w:t>1</w:t>
            </w:r>
            <w:r>
              <w:rPr>
                <w:rFonts w:hint="eastAsia" w:ascii="宋体" w:hAnsi="宋体" w:cs="宋体"/>
                <w:color w:val="000000" w:themeColor="text1"/>
                <w:w w:val="99"/>
                <w:kern w:val="2"/>
                <w:sz w:val="21"/>
                <w:szCs w:val="21"/>
                <w:highlight w:val="none"/>
                <w:lang w:eastAsia="zh-CN"/>
                <w14:textFill>
                  <w14:solidFill>
                    <w14:schemeClr w14:val="tx1"/>
                  </w14:solidFill>
                </w14:textFill>
              </w:rPr>
              <w:t>001普通电视设备（</w:t>
            </w:r>
            <w:r>
              <w:rPr>
                <w:rFonts w:hint="eastAsia" w:ascii="宋体" w:hAnsi="宋体" w:cs="宋体"/>
                <w:color w:val="000000" w:themeColor="text1"/>
                <w:spacing w:val="2"/>
                <w:w w:val="99"/>
                <w:kern w:val="2"/>
                <w:sz w:val="21"/>
                <w:szCs w:val="21"/>
                <w:highlight w:val="none"/>
                <w:lang w:eastAsia="zh-CN"/>
                <w14:textFill>
                  <w14:solidFill>
                    <w14:schemeClr w14:val="tx1"/>
                  </w14:solidFill>
                </w14:textFill>
              </w:rPr>
              <w:t>电</w:t>
            </w:r>
            <w:r>
              <w:rPr>
                <w:rFonts w:hint="eastAsia" w:ascii="宋体" w:hAnsi="宋体" w:cs="宋体"/>
                <w:color w:val="000000" w:themeColor="text1"/>
                <w:w w:val="99"/>
                <w:kern w:val="2"/>
                <w:sz w:val="21"/>
                <w:szCs w:val="21"/>
                <w:highlight w:val="none"/>
                <w:lang w:eastAsia="zh-CN"/>
                <w14:textFill>
                  <w14:solidFill>
                    <w14:schemeClr w14:val="tx1"/>
                  </w14:solidFill>
                </w14:textFill>
              </w:rPr>
              <w:t>视机）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3A450FD">
            <w:pPr>
              <w:jc w:val="center"/>
              <w:rPr>
                <w:rFonts w:ascii="宋体" w:hAnsi="宋体"/>
                <w:color w:val="000000" w:themeColor="text1"/>
                <w:szCs w:val="21"/>
                <w:highlight w:val="none"/>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038D0B77">
            <w:pPr>
              <w:pStyle w:val="117"/>
              <w:spacing w:before="131" w:line="276" w:lineRule="auto"/>
              <w:ind w:left="7" w:right="4"/>
              <w:rPr>
                <w:rFonts w:ascii="宋体" w:hAnsi="宋体" w:cs="宋体"/>
                <w:color w:val="000000" w:themeColor="text1"/>
                <w:spacing w:val="10"/>
                <w:kern w:val="2"/>
                <w:sz w:val="21"/>
                <w:szCs w:val="21"/>
                <w:highlight w:val="none"/>
                <w:lang w:eastAsia="zh-CN"/>
                <w14:textFill>
                  <w14:solidFill>
                    <w14:schemeClr w14:val="tx1"/>
                  </w14:solidFill>
                </w14:textFill>
              </w:rPr>
            </w:pPr>
            <w:r>
              <w:rPr>
                <w:rFonts w:hint="eastAsia" w:ascii="宋体" w:hAnsi="宋体" w:cs="宋体"/>
                <w:color w:val="000000" w:themeColor="text1"/>
                <w:spacing w:val="10"/>
                <w:kern w:val="2"/>
                <w:sz w:val="21"/>
                <w:szCs w:val="21"/>
                <w:highlight w:val="none"/>
                <w:lang w:eastAsia="zh-CN"/>
                <w14:textFill>
                  <w14:solidFill>
                    <w14:schemeClr w14:val="tx1"/>
                  </w14:solidFill>
                </w14:textFill>
              </w:rPr>
              <w:t>《平板电视能效限定值及能效等级》（GB24850）</w:t>
            </w:r>
          </w:p>
        </w:tc>
      </w:tr>
      <w:tr w14:paraId="69A2D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146F72CF">
            <w:pPr>
              <w:pStyle w:val="11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olor w:val="000000" w:themeColor="text1"/>
                <w:spacing w:val="1"/>
                <w:w w:val="99"/>
                <w:kern w:val="2"/>
                <w:sz w:val="21"/>
                <w:szCs w:val="21"/>
                <w:highlight w:val="none"/>
                <w14:textFill>
                  <w14:solidFill>
                    <w14:schemeClr w14:val="tx1"/>
                  </w14:solidFill>
                </w14:textFill>
              </w:rPr>
              <w:t>1</w:t>
            </w:r>
            <w:r>
              <w:rPr>
                <w:rFonts w:hint="eastAsia" w:ascii="宋体" w:hAnsi="宋体"/>
                <w:color w:val="000000" w:themeColor="text1"/>
                <w:w w:val="99"/>
                <w:kern w:val="2"/>
                <w:sz w:val="21"/>
                <w:szCs w:val="21"/>
                <w:highlight w:val="none"/>
                <w14:textFill>
                  <w14:solidFill>
                    <w14:schemeClr w14:val="tx1"/>
                  </w14:solidFill>
                </w14:textFill>
              </w:rPr>
              <w:t>3</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578D1F17">
            <w:pPr>
              <w:pStyle w:val="11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w w:val="99"/>
                <w:kern w:val="2"/>
                <w:sz w:val="21"/>
                <w:szCs w:val="21"/>
                <w:highlight w:val="none"/>
                <w14:textFill>
                  <w14:solidFill>
                    <w14:schemeClr w14:val="tx1"/>
                  </w14:solidFill>
                </w14:textFill>
              </w:rPr>
              <w:t>★</w:t>
            </w:r>
            <w:r>
              <w:rPr>
                <w:rFonts w:hint="eastAsia" w:ascii="宋体" w:hAnsi="宋体" w:cs="宋体"/>
                <w:color w:val="000000" w:themeColor="text1"/>
                <w:spacing w:val="1"/>
                <w:w w:val="99"/>
                <w:kern w:val="2"/>
                <w:sz w:val="21"/>
                <w:szCs w:val="21"/>
                <w:highlight w:val="none"/>
                <w14:textFill>
                  <w14:solidFill>
                    <w14:schemeClr w14:val="tx1"/>
                  </w14:solidFill>
                </w14:textFill>
              </w:rPr>
              <w:t>A020</w:t>
            </w:r>
            <w:r>
              <w:rPr>
                <w:rFonts w:hint="eastAsia" w:ascii="宋体" w:hAnsi="宋体" w:cs="宋体"/>
                <w:color w:val="000000" w:themeColor="text1"/>
                <w:w w:val="99"/>
                <w:kern w:val="2"/>
                <w:sz w:val="21"/>
                <w:szCs w:val="21"/>
                <w:highlight w:val="none"/>
                <w14:textFill>
                  <w14:solidFill>
                    <w14:schemeClr w14:val="tx1"/>
                  </w14:solidFill>
                </w14:textFill>
              </w:rPr>
              <w:t>91100视频设备</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21641FE">
            <w:pPr>
              <w:pStyle w:val="117"/>
              <w:spacing w:line="276" w:lineRule="auto"/>
              <w:ind w:right="5"/>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pacing w:val="1"/>
                <w:w w:val="99"/>
                <w:kern w:val="2"/>
                <w:sz w:val="21"/>
                <w:szCs w:val="21"/>
                <w:highlight w:val="none"/>
                <w14:textFill>
                  <w14:solidFill>
                    <w14:schemeClr w14:val="tx1"/>
                  </w14:solidFill>
                </w14:textFill>
              </w:rPr>
              <w:t>A02</w:t>
            </w:r>
            <w:r>
              <w:rPr>
                <w:rFonts w:hint="eastAsia" w:ascii="宋体" w:hAnsi="宋体" w:cs="宋体"/>
                <w:color w:val="000000" w:themeColor="text1"/>
                <w:w w:val="99"/>
                <w:kern w:val="2"/>
                <w:sz w:val="21"/>
                <w:szCs w:val="21"/>
                <w:highlight w:val="none"/>
                <w14:textFill>
                  <w14:solidFill>
                    <w14:schemeClr w14:val="tx1"/>
                  </w14:solidFill>
                </w14:textFill>
              </w:rPr>
              <w:t>09</w:t>
            </w:r>
            <w:r>
              <w:rPr>
                <w:rFonts w:hint="eastAsia" w:ascii="宋体" w:hAnsi="宋体" w:cs="宋体"/>
                <w:color w:val="000000" w:themeColor="text1"/>
                <w:spacing w:val="1"/>
                <w:w w:val="99"/>
                <w:kern w:val="2"/>
                <w:sz w:val="21"/>
                <w:szCs w:val="21"/>
                <w:highlight w:val="none"/>
                <w14:textFill>
                  <w14:solidFill>
                    <w14:schemeClr w14:val="tx1"/>
                  </w14:solidFill>
                </w14:textFill>
              </w:rPr>
              <w:t>1</w:t>
            </w:r>
            <w:r>
              <w:rPr>
                <w:rFonts w:hint="eastAsia" w:ascii="宋体" w:hAnsi="宋体" w:cs="宋体"/>
                <w:color w:val="000000" w:themeColor="text1"/>
                <w:w w:val="99"/>
                <w:kern w:val="2"/>
                <w:sz w:val="21"/>
                <w:szCs w:val="21"/>
                <w:highlight w:val="none"/>
                <w14:textFill>
                  <w14:solidFill>
                    <w14:schemeClr w14:val="tx1"/>
                  </w14:solidFill>
                </w14:textFill>
              </w:rPr>
              <w:t>107视频监控设备</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64F2603">
            <w:pPr>
              <w:pStyle w:val="11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w w:val="99"/>
                <w:kern w:val="2"/>
                <w:sz w:val="21"/>
                <w:szCs w:val="21"/>
                <w:highlight w:val="none"/>
                <w14:textFill>
                  <w14:solidFill>
                    <w14:schemeClr w14:val="tx1"/>
                  </w14:solidFill>
                </w14:textFill>
              </w:rPr>
              <w:t>监视器</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3D10B76E">
            <w:pPr>
              <w:pStyle w:val="117"/>
              <w:spacing w:before="131" w:line="276" w:lineRule="auto"/>
              <w:ind w:left="7" w:right="4"/>
              <w:rPr>
                <w:rFonts w:ascii="宋体" w:hAnsi="宋体" w:cs="宋体"/>
                <w:color w:val="000000" w:themeColor="text1"/>
                <w:spacing w:val="10"/>
                <w:kern w:val="2"/>
                <w:sz w:val="21"/>
                <w:szCs w:val="21"/>
                <w:highlight w:val="none"/>
                <w:lang w:eastAsia="zh-CN"/>
                <w14:textFill>
                  <w14:solidFill>
                    <w14:schemeClr w14:val="tx1"/>
                  </w14:solidFill>
                </w14:textFill>
              </w:rPr>
            </w:pPr>
            <w:r>
              <w:rPr>
                <w:rFonts w:hint="eastAsia" w:ascii="宋体" w:hAnsi="宋体" w:cs="宋体"/>
                <w:color w:val="000000" w:themeColor="text1"/>
                <w:spacing w:val="10"/>
                <w:kern w:val="2"/>
                <w:sz w:val="21"/>
                <w:szCs w:val="21"/>
                <w:highlight w:val="none"/>
                <w:lang w:eastAsia="zh-CN"/>
                <w14:textFill>
                  <w14:solidFill>
                    <w14:schemeClr w14:val="tx1"/>
                  </w14:solidFill>
                </w14:textFill>
              </w:rPr>
              <w:t>以射频信号为主要信号输入的监视器应符合《平板电视能效限定值及能效等级》（GB24850），以数字信号为主要信号输入的监视器应符合《计算机显示器能效限定值及能效等级》（GB21520）</w:t>
            </w:r>
          </w:p>
        </w:tc>
      </w:tr>
      <w:tr w14:paraId="63FEF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19035B69">
            <w:pPr>
              <w:pStyle w:val="11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olor w:val="000000" w:themeColor="text1"/>
                <w:spacing w:val="1"/>
                <w:w w:val="99"/>
                <w:kern w:val="2"/>
                <w:sz w:val="21"/>
                <w:szCs w:val="21"/>
                <w:highlight w:val="none"/>
                <w14:textFill>
                  <w14:solidFill>
                    <w14:schemeClr w14:val="tx1"/>
                  </w14:solidFill>
                </w14:textFill>
              </w:rPr>
              <w:t>1</w:t>
            </w:r>
            <w:r>
              <w:rPr>
                <w:rFonts w:hint="eastAsia" w:ascii="宋体" w:hAnsi="宋体"/>
                <w:color w:val="000000" w:themeColor="text1"/>
                <w:w w:val="99"/>
                <w:kern w:val="2"/>
                <w:sz w:val="21"/>
                <w:szCs w:val="21"/>
                <w:highlight w:val="none"/>
                <w14:textFill>
                  <w14:solidFill>
                    <w14:schemeClr w14:val="tx1"/>
                  </w14:solidFill>
                </w14:textFill>
              </w:rPr>
              <w:t>4</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11F58DF6">
            <w:pPr>
              <w:pStyle w:val="117"/>
              <w:spacing w:before="76"/>
              <w:ind w:left="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仿宋_GB2312"/>
                <w:color w:val="000000" w:themeColor="text1"/>
                <w:kern w:val="2"/>
                <w:sz w:val="21"/>
                <w:szCs w:val="21"/>
                <w:highlight w:val="none"/>
                <w14:textFill>
                  <w14:solidFill>
                    <w14:schemeClr w14:val="tx1"/>
                  </w14:solidFill>
                </w14:textFill>
              </w:rPr>
              <w:t>A02241000</w:t>
            </w:r>
            <w:r>
              <w:rPr>
                <w:rFonts w:hint="eastAsia" w:ascii="宋体" w:hAnsi="宋体" w:cs="宋体"/>
                <w:color w:val="000000" w:themeColor="text1"/>
                <w:w w:val="99"/>
                <w:kern w:val="2"/>
                <w:sz w:val="21"/>
                <w:szCs w:val="21"/>
                <w:highlight w:val="none"/>
                <w14:textFill>
                  <w14:solidFill>
                    <w14:schemeClr w14:val="tx1"/>
                  </w14:solidFill>
                </w14:textFill>
              </w:rPr>
              <w:t>饮食炊事机械</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B30D808">
            <w:pPr>
              <w:pStyle w:val="11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w w:val="99"/>
                <w:kern w:val="2"/>
                <w:sz w:val="21"/>
                <w:szCs w:val="21"/>
                <w:highlight w:val="none"/>
                <w14:textFill>
                  <w14:solidFill>
                    <w14:schemeClr w14:val="tx1"/>
                  </w14:solidFill>
                </w14:textFill>
              </w:rPr>
              <w:t>商用燃</w:t>
            </w:r>
            <w:r>
              <w:rPr>
                <w:rFonts w:hint="eastAsia" w:ascii="宋体" w:hAnsi="宋体" w:cs="宋体"/>
                <w:color w:val="000000" w:themeColor="text1"/>
                <w:spacing w:val="2"/>
                <w:w w:val="99"/>
                <w:kern w:val="2"/>
                <w:sz w:val="21"/>
                <w:szCs w:val="21"/>
                <w:highlight w:val="none"/>
                <w14:textFill>
                  <w14:solidFill>
                    <w14:schemeClr w14:val="tx1"/>
                  </w14:solidFill>
                </w14:textFill>
              </w:rPr>
              <w:t>气</w:t>
            </w:r>
            <w:r>
              <w:rPr>
                <w:rFonts w:hint="eastAsia" w:ascii="宋体" w:hAnsi="宋体" w:cs="宋体"/>
                <w:color w:val="000000" w:themeColor="text1"/>
                <w:w w:val="99"/>
                <w:kern w:val="2"/>
                <w:sz w:val="21"/>
                <w:szCs w:val="21"/>
                <w:highlight w:val="none"/>
                <w14:textFill>
                  <w14:solidFill>
                    <w14:schemeClr w14:val="tx1"/>
                  </w14:solidFill>
                </w14:textFill>
              </w:rPr>
              <w:t>灶具</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8360EB7">
            <w:pPr>
              <w:jc w:val="center"/>
              <w:rPr>
                <w:rFonts w:ascii="宋体" w:hAnsi="宋体"/>
                <w:color w:val="000000" w:themeColor="text1"/>
                <w:szCs w:val="21"/>
                <w:highlight w:val="none"/>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07E74A11">
            <w:pPr>
              <w:pStyle w:val="117"/>
              <w:spacing w:before="131" w:line="276" w:lineRule="auto"/>
              <w:ind w:left="7" w:right="4"/>
              <w:rPr>
                <w:rFonts w:ascii="宋体" w:hAnsi="宋体" w:cs="宋体"/>
                <w:color w:val="000000" w:themeColor="text1"/>
                <w:kern w:val="2"/>
                <w:sz w:val="21"/>
                <w:szCs w:val="21"/>
                <w:highlight w:val="none"/>
                <w:lang w:eastAsia="zh-CN"/>
                <w14:textFill>
                  <w14:solidFill>
                    <w14:schemeClr w14:val="tx1"/>
                  </w14:solidFill>
                </w14:textFill>
              </w:rPr>
            </w:pPr>
            <w:r>
              <w:rPr>
                <w:rFonts w:hint="eastAsia" w:ascii="宋体" w:hAnsi="宋体" w:cs="宋体"/>
                <w:color w:val="000000" w:themeColor="text1"/>
                <w:kern w:val="2"/>
                <w:sz w:val="21"/>
                <w:szCs w:val="21"/>
                <w:highlight w:val="none"/>
                <w:lang w:eastAsia="zh-CN"/>
                <w14:textFill>
                  <w14:solidFill>
                    <w14:schemeClr w14:val="tx1"/>
                  </w14:solidFill>
                </w14:textFill>
              </w:rPr>
              <w:t>《商用燃气灶具能效限定值及能效等级》（GB30531）</w:t>
            </w:r>
          </w:p>
        </w:tc>
      </w:tr>
      <w:tr w14:paraId="6CE15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5DCD62B3">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57C9A8E0">
            <w:pPr>
              <w:pStyle w:val="117"/>
              <w:jc w:val="center"/>
              <w:rPr>
                <w:rFonts w:ascii="宋体" w:hAnsi="宋体" w:cs="宋体"/>
                <w:color w:val="000000" w:themeColor="text1"/>
                <w:w w:val="99"/>
                <w:kern w:val="2"/>
                <w:sz w:val="21"/>
                <w:szCs w:val="21"/>
                <w:highlight w:val="none"/>
                <w14:textFill>
                  <w14:solidFill>
                    <w14:schemeClr w14:val="tx1"/>
                  </w14:solidFill>
                </w14:textFill>
              </w:rPr>
            </w:pPr>
            <w:r>
              <w:rPr>
                <w:rFonts w:hint="eastAsia" w:ascii="宋体" w:hAnsi="宋体" w:cs="宋体"/>
                <w:color w:val="000000" w:themeColor="text1"/>
                <w:w w:val="99"/>
                <w:kern w:val="2"/>
                <w:sz w:val="21"/>
                <w:szCs w:val="21"/>
                <w:highlight w:val="none"/>
                <w14:textFill>
                  <w14:solidFill>
                    <w14:schemeClr w14:val="tx1"/>
                  </w14:solidFill>
                </w14:textFill>
              </w:rPr>
              <w:t>★</w:t>
            </w:r>
            <w:r>
              <w:rPr>
                <w:rFonts w:hint="eastAsia" w:ascii="宋体" w:hAnsi="宋体" w:cs="仿宋_GB2312"/>
                <w:color w:val="000000" w:themeColor="text1"/>
                <w:kern w:val="2"/>
                <w:sz w:val="21"/>
                <w:szCs w:val="21"/>
                <w:highlight w:val="none"/>
                <w14:textFill>
                  <w14:solidFill>
                    <w14:schemeClr w14:val="tx1"/>
                  </w14:solidFill>
                </w14:textFill>
              </w:rPr>
              <w:t>A05020105</w:t>
            </w:r>
            <w:r>
              <w:rPr>
                <w:rFonts w:hint="eastAsia" w:ascii="宋体" w:hAnsi="宋体" w:cs="宋体"/>
                <w:color w:val="000000" w:themeColor="text1"/>
                <w:w w:val="99"/>
                <w:kern w:val="2"/>
                <w:sz w:val="21"/>
                <w:szCs w:val="21"/>
                <w:highlight w:val="none"/>
                <w14:textFill>
                  <w14:solidFill>
                    <w14:schemeClr w14:val="tx1"/>
                  </w14:solidFill>
                </w14:textFill>
              </w:rPr>
              <w:t>便器</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580BC2F">
            <w:pPr>
              <w:pStyle w:val="11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w w:val="99"/>
                <w:kern w:val="2"/>
                <w:sz w:val="21"/>
                <w:szCs w:val="21"/>
                <w:highlight w:val="none"/>
                <w14:textFill>
                  <w14:solidFill>
                    <w14:schemeClr w14:val="tx1"/>
                  </w14:solidFill>
                </w14:textFill>
              </w:rPr>
              <w:t>坐便器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1901570">
            <w:pPr>
              <w:jc w:val="center"/>
              <w:rPr>
                <w:rFonts w:ascii="宋体" w:hAnsi="宋体"/>
                <w:color w:val="000000" w:themeColor="text1"/>
                <w:szCs w:val="21"/>
                <w:highlight w:val="none"/>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6FB2B807">
            <w:pPr>
              <w:pStyle w:val="117"/>
              <w:spacing w:before="131" w:line="276" w:lineRule="auto"/>
              <w:ind w:left="7" w:right="4"/>
              <w:rPr>
                <w:rFonts w:ascii="宋体" w:hAnsi="宋体" w:cs="宋体"/>
                <w:color w:val="000000" w:themeColor="text1"/>
                <w:kern w:val="2"/>
                <w:sz w:val="21"/>
                <w:szCs w:val="21"/>
                <w:highlight w:val="none"/>
                <w:lang w:eastAsia="zh-CN"/>
                <w14:textFill>
                  <w14:solidFill>
                    <w14:schemeClr w14:val="tx1"/>
                  </w14:solidFill>
                </w14:textFill>
              </w:rPr>
            </w:pPr>
            <w:r>
              <w:rPr>
                <w:rFonts w:hint="eastAsia" w:ascii="宋体" w:hAnsi="宋体" w:cs="宋体"/>
                <w:color w:val="000000" w:themeColor="text1"/>
                <w:kern w:val="2"/>
                <w:sz w:val="21"/>
                <w:szCs w:val="21"/>
                <w:highlight w:val="none"/>
                <w:lang w:eastAsia="zh-CN"/>
                <w14:textFill>
                  <w14:solidFill>
                    <w14:schemeClr w14:val="tx1"/>
                  </w14:solidFill>
                </w14:textFill>
              </w:rPr>
              <w:t>《坐便器水效限定值及水效等级》</w:t>
            </w:r>
          </w:p>
          <w:p w14:paraId="370E7CFE">
            <w:pPr>
              <w:pStyle w:val="117"/>
              <w:spacing w:before="131" w:line="276" w:lineRule="auto"/>
              <w:ind w:left="7" w:right="4"/>
              <w:rPr>
                <w:rFonts w:ascii="宋体" w:hAnsi="宋体" w:cs="宋体"/>
                <w:color w:val="000000" w:themeColor="text1"/>
                <w:kern w:val="2"/>
                <w:sz w:val="21"/>
                <w:szCs w:val="21"/>
                <w:highlight w:val="none"/>
                <w:lang w:eastAsia="zh-CN"/>
                <w14:textFill>
                  <w14:solidFill>
                    <w14:schemeClr w14:val="tx1"/>
                  </w14:solidFill>
                </w14:textFill>
              </w:rPr>
            </w:pPr>
            <w:r>
              <w:rPr>
                <w:rFonts w:hint="eastAsia" w:ascii="宋体" w:hAnsi="宋体" w:cs="宋体"/>
                <w:color w:val="000000" w:themeColor="text1"/>
                <w:kern w:val="2"/>
                <w:sz w:val="21"/>
                <w:szCs w:val="21"/>
                <w:highlight w:val="none"/>
                <w:lang w:eastAsia="zh-CN"/>
                <w14:textFill>
                  <w14:solidFill>
                    <w14:schemeClr w14:val="tx1"/>
                  </w14:solidFill>
                </w14:textFill>
              </w:rPr>
              <w:t>（GB25502）</w:t>
            </w:r>
          </w:p>
        </w:tc>
      </w:tr>
      <w:tr w14:paraId="061FE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3EAC831">
            <w:pPr>
              <w:widowControl/>
              <w:jc w:val="left"/>
              <w:rPr>
                <w:rFonts w:ascii="宋体" w:hAnsi="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85BE4AF">
            <w:pPr>
              <w:widowControl/>
              <w:jc w:val="left"/>
              <w:rPr>
                <w:rFonts w:ascii="宋体" w:hAnsi="宋体" w:cs="宋体"/>
                <w:color w:val="000000" w:themeColor="text1"/>
                <w:w w:val="99"/>
                <w:szCs w:val="21"/>
                <w:highlight w:val="none"/>
                <w:lang w:eastAsia="en-US"/>
                <w14:textFill>
                  <w14:solidFill>
                    <w14:schemeClr w14:val="tx1"/>
                  </w14:solidFill>
                </w14:textFill>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712AE246">
            <w:pPr>
              <w:pStyle w:val="11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w w:val="99"/>
                <w:kern w:val="2"/>
                <w:sz w:val="21"/>
                <w:szCs w:val="21"/>
                <w:highlight w:val="none"/>
                <w14:textFill>
                  <w14:solidFill>
                    <w14:schemeClr w14:val="tx1"/>
                  </w14:solidFill>
                </w14:textFill>
              </w:rPr>
              <w:t>蹲便器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F81F9CA">
            <w:pPr>
              <w:jc w:val="center"/>
              <w:rPr>
                <w:rFonts w:ascii="宋体" w:hAnsi="宋体"/>
                <w:color w:val="000000" w:themeColor="text1"/>
                <w:szCs w:val="21"/>
                <w:highlight w:val="none"/>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09666941">
            <w:pPr>
              <w:pStyle w:val="117"/>
              <w:spacing w:before="131" w:line="276" w:lineRule="auto"/>
              <w:ind w:left="7" w:right="4"/>
              <w:rPr>
                <w:rFonts w:ascii="宋体" w:hAnsi="宋体" w:cs="宋体"/>
                <w:color w:val="000000" w:themeColor="text1"/>
                <w:kern w:val="2"/>
                <w:sz w:val="21"/>
                <w:szCs w:val="21"/>
                <w:highlight w:val="none"/>
                <w:lang w:eastAsia="zh-CN"/>
                <w14:textFill>
                  <w14:solidFill>
                    <w14:schemeClr w14:val="tx1"/>
                  </w14:solidFill>
                </w14:textFill>
              </w:rPr>
            </w:pPr>
            <w:r>
              <w:rPr>
                <w:rFonts w:hint="eastAsia" w:ascii="宋体" w:hAnsi="宋体" w:cs="宋体"/>
                <w:color w:val="000000" w:themeColor="text1"/>
                <w:kern w:val="2"/>
                <w:sz w:val="21"/>
                <w:szCs w:val="21"/>
                <w:highlight w:val="none"/>
                <w:lang w:eastAsia="zh-CN"/>
                <w14:textFill>
                  <w14:solidFill>
                    <w14:schemeClr w14:val="tx1"/>
                  </w14:solidFill>
                </w14:textFill>
              </w:rPr>
              <w:t>《蹲便器用水效率限定值及用水效率等级》（GB30717）</w:t>
            </w:r>
          </w:p>
        </w:tc>
      </w:tr>
      <w:tr w14:paraId="2C0AF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3119B22">
            <w:pPr>
              <w:widowControl/>
              <w:jc w:val="left"/>
              <w:rPr>
                <w:rFonts w:ascii="宋体" w:hAnsi="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5E43677">
            <w:pPr>
              <w:widowControl/>
              <w:jc w:val="left"/>
              <w:rPr>
                <w:rFonts w:ascii="宋体" w:hAnsi="宋体" w:cs="宋体"/>
                <w:color w:val="000000" w:themeColor="text1"/>
                <w:w w:val="99"/>
                <w:szCs w:val="21"/>
                <w:highlight w:val="none"/>
                <w14:textFill>
                  <w14:solidFill>
                    <w14:schemeClr w14:val="tx1"/>
                  </w14:solidFill>
                </w14:textFill>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793BF19">
            <w:pPr>
              <w:pStyle w:val="11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w w:val="99"/>
                <w:kern w:val="2"/>
                <w:sz w:val="21"/>
                <w:szCs w:val="21"/>
                <w:highlight w:val="none"/>
                <w14:textFill>
                  <w14:solidFill>
                    <w14:schemeClr w14:val="tx1"/>
                  </w14:solidFill>
                </w14:textFill>
              </w:rPr>
              <w:t>小便器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A2FC284">
            <w:pPr>
              <w:jc w:val="center"/>
              <w:rPr>
                <w:rFonts w:ascii="宋体" w:hAnsi="宋体"/>
                <w:color w:val="000000" w:themeColor="text1"/>
                <w:szCs w:val="21"/>
                <w:highlight w:val="none"/>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5B581D59">
            <w:pPr>
              <w:pStyle w:val="117"/>
              <w:spacing w:before="131" w:line="276" w:lineRule="auto"/>
              <w:ind w:left="7" w:right="4"/>
              <w:rPr>
                <w:rFonts w:ascii="宋体" w:hAnsi="宋体" w:cs="宋体"/>
                <w:color w:val="000000" w:themeColor="text1"/>
                <w:kern w:val="2"/>
                <w:sz w:val="21"/>
                <w:szCs w:val="21"/>
                <w:highlight w:val="none"/>
                <w:lang w:eastAsia="zh-CN"/>
                <w14:textFill>
                  <w14:solidFill>
                    <w14:schemeClr w14:val="tx1"/>
                  </w14:solidFill>
                </w14:textFill>
              </w:rPr>
            </w:pPr>
            <w:r>
              <w:rPr>
                <w:rFonts w:hint="eastAsia" w:ascii="宋体" w:hAnsi="宋体" w:cs="宋体"/>
                <w:color w:val="000000" w:themeColor="text1"/>
                <w:kern w:val="2"/>
                <w:sz w:val="21"/>
                <w:szCs w:val="21"/>
                <w:highlight w:val="none"/>
                <w:lang w:eastAsia="zh-CN"/>
                <w14:textFill>
                  <w14:solidFill>
                    <w14:schemeClr w14:val="tx1"/>
                  </w14:solidFill>
                </w14:textFill>
              </w:rPr>
              <w:t>《小便器用水效率限定值及用水效率等级》（GB28377）</w:t>
            </w:r>
          </w:p>
        </w:tc>
      </w:tr>
      <w:tr w14:paraId="45AA7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1625154A">
            <w:pPr>
              <w:pStyle w:val="11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olor w:val="000000" w:themeColor="text1"/>
                <w:kern w:val="2"/>
                <w:sz w:val="21"/>
                <w:szCs w:val="21"/>
                <w:highlight w:val="none"/>
                <w14:textFill>
                  <w14:solidFill>
                    <w14:schemeClr w14:val="tx1"/>
                  </w14:solidFill>
                </w14:textFill>
              </w:rPr>
              <w:t>16</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51EFD1E6">
            <w:pPr>
              <w:pStyle w:val="117"/>
              <w:spacing w:before="153"/>
              <w:ind w:left="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w:t>
            </w:r>
            <w:r>
              <w:rPr>
                <w:rFonts w:hint="eastAsia" w:ascii="宋体" w:hAnsi="宋体" w:cs="仿宋_GB2312"/>
                <w:color w:val="000000" w:themeColor="text1"/>
                <w:kern w:val="2"/>
                <w:sz w:val="21"/>
                <w:szCs w:val="21"/>
                <w:highlight w:val="none"/>
                <w14:textFill>
                  <w14:solidFill>
                    <w14:schemeClr w14:val="tx1"/>
                  </w14:solidFill>
                </w14:textFill>
              </w:rPr>
              <w:t>A05020106</w:t>
            </w:r>
            <w:r>
              <w:rPr>
                <w:rFonts w:hint="eastAsia" w:ascii="宋体" w:hAnsi="宋体" w:cs="宋体"/>
                <w:color w:val="000000" w:themeColor="text1"/>
                <w:kern w:val="2"/>
                <w:sz w:val="21"/>
                <w:szCs w:val="21"/>
                <w:highlight w:val="none"/>
                <w14:textFill>
                  <w14:solidFill>
                    <w14:schemeClr w14:val="tx1"/>
                  </w14:solidFill>
                </w14:textFill>
              </w:rPr>
              <w:t>水</w:t>
            </w:r>
            <w:r>
              <w:rPr>
                <w:rFonts w:hint="eastAsia" w:ascii="宋体" w:hAnsi="宋体" w:cs="宋体"/>
                <w:color w:val="000000" w:themeColor="text1"/>
                <w:w w:val="99"/>
                <w:kern w:val="2"/>
                <w:sz w:val="21"/>
                <w:szCs w:val="21"/>
                <w:highlight w:val="none"/>
                <w14:textFill>
                  <w14:solidFill>
                    <w14:schemeClr w14:val="tx1"/>
                  </w14:solidFill>
                </w14:textFill>
              </w:rPr>
              <w:t>嘴</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0501E37">
            <w:pPr>
              <w:jc w:val="center"/>
              <w:rPr>
                <w:rFonts w:ascii="宋体" w:hAnsi="宋体"/>
                <w:color w:val="000000" w:themeColor="text1"/>
                <w:szCs w:val="21"/>
                <w:highlight w:val="none"/>
                <w:lang w:eastAsia="en-US"/>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FDAA2CF">
            <w:pPr>
              <w:jc w:val="center"/>
              <w:rPr>
                <w:rFonts w:ascii="宋体" w:hAnsi="宋体"/>
                <w:color w:val="000000" w:themeColor="text1"/>
                <w:szCs w:val="21"/>
                <w:highlight w:val="none"/>
                <w:lang w:eastAsia="en-US"/>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1D2A9FEB">
            <w:pPr>
              <w:pStyle w:val="117"/>
              <w:spacing w:before="153" w:line="276" w:lineRule="auto"/>
              <w:ind w:left="7" w:right="4"/>
              <w:rPr>
                <w:rFonts w:ascii="宋体" w:hAnsi="宋体" w:cs="宋体"/>
                <w:color w:val="000000" w:themeColor="text1"/>
                <w:kern w:val="2"/>
                <w:sz w:val="21"/>
                <w:szCs w:val="21"/>
                <w:highlight w:val="none"/>
                <w:lang w:eastAsia="zh-CN"/>
                <w14:textFill>
                  <w14:solidFill>
                    <w14:schemeClr w14:val="tx1"/>
                  </w14:solidFill>
                </w14:textFill>
              </w:rPr>
            </w:pPr>
            <w:r>
              <w:rPr>
                <w:rFonts w:hint="eastAsia" w:ascii="宋体" w:hAnsi="宋体" w:cs="宋体"/>
                <w:color w:val="000000" w:themeColor="text1"/>
                <w:spacing w:val="10"/>
                <w:kern w:val="2"/>
                <w:sz w:val="21"/>
                <w:szCs w:val="21"/>
                <w:highlight w:val="none"/>
                <w:lang w:eastAsia="zh-CN"/>
                <w14:textFill>
                  <w14:solidFill>
                    <w14:schemeClr w14:val="tx1"/>
                  </w14:solidFill>
                </w14:textFill>
              </w:rPr>
              <w:t>《水嘴用水效率限定值及用水效</w:t>
            </w:r>
            <w:r>
              <w:rPr>
                <w:rFonts w:hint="eastAsia" w:ascii="宋体" w:hAnsi="宋体" w:cs="宋体"/>
                <w:color w:val="000000" w:themeColor="text1"/>
                <w:kern w:val="2"/>
                <w:sz w:val="21"/>
                <w:szCs w:val="21"/>
                <w:highlight w:val="none"/>
                <w:lang w:eastAsia="zh-CN"/>
                <w14:textFill>
                  <w14:solidFill>
                    <w14:schemeClr w14:val="tx1"/>
                  </w14:solidFill>
                </w14:textFill>
              </w:rPr>
              <w:t>率等级》（GB 25501）</w:t>
            </w:r>
          </w:p>
        </w:tc>
      </w:tr>
      <w:tr w14:paraId="3D72B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5CF11BBA">
            <w:pPr>
              <w:pStyle w:val="11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olor w:val="000000" w:themeColor="text1"/>
                <w:kern w:val="2"/>
                <w:sz w:val="21"/>
                <w:szCs w:val="21"/>
                <w:highlight w:val="none"/>
                <w14:textFill>
                  <w14:solidFill>
                    <w14:schemeClr w14:val="tx1"/>
                  </w14:solidFill>
                </w14:textFill>
              </w:rPr>
              <w:t>17</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536FE6CE">
            <w:pPr>
              <w:pStyle w:val="117"/>
              <w:spacing w:before="112"/>
              <w:ind w:left="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仿宋_GB2312"/>
                <w:color w:val="000000" w:themeColor="text1"/>
                <w:kern w:val="2"/>
                <w:sz w:val="21"/>
                <w:szCs w:val="21"/>
                <w:highlight w:val="none"/>
                <w14:textFill>
                  <w14:solidFill>
                    <w14:schemeClr w14:val="tx1"/>
                  </w14:solidFill>
                </w14:textFill>
              </w:rPr>
              <w:t>A05020107</w:t>
            </w:r>
            <w:r>
              <w:rPr>
                <w:rFonts w:hint="eastAsia" w:ascii="宋体" w:hAnsi="宋体" w:cs="宋体"/>
                <w:color w:val="000000" w:themeColor="text1"/>
                <w:kern w:val="2"/>
                <w:sz w:val="21"/>
                <w:szCs w:val="21"/>
                <w:highlight w:val="none"/>
                <w14:textFill>
                  <w14:solidFill>
                    <w14:schemeClr w14:val="tx1"/>
                  </w14:solidFill>
                </w14:textFill>
              </w:rPr>
              <w:t>便器冲洗阀</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27D70EE">
            <w:pPr>
              <w:jc w:val="center"/>
              <w:rPr>
                <w:rFonts w:ascii="宋体" w:hAnsi="宋体"/>
                <w:color w:val="000000" w:themeColor="text1"/>
                <w:szCs w:val="21"/>
                <w:highlight w:val="none"/>
                <w:lang w:eastAsia="en-US"/>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BC4C90D">
            <w:pPr>
              <w:jc w:val="center"/>
              <w:rPr>
                <w:rFonts w:ascii="宋体" w:hAnsi="宋体"/>
                <w:color w:val="000000" w:themeColor="text1"/>
                <w:szCs w:val="21"/>
                <w:highlight w:val="none"/>
                <w:lang w:eastAsia="en-US"/>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227EF2DA">
            <w:pPr>
              <w:pStyle w:val="117"/>
              <w:spacing w:before="112" w:line="276" w:lineRule="auto"/>
              <w:ind w:left="7" w:right="4"/>
              <w:rPr>
                <w:rFonts w:ascii="宋体" w:hAnsi="宋体" w:cs="宋体"/>
                <w:color w:val="000000" w:themeColor="text1"/>
                <w:kern w:val="2"/>
                <w:sz w:val="21"/>
                <w:szCs w:val="21"/>
                <w:highlight w:val="none"/>
                <w:lang w:eastAsia="zh-CN"/>
                <w14:textFill>
                  <w14:solidFill>
                    <w14:schemeClr w14:val="tx1"/>
                  </w14:solidFill>
                </w14:textFill>
              </w:rPr>
            </w:pPr>
            <w:r>
              <w:rPr>
                <w:rFonts w:hint="eastAsia" w:ascii="宋体" w:hAnsi="宋体" w:cs="宋体"/>
                <w:color w:val="000000" w:themeColor="text1"/>
                <w:spacing w:val="10"/>
                <w:kern w:val="2"/>
                <w:sz w:val="21"/>
                <w:szCs w:val="21"/>
                <w:highlight w:val="none"/>
                <w:lang w:eastAsia="zh-CN"/>
                <w14:textFill>
                  <w14:solidFill>
                    <w14:schemeClr w14:val="tx1"/>
                  </w14:solidFill>
                </w14:textFill>
              </w:rPr>
              <w:t>《便器冲洗阀用水效率限定值及</w:t>
            </w:r>
            <w:r>
              <w:rPr>
                <w:rFonts w:hint="eastAsia" w:ascii="宋体" w:hAnsi="宋体" w:cs="宋体"/>
                <w:color w:val="000000" w:themeColor="text1"/>
                <w:kern w:val="2"/>
                <w:sz w:val="21"/>
                <w:szCs w:val="21"/>
                <w:highlight w:val="none"/>
                <w:lang w:eastAsia="zh-CN"/>
                <w14:textFill>
                  <w14:solidFill>
                    <w14:schemeClr w14:val="tx1"/>
                  </w14:solidFill>
                </w14:textFill>
              </w:rPr>
              <w:t>用水效率等级》（GB28379）</w:t>
            </w:r>
          </w:p>
        </w:tc>
      </w:tr>
      <w:tr w14:paraId="33024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3A6ADB98">
            <w:pPr>
              <w:pStyle w:val="11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olor w:val="000000" w:themeColor="text1"/>
                <w:kern w:val="2"/>
                <w:sz w:val="21"/>
                <w:szCs w:val="21"/>
                <w:highlight w:val="none"/>
                <w14:textFill>
                  <w14:solidFill>
                    <w14:schemeClr w14:val="tx1"/>
                  </w14:solidFill>
                </w14:textFill>
              </w:rPr>
              <w:t>18</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36F1A4F4">
            <w:pPr>
              <w:pStyle w:val="117"/>
              <w:spacing w:before="131"/>
              <w:ind w:left="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仿宋_GB2312"/>
                <w:color w:val="000000" w:themeColor="text1"/>
                <w:kern w:val="2"/>
                <w:sz w:val="21"/>
                <w:szCs w:val="21"/>
                <w:highlight w:val="none"/>
                <w14:textFill>
                  <w14:solidFill>
                    <w14:schemeClr w14:val="tx1"/>
                  </w14:solidFill>
                </w14:textFill>
              </w:rPr>
              <w:t>A05020110</w:t>
            </w:r>
            <w:r>
              <w:rPr>
                <w:rFonts w:hint="eastAsia" w:ascii="宋体" w:hAnsi="宋体" w:cs="宋体"/>
                <w:color w:val="000000" w:themeColor="text1"/>
                <w:kern w:val="2"/>
                <w:sz w:val="21"/>
                <w:szCs w:val="21"/>
                <w:highlight w:val="none"/>
                <w14:textFill>
                  <w14:solidFill>
                    <w14:schemeClr w14:val="tx1"/>
                  </w14:solidFill>
                </w14:textFill>
              </w:rPr>
              <w:t>淋浴</w:t>
            </w:r>
            <w:r>
              <w:rPr>
                <w:rFonts w:hint="eastAsia" w:ascii="宋体" w:hAnsi="宋体" w:cs="宋体"/>
                <w:color w:val="000000" w:themeColor="text1"/>
                <w:w w:val="99"/>
                <w:kern w:val="2"/>
                <w:sz w:val="21"/>
                <w:szCs w:val="21"/>
                <w:highlight w:val="none"/>
                <w14:textFill>
                  <w14:solidFill>
                    <w14:schemeClr w14:val="tx1"/>
                  </w14:solidFill>
                </w14:textFill>
              </w:rPr>
              <w:t>器</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3B0A7D69">
            <w:pPr>
              <w:jc w:val="center"/>
              <w:rPr>
                <w:rFonts w:ascii="宋体" w:hAnsi="宋体"/>
                <w:color w:val="000000" w:themeColor="text1"/>
                <w:szCs w:val="21"/>
                <w:highlight w:val="none"/>
                <w:lang w:eastAsia="en-US"/>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970EFF4">
            <w:pPr>
              <w:jc w:val="center"/>
              <w:rPr>
                <w:rFonts w:ascii="宋体" w:hAnsi="宋体"/>
                <w:color w:val="000000" w:themeColor="text1"/>
                <w:szCs w:val="21"/>
                <w:highlight w:val="none"/>
                <w:lang w:eastAsia="en-US"/>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10D73263">
            <w:pPr>
              <w:pStyle w:val="117"/>
              <w:spacing w:before="131" w:line="276" w:lineRule="auto"/>
              <w:ind w:left="7" w:right="4"/>
              <w:rPr>
                <w:rFonts w:ascii="宋体" w:hAnsi="宋体" w:cs="宋体"/>
                <w:color w:val="000000" w:themeColor="text1"/>
                <w:kern w:val="2"/>
                <w:sz w:val="21"/>
                <w:szCs w:val="21"/>
                <w:highlight w:val="none"/>
                <w:lang w:eastAsia="zh-CN"/>
                <w14:textFill>
                  <w14:solidFill>
                    <w14:schemeClr w14:val="tx1"/>
                  </w14:solidFill>
                </w14:textFill>
              </w:rPr>
            </w:pPr>
            <w:r>
              <w:rPr>
                <w:rFonts w:hint="eastAsia" w:ascii="宋体" w:hAnsi="宋体" w:cs="宋体"/>
                <w:color w:val="000000" w:themeColor="text1"/>
                <w:spacing w:val="10"/>
                <w:kern w:val="2"/>
                <w:sz w:val="21"/>
                <w:szCs w:val="21"/>
                <w:highlight w:val="none"/>
                <w:lang w:eastAsia="zh-CN"/>
                <w14:textFill>
                  <w14:solidFill>
                    <w14:schemeClr w14:val="tx1"/>
                  </w14:solidFill>
                </w14:textFill>
              </w:rPr>
              <w:t>《淋浴器用水效率限定值及用水</w:t>
            </w:r>
            <w:r>
              <w:rPr>
                <w:rFonts w:hint="eastAsia" w:ascii="宋体" w:hAnsi="宋体" w:cs="宋体"/>
                <w:color w:val="000000" w:themeColor="text1"/>
                <w:kern w:val="2"/>
                <w:sz w:val="21"/>
                <w:szCs w:val="21"/>
                <w:highlight w:val="none"/>
                <w:lang w:eastAsia="zh-CN"/>
                <w14:textFill>
                  <w14:solidFill>
                    <w14:schemeClr w14:val="tx1"/>
                  </w14:solidFill>
                </w14:textFill>
              </w:rPr>
              <w:t>效率等级》（GB28378）</w:t>
            </w:r>
          </w:p>
        </w:tc>
      </w:tr>
    </w:tbl>
    <w:p w14:paraId="17E7C717">
      <w:pPr>
        <w:pStyle w:val="21"/>
        <w:spacing w:line="360" w:lineRule="auto"/>
        <w:rPr>
          <w:rFonts w:hint="eastAsia" w:ascii="宋体" w:hAnsi="宋体"/>
          <w:color w:val="000000" w:themeColor="text1"/>
          <w:kern w:val="2"/>
          <w:sz w:val="21"/>
          <w:szCs w:val="21"/>
          <w:highlight w:val="none"/>
          <w14:textFill>
            <w14:solidFill>
              <w14:schemeClr w14:val="tx1"/>
            </w14:solidFill>
          </w14:textFill>
        </w:rPr>
      </w:pPr>
      <w:r>
        <w:rPr>
          <w:rFonts w:hint="eastAsia" w:ascii="宋体" w:hAnsi="宋体"/>
          <w:color w:val="000000" w:themeColor="text1"/>
          <w:spacing w:val="-3"/>
          <w:sz w:val="21"/>
          <w:szCs w:val="21"/>
          <w:highlight w:val="none"/>
          <w14:textFill>
            <w14:solidFill>
              <w14:schemeClr w14:val="tx1"/>
            </w14:solidFill>
          </w14:textFill>
        </w:rPr>
        <w:t>注：</w:t>
      </w:r>
      <w:r>
        <w:rPr>
          <w:rFonts w:ascii="宋体" w:hAnsi="宋体"/>
          <w:color w:val="000000" w:themeColor="text1"/>
          <w:spacing w:val="-3"/>
          <w:sz w:val="21"/>
          <w:szCs w:val="21"/>
          <w:highlight w:val="none"/>
          <w14:textFill>
            <w14:solidFill>
              <w14:schemeClr w14:val="tx1"/>
            </w14:solidFill>
          </w14:textFill>
        </w:rPr>
        <w:t>1.</w:t>
      </w:r>
      <w:r>
        <w:rPr>
          <w:rFonts w:hint="eastAsia" w:ascii="宋体" w:hAnsi="宋体"/>
          <w:color w:val="000000" w:themeColor="text1"/>
          <w:spacing w:val="-3"/>
          <w:sz w:val="21"/>
          <w:szCs w:val="21"/>
          <w:highlight w:val="none"/>
          <w14:textFill>
            <w14:solidFill>
              <w14:schemeClr w14:val="tx1"/>
            </w14:solidFill>
          </w14:textFill>
        </w:rPr>
        <w:t>节能产品认证应依据相关国家标准的最新版本，依据国家标准中二级能效（水效）</w:t>
      </w:r>
      <w:r>
        <w:rPr>
          <w:rFonts w:hint="eastAsia" w:ascii="宋体" w:hAnsi="宋体"/>
          <w:color w:val="000000" w:themeColor="text1"/>
          <w:sz w:val="21"/>
          <w:szCs w:val="21"/>
          <w:highlight w:val="none"/>
          <w14:textFill>
            <w14:solidFill>
              <w14:schemeClr w14:val="tx1"/>
            </w14:solidFill>
          </w14:textFill>
        </w:rPr>
        <w:t>指标。</w:t>
      </w:r>
    </w:p>
    <w:p w14:paraId="785AF3B6">
      <w:pPr>
        <w:pStyle w:val="21"/>
        <w:spacing w:line="360" w:lineRule="auto"/>
        <w:ind w:firstLine="465"/>
        <w:rPr>
          <w:rFonts w:hint="eastAsia"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2</w:t>
      </w:r>
      <w:r>
        <w:rPr>
          <w:rFonts w:hint="eastAsia" w:ascii="宋体" w:hAnsi="宋体"/>
          <w:color w:val="000000" w:themeColor="text1"/>
          <w:sz w:val="21"/>
          <w:szCs w:val="21"/>
          <w:highlight w:val="none"/>
          <w14:textFill>
            <w14:solidFill>
              <w14:schemeClr w14:val="tx1"/>
            </w14:solidFill>
          </w14:textFill>
        </w:rPr>
        <w:t>.以</w:t>
      </w:r>
      <w:r>
        <w:rPr>
          <w:rFonts w:ascii="宋体" w:hAnsi="宋体"/>
          <w:color w:val="000000" w:themeColor="text1"/>
          <w:sz w:val="21"/>
          <w:szCs w:val="21"/>
          <w:highlight w:val="none"/>
          <w14:textFill>
            <w14:solidFill>
              <w14:schemeClr w14:val="tx1"/>
            </w14:solidFill>
          </w14:textFill>
        </w:rPr>
        <w:t>“</w:t>
      </w:r>
      <w:r>
        <w:rPr>
          <w:rFonts w:hint="eastAsia" w:ascii="宋体" w:hAnsi="宋体"/>
          <w:color w:val="000000" w:themeColor="text1"/>
          <w:sz w:val="21"/>
          <w:szCs w:val="21"/>
          <w:highlight w:val="none"/>
          <w14:textFill>
            <w14:solidFill>
              <w14:schemeClr w14:val="tx1"/>
            </w14:solidFill>
          </w14:textFill>
        </w:rPr>
        <w:t>★</w:t>
      </w:r>
      <w:r>
        <w:rPr>
          <w:rFonts w:ascii="宋体" w:hAnsi="宋体"/>
          <w:color w:val="000000" w:themeColor="text1"/>
          <w:sz w:val="21"/>
          <w:szCs w:val="21"/>
          <w:highlight w:val="none"/>
          <w14:textFill>
            <w14:solidFill>
              <w14:schemeClr w14:val="tx1"/>
            </w14:solidFill>
          </w14:textFill>
        </w:rPr>
        <w:t>”</w:t>
      </w:r>
      <w:r>
        <w:rPr>
          <w:rFonts w:hint="eastAsia" w:ascii="宋体" w:hAnsi="宋体"/>
          <w:color w:val="000000" w:themeColor="text1"/>
          <w:sz w:val="21"/>
          <w:szCs w:val="21"/>
          <w:highlight w:val="none"/>
          <w14:textFill>
            <w14:solidFill>
              <w14:schemeClr w14:val="tx1"/>
            </w14:solidFill>
          </w14:textFill>
        </w:rPr>
        <w:t>标注的为政府强制采购产品。</w:t>
      </w:r>
    </w:p>
    <w:p w14:paraId="10D50030">
      <w:pPr>
        <w:pStyle w:val="21"/>
        <w:spacing w:line="360" w:lineRule="auto"/>
        <w:ind w:firstLine="465"/>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3.本表格原为《关于印发节能产品政府采购品目清单的通知》（财库〔2019〕19号）规定的表格附件，其中名称及编码已根据《财政部关于印发〈政府采购品目分类目录〉的通知》（财库〔2022〕31号）修改。</w:t>
      </w:r>
    </w:p>
    <w:p w14:paraId="7136A980">
      <w:pPr>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br w:type="page"/>
      </w:r>
    </w:p>
    <w:p w14:paraId="367F5731">
      <w:pPr>
        <w:pStyle w:val="41"/>
        <w:rPr>
          <w:rFonts w:hint="eastAsia"/>
          <w:color w:val="000000" w:themeColor="text1"/>
          <w:highlight w:val="none"/>
          <w14:textFill>
            <w14:solidFill>
              <w14:schemeClr w14:val="tx1"/>
            </w14:solidFill>
          </w14:textFill>
        </w:rPr>
      </w:pPr>
    </w:p>
    <w:p w14:paraId="1BE68AF2">
      <w:pPr>
        <w:widowControl/>
        <w:jc w:val="left"/>
        <w:rPr>
          <w:rFonts w:ascii="宋体" w:hAnsi="宋体" w:cs="宋体"/>
          <w:color w:val="000000" w:themeColor="text1"/>
          <w:sz w:val="20"/>
          <w:szCs w:val="20"/>
          <w:highlight w:val="none"/>
          <w14:textFill>
            <w14:solidFill>
              <w14:schemeClr w14:val="tx1"/>
            </w14:solidFill>
          </w14:textFill>
        </w:rPr>
      </w:pPr>
    </w:p>
    <w:p w14:paraId="67204958">
      <w:pPr>
        <w:widowControl/>
        <w:jc w:val="left"/>
        <w:rPr>
          <w:rFonts w:ascii="宋体" w:hAnsi="宋体" w:cs="宋体"/>
          <w:color w:val="000000" w:themeColor="text1"/>
          <w:sz w:val="20"/>
          <w:szCs w:val="20"/>
          <w:highlight w:val="none"/>
          <w14:textFill>
            <w14:solidFill>
              <w14:schemeClr w14:val="tx1"/>
            </w14:solidFill>
          </w14:textFill>
        </w:rPr>
      </w:pPr>
    </w:p>
    <w:p w14:paraId="77419A98">
      <w:pPr>
        <w:widowControl/>
        <w:jc w:val="left"/>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附件2：</w:t>
      </w:r>
    </w:p>
    <w:p w14:paraId="3D00A5A8">
      <w:pPr>
        <w:pStyle w:val="21"/>
        <w:jc w:val="center"/>
        <w:rPr>
          <w:rFonts w:hint="eastAsia"/>
          <w:b/>
          <w:color w:val="000000" w:themeColor="text1"/>
          <w:sz w:val="28"/>
          <w:szCs w:val="28"/>
          <w:highlight w:val="none"/>
          <w14:textFill>
            <w14:solidFill>
              <w14:schemeClr w14:val="tx1"/>
            </w14:solidFill>
          </w14:textFill>
        </w:rPr>
      </w:pPr>
      <w:r>
        <w:rPr>
          <w:rFonts w:hint="eastAsia"/>
          <w:b/>
          <w:color w:val="000000" w:themeColor="text1"/>
          <w:sz w:val="28"/>
          <w:szCs w:val="28"/>
          <w:highlight w:val="none"/>
          <w14:textFill>
            <w14:solidFill>
              <w14:schemeClr w14:val="tx1"/>
            </w14:solidFill>
          </w14:textFill>
        </w:rPr>
        <w:t>中小企业划型标准规定</w:t>
      </w:r>
    </w:p>
    <w:p w14:paraId="51249F70">
      <w:pPr>
        <w:pStyle w:val="21"/>
        <w:jc w:val="center"/>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工信部联企业[2011]300号</w:t>
      </w:r>
    </w:p>
    <w:p w14:paraId="573DF541">
      <w:pPr>
        <w:pStyle w:val="21"/>
        <w:rPr>
          <w:color w:val="000000" w:themeColor="text1"/>
          <w:sz w:val="21"/>
          <w:szCs w:val="21"/>
          <w:highlight w:val="none"/>
          <w14:textFill>
            <w14:solidFill>
              <w14:schemeClr w14:val="tx1"/>
            </w14:solidFill>
          </w14:textFill>
        </w:rPr>
      </w:pPr>
    </w:p>
    <w:p w14:paraId="54F6655A">
      <w:pPr>
        <w:pStyle w:val="21"/>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一、根据《中华人民共和国中小企业促进法》和《国务院关于进一步促进中小企业发展的若干意见》(国发[2009]36号)，制定本规定。</w:t>
      </w:r>
    </w:p>
    <w:p w14:paraId="123162AB">
      <w:pPr>
        <w:pStyle w:val="21"/>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二、中小企业划分为中型、小型、微型三种类型，具体标准根据企业从业人员、营业收入、资产总额等指标，结合行业特点制定。</w:t>
      </w:r>
    </w:p>
    <w:p w14:paraId="46122CA8">
      <w:pPr>
        <w:pStyle w:val="21"/>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16AAE36">
      <w:pPr>
        <w:pStyle w:val="21"/>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四、各行业划型标准为：</w:t>
      </w:r>
    </w:p>
    <w:p w14:paraId="02C19978">
      <w:pPr>
        <w:pStyle w:val="21"/>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（一）农、林、牧、渔业。营业收入20000万元以下的为中小微型企业。其中，营业收入500万元及以上的为中型企业，营业收入50万元及以上的为小型企业，营业收入50万元以下的为微型企业。</w:t>
      </w:r>
    </w:p>
    <w:p w14:paraId="57F0B72A">
      <w:pPr>
        <w:pStyle w:val="21"/>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AF69C36">
      <w:pPr>
        <w:pStyle w:val="21"/>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0DA9C2E">
      <w:pPr>
        <w:pStyle w:val="21"/>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F1E7DDC">
      <w:pPr>
        <w:pStyle w:val="21"/>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EC68E1A">
      <w:pPr>
        <w:pStyle w:val="21"/>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FBB152A">
      <w:pPr>
        <w:pStyle w:val="21"/>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32A7439">
      <w:pPr>
        <w:pStyle w:val="21"/>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B4A77DE">
      <w:pPr>
        <w:pStyle w:val="21"/>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0F3B2F2">
      <w:pPr>
        <w:pStyle w:val="21"/>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D0D52B4">
      <w:pPr>
        <w:pStyle w:val="21"/>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ACBFD99">
      <w:pPr>
        <w:pStyle w:val="21"/>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196A517">
      <w:pPr>
        <w:pStyle w:val="21"/>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4DA1BCD">
      <w:pPr>
        <w:pStyle w:val="21"/>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67B3575">
      <w:pPr>
        <w:pStyle w:val="21"/>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D947726">
      <w:pPr>
        <w:pStyle w:val="21"/>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（十六）其他未列明行业。从业人员300人以下的为中小微型企业。其中，从业人员100人及以上的为中型企业；从业人员10人及以上的为小型企业；从业人员10人以下的为微型企业。</w:t>
      </w:r>
    </w:p>
    <w:p w14:paraId="7A40C1A7">
      <w:pPr>
        <w:pStyle w:val="21"/>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五、企业类型的划分以统计部门的统计数据为依据。</w:t>
      </w:r>
    </w:p>
    <w:p w14:paraId="02D6515B">
      <w:pPr>
        <w:pStyle w:val="21"/>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六、本规定适用于在中华人民共和国境内依法设立的各类所有制和各种组织形式的企业。个体工商户和本规定以外的行业，参照本规定进行划型。</w:t>
      </w:r>
    </w:p>
    <w:p w14:paraId="176710E2">
      <w:pPr>
        <w:pStyle w:val="21"/>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七、本规定的中型企业标准上限即为大型企业标准的下限，国家统计部门据此制定大中小微型企业的统计分类。国务院有关部门据此进行相关数据分析，不得制定与本规定不一致的企业划型标准。</w:t>
      </w:r>
    </w:p>
    <w:p w14:paraId="736FC577">
      <w:pPr>
        <w:pStyle w:val="21"/>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八、本规定由工业和信息化部、国家统计局会同有关部门根据《国民经济行业分类》修订情况和企业发展变化情况适时修订。</w:t>
      </w:r>
    </w:p>
    <w:p w14:paraId="5EA1115D">
      <w:pPr>
        <w:pStyle w:val="21"/>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九、本规定由工业和信息化部、国家统计局会同有关部门负责解释。</w:t>
      </w:r>
    </w:p>
    <w:p w14:paraId="2CB6DB88">
      <w:pPr>
        <w:pStyle w:val="21"/>
        <w:ind w:firstLine="42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十、本规定自发布之日起执行，原国家经贸委、原国家计委、财政部和国家统计局2003年颁布的《中小企业标准暂行规定》同时废止。</w:t>
      </w:r>
    </w:p>
    <w:p w14:paraId="4B6D2484">
      <w:pPr>
        <w:pStyle w:val="21"/>
        <w:ind w:firstLine="420"/>
        <w:rPr>
          <w:rFonts w:hint="eastAsia"/>
          <w:color w:val="000000" w:themeColor="text1"/>
          <w:sz w:val="21"/>
          <w:szCs w:val="21"/>
          <w:highlight w:val="none"/>
          <w14:textFill>
            <w14:solidFill>
              <w14:schemeClr w14:val="tx1"/>
            </w14:solidFill>
          </w14:textFill>
        </w:rPr>
      </w:pPr>
    </w:p>
    <w:p w14:paraId="5E42A8D7">
      <w:pPr>
        <w:pStyle w:val="4"/>
        <w:spacing w:before="0" w:after="0" w:line="360" w:lineRule="auto"/>
        <w:jc w:val="center"/>
        <w:rPr>
          <w:rFonts w:hint="eastAsia"/>
          <w:color w:val="000000" w:themeColor="text1"/>
          <w:highlight w:val="none"/>
          <w14:textFill>
            <w14:solidFill>
              <w14:schemeClr w14:val="tx1"/>
            </w14:solidFill>
          </w14:textFill>
        </w:rPr>
      </w:pPr>
      <w:bookmarkStart w:id="48" w:name="_Toc74320802"/>
      <w:r>
        <w:rPr>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第三章  投标人须知</w:t>
      </w:r>
      <w:bookmarkEnd w:id="48"/>
    </w:p>
    <w:p w14:paraId="057FA24B">
      <w:pPr>
        <w:jc w:val="center"/>
        <w:rPr>
          <w:rFonts w:hint="eastAsia"/>
          <w:color w:val="000000" w:themeColor="text1"/>
          <w:sz w:val="36"/>
          <w:szCs w:val="36"/>
          <w:highlight w:val="none"/>
          <w14:textFill>
            <w14:solidFill>
              <w14:schemeClr w14:val="tx1"/>
            </w14:solidFill>
          </w14:textFill>
        </w:rPr>
      </w:pPr>
      <w:bookmarkStart w:id="49" w:name="_Toc254970667"/>
      <w:bookmarkStart w:id="50" w:name="_Toc254970526"/>
      <w:r>
        <w:rPr>
          <w:rFonts w:hint="eastAsia"/>
          <w:color w:val="000000" w:themeColor="text1"/>
          <w:sz w:val="36"/>
          <w:szCs w:val="36"/>
          <w:highlight w:val="none"/>
          <w14:textFill>
            <w14:solidFill>
              <w14:schemeClr w14:val="tx1"/>
            </w14:solidFill>
          </w14:textFill>
        </w:rPr>
        <w:t>投标人须知前附表</w:t>
      </w:r>
      <w:bookmarkEnd w:id="49"/>
      <w:bookmarkEnd w:id="50"/>
    </w:p>
    <w:tbl>
      <w:tblPr>
        <w:tblStyle w:val="48"/>
        <w:tblW w:w="960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5"/>
        <w:gridCol w:w="8711"/>
      </w:tblGrid>
      <w:tr w14:paraId="53E6C3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1DC5032A">
            <w:pPr>
              <w:snapToGrid w:val="0"/>
              <w:spacing w:line="360" w:lineRule="auto"/>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条款号</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20DD7F0B">
            <w:pPr>
              <w:snapToGrid w:val="0"/>
              <w:spacing w:line="360" w:lineRule="auto"/>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编列内容</w:t>
            </w:r>
          </w:p>
        </w:tc>
      </w:tr>
      <w:tr w14:paraId="7E23FB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6D10DCA3">
            <w:pPr>
              <w:spacing w:line="360" w:lineRule="auto"/>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6D992EDA">
            <w:pPr>
              <w:snapToGrid w:val="0"/>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投标人的资格要求详见招标公告。</w:t>
            </w:r>
          </w:p>
          <w:p w14:paraId="5D0BC949">
            <w:pPr>
              <w:snapToGrid w:val="0"/>
              <w:spacing w:line="360" w:lineRule="auto"/>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投标人出现下列情形之一的，不得参加政府采购活动：</w:t>
            </w:r>
          </w:p>
          <w:p w14:paraId="57184939">
            <w:pPr>
              <w:snapToGrid w:val="0"/>
              <w:spacing w:line="360" w:lineRule="auto"/>
              <w:jc w:val="left"/>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2.1</w:t>
            </w:r>
            <w:r>
              <w:rPr>
                <w:rFonts w:hint="eastAsia" w:ascii="宋体" w:hAnsi="宋体"/>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49BBFC8">
            <w:pPr>
              <w:snapToGrid w:val="0"/>
              <w:spacing w:line="360" w:lineRule="auto"/>
              <w:jc w:val="left"/>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2.2</w:t>
            </w:r>
            <w:r>
              <w:rPr>
                <w:rFonts w:hint="eastAsia" w:ascii="宋体" w:hAnsi="宋体"/>
                <w:color w:val="000000" w:themeColor="text1"/>
                <w:szCs w:val="21"/>
                <w:highlight w:val="none"/>
                <w14:textFill>
                  <w14:solidFill>
                    <w14:schemeClr w14:val="tx1"/>
                  </w14:solidFill>
                </w14:textFill>
              </w:rPr>
              <w:t>对在“</w:t>
            </w:r>
            <w:r>
              <w:rPr>
                <w:rFonts w:hint="eastAsia" w:ascii="宋体" w:hAnsi="宋体"/>
                <w:color w:val="000000" w:themeColor="text1"/>
                <w:szCs w:val="21"/>
                <w:highlight w:val="none"/>
                <w:lang w:eastAsia="zh-CN"/>
                <w14:textFill>
                  <w14:solidFill>
                    <w14:schemeClr w14:val="tx1"/>
                  </w14:solidFill>
                </w14:textFill>
              </w:rPr>
              <w:t>信用中国”网站（https://www.creditchina.gov.cn）</w:t>
            </w: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lang w:eastAsia="zh-CN"/>
                <w14:textFill>
                  <w14:solidFill>
                    <w14:schemeClr w14:val="tx1"/>
                  </w14:solidFill>
                </w14:textFill>
              </w:rPr>
              <w:t>中国政府采购网（https://www.ccgp.gov.cn）</w:t>
            </w:r>
            <w:r>
              <w:rPr>
                <w:rFonts w:hint="eastAsia" w:ascii="宋体" w:hAnsi="宋体"/>
                <w:color w:val="000000" w:themeColor="text1"/>
                <w:szCs w:val="21"/>
                <w:highlight w:val="none"/>
                <w14:textFill>
                  <w14:solidFill>
                    <w14:schemeClr w14:val="tx1"/>
                  </w14:solidFill>
                </w14:textFill>
              </w:rPr>
              <w:t>被列入失信被执行人、重大税收违法失信主体、政府采购严重违法失信行为记录名单及其他不符合《中华人民共和国政府采购法》第二十二条规定条件的供应商，不得参与政府采购活动。</w:t>
            </w:r>
          </w:p>
        </w:tc>
      </w:tr>
      <w:tr w14:paraId="3E77FC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081CC900">
            <w:pPr>
              <w:spacing w:line="360" w:lineRule="auto"/>
              <w:jc w:val="center"/>
              <w:rPr>
                <w:rFonts w:ascii="宋体" w:hAnsi="宋体"/>
                <w:color w:val="000000" w:themeColor="text1"/>
                <w:szCs w:val="21"/>
                <w:highlight w:val="none"/>
                <w14:textFill>
                  <w14:solidFill>
                    <w14:schemeClr w14:val="tx1"/>
                  </w14:solidFill>
                </w14:textFill>
              </w:rPr>
            </w:pPr>
            <w:bookmarkStart w:id="51" w:name="_9.2"/>
            <w:bookmarkEnd w:id="51"/>
            <w:bookmarkStart w:id="52" w:name="_5"/>
            <w:bookmarkEnd w:id="52"/>
            <w:bookmarkStart w:id="53" w:name="_8.1"/>
            <w:bookmarkEnd w:id="53"/>
            <w:r>
              <w:rPr>
                <w:rFonts w:hint="eastAsia" w:ascii="宋体" w:hAnsi="宋体"/>
                <w:color w:val="000000" w:themeColor="text1"/>
                <w:szCs w:val="21"/>
                <w:highlight w:val="none"/>
                <w14:textFill>
                  <w14:solidFill>
                    <w14:schemeClr w14:val="tx1"/>
                  </w14:solidFill>
                </w14:textFill>
              </w:rPr>
              <w:t>6.1</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7FECECD3">
            <w:pPr>
              <w:pStyle w:val="19"/>
              <w:spacing w:line="360" w:lineRule="auto"/>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本项目是否接受联合体投标：详见招标公告。</w:t>
            </w:r>
          </w:p>
        </w:tc>
      </w:tr>
      <w:tr w14:paraId="3524FC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44DD3B64">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7.2</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1B112487">
            <w:pPr>
              <w:pStyle w:val="19"/>
              <w:spacing w:line="360" w:lineRule="auto"/>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本项目不允许分包</w:t>
            </w:r>
          </w:p>
        </w:tc>
      </w:tr>
      <w:tr w14:paraId="293CDD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541F2DF4">
            <w:pPr>
              <w:spacing w:line="360" w:lineRule="auto"/>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8.1</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69347DAD">
            <w:pPr>
              <w:autoSpaceDE w:val="0"/>
              <w:autoSpaceDN w:val="0"/>
              <w:snapToGrid w:val="0"/>
              <w:spacing w:line="360" w:lineRule="auto"/>
              <w:textAlignment w:val="bottom"/>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采用综合评分法的采购项目，</w:t>
            </w:r>
            <w:r>
              <w:rPr>
                <w:rFonts w:hint="eastAsia" w:ascii="宋体" w:hAnsi="宋体"/>
                <w:color w:val="000000" w:themeColor="text1"/>
                <w:szCs w:val="21"/>
                <w:highlight w:val="none"/>
                <w14:textFill>
                  <w14:solidFill>
                    <w14:schemeClr w14:val="tx1"/>
                  </w14:solidFill>
                </w14:textFill>
              </w:rPr>
              <w:t>提供相同品牌产品（非单一产品采购项目的，指核心产品）的不同投标人评审得分相同时，按照下列方式确定一个投标人获得中标人推荐资格：</w:t>
            </w:r>
          </w:p>
          <w:p w14:paraId="04A58DD5">
            <w:pPr>
              <w:autoSpaceDE w:val="0"/>
              <w:autoSpaceDN w:val="0"/>
              <w:snapToGrid w:val="0"/>
              <w:spacing w:line="360" w:lineRule="auto"/>
              <w:textAlignment w:val="bottom"/>
              <w:rPr>
                <w:rFonts w:hint="eastAsia" w:ascii="宋体" w:hAnsi="宋体"/>
                <w:i/>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依次按投标报价低的优先、政策分得分高的优先、技术评分高的优先、商务评分高的优先、质保期长优先、交货期短优先、故障响应时间短优先的顺序推荐；</w:t>
            </w:r>
          </w:p>
          <w:p w14:paraId="7770CB5F">
            <w:pPr>
              <w:autoSpaceDE w:val="0"/>
              <w:autoSpaceDN w:val="0"/>
              <w:snapToGrid w:val="0"/>
              <w:spacing w:line="360" w:lineRule="auto"/>
              <w:textAlignment w:val="bottom"/>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□随机抽取；</w:t>
            </w:r>
          </w:p>
        </w:tc>
      </w:tr>
      <w:tr w14:paraId="6307F5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1" w:hRule="atLeast"/>
        </w:trPr>
        <w:tc>
          <w:tcPr>
            <w:tcW w:w="895" w:type="dxa"/>
            <w:vMerge w:val="restart"/>
            <w:tcBorders>
              <w:top w:val="single" w:color="auto" w:sz="4" w:space="0"/>
              <w:left w:val="single" w:color="auto" w:sz="4" w:space="0"/>
              <w:right w:val="single" w:color="auto" w:sz="4" w:space="0"/>
            </w:tcBorders>
            <w:noWrap w:val="0"/>
            <w:vAlign w:val="center"/>
          </w:tcPr>
          <w:p w14:paraId="6D824F2D">
            <w:pPr>
              <w:spacing w:line="360" w:lineRule="auto"/>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1.2</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56A8805A">
            <w:pPr>
              <w:snapToGrid w:val="0"/>
              <w:spacing w:line="360" w:lineRule="auto"/>
              <w:rPr>
                <w:rFonts w:ascii="宋体" w:hAnsi="宋体"/>
                <w:color w:val="000000" w:themeColor="text1"/>
                <w:szCs w:val="21"/>
                <w:highlight w:val="none"/>
                <w14:textFill>
                  <w14:solidFill>
                    <w14:schemeClr w14:val="tx1"/>
                  </w14:solidFill>
                </w14:textFill>
              </w:rPr>
            </w:pPr>
            <w:r>
              <w:rPr>
                <w:rFonts w:ascii="Wingdings 2" w:hAnsi="Wingdings 2"/>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不组织现场考察</w:t>
            </w:r>
          </w:p>
          <w:p w14:paraId="76C82425">
            <w:pPr>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□组织现场考察：</w:t>
            </w:r>
          </w:p>
          <w:p w14:paraId="3568A598">
            <w:pPr>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集中时间：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日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时</w:t>
            </w:r>
            <w:r>
              <w:rPr>
                <w:rFonts w:hint="eastAsia" w:ascii="宋体" w:hAnsi="宋体"/>
                <w:color w:val="000000" w:themeColor="text1"/>
                <w:szCs w:val="21"/>
                <w:highlight w:val="none"/>
                <w:u w:val="single"/>
                <w14:textFill>
                  <w14:solidFill>
                    <w14:schemeClr w14:val="tx1"/>
                  </w14:solidFill>
                </w14:textFill>
              </w:rPr>
              <w:t xml:space="preserve">  分</w:t>
            </w:r>
            <w:r>
              <w:rPr>
                <w:rFonts w:hint="eastAsia" w:ascii="宋体" w:hAnsi="宋体"/>
                <w:color w:val="000000" w:themeColor="text1"/>
                <w:szCs w:val="21"/>
                <w:highlight w:val="none"/>
                <w14:textFill>
                  <w14:solidFill>
                    <w14:schemeClr w14:val="tx1"/>
                  </w14:solidFill>
                </w14:textFill>
              </w:rPr>
              <w:t>，逾期后果自负。集中地点：</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p>
          <w:p w14:paraId="48B3AF5E">
            <w:pPr>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联系人：</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；联系电话：</w:t>
            </w:r>
            <w:r>
              <w:rPr>
                <w:rFonts w:ascii="宋体" w:hAnsi="宋体"/>
                <w:color w:val="000000" w:themeColor="text1"/>
                <w:szCs w:val="21"/>
                <w:highlight w:val="none"/>
                <w:u w:val="single"/>
                <w14:textFill>
                  <w14:solidFill>
                    <w14:schemeClr w14:val="tx1"/>
                  </w14:solidFill>
                </w14:textFill>
              </w:rPr>
              <w:t xml:space="preserve">                </w:t>
            </w:r>
          </w:p>
        </w:tc>
      </w:tr>
      <w:tr w14:paraId="29AB7E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58" w:hRule="atLeast"/>
        </w:trPr>
        <w:tc>
          <w:tcPr>
            <w:tcW w:w="895" w:type="dxa"/>
            <w:vMerge w:val="continue"/>
            <w:tcBorders>
              <w:left w:val="single" w:color="auto" w:sz="4" w:space="0"/>
              <w:bottom w:val="single" w:color="auto" w:sz="4" w:space="0"/>
              <w:right w:val="single" w:color="auto" w:sz="4" w:space="0"/>
            </w:tcBorders>
            <w:noWrap w:val="0"/>
            <w:vAlign w:val="center"/>
          </w:tcPr>
          <w:p w14:paraId="55033B65">
            <w:pPr>
              <w:spacing w:line="360" w:lineRule="auto"/>
              <w:jc w:val="center"/>
              <w:rPr>
                <w:rFonts w:hint="eastAsia" w:ascii="宋体" w:hAnsi="宋体"/>
                <w:color w:val="000000" w:themeColor="text1"/>
                <w:szCs w:val="21"/>
                <w:highlight w:val="none"/>
                <w14:textFill>
                  <w14:solidFill>
                    <w14:schemeClr w14:val="tx1"/>
                  </w14:solidFill>
                </w14:textFill>
              </w:rPr>
            </w:pPr>
          </w:p>
        </w:tc>
        <w:tc>
          <w:tcPr>
            <w:tcW w:w="8711" w:type="dxa"/>
            <w:tcBorders>
              <w:top w:val="single" w:color="auto" w:sz="4" w:space="0"/>
              <w:left w:val="single" w:color="auto" w:sz="4" w:space="0"/>
              <w:bottom w:val="single" w:color="auto" w:sz="4" w:space="0"/>
              <w:right w:val="single" w:color="auto" w:sz="4" w:space="0"/>
            </w:tcBorders>
            <w:noWrap w:val="0"/>
            <w:vAlign w:val="center"/>
          </w:tcPr>
          <w:p w14:paraId="63FA2A08">
            <w:pPr>
              <w:snapToGrid w:val="0"/>
              <w:spacing w:line="360" w:lineRule="auto"/>
              <w:rPr>
                <w:rFonts w:ascii="宋体" w:hAnsi="宋体"/>
                <w:color w:val="000000" w:themeColor="text1"/>
                <w:szCs w:val="21"/>
                <w:highlight w:val="none"/>
                <w14:textFill>
                  <w14:solidFill>
                    <w14:schemeClr w14:val="tx1"/>
                  </w14:solidFill>
                </w14:textFill>
              </w:rPr>
            </w:pPr>
            <w:r>
              <w:rPr>
                <w:rFonts w:ascii="Wingdings 2" w:hAnsi="Wingdings 2"/>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不组织召开开标前答疑会</w:t>
            </w:r>
          </w:p>
          <w:p w14:paraId="6BEFE54F">
            <w:pPr>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□组织召开开标前答疑会</w:t>
            </w:r>
          </w:p>
          <w:p w14:paraId="0647E56C">
            <w:pPr>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会议开始时间：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日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时</w:t>
            </w:r>
            <w:r>
              <w:rPr>
                <w:rFonts w:hint="eastAsia" w:ascii="宋体" w:hAnsi="宋体"/>
                <w:color w:val="000000" w:themeColor="text1"/>
                <w:szCs w:val="21"/>
                <w:highlight w:val="none"/>
                <w:u w:val="single"/>
                <w14:textFill>
                  <w14:solidFill>
                    <w14:schemeClr w14:val="tx1"/>
                  </w14:solidFill>
                </w14:textFill>
              </w:rPr>
              <w:t xml:space="preserve">  分</w:t>
            </w:r>
            <w:r>
              <w:rPr>
                <w:rFonts w:hint="eastAsia" w:ascii="宋体" w:hAnsi="宋体"/>
                <w:color w:val="000000" w:themeColor="text1"/>
                <w:szCs w:val="21"/>
                <w:highlight w:val="none"/>
                <w14:textFill>
                  <w14:solidFill>
                    <w14:schemeClr w14:val="tx1"/>
                  </w14:solidFill>
                </w14:textFill>
              </w:rPr>
              <w:t>，逾期后果自负。会议地点：</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p>
        </w:tc>
      </w:tr>
      <w:tr w14:paraId="428F3D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restart"/>
            <w:tcBorders>
              <w:top w:val="single" w:color="auto" w:sz="4" w:space="0"/>
              <w:left w:val="single" w:color="auto" w:sz="4" w:space="0"/>
              <w:right w:val="single" w:color="auto" w:sz="4" w:space="0"/>
            </w:tcBorders>
            <w:noWrap w:val="0"/>
            <w:vAlign w:val="center"/>
          </w:tcPr>
          <w:p w14:paraId="39A80901">
            <w:pPr>
              <w:spacing w:line="360" w:lineRule="auto"/>
              <w:jc w:val="center"/>
              <w:rPr>
                <w:rFonts w:hint="eastAsia" w:ascii="宋体" w:hAnsi="宋体"/>
                <w:color w:val="000000" w:themeColor="text1"/>
                <w:szCs w:val="21"/>
                <w:highlight w:val="none"/>
                <w14:textFill>
                  <w14:solidFill>
                    <w14:schemeClr w14:val="tx1"/>
                  </w14:solidFill>
                </w14:textFill>
              </w:rPr>
            </w:pPr>
            <w:bookmarkStart w:id="54" w:name="_13.1"/>
            <w:bookmarkEnd w:id="54"/>
            <w:r>
              <w:rPr>
                <w:rFonts w:hint="eastAsia" w:ascii="宋体" w:hAnsi="宋体"/>
                <w:color w:val="000000" w:themeColor="text1"/>
                <w:szCs w:val="21"/>
                <w:highlight w:val="none"/>
                <w14:textFill>
                  <w14:solidFill>
                    <w14:schemeClr w14:val="tx1"/>
                  </w14:solidFill>
                </w14:textFill>
              </w:rPr>
              <w:t>13</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00B57251">
            <w:pPr>
              <w:snapToGrid w:val="0"/>
              <w:spacing w:line="360" w:lineRule="auto"/>
              <w:jc w:val="left"/>
              <w:rPr>
                <w:rFonts w:hint="eastAsia" w:ascii="宋体" w:hAnsi="宋体" w:cs="Courier New"/>
                <w:b/>
                <w:color w:val="000000" w:themeColor="text1"/>
                <w:szCs w:val="21"/>
                <w:highlight w:val="none"/>
                <w14:textFill>
                  <w14:solidFill>
                    <w14:schemeClr w14:val="tx1"/>
                  </w14:solidFill>
                </w14:textFill>
              </w:rPr>
            </w:pPr>
            <w:r>
              <w:rPr>
                <w:rFonts w:hint="eastAsia" w:ascii="宋体" w:hAnsi="宋体" w:cs="Courier New"/>
                <w:b/>
                <w:color w:val="000000" w:themeColor="text1"/>
                <w:szCs w:val="21"/>
                <w:highlight w:val="none"/>
                <w14:textFill>
                  <w14:solidFill>
                    <w14:schemeClr w14:val="tx1"/>
                  </w14:solidFill>
                </w14:textFill>
              </w:rPr>
              <w:t>报价文件：</w:t>
            </w:r>
          </w:p>
          <w:p w14:paraId="1AB20EE5">
            <w:pPr>
              <w:tabs>
                <w:tab w:val="left" w:pos="459"/>
              </w:tabs>
              <w:snapToGrid w:val="0"/>
              <w:spacing w:line="360" w:lineRule="auto"/>
              <w:ind w:left="42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1.投标函（格式后附）；</w:t>
            </w:r>
            <w:r>
              <w:rPr>
                <w:rFonts w:hint="eastAsia" w:ascii="宋体" w:hAnsi="宋体"/>
                <w:b/>
                <w:color w:val="000000" w:themeColor="text1"/>
                <w:szCs w:val="21"/>
                <w:highlight w:val="none"/>
                <w14:textFill>
                  <w14:solidFill>
                    <w14:schemeClr w14:val="tx1"/>
                  </w14:solidFill>
                </w14:textFill>
              </w:rPr>
              <w:t>（必须提供，否则按无效投标处理）</w:t>
            </w:r>
          </w:p>
          <w:p w14:paraId="23CDBF29">
            <w:pPr>
              <w:tabs>
                <w:tab w:val="left" w:pos="459"/>
              </w:tabs>
              <w:snapToGrid w:val="0"/>
              <w:spacing w:line="360" w:lineRule="auto"/>
              <w:ind w:left="420"/>
              <w:jc w:val="left"/>
              <w:rPr>
                <w:rFonts w:ascii="宋体" w:hAnsi="宋体"/>
                <w:color w:val="000000" w:themeColor="text1"/>
                <w:szCs w:val="21"/>
                <w:highlight w:val="none"/>
                <w14:textFill>
                  <w14:solidFill>
                    <w14:schemeClr w14:val="tx1"/>
                  </w14:solidFill>
                </w14:textFill>
              </w:rPr>
            </w:pPr>
            <w:bookmarkStart w:id="55" w:name="_Hlk71299233"/>
            <w:r>
              <w:rPr>
                <w:rFonts w:hint="eastAsia" w:ascii="宋体" w:hAnsi="宋体"/>
                <w:color w:val="000000" w:themeColor="text1"/>
                <w:szCs w:val="21"/>
                <w:highlight w:val="none"/>
                <w14:textFill>
                  <w14:solidFill>
                    <w14:schemeClr w14:val="tx1"/>
                  </w14:solidFill>
                </w14:textFill>
              </w:rPr>
              <w:t>2.开标一览表</w:t>
            </w:r>
            <w:bookmarkEnd w:id="55"/>
            <w:r>
              <w:rPr>
                <w:rFonts w:hint="eastAsia" w:ascii="宋体" w:hAnsi="宋体"/>
                <w:color w:val="000000" w:themeColor="text1"/>
                <w:szCs w:val="21"/>
                <w:highlight w:val="none"/>
                <w14:textFill>
                  <w14:solidFill>
                    <w14:schemeClr w14:val="tx1"/>
                  </w14:solidFill>
                </w14:textFill>
              </w:rPr>
              <w:t>（格式后附）；投标人在开标一览表中提供医疗器械产品注册证（如有）或产品合格证名称（如有），并如实填写医疗器械产品注册证名称及编号或产品合格证名称，否则，中标后交货时及履约验收时造成的标的名称与注册证上或产品合格证的产品名称不一致的，</w:t>
            </w:r>
            <w:r>
              <w:rPr>
                <w:rFonts w:hint="eastAsia" w:ascii="宋体" w:hAnsi="宋体"/>
                <w:b/>
                <w:color w:val="000000" w:themeColor="text1"/>
                <w:szCs w:val="21"/>
                <w:highlight w:val="none"/>
                <w14:textFill>
                  <w14:solidFill>
                    <w14:schemeClr w14:val="tx1"/>
                  </w14:solidFill>
                </w14:textFill>
              </w:rPr>
              <w:t>采购人有权拒收货物及</w:t>
            </w:r>
            <w:r>
              <w:rPr>
                <w:rFonts w:hint="eastAsia" w:ascii="宋体" w:hAnsi="宋体"/>
                <w:b/>
                <w:color w:val="000000" w:themeColor="text1"/>
                <w:szCs w:val="21"/>
                <w:highlight w:val="none"/>
                <w:lang w:eastAsia="zh-CN"/>
                <w14:textFill>
                  <w14:solidFill>
                    <w14:schemeClr w14:val="tx1"/>
                  </w14:solidFill>
                </w14:textFill>
              </w:rPr>
              <w:t>按履约验收不通过处理</w:t>
            </w:r>
            <w:r>
              <w:rPr>
                <w:rFonts w:hint="eastAsia" w:ascii="宋体" w:hAnsi="宋体"/>
                <w:b/>
                <w:color w:val="000000" w:themeColor="text1"/>
                <w:szCs w:val="21"/>
                <w:highlight w:val="none"/>
                <w14:textFill>
                  <w14:solidFill>
                    <w14:schemeClr w14:val="tx1"/>
                  </w14:solidFill>
                </w14:textFill>
              </w:rPr>
              <w:t>，造成的不利后果由投标人负责，</w:t>
            </w:r>
            <w:r>
              <w:rPr>
                <w:rFonts w:hint="eastAsia" w:ascii="宋体" w:hAnsi="宋体"/>
                <w:color w:val="000000" w:themeColor="text1"/>
                <w:szCs w:val="21"/>
                <w:highlight w:val="none"/>
                <w14:textFill>
                  <w14:solidFill>
                    <w14:schemeClr w14:val="tx1"/>
                  </w14:solidFill>
                </w14:textFill>
              </w:rPr>
              <w:t>投标人</w:t>
            </w:r>
            <w:r>
              <w:rPr>
                <w:rFonts w:hint="eastAsia" w:ascii="宋体" w:hAnsi="宋体" w:cs="宋体"/>
                <w:color w:val="000000" w:themeColor="text1"/>
                <w:szCs w:val="21"/>
                <w:highlight w:val="none"/>
                <w14:textFill>
                  <w14:solidFill>
                    <w14:schemeClr w14:val="tx1"/>
                  </w14:solidFill>
                </w14:textFill>
              </w:rPr>
              <w:t>提供主要零配件及易耗品供货价格及质保期外零配件优质服务方案及优惠率报价</w:t>
            </w:r>
            <w:r>
              <w:rPr>
                <w:rFonts w:hint="eastAsia" w:ascii="宋体" w:hAnsi="宋体"/>
                <w:b/>
                <w:color w:val="000000" w:themeColor="text1"/>
                <w:szCs w:val="21"/>
                <w:highlight w:val="none"/>
                <w14:textFill>
                  <w14:solidFill>
                    <w14:schemeClr w14:val="tx1"/>
                  </w14:solidFill>
                </w14:textFill>
              </w:rPr>
              <w:t>否则按无效投标处理</w:t>
            </w:r>
            <w:r>
              <w:rPr>
                <w:rFonts w:hint="eastAsia" w:ascii="宋体" w:hAnsi="宋体"/>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必须提供，否则按无效投标处理</w:t>
            </w:r>
            <w:r>
              <w:rPr>
                <w:rFonts w:hint="eastAsia" w:ascii="宋体" w:hAnsi="宋体"/>
                <w:color w:val="000000" w:themeColor="text1"/>
                <w:szCs w:val="21"/>
                <w:highlight w:val="none"/>
                <w14:textFill>
                  <w14:solidFill>
                    <w14:schemeClr w14:val="tx1"/>
                  </w14:solidFill>
                </w14:textFill>
              </w:rPr>
              <w:t>）</w:t>
            </w:r>
          </w:p>
          <w:p w14:paraId="0ED19095">
            <w:pPr>
              <w:tabs>
                <w:tab w:val="left" w:pos="459"/>
              </w:tabs>
              <w:snapToGrid w:val="0"/>
              <w:spacing w:line="360" w:lineRule="auto"/>
              <w:ind w:left="42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bookmarkStart w:id="56" w:name="OLE_LINK6"/>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lang w:val="en-US" w:eastAsia="zh-CN"/>
                <w14:textFill>
                  <w14:solidFill>
                    <w14:schemeClr w14:val="tx1"/>
                  </w14:solidFill>
                </w14:textFill>
              </w:rPr>
              <w:t>投标人</w:t>
            </w:r>
            <w:r>
              <w:rPr>
                <w:rFonts w:ascii="宋体" w:hAnsi="宋体"/>
                <w:color w:val="000000" w:themeColor="text1"/>
                <w:szCs w:val="21"/>
                <w:highlight w:val="none"/>
                <w14:textFill>
                  <w14:solidFill>
                    <w14:schemeClr w14:val="tx1"/>
                  </w14:solidFill>
                </w14:textFill>
              </w:rPr>
              <w:t>享受</w:t>
            </w:r>
            <w:r>
              <w:rPr>
                <w:rFonts w:hint="eastAsia" w:ascii="宋体" w:hAnsi="宋体"/>
                <w:color w:val="000000" w:themeColor="text1"/>
                <w:szCs w:val="21"/>
                <w:highlight w:val="none"/>
                <w14:textFill>
                  <w14:solidFill>
                    <w14:schemeClr w14:val="tx1"/>
                  </w14:solidFill>
                </w14:textFill>
              </w:rPr>
              <w:t>中小企业</w:t>
            </w:r>
            <w:bookmarkStart w:id="57" w:name="OLE_LINK5"/>
            <w:bookmarkStart w:id="58" w:name="OLE_LINK4"/>
            <w:r>
              <w:rPr>
                <w:rFonts w:hint="eastAsia" w:ascii="宋体" w:hAnsi="宋体"/>
                <w:color w:val="000000" w:themeColor="text1"/>
                <w:szCs w:val="21"/>
                <w:highlight w:val="none"/>
                <w14:textFill>
                  <w14:solidFill>
                    <w14:schemeClr w14:val="tx1"/>
                  </w14:solidFill>
                </w14:textFill>
              </w:rPr>
              <w:t>扶持政策</w:t>
            </w:r>
            <w:bookmarkEnd w:id="57"/>
            <w:bookmarkEnd w:id="58"/>
            <w:r>
              <w:rPr>
                <w:rFonts w:hint="eastAsia" w:ascii="宋体" w:hAnsi="宋体"/>
                <w:color w:val="000000" w:themeColor="text1"/>
                <w:szCs w:val="21"/>
                <w:highlight w:val="none"/>
                <w14:textFill>
                  <w14:solidFill>
                    <w14:schemeClr w14:val="tx1"/>
                  </w14:solidFill>
                </w14:textFill>
              </w:rPr>
              <w:t>的材料（</w:t>
            </w:r>
            <w:r>
              <w:rPr>
                <w:rFonts w:hint="eastAsia" w:ascii="宋体" w:hAnsi="宋体"/>
                <w:color w:val="000000" w:themeColor="text1"/>
                <w:szCs w:val="21"/>
                <w:highlight w:val="none"/>
                <w:lang w:val="en-US" w:eastAsia="zh-CN"/>
                <w14:textFill>
                  <w14:solidFill>
                    <w14:schemeClr w14:val="tx1"/>
                  </w14:solidFill>
                </w14:textFill>
              </w:rPr>
              <w:t>投标人</w:t>
            </w:r>
            <w:r>
              <w:rPr>
                <w:rFonts w:hint="eastAsia" w:ascii="宋体" w:hAnsi="宋体"/>
                <w:color w:val="000000" w:themeColor="text1"/>
                <w:szCs w:val="21"/>
                <w:highlight w:val="none"/>
                <w14:textFill>
                  <w14:solidFill>
                    <w14:schemeClr w14:val="tx1"/>
                  </w14:solidFill>
                </w14:textFill>
              </w:rPr>
              <w:t>根据自身响应情况，提供以下</w:t>
            </w:r>
            <w:r>
              <w:rPr>
                <w:rFonts w:ascii="宋体" w:hAnsi="宋体"/>
                <w:color w:val="000000" w:themeColor="text1"/>
                <w:szCs w:val="21"/>
                <w:highlight w:val="none"/>
                <w14:textFill>
                  <w14:solidFill>
                    <w14:schemeClr w14:val="tx1"/>
                  </w14:solidFill>
                </w14:textFill>
              </w:rPr>
              <w:t>任意一项材料以证明自身可享受中小企业</w:t>
            </w:r>
            <w:r>
              <w:rPr>
                <w:rFonts w:hint="eastAsia" w:ascii="宋体" w:hAnsi="宋体"/>
                <w:color w:val="000000" w:themeColor="text1"/>
                <w:szCs w:val="21"/>
                <w:highlight w:val="none"/>
                <w14:textFill>
                  <w14:solidFill>
                    <w14:schemeClr w14:val="tx1"/>
                  </w14:solidFill>
                </w14:textFill>
              </w:rPr>
              <w:t>扶持政策）：</w:t>
            </w:r>
          </w:p>
          <w:p w14:paraId="52C8CEDB">
            <w:pPr>
              <w:tabs>
                <w:tab w:val="left" w:pos="459"/>
              </w:tabs>
              <w:snapToGrid w:val="0"/>
              <w:spacing w:line="360" w:lineRule="auto"/>
              <w:ind w:left="42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《中小企业声明函》（格式后附）；</w:t>
            </w:r>
          </w:p>
          <w:p w14:paraId="0C849ABD">
            <w:pPr>
              <w:tabs>
                <w:tab w:val="left" w:pos="459"/>
              </w:tabs>
              <w:snapToGrid w:val="0"/>
              <w:spacing w:line="360" w:lineRule="auto"/>
              <w:ind w:left="42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（2）《残疾人福利性单位声明函》（格式后附）</w:t>
            </w:r>
          </w:p>
          <w:p w14:paraId="7B4CC528">
            <w:pPr>
              <w:tabs>
                <w:tab w:val="left" w:pos="459"/>
              </w:tabs>
              <w:snapToGrid w:val="0"/>
              <w:spacing w:line="360" w:lineRule="auto"/>
              <w:ind w:left="42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3</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省级以上监狱管理局、戒毒管理局</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含新疆生产建设兵团</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 xml:space="preserve">出具的属于监狱企业的证明文件； </w:t>
            </w:r>
          </w:p>
          <w:bookmarkEnd w:id="56"/>
          <w:p w14:paraId="1DCB41F3">
            <w:pPr>
              <w:tabs>
                <w:tab w:val="left" w:pos="459"/>
              </w:tabs>
              <w:snapToGrid w:val="0"/>
              <w:spacing w:line="360" w:lineRule="auto"/>
              <w:ind w:left="420"/>
              <w:jc w:val="left"/>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 xml:space="preserve"> 《关于符合本国产品标准的声明函》或者财政部会同有关部门规定的有关证明文件；（</w:t>
            </w:r>
            <w:r>
              <w:rPr>
                <w:rFonts w:hint="eastAsia" w:ascii="宋体" w:hAnsi="宋体"/>
                <w:color w:val="000000" w:themeColor="text1"/>
                <w:szCs w:val="21"/>
                <w:highlight w:val="none"/>
                <w:lang w:val="en-US" w:eastAsia="zh-CN"/>
                <w14:textFill>
                  <w14:solidFill>
                    <w14:schemeClr w14:val="tx1"/>
                  </w14:solidFill>
                </w14:textFill>
              </w:rPr>
              <w:t>投标人</w:t>
            </w:r>
            <w:r>
              <w:rPr>
                <w:rFonts w:hint="eastAsia" w:ascii="宋体" w:hAnsi="宋体"/>
                <w:color w:val="000000" w:themeColor="text1"/>
                <w:szCs w:val="21"/>
                <w:highlight w:val="none"/>
                <w14:textFill>
                  <w14:solidFill>
                    <w14:schemeClr w14:val="tx1"/>
                  </w14:solidFill>
                </w14:textFill>
              </w:rPr>
              <w:t>根据自身响应情况出具）</w:t>
            </w:r>
          </w:p>
          <w:p w14:paraId="011C73E3">
            <w:pPr>
              <w:tabs>
                <w:tab w:val="left" w:pos="459"/>
              </w:tabs>
              <w:snapToGrid w:val="0"/>
              <w:spacing w:line="360" w:lineRule="auto"/>
              <w:ind w:left="420"/>
              <w:jc w:val="left"/>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投标人针对报价需要说明的其他文件和说明（格式自拟）。</w:t>
            </w:r>
          </w:p>
          <w:p w14:paraId="57D7F56D">
            <w:pPr>
              <w:snapToGrid w:val="0"/>
              <w:spacing w:line="360" w:lineRule="auto"/>
              <w:ind w:firstLine="422" w:firstLineChars="200"/>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注：</w:t>
            </w:r>
            <w:r>
              <w:rPr>
                <w:rFonts w:hint="eastAsia" w:ascii="宋体" w:hAnsi="宋体"/>
                <w:b/>
                <w:bCs/>
                <w:color w:val="000000" w:themeColor="text1"/>
                <w:szCs w:val="21"/>
                <w:highlight w:val="none"/>
                <w14:textFill>
                  <w14:solidFill>
                    <w14:schemeClr w14:val="tx1"/>
                  </w14:solidFill>
                </w14:textFill>
              </w:rPr>
              <w:t>以上标明“必须提供”的材料，格式</w:t>
            </w:r>
            <w:r>
              <w:rPr>
                <w:rFonts w:hint="eastAsia" w:ascii="宋体" w:hAnsi="宋体" w:cs="宋体"/>
                <w:b/>
                <w:color w:val="000000" w:themeColor="text1"/>
                <w:szCs w:val="21"/>
                <w:highlight w:val="none"/>
                <w14:textFill>
                  <w14:solidFill>
                    <w14:schemeClr w14:val="tx1"/>
                  </w14:solidFill>
                </w14:textFill>
              </w:rPr>
              <w:t>中有要求法定代表人或者委托代理人签字的，必须按要求签字并加盖投标人电子签章</w:t>
            </w:r>
            <w:r>
              <w:rPr>
                <w:rFonts w:hint="eastAsia" w:ascii="宋体" w:hAnsi="宋体"/>
                <w:b/>
                <w:bCs/>
                <w:color w:val="000000" w:themeColor="text1"/>
                <w:szCs w:val="21"/>
                <w:highlight w:val="none"/>
                <w14:textFill>
                  <w14:solidFill>
                    <w14:schemeClr w14:val="tx1"/>
                  </w14:solidFill>
                </w14:textFill>
              </w:rPr>
              <w:t>，否则按无效投标</w:t>
            </w:r>
            <w:r>
              <w:rPr>
                <w:rFonts w:hint="eastAsia" w:ascii="宋体" w:hAnsi="宋体" w:cs="Courier New"/>
                <w:b/>
                <w:color w:val="000000" w:themeColor="text1"/>
                <w:szCs w:val="21"/>
                <w:highlight w:val="none"/>
                <w14:textFill>
                  <w14:solidFill>
                    <w14:schemeClr w14:val="tx1"/>
                  </w14:solidFill>
                </w14:textFill>
              </w:rPr>
              <w:t>处理。</w:t>
            </w:r>
          </w:p>
        </w:tc>
      </w:tr>
      <w:tr w14:paraId="06B9B8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left w:val="single" w:color="auto" w:sz="4" w:space="0"/>
              <w:right w:val="single" w:color="auto" w:sz="4" w:space="0"/>
            </w:tcBorders>
            <w:noWrap w:val="0"/>
            <w:vAlign w:val="center"/>
          </w:tcPr>
          <w:p w14:paraId="17DD7EBB">
            <w:pPr>
              <w:spacing w:line="360" w:lineRule="auto"/>
              <w:rPr>
                <w:rFonts w:hint="eastAsia" w:ascii="宋体" w:hAnsi="宋体"/>
                <w:color w:val="000000" w:themeColor="text1"/>
                <w:szCs w:val="21"/>
                <w:highlight w:val="none"/>
                <w14:textFill>
                  <w14:solidFill>
                    <w14:schemeClr w14:val="tx1"/>
                  </w14:solidFill>
                </w14:textFill>
              </w:rPr>
            </w:pPr>
            <w:bookmarkStart w:id="59" w:name="_13.2"/>
            <w:bookmarkEnd w:id="59"/>
          </w:p>
        </w:tc>
        <w:tc>
          <w:tcPr>
            <w:tcW w:w="8711" w:type="dxa"/>
            <w:tcBorders>
              <w:top w:val="single" w:color="auto" w:sz="4" w:space="0"/>
              <w:left w:val="single" w:color="auto" w:sz="4" w:space="0"/>
              <w:bottom w:val="single" w:color="auto" w:sz="4" w:space="0"/>
              <w:right w:val="single" w:color="auto" w:sz="4" w:space="0"/>
            </w:tcBorders>
            <w:noWrap w:val="0"/>
            <w:vAlign w:val="center"/>
          </w:tcPr>
          <w:p w14:paraId="2F264217">
            <w:pPr>
              <w:snapToGrid w:val="0"/>
              <w:spacing w:line="360" w:lineRule="auto"/>
              <w:jc w:val="left"/>
              <w:rPr>
                <w:rFonts w:hint="eastAsia" w:ascii="宋体" w:hAnsi="宋体" w:cs="Courier New"/>
                <w:b/>
                <w:color w:val="000000" w:themeColor="text1"/>
                <w:szCs w:val="21"/>
                <w:highlight w:val="none"/>
                <w14:textFill>
                  <w14:solidFill>
                    <w14:schemeClr w14:val="tx1"/>
                  </w14:solidFill>
                </w14:textFill>
              </w:rPr>
            </w:pPr>
            <w:r>
              <w:rPr>
                <w:rFonts w:hint="eastAsia" w:ascii="宋体" w:hAnsi="宋体" w:cs="Courier New"/>
                <w:b/>
                <w:color w:val="000000" w:themeColor="text1"/>
                <w:szCs w:val="21"/>
                <w:highlight w:val="none"/>
                <w14:textFill>
                  <w14:solidFill>
                    <w14:schemeClr w14:val="tx1"/>
                  </w14:solidFill>
                </w14:textFill>
              </w:rPr>
              <w:t>资格证明文件</w:t>
            </w:r>
          </w:p>
          <w:p w14:paraId="2218480C">
            <w:pPr>
              <w:snapToGrid w:val="0"/>
              <w:spacing w:line="360" w:lineRule="auto"/>
              <w:ind w:firstLine="420" w:firstLineChars="200"/>
              <w:jc w:val="left"/>
              <w:rPr>
                <w:rFonts w:ascii="宋体" w:hAnsi="宋体" w:cs="Courier New"/>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1.投标人为法人或者其他组织的，提供营业执照等证明文件</w:t>
            </w:r>
            <w:r>
              <w:rPr>
                <w:rFonts w:hint="eastAsia" w:ascii="宋体" w:hAnsi="宋体" w:cs="宋体"/>
                <w:color w:val="000000" w:themeColor="text1"/>
                <w:szCs w:val="21"/>
                <w:highlight w:val="none"/>
                <w14:textFill>
                  <w14:solidFill>
                    <w14:schemeClr w14:val="tx1"/>
                  </w14:solidFill>
                </w14:textFill>
              </w:rPr>
              <w:t>（如营业执照或者事业单位法人证书或者</w:t>
            </w:r>
            <w:r>
              <w:rPr>
                <w:rStyle w:val="109"/>
                <w:color w:val="000000" w:themeColor="text1"/>
                <w:sz w:val="21"/>
                <w:szCs w:val="21"/>
                <w:highlight w:val="none"/>
                <w14:textFill>
                  <w14:solidFill>
                    <w14:schemeClr w14:val="tx1"/>
                  </w14:solidFill>
                </w14:textFill>
              </w:rPr>
              <w:t>执业许可证</w:t>
            </w:r>
            <w:r>
              <w:rPr>
                <w:rFonts w:hint="eastAsia" w:ascii="宋体" w:hAnsi="宋体" w:cs="宋体"/>
                <w:color w:val="000000" w:themeColor="text1"/>
                <w:szCs w:val="21"/>
                <w:highlight w:val="none"/>
                <w14:textFill>
                  <w14:solidFill>
                    <w14:schemeClr w14:val="tx1"/>
                  </w14:solidFill>
                </w14:textFill>
              </w:rPr>
              <w:t>或者登记证书等）</w:t>
            </w:r>
            <w:r>
              <w:rPr>
                <w:rFonts w:hint="eastAsia" w:ascii="宋体" w:hAnsi="宋体"/>
                <w:color w:val="000000" w:themeColor="text1"/>
                <w:szCs w:val="21"/>
                <w:highlight w:val="none"/>
                <w14:textFill>
                  <w14:solidFill>
                    <w14:schemeClr w14:val="tx1"/>
                  </w14:solidFill>
                </w14:textFill>
              </w:rPr>
              <w:t>，投标人为自然人的，提供身份证</w:t>
            </w:r>
            <w:r>
              <w:rPr>
                <w:rFonts w:hint="eastAsia" w:ascii="宋体" w:hAnsi="宋体" w:cs="宋体"/>
                <w:color w:val="000000" w:themeColor="text1"/>
                <w:szCs w:val="21"/>
                <w:highlight w:val="none"/>
                <w14:textFill>
                  <w14:solidFill>
                    <w14:schemeClr w14:val="tx1"/>
                  </w14:solidFill>
                </w14:textFill>
              </w:rPr>
              <w:t>复印件</w:t>
            </w:r>
            <w:r>
              <w:rPr>
                <w:rFonts w:hint="eastAsia" w:ascii="宋体" w:hAnsi="宋体"/>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必须提供，否则按无效投标处理</w:t>
            </w:r>
            <w:r>
              <w:rPr>
                <w:rFonts w:hint="eastAsia" w:ascii="宋体" w:hAnsi="宋体"/>
                <w:color w:val="000000" w:themeColor="text1"/>
                <w:szCs w:val="21"/>
                <w:highlight w:val="none"/>
                <w14:textFill>
                  <w14:solidFill>
                    <w14:schemeClr w14:val="tx1"/>
                  </w14:solidFill>
                </w14:textFill>
              </w:rPr>
              <w:t>）</w:t>
            </w:r>
          </w:p>
          <w:p w14:paraId="0126CEED">
            <w:pPr>
              <w:snapToGrid w:val="0"/>
              <w:spacing w:line="360" w:lineRule="auto"/>
              <w:ind w:firstLine="420" w:firstLineChars="200"/>
              <w:jc w:val="left"/>
              <w:rPr>
                <w:rFonts w:hint="eastAsia" w:ascii="宋体" w:hAnsi="宋体" w:cs="Courier New"/>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2.投标人依法缴纳税收的相关材料（</w:t>
            </w:r>
            <w:r>
              <w:rPr>
                <w:rFonts w:hint="eastAsia" w:ascii="宋体" w:hAnsi="宋体" w:cs="宋体"/>
                <w:color w:val="000000" w:themeColor="text1"/>
                <w:szCs w:val="21"/>
                <w:highlight w:val="none"/>
                <w:u w:val="single"/>
                <w14:textFill>
                  <w14:solidFill>
                    <w14:schemeClr w14:val="tx1"/>
                  </w14:solidFill>
                </w14:textFill>
              </w:rPr>
              <w:t xml:space="preserve"> 202</w:t>
            </w:r>
            <w:r>
              <w:rPr>
                <w:rFonts w:hint="eastAsia" w:ascii="宋体" w:hAnsi="宋体" w:cs="宋体"/>
                <w:color w:val="000000" w:themeColor="text1"/>
                <w:szCs w:val="21"/>
                <w:highlight w:val="none"/>
                <w:u w:val="singl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月至</w:t>
            </w:r>
            <w:r>
              <w:rPr>
                <w:rFonts w:hint="eastAsia" w:ascii="宋体" w:hAnsi="宋体" w:cs="宋体"/>
                <w:color w:val="000000" w:themeColor="text1"/>
                <w:szCs w:val="21"/>
                <w:highlight w:val="none"/>
                <w:u w:val="single"/>
                <w14:textFill>
                  <w14:solidFill>
                    <w14:schemeClr w14:val="tx1"/>
                  </w14:solidFill>
                </w14:textFill>
              </w:rPr>
              <w:t xml:space="preserve"> 202</w:t>
            </w:r>
            <w:r>
              <w:rPr>
                <w:rFonts w:hint="eastAsia" w:ascii="宋体" w:hAnsi="宋体" w:cs="宋体"/>
                <w:color w:val="000000" w:themeColor="text1"/>
                <w:szCs w:val="21"/>
                <w:highlight w:val="none"/>
                <w:u w:val="singl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月内</w:t>
            </w:r>
            <w:r>
              <w:rPr>
                <w:rFonts w:hint="eastAsia"/>
                <w:color w:val="000000" w:themeColor="text1"/>
                <w:highlight w:val="none"/>
                <w:lang w:eastAsia="zh-CN"/>
                <w14:textFill>
                  <w14:solidFill>
                    <w14:schemeClr w14:val="tx1"/>
                  </w14:solidFill>
                </w14:textFill>
              </w:rPr>
              <w:t>任意</w:t>
            </w:r>
            <w:r>
              <w:rPr>
                <w:rFonts w:hint="eastAsia" w:ascii="宋体" w:hAnsi="宋体" w:cs="宋体"/>
                <w:color w:val="000000" w:themeColor="text1"/>
                <w:szCs w:val="21"/>
                <w:highlight w:val="none"/>
                <w14:textFill>
                  <w14:solidFill>
                    <w14:schemeClr w14:val="tx1"/>
                  </w14:solidFill>
                </w14:textFill>
              </w:rPr>
              <w:t>连续</w:t>
            </w:r>
            <w:r>
              <w:rPr>
                <w:rFonts w:hint="eastAsia" w:ascii="宋体" w:hAnsi="宋体" w:cs="宋体"/>
                <w:color w:val="000000" w:themeColor="text1"/>
                <w:szCs w:val="21"/>
                <w:highlight w:val="none"/>
                <w:u w:val="single"/>
                <w14:textFill>
                  <w14:solidFill>
                    <w14:schemeClr w14:val="tx1"/>
                  </w14:solidFill>
                </w14:textFill>
              </w:rPr>
              <w:t xml:space="preserve"> 3 </w:t>
            </w:r>
            <w:r>
              <w:rPr>
                <w:rFonts w:hint="eastAsia" w:ascii="宋体" w:hAnsi="宋体" w:cs="宋体"/>
                <w:color w:val="000000" w:themeColor="text1"/>
                <w:szCs w:val="21"/>
                <w:highlight w:val="none"/>
                <w14:textFill>
                  <w14:solidFill>
                    <w14:schemeClr w14:val="tx1"/>
                  </w14:solidFill>
                </w14:textFill>
              </w:rPr>
              <w:t>个月的依法缴纳税收的</w:t>
            </w:r>
            <w:r>
              <w:rPr>
                <w:rFonts w:hint="eastAsia"/>
                <w:color w:val="000000" w:themeColor="text1"/>
                <w:highlight w:val="none"/>
                <w14:textFill>
                  <w14:solidFill>
                    <w14:schemeClr w14:val="tx1"/>
                  </w14:solidFill>
                </w14:textFill>
              </w:rPr>
              <w:t>证明材料</w:t>
            </w:r>
            <w:r>
              <w:rPr>
                <w:rFonts w:hint="eastAsia" w:ascii="宋体" w:hAnsi="宋体" w:cs="宋体"/>
                <w:color w:val="000000" w:themeColor="text1"/>
                <w:szCs w:val="21"/>
                <w:highlight w:val="none"/>
                <w14:textFill>
                  <w14:solidFill>
                    <w14:schemeClr w14:val="tx1"/>
                  </w14:solidFill>
                </w14:textFill>
              </w:rPr>
              <w:t>复印件；</w:t>
            </w:r>
            <w:r>
              <w:rPr>
                <w:rFonts w:hint="eastAsia" w:ascii="宋体" w:hAnsi="宋体"/>
                <w:color w:val="000000" w:themeColor="text1"/>
                <w:szCs w:val="21"/>
                <w:highlight w:val="none"/>
                <w14:textFill>
                  <w14:solidFill>
                    <w14:schemeClr w14:val="tx1"/>
                  </w14:solidFill>
                </w14:textFill>
              </w:rPr>
              <w:t>依法免税的供应商，</w:t>
            </w:r>
            <w:r>
              <w:rPr>
                <w:rFonts w:hint="eastAsia"/>
                <w:color w:val="000000" w:themeColor="text1"/>
                <w:highlight w:val="none"/>
                <w14:textFill>
                  <w14:solidFill>
                    <w14:schemeClr w14:val="tx1"/>
                  </w14:solidFill>
                </w14:textFill>
              </w:rPr>
              <w:t>必须提供符合免税条件的证明材料</w:t>
            </w:r>
            <w:r>
              <w:rPr>
                <w:rFonts w:hint="eastAsia" w:ascii="宋体" w:hAnsi="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从</w:t>
            </w:r>
            <w:r>
              <w:rPr>
                <w:rFonts w:hint="eastAsia"/>
                <w:color w:val="000000" w:themeColor="text1"/>
                <w:szCs w:val="21"/>
                <w:highlight w:val="none"/>
                <w14:textFill>
                  <w14:solidFill>
                    <w14:schemeClr w14:val="tx1"/>
                  </w14:solidFill>
                </w14:textFill>
              </w:rPr>
              <w:t>成立之日</w:t>
            </w:r>
            <w:r>
              <w:rPr>
                <w:rFonts w:hint="eastAsia" w:ascii="宋体" w:hAnsi="宋体" w:cs="宋体"/>
                <w:color w:val="000000" w:themeColor="text1"/>
                <w:szCs w:val="21"/>
                <w:highlight w:val="none"/>
                <w14:textFill>
                  <w14:solidFill>
                    <w14:schemeClr w14:val="tx1"/>
                  </w14:solidFill>
                </w14:textFill>
              </w:rPr>
              <w:t>起到投标文件提交截止时间止不足要求月数的，只需提供从</w:t>
            </w:r>
            <w:r>
              <w:rPr>
                <w:rFonts w:hint="eastAsia"/>
                <w:color w:val="000000" w:themeColor="text1"/>
                <w:szCs w:val="21"/>
                <w:highlight w:val="none"/>
                <w14:textFill>
                  <w14:solidFill>
                    <w14:schemeClr w14:val="tx1"/>
                  </w14:solidFill>
                </w14:textFill>
              </w:rPr>
              <w:t>成立之日起</w:t>
            </w:r>
            <w:r>
              <w:rPr>
                <w:rFonts w:hint="eastAsia" w:ascii="宋体" w:hAnsi="宋体" w:cs="宋体"/>
                <w:color w:val="000000" w:themeColor="text1"/>
                <w:szCs w:val="21"/>
                <w:highlight w:val="none"/>
                <w14:textFill>
                  <w14:solidFill>
                    <w14:schemeClr w14:val="tx1"/>
                  </w14:solidFill>
                </w14:textFill>
              </w:rPr>
              <w:t>的依法缴纳税收</w:t>
            </w:r>
            <w:r>
              <w:rPr>
                <w:rFonts w:hint="eastAsia" w:ascii="宋体" w:hAnsi="宋体"/>
                <w:color w:val="000000" w:themeColor="text1"/>
                <w:szCs w:val="21"/>
                <w:highlight w:val="none"/>
                <w14:textFill>
                  <w14:solidFill>
                    <w14:schemeClr w14:val="tx1"/>
                  </w14:solidFill>
                </w14:textFill>
              </w:rPr>
              <w:t>相应证明文件</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必须提供，否则按无效投标处理</w:t>
            </w:r>
            <w:r>
              <w:rPr>
                <w:rFonts w:hint="eastAsia" w:ascii="宋体" w:hAnsi="宋体"/>
                <w:color w:val="000000" w:themeColor="text1"/>
                <w:szCs w:val="21"/>
                <w:highlight w:val="none"/>
                <w14:textFill>
                  <w14:solidFill>
                    <w14:schemeClr w14:val="tx1"/>
                  </w14:solidFill>
                </w14:textFill>
              </w:rPr>
              <w:t>）</w:t>
            </w:r>
          </w:p>
          <w:p w14:paraId="23E849B4">
            <w:pPr>
              <w:snapToGrid w:val="0"/>
              <w:spacing w:line="360" w:lineRule="auto"/>
              <w:ind w:firstLine="420" w:firstLineChars="200"/>
              <w:jc w:val="left"/>
              <w:rPr>
                <w:rFonts w:hint="eastAsia" w:ascii="宋体" w:hAnsi="宋体" w:cs="Courier New"/>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3.投标人依法缴纳社会保障资金的相关材料[</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025年</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月至 202</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月内</w:t>
            </w:r>
            <w:r>
              <w:rPr>
                <w:rFonts w:hint="eastAsia" w:ascii="宋体" w:hAnsi="宋体" w:cs="宋体"/>
                <w:color w:val="000000" w:themeColor="text1"/>
                <w:szCs w:val="21"/>
                <w:highlight w:val="none"/>
                <w:lang w:eastAsia="zh-CN"/>
                <w14:textFill>
                  <w14:solidFill>
                    <w14:schemeClr w14:val="tx1"/>
                  </w14:solidFill>
                </w14:textFill>
              </w:rPr>
              <w:t>任意</w:t>
            </w:r>
            <w:r>
              <w:rPr>
                <w:rFonts w:hint="eastAsia" w:ascii="宋体" w:hAnsi="宋体" w:cs="宋体"/>
                <w:color w:val="000000" w:themeColor="text1"/>
                <w:szCs w:val="21"/>
                <w:highlight w:val="none"/>
                <w14:textFill>
                  <w14:solidFill>
                    <w14:schemeClr w14:val="tx1"/>
                  </w14:solidFill>
                </w14:textFill>
              </w:rPr>
              <w:t>连续</w:t>
            </w:r>
            <w:r>
              <w:rPr>
                <w:rFonts w:hint="eastAsia" w:ascii="宋体" w:hAnsi="宋体" w:cs="宋体"/>
                <w:color w:val="000000" w:themeColor="text1"/>
                <w:szCs w:val="21"/>
                <w:highlight w:val="none"/>
                <w:u w:val="single"/>
                <w14:textFill>
                  <w14:solidFill>
                    <w14:schemeClr w14:val="tx1"/>
                  </w14:solidFill>
                </w14:textFill>
              </w:rPr>
              <w:t xml:space="preserve"> 3  </w:t>
            </w:r>
            <w:r>
              <w:rPr>
                <w:rFonts w:hint="eastAsia" w:ascii="宋体" w:hAnsi="宋体" w:cs="宋体"/>
                <w:color w:val="000000" w:themeColor="text1"/>
                <w:szCs w:val="21"/>
                <w:highlight w:val="none"/>
                <w14:textFill>
                  <w14:solidFill>
                    <w14:schemeClr w14:val="tx1"/>
                  </w14:solidFill>
                </w14:textFill>
              </w:rPr>
              <w:t>个月的依法缴纳社会保障资金的缴费</w:t>
            </w:r>
            <w:r>
              <w:rPr>
                <w:rFonts w:hint="eastAsia"/>
                <w:color w:val="000000" w:themeColor="text1"/>
                <w:highlight w:val="none"/>
                <w14:textFill>
                  <w14:solidFill>
                    <w14:schemeClr w14:val="tx1"/>
                  </w14:solidFill>
                </w14:textFill>
              </w:rPr>
              <w:t>证明材料</w:t>
            </w:r>
            <w:r>
              <w:rPr>
                <w:rFonts w:hint="eastAsia" w:ascii="宋体" w:hAnsi="宋体" w:cs="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如：</w:t>
            </w:r>
            <w:r>
              <w:rPr>
                <w:rFonts w:hint="eastAsia" w:ascii="宋体" w:hAnsi="宋体" w:cs="宋体"/>
                <w:color w:val="000000" w:themeColor="text1"/>
                <w:szCs w:val="21"/>
                <w:highlight w:val="none"/>
                <w14:textFill>
                  <w14:solidFill>
                    <w14:schemeClr w14:val="tx1"/>
                  </w14:solidFill>
                </w14:textFill>
              </w:rPr>
              <w:t>专用收据、社会保险缴纳清单或者社保部门的证明）复印件；</w:t>
            </w:r>
            <w:r>
              <w:rPr>
                <w:rFonts w:hint="eastAsia" w:ascii="宋体" w:hAnsi="宋体"/>
                <w:color w:val="000000" w:themeColor="text1"/>
                <w:szCs w:val="21"/>
                <w:highlight w:val="none"/>
                <w14:textFill>
                  <w14:solidFill>
                    <w14:schemeClr w14:val="tx1"/>
                  </w14:solidFill>
                </w14:textFill>
              </w:rPr>
              <w:t>依法不需要缴纳社会保障资金的供应商，必须提供相应文件证明不需要缴纳社会保障资金。</w:t>
            </w:r>
            <w:r>
              <w:rPr>
                <w:rFonts w:hint="eastAsia" w:ascii="宋体" w:hAnsi="宋体" w:cs="宋体"/>
                <w:color w:val="000000" w:themeColor="text1"/>
                <w:szCs w:val="21"/>
                <w:highlight w:val="none"/>
                <w14:textFill>
                  <w14:solidFill>
                    <w14:schemeClr w14:val="tx1"/>
                  </w14:solidFill>
                </w14:textFill>
              </w:rPr>
              <w:t>从</w:t>
            </w:r>
            <w:r>
              <w:rPr>
                <w:rFonts w:hint="eastAsia"/>
                <w:color w:val="000000" w:themeColor="text1"/>
                <w:szCs w:val="21"/>
                <w:highlight w:val="none"/>
                <w14:textFill>
                  <w14:solidFill>
                    <w14:schemeClr w14:val="tx1"/>
                  </w14:solidFill>
                </w14:textFill>
              </w:rPr>
              <w:t>成立之日起</w:t>
            </w:r>
            <w:r>
              <w:rPr>
                <w:rFonts w:hint="eastAsia" w:ascii="宋体" w:hAnsi="宋体" w:cs="宋体"/>
                <w:color w:val="000000" w:themeColor="text1"/>
                <w:szCs w:val="21"/>
                <w:highlight w:val="none"/>
                <w14:textFill>
                  <w14:solidFill>
                    <w14:schemeClr w14:val="tx1"/>
                  </w14:solidFill>
                </w14:textFill>
              </w:rPr>
              <w:t>到投标文件提交截止时间止不足要求月数的只需提供从</w:t>
            </w:r>
            <w:r>
              <w:rPr>
                <w:rFonts w:hint="eastAsia"/>
                <w:color w:val="000000" w:themeColor="text1"/>
                <w:szCs w:val="21"/>
                <w:highlight w:val="none"/>
                <w14:textFill>
                  <w14:solidFill>
                    <w14:schemeClr w14:val="tx1"/>
                  </w14:solidFill>
                </w14:textFill>
              </w:rPr>
              <w:t>成立之日起</w:t>
            </w:r>
            <w:r>
              <w:rPr>
                <w:rFonts w:hint="eastAsia" w:ascii="宋体" w:hAnsi="宋体" w:cs="宋体"/>
                <w:color w:val="000000" w:themeColor="text1"/>
                <w:szCs w:val="21"/>
                <w:highlight w:val="none"/>
                <w14:textFill>
                  <w14:solidFill>
                    <w14:schemeClr w14:val="tx1"/>
                  </w14:solidFill>
                </w14:textFill>
              </w:rPr>
              <w:t>的依法缴纳社会保障资金的</w:t>
            </w:r>
            <w:r>
              <w:rPr>
                <w:rFonts w:hint="eastAsia" w:ascii="宋体" w:hAnsi="宋体"/>
                <w:color w:val="000000" w:themeColor="text1"/>
                <w:szCs w:val="21"/>
                <w:highlight w:val="none"/>
                <w14:textFill>
                  <w14:solidFill>
                    <w14:schemeClr w14:val="tx1"/>
                  </w14:solidFill>
                </w14:textFill>
              </w:rPr>
              <w:t>相应证明文件</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必须提供，否则按无效投标处理</w:t>
            </w:r>
            <w:r>
              <w:rPr>
                <w:rFonts w:hint="eastAsia" w:ascii="宋体" w:hAnsi="宋体"/>
                <w:color w:val="000000" w:themeColor="text1"/>
                <w:szCs w:val="21"/>
                <w:highlight w:val="none"/>
                <w14:textFill>
                  <w14:solidFill>
                    <w14:schemeClr w14:val="tx1"/>
                  </w14:solidFill>
                </w14:textFill>
              </w:rPr>
              <w:t>）</w:t>
            </w:r>
          </w:p>
          <w:p w14:paraId="281CC1A0">
            <w:pPr>
              <w:snapToGrid w:val="0"/>
              <w:spacing w:line="360" w:lineRule="auto"/>
              <w:ind w:firstLine="420" w:firstLineChars="200"/>
              <w:jc w:val="left"/>
              <w:rPr>
                <w:rFonts w:hint="eastAsia" w:ascii="宋体" w:hAnsi="宋体" w:cs="Courier New"/>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4.投标人</w:t>
            </w:r>
            <w:r>
              <w:rPr>
                <w:rFonts w:hint="eastAsia"/>
                <w:color w:val="000000" w:themeColor="text1"/>
                <w:szCs w:val="21"/>
                <w:highlight w:val="none"/>
                <w14:textFill>
                  <w14:solidFill>
                    <w14:schemeClr w14:val="tx1"/>
                  </w14:solidFill>
                </w14:textFill>
              </w:rPr>
              <w:t>财务状况报告</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2024</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或2025年</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年度财务报表复印件，或者银行出具的资信证明，或者中国人民银行征信中心出具的信用报告（企业投标的提供企业信用报告，自然人投标的提供个人信用报告</w:t>
            </w:r>
            <w:r>
              <w:rPr>
                <w:rFonts w:hint="eastAsia" w:ascii="宋体" w:hAnsi="宋体"/>
                <w:color w:val="000000" w:themeColor="text1"/>
                <w:highlight w:val="none"/>
                <w14:textFill>
                  <w14:solidFill>
                    <w14:schemeClr w14:val="tx1"/>
                  </w14:solidFill>
                </w14:textFill>
              </w:rPr>
              <w:t>，投标人</w:t>
            </w:r>
            <w:r>
              <w:rPr>
                <w:rFonts w:ascii="宋体" w:hAnsi="宋体"/>
                <w:color w:val="000000" w:themeColor="text1"/>
                <w:highlight w:val="none"/>
                <w14:textFill>
                  <w14:solidFill>
                    <w14:schemeClr w14:val="tx1"/>
                  </w14:solidFill>
                </w14:textFill>
              </w:rPr>
              <w:t>属于成立时间在规定年度之后的法人或其他组织</w:t>
            </w:r>
            <w:r>
              <w:rPr>
                <w:rFonts w:hint="eastAsia" w:ascii="宋体" w:hAnsi="宋体"/>
                <w:color w:val="000000" w:themeColor="text1"/>
                <w:highlight w:val="none"/>
                <w14:textFill>
                  <w14:solidFill>
                    <w14:schemeClr w14:val="tx1"/>
                  </w14:solidFill>
                </w14:textFill>
              </w:rPr>
              <w:t>，需提供成立之日起至投标截止时间前的月报表</w:t>
            </w:r>
            <w:r>
              <w:rPr>
                <w:rFonts w:hint="eastAsia" w:ascii="宋体" w:hAnsi="宋体"/>
                <w:color w:val="000000" w:themeColor="text1"/>
                <w:szCs w:val="21"/>
                <w:highlight w:val="none"/>
                <w14:textFill>
                  <w14:solidFill>
                    <w14:schemeClr w14:val="tx1"/>
                  </w14:solidFill>
                </w14:textFill>
              </w:rPr>
              <w:t>或银行出具的资信证明或者中国人民银行征信中心出具的企业信用报告；资信证明应在有效期内，未注明有效期的，银行出具时间至投标截止时间不超过一年]</w:t>
            </w:r>
            <w:r>
              <w:rPr>
                <w:rFonts w:hint="eastAsia"/>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必须提供，否则按无效投标处理</w:t>
            </w:r>
            <w:r>
              <w:rPr>
                <w:rFonts w:hint="eastAsia" w:ascii="宋体" w:hAnsi="宋体"/>
                <w:color w:val="000000" w:themeColor="text1"/>
                <w:szCs w:val="21"/>
                <w:highlight w:val="none"/>
                <w14:textFill>
                  <w14:solidFill>
                    <w14:schemeClr w14:val="tx1"/>
                  </w14:solidFill>
                </w14:textFill>
              </w:rPr>
              <w:t>）</w:t>
            </w:r>
          </w:p>
          <w:p w14:paraId="22D65655">
            <w:pPr>
              <w:snapToGrid w:val="0"/>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5.投标人直接控股股东信息表（格式后附）；（</w:t>
            </w:r>
            <w:r>
              <w:rPr>
                <w:rFonts w:hint="eastAsia" w:ascii="宋体" w:hAnsi="宋体"/>
                <w:b/>
                <w:color w:val="000000" w:themeColor="text1"/>
                <w:szCs w:val="21"/>
                <w:highlight w:val="none"/>
                <w14:textFill>
                  <w14:solidFill>
                    <w14:schemeClr w14:val="tx1"/>
                  </w14:solidFill>
                </w14:textFill>
              </w:rPr>
              <w:t>必须提供，否则按无效投标处理</w:t>
            </w:r>
            <w:r>
              <w:rPr>
                <w:rFonts w:hint="eastAsia" w:ascii="宋体" w:hAnsi="宋体"/>
                <w:color w:val="000000" w:themeColor="text1"/>
                <w:szCs w:val="21"/>
                <w:highlight w:val="none"/>
                <w14:textFill>
                  <w14:solidFill>
                    <w14:schemeClr w14:val="tx1"/>
                  </w14:solidFill>
                </w14:textFill>
              </w:rPr>
              <w:t>）</w:t>
            </w:r>
          </w:p>
          <w:p w14:paraId="65886BAA">
            <w:pPr>
              <w:snapToGrid w:val="0"/>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 投标人直接管理关系信息表（格式后附）；（</w:t>
            </w:r>
            <w:r>
              <w:rPr>
                <w:rFonts w:hint="eastAsia" w:ascii="宋体" w:hAnsi="宋体"/>
                <w:b/>
                <w:color w:val="000000" w:themeColor="text1"/>
                <w:szCs w:val="21"/>
                <w:highlight w:val="none"/>
                <w14:textFill>
                  <w14:solidFill>
                    <w14:schemeClr w14:val="tx1"/>
                  </w14:solidFill>
                </w14:textFill>
              </w:rPr>
              <w:t>必须提供，否则按无效投标处理</w:t>
            </w:r>
            <w:r>
              <w:rPr>
                <w:rFonts w:hint="eastAsia" w:ascii="宋体" w:hAnsi="宋体"/>
                <w:color w:val="000000" w:themeColor="text1"/>
                <w:szCs w:val="21"/>
                <w:highlight w:val="none"/>
                <w14:textFill>
                  <w14:solidFill>
                    <w14:schemeClr w14:val="tx1"/>
                  </w14:solidFill>
                </w14:textFill>
              </w:rPr>
              <w:t>）</w:t>
            </w:r>
          </w:p>
          <w:p w14:paraId="724AD921">
            <w:pPr>
              <w:snapToGrid w:val="0"/>
              <w:spacing w:line="360" w:lineRule="auto"/>
              <w:ind w:firstLine="420" w:firstLineChars="200"/>
              <w:jc w:val="left"/>
              <w:rPr>
                <w:rFonts w:hint="eastAsia" w:ascii="宋体" w:hAnsi="宋体" w:cs="Courier New"/>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7.投标声明（格式后附）；（</w:t>
            </w:r>
            <w:r>
              <w:rPr>
                <w:rFonts w:hint="eastAsia" w:ascii="宋体" w:hAnsi="宋体"/>
                <w:b/>
                <w:color w:val="000000" w:themeColor="text1"/>
                <w:szCs w:val="21"/>
                <w:highlight w:val="none"/>
                <w14:textFill>
                  <w14:solidFill>
                    <w14:schemeClr w14:val="tx1"/>
                  </w14:solidFill>
                </w14:textFill>
              </w:rPr>
              <w:t>必须提供，否则按无效投标处理</w:t>
            </w:r>
            <w:r>
              <w:rPr>
                <w:rFonts w:hint="eastAsia" w:ascii="宋体" w:hAnsi="宋体"/>
                <w:color w:val="000000" w:themeColor="text1"/>
                <w:szCs w:val="21"/>
                <w:highlight w:val="none"/>
                <w14:textFill>
                  <w14:solidFill>
                    <w14:schemeClr w14:val="tx1"/>
                  </w14:solidFill>
                </w14:textFill>
              </w:rPr>
              <w:t>）</w:t>
            </w:r>
          </w:p>
          <w:p w14:paraId="5F20918F">
            <w:pPr>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 投标人</w:t>
            </w:r>
            <w:r>
              <w:rPr>
                <w:rFonts w:ascii="宋体" w:hAnsi="宋体"/>
                <w:color w:val="000000" w:themeColor="text1"/>
                <w:szCs w:val="21"/>
                <w:highlight w:val="none"/>
                <w14:textFill>
                  <w14:solidFill>
                    <w14:schemeClr w14:val="tx1"/>
                  </w14:solidFill>
                </w14:textFill>
              </w:rPr>
              <w:t>按以下要求提供医疗器械的有关证明材料复印件：</w:t>
            </w:r>
          </w:p>
          <w:p w14:paraId="0F57097D">
            <w:pPr>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有第二类医疗器械的，应提供有效的医疗器械经营备案凭证（经营范围包含采购的第二类医疗器械），符合《医疗器械监督管理条例》（国务院令第739号）第四十一条第二款规定的除外；如</w:t>
            </w:r>
            <w:r>
              <w:rPr>
                <w:rFonts w:hint="eastAsia" w:ascii="宋体" w:hAnsi="宋体"/>
                <w:color w:val="000000" w:themeColor="text1"/>
                <w:szCs w:val="21"/>
                <w:highlight w:val="none"/>
                <w14:textFill>
                  <w14:solidFill>
                    <w14:schemeClr w14:val="tx1"/>
                  </w14:solidFill>
                </w14:textFill>
              </w:rPr>
              <w:t>投标人</w:t>
            </w:r>
            <w:r>
              <w:rPr>
                <w:rFonts w:ascii="宋体" w:hAnsi="宋体"/>
                <w:color w:val="000000" w:themeColor="text1"/>
                <w:szCs w:val="21"/>
                <w:highlight w:val="none"/>
                <w14:textFill>
                  <w14:solidFill>
                    <w14:schemeClr w14:val="tx1"/>
                  </w14:solidFill>
                </w14:textFill>
              </w:rPr>
              <w:t>符合《医疗器械监督管理条例》第四十三条“医疗器械注册人、备案人经营其注册、备案的医疗器械，无需办理医疗器械经营许可或者备案，但应当符合本条例规定的经营条件”规定的，仅需提供该医疗器械注册证（另附表格列明所投标对应产品的名称和规格型号，格式自拟）；</w:t>
            </w:r>
          </w:p>
          <w:p w14:paraId="53A1744C">
            <w:pPr>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（2）有第三类医疗器械的，应提供有效的医疗器械经营许可证（经营范围包含采购的第三类医疗器械）；如</w:t>
            </w:r>
            <w:r>
              <w:rPr>
                <w:rFonts w:hint="eastAsia" w:ascii="宋体" w:hAnsi="宋体"/>
                <w:color w:val="000000" w:themeColor="text1"/>
                <w:szCs w:val="21"/>
                <w:highlight w:val="none"/>
                <w14:textFill>
                  <w14:solidFill>
                    <w14:schemeClr w14:val="tx1"/>
                  </w14:solidFill>
                </w14:textFill>
              </w:rPr>
              <w:t>投标人</w:t>
            </w:r>
            <w:r>
              <w:rPr>
                <w:rFonts w:ascii="宋体" w:hAnsi="宋体"/>
                <w:color w:val="000000" w:themeColor="text1"/>
                <w:szCs w:val="21"/>
                <w:highlight w:val="none"/>
                <w14:textFill>
                  <w14:solidFill>
                    <w14:schemeClr w14:val="tx1"/>
                  </w14:solidFill>
                </w14:textFill>
              </w:rPr>
              <w:t>符合《医疗器械监督管理条例》第四十三条“医疗器械注册人、备案人经营其注册、备案的医疗器械，无需办理医疗器械经营许可或者备案，但应当符合本条例规定的经营条件”规定的，仅需提供该医疗器械注册证（另附表格列明所投标对应产品的名称和规格型号，格式自拟）；</w:t>
            </w:r>
          </w:p>
          <w:p w14:paraId="6C82440F">
            <w:pPr>
              <w:snapToGrid w:val="0"/>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（3）有第二类和第三类医疗器械的，应按上述（1）（2）要求提供。</w:t>
            </w:r>
            <w:r>
              <w:rPr>
                <w:rFonts w:hint="eastAsia" w:ascii="宋体" w:hAnsi="宋体"/>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必须提供，否则按无效投标处理</w:t>
            </w:r>
            <w:r>
              <w:rPr>
                <w:rFonts w:hint="eastAsia" w:ascii="宋体" w:hAnsi="宋体"/>
                <w:color w:val="000000" w:themeColor="text1"/>
                <w:szCs w:val="21"/>
                <w:highlight w:val="none"/>
                <w14:textFill>
                  <w14:solidFill>
                    <w14:schemeClr w14:val="tx1"/>
                  </w14:solidFill>
                </w14:textFill>
              </w:rPr>
              <w:t>）</w:t>
            </w:r>
          </w:p>
          <w:p w14:paraId="3445B83D">
            <w:pPr>
              <w:spacing w:line="4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除招标文件规定必须提供以外，投标人认为需要提供的其他证明材料。</w:t>
            </w:r>
          </w:p>
          <w:p w14:paraId="146179EC">
            <w:pPr>
              <w:spacing w:line="360" w:lineRule="auto"/>
              <w:contextualSpacing/>
              <w:jc w:val="left"/>
              <w:rPr>
                <w:rFonts w:ascii="宋体" w:hAnsi="宋体" w:cs="宋体"/>
                <w:b/>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注：</w:t>
            </w:r>
            <w:r>
              <w:rPr>
                <w:rFonts w:hint="eastAsia" w:ascii="宋体" w:hAnsi="宋体" w:cs="宋体"/>
                <w:b/>
                <w:color w:val="000000" w:themeColor="text1"/>
                <w:szCs w:val="21"/>
                <w:highlight w:val="none"/>
                <w14:textFill>
                  <w14:solidFill>
                    <w14:schemeClr w14:val="tx1"/>
                  </w14:solidFill>
                </w14:textFill>
              </w:rPr>
              <w:t>1.以上标明“必须提供”的材料必须加盖</w:t>
            </w:r>
            <w:r>
              <w:rPr>
                <w:rFonts w:hint="eastAsia" w:ascii="宋体" w:hAnsi="宋体" w:cs="宋体"/>
                <w:b/>
                <w:color w:val="000000" w:themeColor="text1"/>
                <w:szCs w:val="21"/>
                <w:highlight w:val="none"/>
                <w:lang w:val="en-US" w:eastAsia="zh-CN"/>
                <w14:textFill>
                  <w14:solidFill>
                    <w14:schemeClr w14:val="tx1"/>
                  </w14:solidFill>
                </w14:textFill>
              </w:rPr>
              <w:t>投标人</w:t>
            </w:r>
            <w:r>
              <w:rPr>
                <w:rFonts w:hint="eastAsia" w:ascii="宋体" w:hAnsi="宋体"/>
                <w:b/>
                <w:color w:val="000000" w:themeColor="text1"/>
                <w:szCs w:val="21"/>
                <w:highlight w:val="none"/>
                <w14:textFill>
                  <w14:solidFill>
                    <w14:schemeClr w14:val="tx1"/>
                  </w14:solidFill>
                </w14:textFill>
              </w:rPr>
              <w:t>电子签章</w:t>
            </w:r>
            <w:r>
              <w:rPr>
                <w:rFonts w:hint="eastAsia" w:ascii="宋体" w:hAnsi="宋体" w:cs="宋体"/>
                <w:b/>
                <w:color w:val="000000" w:themeColor="text1"/>
                <w:szCs w:val="21"/>
                <w:highlight w:val="none"/>
                <w14:textFill>
                  <w14:solidFill>
                    <w14:schemeClr w14:val="tx1"/>
                  </w14:solidFill>
                </w14:textFill>
              </w:rPr>
              <w:t>，必须提供的材料在第五章“</w:t>
            </w:r>
            <w:r>
              <w:rPr>
                <w:rFonts w:hint="eastAsia" w:ascii="宋体" w:hAnsi="宋体" w:cs="宋体"/>
                <w:b/>
                <w:color w:val="000000" w:themeColor="text1"/>
                <w:szCs w:val="21"/>
                <w:highlight w:val="none"/>
                <w:lang w:val="en-US" w:eastAsia="zh-CN"/>
                <w14:textFill>
                  <w14:solidFill>
                    <w14:schemeClr w14:val="tx1"/>
                  </w14:solidFill>
                </w14:textFill>
              </w:rPr>
              <w:t>投标</w:t>
            </w:r>
            <w:r>
              <w:rPr>
                <w:rFonts w:hint="eastAsia" w:ascii="宋体" w:hAnsi="宋体" w:cs="宋体"/>
                <w:b/>
                <w:color w:val="000000" w:themeColor="text1"/>
                <w:szCs w:val="21"/>
                <w:highlight w:val="none"/>
                <w14:textFill>
                  <w14:solidFill>
                    <w14:schemeClr w14:val="tx1"/>
                  </w14:solidFill>
                </w14:textFill>
              </w:rPr>
              <w:t>文件格式”中有要求法定代表人或委托代理人签字的，必须由法定代表人或委托代理人签字（或者电子签名），否则</w:t>
            </w:r>
            <w:r>
              <w:rPr>
                <w:rFonts w:hint="eastAsia" w:ascii="宋体" w:hAnsi="宋体" w:cs="宋体"/>
                <w:b/>
                <w:color w:val="000000" w:themeColor="text1"/>
                <w:szCs w:val="21"/>
                <w:highlight w:val="none"/>
                <w:lang w:val="en-US" w:eastAsia="zh-CN"/>
                <w14:textFill>
                  <w14:solidFill>
                    <w14:schemeClr w14:val="tx1"/>
                  </w14:solidFill>
                </w14:textFill>
              </w:rPr>
              <w:t>投标</w:t>
            </w:r>
            <w:r>
              <w:rPr>
                <w:rFonts w:hint="eastAsia" w:ascii="宋体" w:hAnsi="宋体" w:cs="宋体"/>
                <w:b/>
                <w:color w:val="000000" w:themeColor="text1"/>
                <w:szCs w:val="21"/>
                <w:highlight w:val="none"/>
                <w14:textFill>
                  <w14:solidFill>
                    <w14:schemeClr w14:val="tx1"/>
                  </w14:solidFill>
                </w14:textFill>
              </w:rPr>
              <w:t>文件按无效处理。</w:t>
            </w:r>
          </w:p>
          <w:p w14:paraId="624889CF">
            <w:pPr>
              <w:pStyle w:val="19"/>
              <w:spacing w:line="360"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2.</w:t>
            </w:r>
            <w:r>
              <w:rPr>
                <w:rFonts w:hint="eastAsia" w:ascii="宋体" w:hAnsi="宋体" w:cs="宋体"/>
                <w:b/>
                <w:bCs/>
                <w:color w:val="000000" w:themeColor="text1"/>
                <w:szCs w:val="21"/>
                <w:highlight w:val="none"/>
                <w:lang w:val="en-US" w:eastAsia="zh-CN"/>
                <w14:textFill>
                  <w14:solidFill>
                    <w14:schemeClr w14:val="tx1"/>
                  </w14:solidFill>
                </w14:textFill>
              </w:rPr>
              <w:t>投标</w:t>
            </w:r>
            <w:r>
              <w:rPr>
                <w:rFonts w:hint="eastAsia" w:ascii="宋体" w:hAnsi="宋体" w:cs="宋体"/>
                <w:b/>
                <w:bCs/>
                <w:color w:val="000000" w:themeColor="text1"/>
                <w:szCs w:val="21"/>
                <w:highlight w:val="none"/>
                <w14:textFill>
                  <w14:solidFill>
                    <w14:schemeClr w14:val="tx1"/>
                  </w14:solidFill>
                </w14:textFill>
              </w:rPr>
              <w:t>文件（包含电子备份</w:t>
            </w:r>
            <w:r>
              <w:rPr>
                <w:rFonts w:hint="eastAsia" w:ascii="宋体" w:hAnsi="宋体" w:cs="宋体"/>
                <w:b/>
                <w:bCs/>
                <w:color w:val="000000" w:themeColor="text1"/>
                <w:szCs w:val="21"/>
                <w:highlight w:val="none"/>
                <w:lang w:val="en-US" w:eastAsia="zh-CN"/>
                <w14:textFill>
                  <w14:solidFill>
                    <w14:schemeClr w14:val="tx1"/>
                  </w14:solidFill>
                </w14:textFill>
              </w:rPr>
              <w:t>投标</w:t>
            </w:r>
            <w:r>
              <w:rPr>
                <w:rFonts w:hint="eastAsia" w:ascii="宋体" w:hAnsi="宋体" w:cs="宋体"/>
                <w:b/>
                <w:bCs/>
                <w:color w:val="000000" w:themeColor="text1"/>
                <w:szCs w:val="21"/>
                <w:highlight w:val="none"/>
                <w14:textFill>
                  <w14:solidFill>
                    <w14:schemeClr w14:val="tx1"/>
                  </w14:solidFill>
                </w14:textFill>
              </w:rPr>
              <w:t>文件），其中电子</w:t>
            </w:r>
            <w:r>
              <w:rPr>
                <w:rFonts w:hint="eastAsia" w:ascii="宋体" w:hAnsi="宋体" w:cs="宋体"/>
                <w:b/>
                <w:bCs/>
                <w:color w:val="000000" w:themeColor="text1"/>
                <w:szCs w:val="21"/>
                <w:highlight w:val="none"/>
                <w:lang w:val="en-US" w:eastAsia="zh-CN"/>
                <w14:textFill>
                  <w14:solidFill>
                    <w14:schemeClr w14:val="tx1"/>
                  </w14:solidFill>
                </w14:textFill>
              </w:rPr>
              <w:t>投标</w:t>
            </w:r>
            <w:r>
              <w:rPr>
                <w:rFonts w:hint="eastAsia" w:ascii="宋体" w:hAnsi="宋体" w:cs="宋体"/>
                <w:b/>
                <w:bCs/>
                <w:color w:val="000000" w:themeColor="text1"/>
                <w:szCs w:val="21"/>
                <w:highlight w:val="none"/>
                <w14:textFill>
                  <w14:solidFill>
                    <w14:schemeClr w14:val="tx1"/>
                  </w14:solidFill>
                </w14:textFill>
              </w:rPr>
              <w:t>文件中所须加盖公章部分均采用CA签章。若</w:t>
            </w:r>
            <w:r>
              <w:rPr>
                <w:rFonts w:hint="eastAsia" w:ascii="宋体" w:hAnsi="宋体" w:cs="宋体"/>
                <w:b/>
                <w:bCs/>
                <w:color w:val="000000" w:themeColor="text1"/>
                <w:szCs w:val="21"/>
                <w:highlight w:val="none"/>
                <w:lang w:val="en-US" w:eastAsia="zh-CN"/>
                <w14:textFill>
                  <w14:solidFill>
                    <w14:schemeClr w14:val="tx1"/>
                  </w14:solidFill>
                </w14:textFill>
              </w:rPr>
              <w:t>采购</w:t>
            </w:r>
            <w:r>
              <w:rPr>
                <w:rFonts w:hint="eastAsia" w:ascii="宋体" w:hAnsi="宋体" w:cs="宋体"/>
                <w:b/>
                <w:bCs/>
                <w:color w:val="000000" w:themeColor="text1"/>
                <w:szCs w:val="21"/>
                <w:highlight w:val="none"/>
                <w14:textFill>
                  <w14:solidFill>
                    <w14:schemeClr w14:val="tx1"/>
                  </w14:solidFill>
                </w14:textFill>
              </w:rPr>
              <w:t>文件中有专门标注的某关联点，并要求</w:t>
            </w:r>
            <w:r>
              <w:rPr>
                <w:rFonts w:hint="eastAsia" w:ascii="宋体" w:hAnsi="宋体" w:cs="宋体"/>
                <w:b/>
                <w:bCs/>
                <w:color w:val="000000" w:themeColor="text1"/>
                <w:szCs w:val="21"/>
                <w:highlight w:val="none"/>
                <w:lang w:val="en-US" w:eastAsia="zh-CN"/>
                <w14:textFill>
                  <w14:solidFill>
                    <w14:schemeClr w14:val="tx1"/>
                  </w14:solidFill>
                </w14:textFill>
              </w:rPr>
              <w:t>投标人</w:t>
            </w:r>
            <w:r>
              <w:rPr>
                <w:rFonts w:hint="eastAsia" w:ascii="宋体" w:hAnsi="宋体" w:cs="宋体"/>
                <w:b/>
                <w:bCs/>
                <w:color w:val="000000" w:themeColor="text1"/>
                <w:szCs w:val="21"/>
                <w:highlight w:val="none"/>
                <w14:textFill>
                  <w14:solidFill>
                    <w14:schemeClr w14:val="tx1"/>
                  </w14:solidFill>
                </w14:textFill>
              </w:rPr>
              <w:t>在电子</w:t>
            </w:r>
            <w:r>
              <w:rPr>
                <w:rFonts w:hint="eastAsia" w:ascii="宋体" w:hAnsi="宋体" w:cs="宋体"/>
                <w:b/>
                <w:bCs/>
                <w:color w:val="000000" w:themeColor="text1"/>
                <w:szCs w:val="21"/>
                <w:highlight w:val="none"/>
                <w:lang w:val="en-US" w:eastAsia="zh-CN"/>
                <w14:textFill>
                  <w14:solidFill>
                    <w14:schemeClr w14:val="tx1"/>
                  </w14:solidFill>
                </w14:textFill>
              </w:rPr>
              <w:t>投</w:t>
            </w:r>
            <w:r>
              <w:rPr>
                <w:rFonts w:hint="eastAsia" w:ascii="宋体" w:hAnsi="宋体" w:cs="宋体"/>
                <w:b/>
                <w:bCs/>
                <w:color w:val="000000" w:themeColor="text1"/>
                <w:szCs w:val="21"/>
                <w:highlight w:val="none"/>
                <w14:textFill>
                  <w14:solidFill>
                    <w14:schemeClr w14:val="tx1"/>
                  </w14:solidFill>
                </w14:textFill>
              </w:rPr>
              <w:t>标系统中作出</w:t>
            </w:r>
            <w:r>
              <w:rPr>
                <w:rFonts w:hint="eastAsia" w:ascii="宋体" w:hAnsi="宋体" w:cs="宋体"/>
                <w:b/>
                <w:bCs/>
                <w:color w:val="000000" w:themeColor="text1"/>
                <w:szCs w:val="21"/>
                <w:highlight w:val="none"/>
                <w:lang w:val="en-US" w:eastAsia="zh-CN"/>
                <w14:textFill>
                  <w14:solidFill>
                    <w14:schemeClr w14:val="tx1"/>
                  </w14:solidFill>
                </w14:textFill>
              </w:rPr>
              <w:t>投</w:t>
            </w:r>
            <w:r>
              <w:rPr>
                <w:rFonts w:hint="eastAsia" w:ascii="宋体" w:hAnsi="宋体" w:cs="宋体"/>
                <w:b/>
                <w:bCs/>
                <w:color w:val="000000" w:themeColor="text1"/>
                <w:szCs w:val="21"/>
                <w:highlight w:val="none"/>
                <w14:textFill>
                  <w14:solidFill>
                    <w14:schemeClr w14:val="tx1"/>
                  </w14:solidFill>
                </w14:textFill>
              </w:rPr>
              <w:t>标响应的，如</w:t>
            </w:r>
            <w:r>
              <w:rPr>
                <w:rFonts w:hint="eastAsia" w:ascii="宋体" w:hAnsi="宋体" w:cs="宋体"/>
                <w:b/>
                <w:bCs/>
                <w:color w:val="000000" w:themeColor="text1"/>
                <w:szCs w:val="21"/>
                <w:highlight w:val="none"/>
                <w:lang w:val="en-US" w:eastAsia="zh-CN"/>
                <w14:textFill>
                  <w14:solidFill>
                    <w14:schemeClr w14:val="tx1"/>
                  </w14:solidFill>
                </w14:textFill>
              </w:rPr>
              <w:t>投标人</w:t>
            </w:r>
            <w:r>
              <w:rPr>
                <w:rFonts w:hint="eastAsia" w:ascii="宋体" w:hAnsi="宋体" w:cs="宋体"/>
                <w:b/>
                <w:bCs/>
                <w:color w:val="000000" w:themeColor="text1"/>
                <w:szCs w:val="21"/>
                <w:highlight w:val="none"/>
                <w14:textFill>
                  <w14:solidFill>
                    <w14:schemeClr w14:val="tx1"/>
                  </w14:solidFill>
                </w14:textFill>
              </w:rPr>
              <w:t>未对关联点进行响应或者在</w:t>
            </w:r>
            <w:r>
              <w:rPr>
                <w:rFonts w:hint="eastAsia" w:ascii="宋体" w:hAnsi="宋体" w:cs="宋体"/>
                <w:b/>
                <w:bCs/>
                <w:color w:val="000000" w:themeColor="text1"/>
                <w:szCs w:val="21"/>
                <w:highlight w:val="none"/>
                <w:lang w:val="en-US" w:eastAsia="zh-CN"/>
                <w14:textFill>
                  <w14:solidFill>
                    <w14:schemeClr w14:val="tx1"/>
                  </w14:solidFill>
                </w14:textFill>
              </w:rPr>
              <w:t>投标</w:t>
            </w:r>
            <w:r>
              <w:rPr>
                <w:rFonts w:hint="eastAsia" w:ascii="宋体" w:hAnsi="宋体" w:cs="宋体"/>
                <w:b/>
                <w:bCs/>
                <w:color w:val="000000" w:themeColor="text1"/>
                <w:szCs w:val="21"/>
                <w:highlight w:val="none"/>
                <w14:textFill>
                  <w14:solidFill>
                    <w14:schemeClr w14:val="tx1"/>
                  </w14:solidFill>
                </w14:textFill>
              </w:rPr>
              <w:t>文件其它内容进行描述，造成电子评审不能查询的责任由</w:t>
            </w:r>
            <w:r>
              <w:rPr>
                <w:rFonts w:hint="eastAsia" w:ascii="宋体" w:hAnsi="宋体" w:cs="宋体"/>
                <w:b/>
                <w:bCs/>
                <w:color w:val="000000" w:themeColor="text1"/>
                <w:szCs w:val="21"/>
                <w:highlight w:val="none"/>
                <w:lang w:val="en-US" w:eastAsia="zh-CN"/>
                <w14:textFill>
                  <w14:solidFill>
                    <w14:schemeClr w14:val="tx1"/>
                  </w14:solidFill>
                </w14:textFill>
              </w:rPr>
              <w:t>投标人</w:t>
            </w:r>
            <w:r>
              <w:rPr>
                <w:rFonts w:hint="eastAsia" w:ascii="宋体" w:hAnsi="宋体" w:cs="宋体"/>
                <w:b/>
                <w:bCs/>
                <w:color w:val="000000" w:themeColor="text1"/>
                <w:szCs w:val="21"/>
                <w:highlight w:val="none"/>
                <w14:textFill>
                  <w14:solidFill>
                    <w14:schemeClr w14:val="tx1"/>
                  </w14:solidFill>
                </w14:textFill>
              </w:rPr>
              <w:t>自行承担。</w:t>
            </w:r>
          </w:p>
          <w:p w14:paraId="3B7A8AEA">
            <w:pPr>
              <w:snapToGrid w:val="0"/>
              <w:spacing w:line="360" w:lineRule="auto"/>
              <w:jc w:val="left"/>
              <w:rPr>
                <w:rFonts w:ascii="宋体" w:hAnsi="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3.分公司参加</w:t>
            </w:r>
            <w:r>
              <w:rPr>
                <w:rFonts w:hint="eastAsia" w:ascii="宋体" w:hAnsi="宋体" w:cs="宋体"/>
                <w:b/>
                <w:bCs/>
                <w:color w:val="000000" w:themeColor="text1"/>
                <w:szCs w:val="21"/>
                <w:highlight w:val="none"/>
                <w:lang w:val="en-US" w:eastAsia="zh-CN"/>
                <w14:textFill>
                  <w14:solidFill>
                    <w14:schemeClr w14:val="tx1"/>
                  </w14:solidFill>
                </w14:textFill>
              </w:rPr>
              <w:t>投</w:t>
            </w:r>
            <w:r>
              <w:rPr>
                <w:rFonts w:hint="eastAsia" w:ascii="宋体" w:hAnsi="宋体" w:cs="宋体"/>
                <w:b/>
                <w:bCs/>
                <w:color w:val="000000" w:themeColor="text1"/>
                <w:szCs w:val="21"/>
                <w:highlight w:val="none"/>
                <w14:textFill>
                  <w14:solidFill>
                    <w14:schemeClr w14:val="tx1"/>
                  </w14:solidFill>
                </w14:textFill>
              </w:rPr>
              <w:t>标的，应当取得总公司授权并在</w:t>
            </w:r>
            <w:r>
              <w:rPr>
                <w:rFonts w:hint="eastAsia" w:ascii="宋体" w:hAnsi="宋体" w:cs="宋体"/>
                <w:b/>
                <w:bCs/>
                <w:color w:val="000000" w:themeColor="text1"/>
                <w:szCs w:val="21"/>
                <w:highlight w:val="none"/>
                <w:lang w:val="en-US" w:eastAsia="zh-CN"/>
                <w14:textFill>
                  <w14:solidFill>
                    <w14:schemeClr w14:val="tx1"/>
                  </w14:solidFill>
                </w14:textFill>
              </w:rPr>
              <w:t>投标</w:t>
            </w:r>
            <w:r>
              <w:rPr>
                <w:rFonts w:hint="eastAsia" w:ascii="宋体" w:hAnsi="宋体" w:cs="宋体"/>
                <w:b/>
                <w:bCs/>
                <w:color w:val="000000" w:themeColor="text1"/>
                <w:szCs w:val="21"/>
                <w:highlight w:val="none"/>
                <w14:textFill>
                  <w14:solidFill>
                    <w14:schemeClr w14:val="tx1"/>
                  </w14:solidFill>
                </w14:textFill>
              </w:rPr>
              <w:t>文件中提供授权书复印件，否则按无效</w:t>
            </w:r>
            <w:r>
              <w:rPr>
                <w:rFonts w:hint="eastAsia" w:ascii="宋体" w:hAnsi="宋体" w:cs="宋体"/>
                <w:b/>
                <w:bCs/>
                <w:color w:val="000000" w:themeColor="text1"/>
                <w:szCs w:val="21"/>
                <w:highlight w:val="none"/>
                <w:lang w:val="en-US" w:eastAsia="zh-CN"/>
                <w14:textFill>
                  <w14:solidFill>
                    <w14:schemeClr w14:val="tx1"/>
                  </w14:solidFill>
                </w14:textFill>
              </w:rPr>
              <w:t>投标</w:t>
            </w:r>
            <w:r>
              <w:rPr>
                <w:rFonts w:hint="eastAsia" w:ascii="宋体" w:hAnsi="宋体" w:cs="宋体"/>
                <w:b/>
                <w:bCs/>
                <w:color w:val="000000" w:themeColor="text1"/>
                <w:szCs w:val="21"/>
                <w:highlight w:val="none"/>
                <w14:textFill>
                  <w14:solidFill>
                    <w14:schemeClr w14:val="tx1"/>
                  </w14:solidFill>
                </w14:textFill>
              </w:rPr>
              <w:t>处理。</w:t>
            </w:r>
          </w:p>
        </w:tc>
      </w:tr>
      <w:tr w14:paraId="3AE431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left w:val="single" w:color="auto" w:sz="4" w:space="0"/>
              <w:right w:val="single" w:color="auto" w:sz="4" w:space="0"/>
            </w:tcBorders>
            <w:noWrap w:val="0"/>
            <w:vAlign w:val="center"/>
          </w:tcPr>
          <w:p w14:paraId="23EE1BBF">
            <w:pPr>
              <w:spacing w:line="360" w:lineRule="auto"/>
              <w:rPr>
                <w:rFonts w:hint="eastAsia" w:ascii="宋体" w:hAnsi="宋体"/>
                <w:color w:val="000000" w:themeColor="text1"/>
                <w:szCs w:val="21"/>
                <w:highlight w:val="none"/>
                <w14:textFill>
                  <w14:solidFill>
                    <w14:schemeClr w14:val="tx1"/>
                  </w14:solidFill>
                </w14:textFill>
              </w:rPr>
            </w:pPr>
            <w:bookmarkStart w:id="60" w:name="_13.3"/>
            <w:bookmarkEnd w:id="60"/>
          </w:p>
        </w:tc>
        <w:tc>
          <w:tcPr>
            <w:tcW w:w="8711" w:type="dxa"/>
            <w:tcBorders>
              <w:top w:val="single" w:color="auto" w:sz="4" w:space="0"/>
              <w:left w:val="single" w:color="auto" w:sz="4" w:space="0"/>
              <w:bottom w:val="single" w:color="auto" w:sz="4" w:space="0"/>
              <w:right w:val="single" w:color="auto" w:sz="4" w:space="0"/>
            </w:tcBorders>
            <w:noWrap w:val="0"/>
            <w:vAlign w:val="center"/>
          </w:tcPr>
          <w:p w14:paraId="07F41E60">
            <w:pPr>
              <w:snapToGrid w:val="0"/>
              <w:spacing w:line="360" w:lineRule="auto"/>
              <w:jc w:val="left"/>
              <w:rPr>
                <w:rFonts w:hint="eastAsia" w:ascii="宋体" w:hAnsi="宋体" w:cs="Courier New"/>
                <w:b/>
                <w:color w:val="000000" w:themeColor="text1"/>
                <w:szCs w:val="21"/>
                <w:highlight w:val="none"/>
                <w14:textFill>
                  <w14:solidFill>
                    <w14:schemeClr w14:val="tx1"/>
                  </w14:solidFill>
                </w14:textFill>
              </w:rPr>
            </w:pPr>
            <w:r>
              <w:rPr>
                <w:rFonts w:hint="eastAsia"/>
                <w:b/>
                <w:color w:val="000000" w:themeColor="text1"/>
                <w:kern w:val="0"/>
                <w:highlight w:val="none"/>
                <w:u w:val="single"/>
                <w14:textFill>
                  <w14:solidFill>
                    <w14:schemeClr w14:val="tx1"/>
                  </w14:solidFill>
                </w14:textFill>
              </w:rPr>
              <w:t>商务及技术文件</w:t>
            </w:r>
            <w:r>
              <w:rPr>
                <w:rFonts w:hint="eastAsia" w:ascii="宋体" w:hAnsi="宋体" w:cs="Courier New"/>
                <w:b/>
                <w:color w:val="000000" w:themeColor="text1"/>
                <w:szCs w:val="21"/>
                <w:highlight w:val="none"/>
                <w14:textFill>
                  <w14:solidFill>
                    <w14:schemeClr w14:val="tx1"/>
                  </w14:solidFill>
                </w14:textFill>
              </w:rPr>
              <w:t>：</w:t>
            </w:r>
          </w:p>
          <w:p w14:paraId="0D42939C">
            <w:pPr>
              <w:snapToGrid w:val="0"/>
              <w:spacing w:line="360" w:lineRule="auto"/>
              <w:ind w:left="413"/>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1.无串通投标行为的承诺函（格式后附）；（</w:t>
            </w:r>
            <w:r>
              <w:rPr>
                <w:rFonts w:hint="eastAsia" w:ascii="宋体" w:hAnsi="宋体"/>
                <w:b/>
                <w:color w:val="000000" w:themeColor="text1"/>
                <w:szCs w:val="21"/>
                <w:highlight w:val="none"/>
                <w14:textFill>
                  <w14:solidFill>
                    <w14:schemeClr w14:val="tx1"/>
                  </w14:solidFill>
                </w14:textFill>
              </w:rPr>
              <w:t>必须提供，否则按无效投标处理</w:t>
            </w:r>
            <w:r>
              <w:rPr>
                <w:rFonts w:hint="eastAsia" w:ascii="宋体" w:hAnsi="宋体"/>
                <w:color w:val="000000" w:themeColor="text1"/>
                <w:szCs w:val="21"/>
                <w:highlight w:val="none"/>
                <w14:textFill>
                  <w14:solidFill>
                    <w14:schemeClr w14:val="tx1"/>
                  </w14:solidFill>
                </w14:textFill>
              </w:rPr>
              <w:t>）</w:t>
            </w:r>
          </w:p>
          <w:p w14:paraId="0F68C23B">
            <w:pPr>
              <w:snapToGrid w:val="0"/>
              <w:spacing w:line="360" w:lineRule="auto"/>
              <w:ind w:left="413"/>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2.投标保证金提交凭证；（</w:t>
            </w:r>
            <w:r>
              <w:rPr>
                <w:rFonts w:hint="eastAsia"/>
                <w:b/>
                <w:bCs/>
                <w:color w:val="000000" w:themeColor="text1"/>
                <w:highlight w:val="none"/>
                <w14:textFill>
                  <w14:solidFill>
                    <w14:schemeClr w14:val="tx1"/>
                  </w14:solidFill>
                </w14:textFill>
              </w:rPr>
              <w:t>如要求提交投标保证金的则必须提供</w:t>
            </w:r>
            <w:r>
              <w:rPr>
                <w:rFonts w:hint="eastAsia" w:ascii="宋体" w:hAnsi="宋体"/>
                <w:b/>
                <w:color w:val="000000" w:themeColor="text1"/>
                <w:szCs w:val="21"/>
                <w:highlight w:val="none"/>
                <w14:textFill>
                  <w14:solidFill>
                    <w14:schemeClr w14:val="tx1"/>
                  </w14:solidFill>
                </w14:textFill>
              </w:rPr>
              <w:t>，否则按无效投标处理</w:t>
            </w:r>
            <w:r>
              <w:rPr>
                <w:rFonts w:hint="eastAsia" w:ascii="宋体" w:hAnsi="宋体"/>
                <w:color w:val="000000" w:themeColor="text1"/>
                <w:szCs w:val="21"/>
                <w:highlight w:val="none"/>
                <w14:textFill>
                  <w14:solidFill>
                    <w14:schemeClr w14:val="tx1"/>
                  </w14:solidFill>
                </w14:textFill>
              </w:rPr>
              <w:t>）</w:t>
            </w:r>
          </w:p>
          <w:p w14:paraId="64795B94">
            <w:pPr>
              <w:snapToGrid w:val="0"/>
              <w:spacing w:line="360" w:lineRule="auto"/>
              <w:ind w:left="413"/>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3.法定代表人身份证明及法定代表人有效身份证正反面复印件（格式后附）；（</w:t>
            </w:r>
            <w:r>
              <w:rPr>
                <w:rFonts w:hint="eastAsia" w:ascii="宋体" w:hAnsi="宋体" w:cs="宋体"/>
                <w:b/>
                <w:bCs/>
                <w:color w:val="000000" w:themeColor="text1"/>
                <w:szCs w:val="21"/>
                <w:highlight w:val="none"/>
                <w14:textFill>
                  <w14:solidFill>
                    <w14:schemeClr w14:val="tx1"/>
                  </w14:solidFill>
                </w14:textFill>
              </w:rPr>
              <w:t>除自然人投标外</w:t>
            </w:r>
            <w:r>
              <w:rPr>
                <w:rFonts w:hint="eastAsia" w:ascii="宋体" w:hAnsi="宋体"/>
                <w:b/>
                <w:color w:val="000000" w:themeColor="text1"/>
                <w:szCs w:val="21"/>
                <w:highlight w:val="none"/>
                <w14:textFill>
                  <w14:solidFill>
                    <w14:schemeClr w14:val="tx1"/>
                  </w14:solidFill>
                </w14:textFill>
              </w:rPr>
              <w:t>必须提供，否则按无效投标处理</w:t>
            </w:r>
            <w:r>
              <w:rPr>
                <w:rFonts w:hint="eastAsia" w:ascii="宋体" w:hAnsi="宋体"/>
                <w:color w:val="000000" w:themeColor="text1"/>
                <w:szCs w:val="21"/>
                <w:highlight w:val="none"/>
                <w14:textFill>
                  <w14:solidFill>
                    <w14:schemeClr w14:val="tx1"/>
                  </w14:solidFill>
                </w14:textFill>
              </w:rPr>
              <w:t>）</w:t>
            </w:r>
          </w:p>
          <w:p w14:paraId="7E2084E5">
            <w:pPr>
              <w:snapToGrid w:val="0"/>
              <w:spacing w:line="360" w:lineRule="auto"/>
              <w:ind w:left="413"/>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4.授权委托书及委托代理人有效身份证正反面复印件（格式后附）；（</w:t>
            </w:r>
            <w:r>
              <w:rPr>
                <w:rFonts w:hint="eastAsia" w:ascii="宋体" w:hAnsi="宋体"/>
                <w:b/>
                <w:color w:val="000000" w:themeColor="text1"/>
                <w:szCs w:val="21"/>
                <w:highlight w:val="none"/>
                <w14:textFill>
                  <w14:solidFill>
                    <w14:schemeClr w14:val="tx1"/>
                  </w14:solidFill>
                </w14:textFill>
              </w:rPr>
              <w:t>委托时必须提供，否则按无效投标处理</w:t>
            </w:r>
            <w:r>
              <w:rPr>
                <w:rFonts w:hint="eastAsia" w:ascii="宋体" w:hAnsi="宋体"/>
                <w:color w:val="000000" w:themeColor="text1"/>
                <w:szCs w:val="21"/>
                <w:highlight w:val="none"/>
                <w14:textFill>
                  <w14:solidFill>
                    <w14:schemeClr w14:val="tx1"/>
                  </w14:solidFill>
                </w14:textFill>
              </w:rPr>
              <w:t>）</w:t>
            </w:r>
          </w:p>
          <w:p w14:paraId="6F518B9F">
            <w:pPr>
              <w:snapToGrid w:val="0"/>
              <w:spacing w:line="360" w:lineRule="auto"/>
              <w:ind w:left="413"/>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商务要求偏离表（格式后附）；（</w:t>
            </w:r>
            <w:r>
              <w:rPr>
                <w:rFonts w:hint="eastAsia" w:ascii="宋体" w:hAnsi="宋体"/>
                <w:b/>
                <w:color w:val="000000" w:themeColor="text1"/>
                <w:szCs w:val="21"/>
                <w:highlight w:val="none"/>
                <w14:textFill>
                  <w14:solidFill>
                    <w14:schemeClr w14:val="tx1"/>
                  </w14:solidFill>
                </w14:textFill>
              </w:rPr>
              <w:t>必须提供，否则按无效投标处理</w:t>
            </w:r>
            <w:r>
              <w:rPr>
                <w:rFonts w:hint="eastAsia" w:ascii="宋体" w:hAnsi="宋体"/>
                <w:color w:val="000000" w:themeColor="text1"/>
                <w:szCs w:val="21"/>
                <w:highlight w:val="none"/>
                <w14:textFill>
                  <w14:solidFill>
                    <w14:schemeClr w14:val="tx1"/>
                  </w14:solidFill>
                </w14:textFill>
              </w:rPr>
              <w:t>）</w:t>
            </w:r>
          </w:p>
          <w:p w14:paraId="0728DFD4">
            <w:pPr>
              <w:snapToGrid w:val="0"/>
              <w:spacing w:line="360" w:lineRule="auto"/>
              <w:ind w:left="413"/>
              <w:jc w:val="left"/>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.售后服务</w:t>
            </w:r>
            <w:r>
              <w:rPr>
                <w:rFonts w:hint="eastAsia" w:ascii="宋体" w:hAnsi="宋体"/>
                <w:color w:val="000000" w:themeColor="text1"/>
                <w:szCs w:val="21"/>
                <w:highlight w:val="none"/>
                <w:lang w:val="en-US" w:eastAsia="zh-CN"/>
                <w14:textFill>
                  <w14:solidFill>
                    <w14:schemeClr w14:val="tx1"/>
                  </w14:solidFill>
                </w14:textFill>
              </w:rPr>
              <w:t>方案</w:t>
            </w:r>
            <w:r>
              <w:rPr>
                <w:rFonts w:hint="eastAsia" w:ascii="宋体" w:hAnsi="宋体"/>
                <w:color w:val="000000" w:themeColor="text1"/>
                <w:szCs w:val="21"/>
                <w:highlight w:val="none"/>
                <w14:textFill>
                  <w14:solidFill>
                    <w14:schemeClr w14:val="tx1"/>
                  </w14:solidFill>
                </w14:textFill>
              </w:rPr>
              <w:t>（格式自拟）；（</w:t>
            </w:r>
            <w:r>
              <w:rPr>
                <w:rFonts w:hint="eastAsia" w:ascii="宋体" w:hAnsi="宋体"/>
                <w:b/>
                <w:color w:val="000000" w:themeColor="text1"/>
                <w:szCs w:val="21"/>
                <w:highlight w:val="none"/>
                <w14:textFill>
                  <w14:solidFill>
                    <w14:schemeClr w14:val="tx1"/>
                  </w14:solidFill>
                </w14:textFill>
              </w:rPr>
              <w:t>必须提供，否则按无效投标处理</w:t>
            </w:r>
            <w:r>
              <w:rPr>
                <w:rFonts w:hint="eastAsia" w:ascii="宋体" w:hAnsi="宋体"/>
                <w:color w:val="000000" w:themeColor="text1"/>
                <w:szCs w:val="21"/>
                <w:highlight w:val="none"/>
                <w14:textFill>
                  <w14:solidFill>
                    <w14:schemeClr w14:val="tx1"/>
                  </w14:solidFill>
                </w14:textFill>
              </w:rPr>
              <w:t>）</w:t>
            </w:r>
          </w:p>
          <w:p w14:paraId="0D0827D8">
            <w:pPr>
              <w:snapToGrid w:val="0"/>
              <w:spacing w:line="360" w:lineRule="auto"/>
              <w:ind w:left="413"/>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 xml:space="preserve">.代理服务费承诺书（格式后附）； </w:t>
            </w:r>
          </w:p>
          <w:p w14:paraId="641C0291">
            <w:pPr>
              <w:snapToGrid w:val="0"/>
              <w:spacing w:line="360" w:lineRule="auto"/>
              <w:ind w:left="42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.设备性能配置清单（格式后附）；（</w:t>
            </w:r>
            <w:r>
              <w:rPr>
                <w:rFonts w:hint="eastAsia" w:ascii="宋体" w:hAnsi="宋体"/>
                <w:b/>
                <w:color w:val="000000" w:themeColor="text1"/>
                <w:szCs w:val="21"/>
                <w:highlight w:val="none"/>
                <w14:textFill>
                  <w14:solidFill>
                    <w14:schemeClr w14:val="tx1"/>
                  </w14:solidFill>
                </w14:textFill>
              </w:rPr>
              <w:t>必须提供，否则按无效投标处理</w:t>
            </w:r>
            <w:r>
              <w:rPr>
                <w:rFonts w:hint="eastAsia" w:ascii="宋体" w:hAnsi="宋体"/>
                <w:color w:val="000000" w:themeColor="text1"/>
                <w:szCs w:val="21"/>
                <w:highlight w:val="none"/>
                <w14:textFill>
                  <w14:solidFill>
                    <w14:schemeClr w14:val="tx1"/>
                  </w14:solidFill>
                </w14:textFill>
              </w:rPr>
              <w:t>）</w:t>
            </w:r>
          </w:p>
          <w:p w14:paraId="42CF3215">
            <w:pPr>
              <w:snapToGrid w:val="0"/>
              <w:spacing w:line="360" w:lineRule="auto"/>
              <w:ind w:left="42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.技术要求偏离表（格式后附）；（</w:t>
            </w:r>
            <w:r>
              <w:rPr>
                <w:rFonts w:hint="eastAsia" w:ascii="宋体" w:hAnsi="宋体"/>
                <w:b/>
                <w:color w:val="000000" w:themeColor="text1"/>
                <w:szCs w:val="21"/>
                <w:highlight w:val="none"/>
                <w14:textFill>
                  <w14:solidFill>
                    <w14:schemeClr w14:val="tx1"/>
                  </w14:solidFill>
                </w14:textFill>
              </w:rPr>
              <w:t>必须提供，否则按无效投标处理</w:t>
            </w:r>
            <w:r>
              <w:rPr>
                <w:rFonts w:hint="eastAsia" w:ascii="宋体" w:hAnsi="宋体"/>
                <w:color w:val="000000" w:themeColor="text1"/>
                <w:szCs w:val="21"/>
                <w:highlight w:val="none"/>
                <w14:textFill>
                  <w14:solidFill>
                    <w14:schemeClr w14:val="tx1"/>
                  </w14:solidFill>
                </w14:textFill>
              </w:rPr>
              <w:t>）</w:t>
            </w:r>
          </w:p>
          <w:p w14:paraId="02DC9AF4">
            <w:pPr>
              <w:snapToGrid w:val="0"/>
              <w:spacing w:line="360" w:lineRule="auto"/>
              <w:ind w:left="42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.项目实施方案（格式自拟）【包含但不限于项目实施方案、质量保证措施等】；</w:t>
            </w:r>
            <w:r>
              <w:rPr>
                <w:rFonts w:hint="eastAsia" w:ascii="宋体" w:hAnsi="宋体"/>
                <w:i/>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必须提供，否则按无效投标处理</w:t>
            </w:r>
            <w:r>
              <w:rPr>
                <w:rFonts w:hint="eastAsia" w:ascii="宋体" w:hAnsi="宋体"/>
                <w:i/>
                <w:color w:val="000000" w:themeColor="text1"/>
                <w:szCs w:val="21"/>
                <w:highlight w:val="none"/>
                <w14:textFill>
                  <w14:solidFill>
                    <w14:schemeClr w14:val="tx1"/>
                  </w14:solidFill>
                </w14:textFill>
              </w:rPr>
              <w:t>）</w:t>
            </w:r>
          </w:p>
          <w:p w14:paraId="46F8DB09">
            <w:pPr>
              <w:snapToGrid w:val="0"/>
              <w:spacing w:line="360" w:lineRule="auto"/>
              <w:ind w:left="42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11.</w:t>
            </w:r>
            <w:r>
              <w:rPr>
                <w:rFonts w:hint="eastAsia" w:ascii="宋体" w:hAnsi="宋体"/>
                <w:color w:val="000000" w:themeColor="text1"/>
                <w:szCs w:val="21"/>
                <w:highlight w:val="none"/>
                <w14:textFill>
                  <w14:solidFill>
                    <w14:schemeClr w14:val="tx1"/>
                  </w14:solidFill>
                </w14:textFill>
              </w:rPr>
              <w:t>对本项目系统总体要求的理解。包括：功能说明、性能指标及设备选型说明（质量、性能、价格、外观、体积等方面进行比较和选择的理由及过程，格式自拟）；</w:t>
            </w:r>
          </w:p>
          <w:p w14:paraId="1C07E0A2">
            <w:pPr>
              <w:snapToGrid w:val="0"/>
              <w:spacing w:line="360" w:lineRule="auto"/>
              <w:ind w:left="42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.产品出厂标准、质量检测报告【其中有精度要求的仪器设备类政府采购项目，应当要求投标人提供精度数据（</w:t>
            </w:r>
            <w:r>
              <w:rPr>
                <w:color w:val="000000" w:themeColor="text1"/>
                <w:highlight w:val="none"/>
                <w14:textFill>
                  <w14:solidFill>
                    <w14:schemeClr w14:val="tx1"/>
                  </w14:solidFill>
                </w14:textFill>
              </w:rPr>
              <w:t>国家认可具有资质的有资质的第三方检测机构出具的检测报告复印件</w:t>
            </w:r>
            <w:r>
              <w:rPr>
                <w:rFonts w:hint="eastAsia" w:ascii="宋体" w:hAnsi="宋体"/>
                <w:color w:val="000000" w:themeColor="text1"/>
                <w:szCs w:val="21"/>
                <w:highlight w:val="none"/>
                <w14:textFill>
                  <w14:solidFill>
                    <w14:schemeClr w14:val="tx1"/>
                  </w14:solidFill>
                </w14:textFill>
              </w:rPr>
              <w:t>或者由采购人在投标前组织的实测获得）】</w:t>
            </w:r>
          </w:p>
          <w:p w14:paraId="5C372E89">
            <w:pPr>
              <w:snapToGrid w:val="0"/>
              <w:spacing w:line="360" w:lineRule="auto"/>
              <w:ind w:left="42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.优惠条件：投标人承诺给予</w:t>
            </w:r>
            <w:r>
              <w:rPr>
                <w:rFonts w:hint="eastAsia" w:ascii="宋体" w:hAnsi="宋体"/>
                <w:color w:val="000000" w:themeColor="text1"/>
                <w:szCs w:val="21"/>
                <w:highlight w:val="none"/>
                <w:lang w:val="en-US" w:eastAsia="zh-CN"/>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人的各种优惠条件，包括售后服务、备品备件、专用耗材等方面的优惠；投标人不得给予赠品或者与采购无关的其他商品、服务；</w:t>
            </w:r>
          </w:p>
          <w:p w14:paraId="58F8DF0F">
            <w:pPr>
              <w:snapToGrid w:val="0"/>
              <w:spacing w:line="360" w:lineRule="auto"/>
              <w:ind w:left="42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.投标人对本项目的合理化建议和改进措施（格式自拟）；</w:t>
            </w:r>
          </w:p>
          <w:p w14:paraId="17FE4659">
            <w:pPr>
              <w:snapToGrid w:val="0"/>
              <w:spacing w:line="360" w:lineRule="auto"/>
              <w:ind w:left="420"/>
              <w:jc w:val="left"/>
              <w:rPr>
                <w:rFonts w:hint="eastAsia"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.除招标文件规定必须提供以外，投标人认为需要提供的其他证明材料（格式自拟）。</w:t>
            </w:r>
          </w:p>
          <w:p w14:paraId="641C4C9D">
            <w:pPr>
              <w:snapToGrid w:val="0"/>
              <w:spacing w:line="360" w:lineRule="auto"/>
              <w:ind w:left="413"/>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（投标人根据“第二章 采购需求”及“第四章 评标方法及评标标准”提供有关证明材料）。</w:t>
            </w:r>
          </w:p>
          <w:p w14:paraId="7676EC04">
            <w:pPr>
              <w:spacing w:line="360" w:lineRule="auto"/>
              <w:contextualSpacing/>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1.以上标明“必须提供”的材料必须加盖</w:t>
            </w:r>
            <w:r>
              <w:rPr>
                <w:rFonts w:hint="eastAsia" w:ascii="宋体" w:hAnsi="宋体" w:cs="宋体"/>
                <w:b/>
                <w:color w:val="000000" w:themeColor="text1"/>
                <w:szCs w:val="21"/>
                <w:highlight w:val="none"/>
                <w:lang w:val="en-US" w:eastAsia="zh-CN"/>
                <w14:textFill>
                  <w14:solidFill>
                    <w14:schemeClr w14:val="tx1"/>
                  </w14:solidFill>
                </w14:textFill>
              </w:rPr>
              <w:t>投标人</w:t>
            </w:r>
            <w:r>
              <w:rPr>
                <w:rFonts w:hint="eastAsia" w:ascii="宋体" w:hAnsi="宋体"/>
                <w:b/>
                <w:color w:val="000000" w:themeColor="text1"/>
                <w:szCs w:val="21"/>
                <w:highlight w:val="none"/>
                <w14:textFill>
                  <w14:solidFill>
                    <w14:schemeClr w14:val="tx1"/>
                  </w14:solidFill>
                </w14:textFill>
              </w:rPr>
              <w:t>电子签章</w:t>
            </w:r>
            <w:r>
              <w:rPr>
                <w:rFonts w:hint="eastAsia" w:ascii="宋体" w:hAnsi="宋体" w:cs="宋体"/>
                <w:b/>
                <w:color w:val="000000" w:themeColor="text1"/>
                <w:szCs w:val="21"/>
                <w:highlight w:val="none"/>
                <w14:textFill>
                  <w14:solidFill>
                    <w14:schemeClr w14:val="tx1"/>
                  </w14:solidFill>
                </w14:textFill>
              </w:rPr>
              <w:t>，必须提供的材料在第五章“</w:t>
            </w:r>
            <w:r>
              <w:rPr>
                <w:rFonts w:hint="eastAsia" w:ascii="宋体" w:hAnsi="宋体" w:cs="宋体"/>
                <w:b/>
                <w:color w:val="000000" w:themeColor="text1"/>
                <w:szCs w:val="21"/>
                <w:highlight w:val="none"/>
                <w:lang w:val="en-US" w:eastAsia="zh-CN"/>
                <w14:textFill>
                  <w14:solidFill>
                    <w14:schemeClr w14:val="tx1"/>
                  </w14:solidFill>
                </w14:textFill>
              </w:rPr>
              <w:t>投标</w:t>
            </w:r>
            <w:r>
              <w:rPr>
                <w:rFonts w:hint="eastAsia" w:ascii="宋体" w:hAnsi="宋体" w:cs="宋体"/>
                <w:b/>
                <w:color w:val="000000" w:themeColor="text1"/>
                <w:szCs w:val="21"/>
                <w:highlight w:val="none"/>
                <w14:textFill>
                  <w14:solidFill>
                    <w14:schemeClr w14:val="tx1"/>
                  </w14:solidFill>
                </w14:textFill>
              </w:rPr>
              <w:t>文件格式”中有要求法定代表人或委托代理人签字的，必须由法定代表人或委托代理人签字（或者电子签名），否则</w:t>
            </w:r>
            <w:r>
              <w:rPr>
                <w:rFonts w:hint="eastAsia" w:ascii="宋体" w:hAnsi="宋体" w:cs="宋体"/>
                <w:b/>
                <w:color w:val="000000" w:themeColor="text1"/>
                <w:szCs w:val="21"/>
                <w:highlight w:val="none"/>
                <w:lang w:val="en-US" w:eastAsia="zh-CN"/>
                <w14:textFill>
                  <w14:solidFill>
                    <w14:schemeClr w14:val="tx1"/>
                  </w14:solidFill>
                </w14:textFill>
              </w:rPr>
              <w:t>投标</w:t>
            </w:r>
            <w:r>
              <w:rPr>
                <w:rFonts w:hint="eastAsia" w:ascii="宋体" w:hAnsi="宋体" w:cs="宋体"/>
                <w:b/>
                <w:color w:val="000000" w:themeColor="text1"/>
                <w:szCs w:val="21"/>
                <w:highlight w:val="none"/>
                <w14:textFill>
                  <w14:solidFill>
                    <w14:schemeClr w14:val="tx1"/>
                  </w14:solidFill>
                </w14:textFill>
              </w:rPr>
              <w:t>文件按无效处理。</w:t>
            </w:r>
          </w:p>
          <w:p w14:paraId="6BBDA1E0">
            <w:pPr>
              <w:snapToGrid w:val="0"/>
              <w:spacing w:line="360" w:lineRule="auto"/>
              <w:jc w:val="left"/>
              <w:rPr>
                <w:rFonts w:hint="eastAsia" w:ascii="宋体" w:hAnsi="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w:t>
            </w:r>
            <w:r>
              <w:rPr>
                <w:rFonts w:hint="eastAsia" w:ascii="宋体" w:hAnsi="宋体" w:cs="宋体"/>
                <w:b/>
                <w:bCs/>
                <w:color w:val="000000" w:themeColor="text1"/>
                <w:szCs w:val="21"/>
                <w:highlight w:val="none"/>
                <w:lang w:val="en-US" w:eastAsia="zh-CN"/>
                <w14:textFill>
                  <w14:solidFill>
                    <w14:schemeClr w14:val="tx1"/>
                  </w14:solidFill>
                </w14:textFill>
              </w:rPr>
              <w:t>投标</w:t>
            </w:r>
            <w:r>
              <w:rPr>
                <w:rFonts w:hint="eastAsia" w:ascii="宋体" w:hAnsi="宋体" w:cs="宋体"/>
                <w:b/>
                <w:bCs/>
                <w:color w:val="000000" w:themeColor="text1"/>
                <w:szCs w:val="21"/>
                <w:highlight w:val="none"/>
                <w14:textFill>
                  <w14:solidFill>
                    <w14:schemeClr w14:val="tx1"/>
                  </w14:solidFill>
                </w14:textFill>
              </w:rPr>
              <w:t>文件（包含电子备份</w:t>
            </w:r>
            <w:r>
              <w:rPr>
                <w:rFonts w:hint="eastAsia" w:ascii="宋体" w:hAnsi="宋体" w:cs="宋体"/>
                <w:b/>
                <w:bCs/>
                <w:color w:val="000000" w:themeColor="text1"/>
                <w:szCs w:val="21"/>
                <w:highlight w:val="none"/>
                <w:lang w:val="en-US" w:eastAsia="zh-CN"/>
                <w14:textFill>
                  <w14:solidFill>
                    <w14:schemeClr w14:val="tx1"/>
                  </w14:solidFill>
                </w14:textFill>
              </w:rPr>
              <w:t>投标</w:t>
            </w:r>
            <w:r>
              <w:rPr>
                <w:rFonts w:hint="eastAsia" w:ascii="宋体" w:hAnsi="宋体" w:cs="宋体"/>
                <w:b/>
                <w:bCs/>
                <w:color w:val="000000" w:themeColor="text1"/>
                <w:szCs w:val="21"/>
                <w:highlight w:val="none"/>
                <w14:textFill>
                  <w14:solidFill>
                    <w14:schemeClr w14:val="tx1"/>
                  </w14:solidFill>
                </w14:textFill>
              </w:rPr>
              <w:t>文件），其中电子</w:t>
            </w:r>
            <w:r>
              <w:rPr>
                <w:rFonts w:hint="eastAsia" w:ascii="宋体" w:hAnsi="宋体" w:cs="宋体"/>
                <w:b/>
                <w:bCs/>
                <w:color w:val="000000" w:themeColor="text1"/>
                <w:szCs w:val="21"/>
                <w:highlight w:val="none"/>
                <w:lang w:val="en-US" w:eastAsia="zh-CN"/>
                <w14:textFill>
                  <w14:solidFill>
                    <w14:schemeClr w14:val="tx1"/>
                  </w14:solidFill>
                </w14:textFill>
              </w:rPr>
              <w:t>投标</w:t>
            </w:r>
            <w:r>
              <w:rPr>
                <w:rFonts w:hint="eastAsia" w:ascii="宋体" w:hAnsi="宋体" w:cs="宋体"/>
                <w:b/>
                <w:bCs/>
                <w:color w:val="000000" w:themeColor="text1"/>
                <w:szCs w:val="21"/>
                <w:highlight w:val="none"/>
                <w14:textFill>
                  <w14:solidFill>
                    <w14:schemeClr w14:val="tx1"/>
                  </w14:solidFill>
                </w14:textFill>
              </w:rPr>
              <w:t>文件中所须加盖公章部分均采用CA签章。若</w:t>
            </w:r>
            <w:r>
              <w:rPr>
                <w:rFonts w:hint="eastAsia" w:ascii="宋体" w:hAnsi="宋体" w:cs="宋体"/>
                <w:b/>
                <w:bCs/>
                <w:color w:val="000000" w:themeColor="text1"/>
                <w:szCs w:val="21"/>
                <w:highlight w:val="none"/>
                <w:lang w:val="en-US" w:eastAsia="zh-CN"/>
                <w14:textFill>
                  <w14:solidFill>
                    <w14:schemeClr w14:val="tx1"/>
                  </w14:solidFill>
                </w14:textFill>
              </w:rPr>
              <w:t>采购</w:t>
            </w:r>
            <w:r>
              <w:rPr>
                <w:rFonts w:hint="eastAsia" w:ascii="宋体" w:hAnsi="宋体" w:cs="宋体"/>
                <w:b/>
                <w:bCs/>
                <w:color w:val="000000" w:themeColor="text1"/>
                <w:szCs w:val="21"/>
                <w:highlight w:val="none"/>
                <w14:textFill>
                  <w14:solidFill>
                    <w14:schemeClr w14:val="tx1"/>
                  </w14:solidFill>
                </w14:textFill>
              </w:rPr>
              <w:t>文件中有专门标注的某关联点，并要求</w:t>
            </w:r>
            <w:r>
              <w:rPr>
                <w:rFonts w:hint="eastAsia" w:ascii="宋体" w:hAnsi="宋体" w:cs="宋体"/>
                <w:b/>
                <w:bCs/>
                <w:color w:val="000000" w:themeColor="text1"/>
                <w:szCs w:val="21"/>
                <w:highlight w:val="none"/>
                <w:lang w:val="en-US" w:eastAsia="zh-CN"/>
                <w14:textFill>
                  <w14:solidFill>
                    <w14:schemeClr w14:val="tx1"/>
                  </w14:solidFill>
                </w14:textFill>
              </w:rPr>
              <w:t>投标人</w:t>
            </w:r>
            <w:r>
              <w:rPr>
                <w:rFonts w:hint="eastAsia" w:ascii="宋体" w:hAnsi="宋体" w:cs="宋体"/>
                <w:b/>
                <w:bCs/>
                <w:color w:val="000000" w:themeColor="text1"/>
                <w:szCs w:val="21"/>
                <w:highlight w:val="none"/>
                <w14:textFill>
                  <w14:solidFill>
                    <w14:schemeClr w14:val="tx1"/>
                  </w14:solidFill>
                </w14:textFill>
              </w:rPr>
              <w:t>在电子</w:t>
            </w:r>
            <w:r>
              <w:rPr>
                <w:rFonts w:hint="eastAsia" w:ascii="宋体" w:hAnsi="宋体" w:cs="宋体"/>
                <w:b/>
                <w:bCs/>
                <w:color w:val="000000" w:themeColor="text1"/>
                <w:szCs w:val="21"/>
                <w:highlight w:val="none"/>
                <w:lang w:val="en-US" w:eastAsia="zh-CN"/>
                <w14:textFill>
                  <w14:solidFill>
                    <w14:schemeClr w14:val="tx1"/>
                  </w14:solidFill>
                </w14:textFill>
              </w:rPr>
              <w:t>投</w:t>
            </w:r>
            <w:r>
              <w:rPr>
                <w:rFonts w:hint="eastAsia" w:ascii="宋体" w:hAnsi="宋体" w:cs="宋体"/>
                <w:b/>
                <w:bCs/>
                <w:color w:val="000000" w:themeColor="text1"/>
                <w:szCs w:val="21"/>
                <w:highlight w:val="none"/>
                <w14:textFill>
                  <w14:solidFill>
                    <w14:schemeClr w14:val="tx1"/>
                  </w14:solidFill>
                </w14:textFill>
              </w:rPr>
              <w:t>标系统中作出</w:t>
            </w:r>
            <w:r>
              <w:rPr>
                <w:rFonts w:hint="eastAsia" w:ascii="宋体" w:hAnsi="宋体" w:cs="宋体"/>
                <w:b/>
                <w:bCs/>
                <w:color w:val="000000" w:themeColor="text1"/>
                <w:szCs w:val="21"/>
                <w:highlight w:val="none"/>
                <w:lang w:val="en-US" w:eastAsia="zh-CN"/>
                <w14:textFill>
                  <w14:solidFill>
                    <w14:schemeClr w14:val="tx1"/>
                  </w14:solidFill>
                </w14:textFill>
              </w:rPr>
              <w:t>投</w:t>
            </w:r>
            <w:r>
              <w:rPr>
                <w:rFonts w:hint="eastAsia" w:ascii="宋体" w:hAnsi="宋体" w:cs="宋体"/>
                <w:b/>
                <w:bCs/>
                <w:color w:val="000000" w:themeColor="text1"/>
                <w:szCs w:val="21"/>
                <w:highlight w:val="none"/>
                <w14:textFill>
                  <w14:solidFill>
                    <w14:schemeClr w14:val="tx1"/>
                  </w14:solidFill>
                </w14:textFill>
              </w:rPr>
              <w:t>标响应的，如</w:t>
            </w:r>
            <w:r>
              <w:rPr>
                <w:rFonts w:hint="eastAsia" w:ascii="宋体" w:hAnsi="宋体" w:cs="宋体"/>
                <w:b/>
                <w:bCs/>
                <w:color w:val="000000" w:themeColor="text1"/>
                <w:szCs w:val="21"/>
                <w:highlight w:val="none"/>
                <w:lang w:val="en-US" w:eastAsia="zh-CN"/>
                <w14:textFill>
                  <w14:solidFill>
                    <w14:schemeClr w14:val="tx1"/>
                  </w14:solidFill>
                </w14:textFill>
              </w:rPr>
              <w:t>投标人</w:t>
            </w:r>
            <w:r>
              <w:rPr>
                <w:rFonts w:hint="eastAsia" w:ascii="宋体" w:hAnsi="宋体" w:cs="宋体"/>
                <w:b/>
                <w:bCs/>
                <w:color w:val="000000" w:themeColor="text1"/>
                <w:szCs w:val="21"/>
                <w:highlight w:val="none"/>
                <w14:textFill>
                  <w14:solidFill>
                    <w14:schemeClr w14:val="tx1"/>
                  </w14:solidFill>
                </w14:textFill>
              </w:rPr>
              <w:t>未对关联点进行响应或者在</w:t>
            </w:r>
            <w:r>
              <w:rPr>
                <w:rFonts w:hint="eastAsia" w:ascii="宋体" w:hAnsi="宋体" w:cs="宋体"/>
                <w:b/>
                <w:bCs/>
                <w:color w:val="000000" w:themeColor="text1"/>
                <w:szCs w:val="21"/>
                <w:highlight w:val="none"/>
                <w:lang w:val="en-US" w:eastAsia="zh-CN"/>
                <w14:textFill>
                  <w14:solidFill>
                    <w14:schemeClr w14:val="tx1"/>
                  </w14:solidFill>
                </w14:textFill>
              </w:rPr>
              <w:t>投标</w:t>
            </w:r>
            <w:r>
              <w:rPr>
                <w:rFonts w:hint="eastAsia" w:ascii="宋体" w:hAnsi="宋体" w:cs="宋体"/>
                <w:b/>
                <w:bCs/>
                <w:color w:val="000000" w:themeColor="text1"/>
                <w:szCs w:val="21"/>
                <w:highlight w:val="none"/>
                <w14:textFill>
                  <w14:solidFill>
                    <w14:schemeClr w14:val="tx1"/>
                  </w14:solidFill>
                </w14:textFill>
              </w:rPr>
              <w:t>文件其它内容进行描述，造成电子评审不能查询的责任由供应商自行承担。</w:t>
            </w:r>
          </w:p>
        </w:tc>
      </w:tr>
      <w:tr w14:paraId="5D52B8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31F80749">
            <w:pPr>
              <w:spacing w:line="360" w:lineRule="auto"/>
              <w:jc w:val="center"/>
              <w:rPr>
                <w:rFonts w:hint="eastAsia" w:ascii="宋体" w:hAnsi="宋体"/>
                <w:color w:val="000000" w:themeColor="text1"/>
                <w:szCs w:val="21"/>
                <w:highlight w:val="none"/>
                <w14:textFill>
                  <w14:solidFill>
                    <w14:schemeClr w14:val="tx1"/>
                  </w14:solidFill>
                </w14:textFill>
              </w:rPr>
            </w:pPr>
            <w:bookmarkStart w:id="61" w:name="_16.2"/>
            <w:bookmarkEnd w:id="61"/>
            <w:bookmarkStart w:id="62" w:name="_13.4"/>
            <w:bookmarkEnd w:id="62"/>
            <w:bookmarkStart w:id="63" w:name="_13.5"/>
            <w:bookmarkEnd w:id="63"/>
            <w:r>
              <w:rPr>
                <w:rFonts w:hint="eastAsia" w:ascii="宋体" w:hAnsi="宋体"/>
                <w:color w:val="000000" w:themeColor="text1"/>
                <w:szCs w:val="21"/>
                <w:highlight w:val="none"/>
                <w14:textFill>
                  <w14:solidFill>
                    <w14:schemeClr w14:val="tx1"/>
                  </w14:solidFill>
                </w14:textFill>
              </w:rPr>
              <w:t>16</w:t>
            </w:r>
            <w:bookmarkStart w:id="64" w:name="_Hlt19693758"/>
            <w:bookmarkStart w:id="65" w:name="_Hlt19693759"/>
            <w:bookmarkStart w:id="66" w:name="_Hlt19194066"/>
            <w:bookmarkStart w:id="67" w:name="_Hlt19194067"/>
            <w:r>
              <w:rPr>
                <w:rFonts w:hint="eastAsia" w:ascii="宋体" w:hAnsi="宋体"/>
                <w:color w:val="000000" w:themeColor="text1"/>
                <w:szCs w:val="21"/>
                <w:highlight w:val="none"/>
                <w14:textFill>
                  <w14:solidFill>
                    <w14:schemeClr w14:val="tx1"/>
                  </w14:solidFill>
                </w14:textFill>
              </w:rPr>
              <w:t>.</w:t>
            </w:r>
            <w:bookmarkEnd w:id="64"/>
            <w:bookmarkEnd w:id="65"/>
            <w:bookmarkEnd w:id="66"/>
            <w:bookmarkEnd w:id="67"/>
            <w:r>
              <w:rPr>
                <w:rFonts w:hint="eastAsia" w:ascii="宋体" w:hAnsi="宋体"/>
                <w:color w:val="000000" w:themeColor="text1"/>
                <w:szCs w:val="21"/>
                <w:highlight w:val="none"/>
                <w14:textFill>
                  <w14:solidFill>
                    <w14:schemeClr w14:val="tx1"/>
                  </w14:solidFill>
                </w14:textFill>
              </w:rPr>
              <w:t>2</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693FA25E">
            <w:pPr>
              <w:spacing w:line="440" w:lineRule="exact"/>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投标报价是履行合同的最终价格，</w:t>
            </w:r>
            <w:r>
              <w:rPr>
                <w:rFonts w:hint="eastAsia"/>
                <w:color w:val="000000" w:themeColor="text1"/>
                <w:szCs w:val="21"/>
                <w:highlight w:val="none"/>
                <w14:textFill>
                  <w14:solidFill>
                    <w14:schemeClr w14:val="tx1"/>
                  </w14:solidFill>
                </w14:textFill>
              </w:rPr>
              <w:t>包括但不限于货款、标准附件、备品备件、专用工具、包装、运输、装卸、保险、税金、货到就位以及安装、调试、培训、保修、验收等一切税金和费用。投标人在固定总价中必须考虑各种风险费用。在合同履行过程中，采购人不予支付合同以外的其他费用。投标人负责工人人身、设备安全责任，验收前，设备丢失自行负责。</w:t>
            </w:r>
          </w:p>
        </w:tc>
      </w:tr>
      <w:tr w14:paraId="6C2C78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0E5033A5">
            <w:pPr>
              <w:spacing w:line="360" w:lineRule="auto"/>
              <w:jc w:val="center"/>
              <w:rPr>
                <w:rFonts w:hint="eastAsia" w:ascii="宋体" w:hAnsi="宋体"/>
                <w:color w:val="000000" w:themeColor="text1"/>
                <w:szCs w:val="21"/>
                <w:highlight w:val="none"/>
                <w14:textFill>
                  <w14:solidFill>
                    <w14:schemeClr w14:val="tx1"/>
                  </w14:solidFill>
                </w14:textFill>
              </w:rPr>
            </w:pPr>
            <w:bookmarkStart w:id="68" w:name="_17.1"/>
            <w:bookmarkEnd w:id="68"/>
            <w:r>
              <w:rPr>
                <w:rFonts w:hint="eastAsia" w:ascii="宋体" w:hAnsi="宋体"/>
                <w:color w:val="000000" w:themeColor="text1"/>
                <w:szCs w:val="21"/>
                <w:highlight w:val="none"/>
                <w14:textFill>
                  <w14:solidFill>
                    <w14:schemeClr w14:val="tx1"/>
                  </w14:solidFill>
                </w14:textFill>
              </w:rPr>
              <w:t>17.</w:t>
            </w:r>
            <w:r>
              <w:rPr>
                <w:rFonts w:ascii="宋体" w:hAnsi="宋体"/>
                <w:color w:val="000000" w:themeColor="text1"/>
                <w:szCs w:val="21"/>
                <w:highlight w:val="none"/>
                <w14:textFill>
                  <w14:solidFill>
                    <w14:schemeClr w14:val="tx1"/>
                  </w14:solidFill>
                </w14:textFill>
              </w:rPr>
              <w:t>2</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37164656">
            <w:pPr>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投标有效期：自投标截止之日起</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60</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tc>
      </w:tr>
      <w:tr w14:paraId="3D1C09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6191E6C0">
            <w:pPr>
              <w:spacing w:line="360" w:lineRule="auto"/>
              <w:jc w:val="center"/>
              <w:rPr>
                <w:rFonts w:hint="eastAsia" w:ascii="宋体" w:hAnsi="宋体"/>
                <w:color w:val="000000" w:themeColor="text1"/>
                <w:szCs w:val="21"/>
                <w:highlight w:val="none"/>
                <w14:textFill>
                  <w14:solidFill>
                    <w14:schemeClr w14:val="tx1"/>
                  </w14:solidFill>
                </w14:textFill>
              </w:rPr>
            </w:pPr>
            <w:bookmarkStart w:id="69" w:name="_18"/>
            <w:bookmarkEnd w:id="69"/>
            <w:r>
              <w:rPr>
                <w:rFonts w:hint="eastAsia" w:ascii="宋体" w:hAnsi="宋体"/>
                <w:color w:val="000000" w:themeColor="text1"/>
                <w:szCs w:val="21"/>
                <w:highlight w:val="none"/>
                <w14:textFill>
                  <w14:solidFill>
                    <w14:schemeClr w14:val="tx1"/>
                  </w14:solidFill>
                </w14:textFill>
              </w:rPr>
              <w:t>18</w:t>
            </w:r>
            <w:r>
              <w:rPr>
                <w:rFonts w:ascii="宋体" w:hAnsi="宋体"/>
                <w:color w:val="000000" w:themeColor="text1"/>
                <w:szCs w:val="21"/>
                <w:highlight w:val="none"/>
                <w14:textFill>
                  <w14:solidFill>
                    <w14:schemeClr w14:val="tx1"/>
                  </w14:solidFill>
                </w14:textFill>
              </w:rPr>
              <w:t>.1</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7C22BECE">
            <w:pPr>
              <w:autoSpaceDE w:val="0"/>
              <w:autoSpaceDN w:val="0"/>
              <w:snapToGrid w:val="0"/>
              <w:spacing w:line="360" w:lineRule="auto"/>
              <w:textAlignment w:val="bottom"/>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□本项目不收取投标保证金。</w:t>
            </w:r>
          </w:p>
          <w:p w14:paraId="3C29AAA0">
            <w:pPr>
              <w:snapToGrid w:val="0"/>
              <w:spacing w:line="360" w:lineRule="auto"/>
              <w:rPr>
                <w:rFonts w:hint="eastAsia" w:ascii="宋体" w:hAnsi="宋体"/>
                <w:color w:val="000000" w:themeColor="text1"/>
                <w:szCs w:val="21"/>
                <w:highlight w:val="none"/>
                <w14:textFill>
                  <w14:solidFill>
                    <w14:schemeClr w14:val="tx1"/>
                  </w14:solidFill>
                </w14:textFill>
              </w:rPr>
            </w:pPr>
            <w:r>
              <w:rPr>
                <w:rFonts w:ascii="Wingdings 2" w:hAnsi="Wingdings 2"/>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本项目收取投标保证金，具体规定如下：</w:t>
            </w:r>
          </w:p>
          <w:p w14:paraId="6C22A575">
            <w:pPr>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u w:val="single"/>
                <w:lang w:val="en-US" w:eastAsia="zh-CN"/>
                <w14:textFill>
                  <w14:solidFill>
                    <w14:schemeClr w14:val="tx1"/>
                  </w14:solidFill>
                </w14:textFill>
              </w:rPr>
              <w:t>1分标：</w:t>
            </w:r>
            <w:r>
              <w:rPr>
                <w:rFonts w:hint="eastAsia" w:ascii="宋体" w:hAnsi="宋体" w:cs="宋体"/>
                <w:b/>
                <w:bCs/>
                <w:color w:val="000000" w:themeColor="text1"/>
                <w:kern w:val="0"/>
                <w:szCs w:val="21"/>
                <w:highlight w:val="none"/>
                <w:u w:val="single"/>
                <w:lang w:val="en-US" w:eastAsia="zh-CN"/>
                <w14:textFill>
                  <w14:solidFill>
                    <w14:schemeClr w14:val="tx1"/>
                  </w14:solidFill>
                </w14:textFill>
              </w:rPr>
              <w:t>贰万伍千元整</w:t>
            </w:r>
            <w:r>
              <w:rPr>
                <w:rFonts w:hint="eastAsia" w:ascii="宋体" w:hAnsi="宋体" w:cs="宋体"/>
                <w:b/>
                <w:bCs/>
                <w:color w:val="000000" w:themeColor="text1"/>
                <w:kern w:val="0"/>
                <w:szCs w:val="21"/>
                <w:highlight w:val="none"/>
                <w:u w:val="single"/>
                <w14:textFill>
                  <w14:solidFill>
                    <w14:schemeClr w14:val="tx1"/>
                  </w14:solidFill>
                </w14:textFill>
              </w:rPr>
              <w:t>（</w:t>
            </w:r>
            <w:r>
              <w:rPr>
                <w:rFonts w:hint="eastAsia" w:ascii="Malgun Gothic" w:hAnsi="Malgun Gothic" w:eastAsia="Malgun Gothic" w:cs="Malgun Gothic"/>
                <w:b/>
                <w:bCs/>
                <w:color w:val="000000" w:themeColor="text1"/>
                <w:kern w:val="0"/>
                <w:szCs w:val="21"/>
                <w:highlight w:val="none"/>
                <w:u w:val="single"/>
                <w14:textFill>
                  <w14:solidFill>
                    <w14:schemeClr w14:val="tx1"/>
                  </w14:solidFill>
                </w14:textFill>
              </w:rPr>
              <w:t>￥</w:t>
            </w:r>
            <w:r>
              <w:rPr>
                <w:rFonts w:hint="eastAsia" w:ascii="宋体" w:hAnsi="宋体" w:cs="宋体"/>
                <w:b/>
                <w:bCs/>
                <w:color w:val="000000" w:themeColor="text1"/>
                <w:kern w:val="0"/>
                <w:szCs w:val="21"/>
                <w:highlight w:val="none"/>
                <w:u w:val="single"/>
                <w:lang w:val="en-US" w:eastAsia="zh-CN"/>
                <w14:textFill>
                  <w14:solidFill>
                    <w14:schemeClr w14:val="tx1"/>
                  </w14:solidFill>
                </w14:textFill>
              </w:rPr>
              <w:t>25</w:t>
            </w:r>
            <w:r>
              <w:rPr>
                <w:rFonts w:hint="eastAsia" w:ascii="宋体" w:hAnsi="宋体" w:eastAsia="宋体" w:cs="宋体"/>
                <w:b/>
                <w:bCs/>
                <w:color w:val="000000" w:themeColor="text1"/>
                <w:kern w:val="0"/>
                <w:szCs w:val="21"/>
                <w:highlight w:val="none"/>
                <w:u w:val="single"/>
                <w:lang w:val="en-US" w:eastAsia="zh-CN"/>
                <w14:textFill>
                  <w14:solidFill>
                    <w14:schemeClr w14:val="tx1"/>
                  </w14:solidFill>
                </w14:textFill>
              </w:rPr>
              <w:t>0</w:t>
            </w:r>
            <w:r>
              <w:rPr>
                <w:rFonts w:hint="eastAsia" w:ascii="宋体" w:hAnsi="宋体" w:cs="宋体"/>
                <w:b/>
                <w:bCs/>
                <w:color w:val="000000" w:themeColor="text1"/>
                <w:kern w:val="0"/>
                <w:szCs w:val="21"/>
                <w:highlight w:val="none"/>
                <w:u w:val="single"/>
                <w14:textFill>
                  <w14:solidFill>
                    <w14:schemeClr w14:val="tx1"/>
                  </w14:solidFill>
                </w14:textFill>
              </w:rPr>
              <w:t>00.00）</w:t>
            </w:r>
            <w:r>
              <w:rPr>
                <w:rFonts w:hint="eastAsia" w:ascii="宋体" w:hAnsi="宋体" w:cs="宋体"/>
                <w:b/>
                <w:color w:val="000000" w:themeColor="text1"/>
                <w:kern w:val="0"/>
                <w:szCs w:val="21"/>
                <w:highlight w:val="none"/>
                <w:u w:val="single"/>
                <w:lang w:eastAsia="zh-CN"/>
                <w14:textFill>
                  <w14:solidFill>
                    <w14:schemeClr w14:val="tx1"/>
                  </w14:solidFill>
                </w14:textFill>
              </w:rPr>
              <w:t>；</w:t>
            </w:r>
            <w:r>
              <w:rPr>
                <w:rFonts w:hint="eastAsia" w:ascii="宋体" w:hAnsi="宋体"/>
                <w:b/>
                <w:bCs/>
                <w:color w:val="000000" w:themeColor="text1"/>
                <w:szCs w:val="21"/>
                <w:highlight w:val="none"/>
                <w:u w:val="single"/>
                <w:lang w:val="en-US" w:eastAsia="zh-CN"/>
                <w14:textFill>
                  <w14:solidFill>
                    <w14:schemeClr w14:val="tx1"/>
                  </w14:solidFill>
                </w14:textFill>
              </w:rPr>
              <w:t>2分标：</w:t>
            </w:r>
            <w:r>
              <w:rPr>
                <w:rFonts w:hint="eastAsia" w:ascii="宋体" w:hAnsi="宋体" w:cs="宋体"/>
                <w:b/>
                <w:bCs/>
                <w:color w:val="000000" w:themeColor="text1"/>
                <w:kern w:val="0"/>
                <w:szCs w:val="21"/>
                <w:highlight w:val="none"/>
                <w:u w:val="single"/>
                <w:lang w:val="en-US" w:eastAsia="zh-CN"/>
                <w14:textFill>
                  <w14:solidFill>
                    <w14:schemeClr w14:val="tx1"/>
                  </w14:solidFill>
                </w14:textFill>
              </w:rPr>
              <w:t>贰万元整</w:t>
            </w:r>
            <w:r>
              <w:rPr>
                <w:rFonts w:hint="eastAsia" w:ascii="宋体" w:hAnsi="宋体" w:cs="宋体"/>
                <w:b/>
                <w:bCs/>
                <w:color w:val="000000" w:themeColor="text1"/>
                <w:kern w:val="0"/>
                <w:szCs w:val="21"/>
                <w:highlight w:val="none"/>
                <w:u w:val="single"/>
                <w14:textFill>
                  <w14:solidFill>
                    <w14:schemeClr w14:val="tx1"/>
                  </w14:solidFill>
                </w14:textFill>
              </w:rPr>
              <w:t>（</w:t>
            </w:r>
            <w:r>
              <w:rPr>
                <w:rFonts w:hint="eastAsia" w:ascii="Malgun Gothic" w:hAnsi="Malgun Gothic" w:eastAsia="Malgun Gothic" w:cs="Malgun Gothic"/>
                <w:b/>
                <w:bCs/>
                <w:color w:val="000000" w:themeColor="text1"/>
                <w:kern w:val="0"/>
                <w:szCs w:val="21"/>
                <w:highlight w:val="none"/>
                <w:u w:val="single"/>
                <w14:textFill>
                  <w14:solidFill>
                    <w14:schemeClr w14:val="tx1"/>
                  </w14:solidFill>
                </w14:textFill>
              </w:rPr>
              <w:t>￥</w:t>
            </w:r>
            <w:r>
              <w:rPr>
                <w:rFonts w:hint="eastAsia" w:ascii="宋体" w:hAnsi="宋体" w:cs="宋体"/>
                <w:b/>
                <w:bCs/>
                <w:color w:val="000000" w:themeColor="text1"/>
                <w:kern w:val="0"/>
                <w:szCs w:val="21"/>
                <w:highlight w:val="none"/>
                <w:u w:val="single"/>
                <w:lang w:val="en-US" w:eastAsia="zh-CN"/>
                <w14:textFill>
                  <w14:solidFill>
                    <w14:schemeClr w14:val="tx1"/>
                  </w14:solidFill>
                </w14:textFill>
              </w:rPr>
              <w:t>20</w:t>
            </w:r>
            <w:r>
              <w:rPr>
                <w:rFonts w:hint="eastAsia" w:ascii="宋体" w:hAnsi="宋体" w:eastAsia="宋体" w:cs="宋体"/>
                <w:b/>
                <w:bCs/>
                <w:color w:val="000000" w:themeColor="text1"/>
                <w:kern w:val="0"/>
                <w:szCs w:val="21"/>
                <w:highlight w:val="none"/>
                <w:u w:val="single"/>
                <w:lang w:val="en-US" w:eastAsia="zh-CN"/>
                <w14:textFill>
                  <w14:solidFill>
                    <w14:schemeClr w14:val="tx1"/>
                  </w14:solidFill>
                </w14:textFill>
              </w:rPr>
              <w:t>0</w:t>
            </w:r>
            <w:r>
              <w:rPr>
                <w:rFonts w:hint="eastAsia" w:ascii="宋体" w:hAnsi="宋体" w:cs="宋体"/>
                <w:b/>
                <w:bCs/>
                <w:color w:val="000000" w:themeColor="text1"/>
                <w:kern w:val="0"/>
                <w:szCs w:val="21"/>
                <w:highlight w:val="none"/>
                <w:u w:val="single"/>
                <w14:textFill>
                  <w14:solidFill>
                    <w14:schemeClr w14:val="tx1"/>
                  </w14:solidFill>
                </w14:textFill>
              </w:rPr>
              <w:t>00.00）</w:t>
            </w:r>
            <w:r>
              <w:rPr>
                <w:rFonts w:hint="eastAsia" w:ascii="宋体" w:hAnsi="宋体" w:cs="宋体"/>
                <w:color w:val="000000" w:themeColor="text1"/>
                <w:kern w:val="0"/>
                <w:szCs w:val="21"/>
                <w:highlight w:val="none"/>
                <w14:textFill>
                  <w14:solidFill>
                    <w14:schemeClr w14:val="tx1"/>
                  </w14:solidFill>
                </w14:textFill>
              </w:rPr>
              <w:t>。</w:t>
            </w:r>
          </w:p>
          <w:p w14:paraId="7BE0C224">
            <w:pPr>
              <w:snapToGrid w:val="0"/>
              <w:spacing w:line="360" w:lineRule="auto"/>
              <w:rPr>
                <w:rFonts w:hint="eastAsia" w:ascii="宋体" w:hAnsi="宋体"/>
                <w:b/>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投标保证金的交纳方式：银行转账、支票、汇票、本票或者银行、保险机构出具的保函（包含电子保函），禁止采用现钞方式。采用银行转账方式的，在投标截止时间前</w:t>
            </w:r>
            <w:r>
              <w:rPr>
                <w:rFonts w:hint="eastAsia"/>
                <w:color w:val="000000" w:themeColor="text1"/>
                <w:highlight w:val="none"/>
                <w14:textFill>
                  <w14:solidFill>
                    <w14:schemeClr w14:val="tx1"/>
                  </w14:solidFill>
                </w14:textFill>
              </w:rPr>
              <w:t>从投标人账户</w:t>
            </w:r>
            <w:r>
              <w:rPr>
                <w:rFonts w:hint="eastAsia" w:ascii="宋体" w:hAnsi="宋体" w:cs="宋体"/>
                <w:color w:val="000000" w:themeColor="text1"/>
                <w:kern w:val="0"/>
                <w:szCs w:val="21"/>
                <w:highlight w:val="none"/>
                <w14:textFill>
                  <w14:solidFill>
                    <w14:schemeClr w14:val="tx1"/>
                  </w14:solidFill>
                </w14:textFill>
              </w:rPr>
              <w:t>交至指定账户并且到账（</w:t>
            </w:r>
            <w:r>
              <w:rPr>
                <w:rFonts w:hint="eastAsia" w:ascii="宋体" w:hAnsi="宋体" w:cs="宋体"/>
                <w:color w:val="000000" w:themeColor="text1"/>
                <w:kern w:val="0"/>
                <w:szCs w:val="21"/>
                <w:highlight w:val="none"/>
                <w:u w:val="single"/>
                <w:lang w:val="en-US" w:eastAsia="zh-CN"/>
                <w14:textFill>
                  <w14:solidFill>
                    <w14:schemeClr w14:val="tx1"/>
                  </w14:solidFill>
                </w14:textFill>
              </w:rPr>
              <w:t>1分标：</w:t>
            </w:r>
            <w:r>
              <w:rPr>
                <w:rFonts w:hint="eastAsia" w:ascii="宋体" w:hAnsi="宋体"/>
                <w:color w:val="000000" w:themeColor="text1"/>
                <w:szCs w:val="21"/>
                <w:highlight w:val="none"/>
                <w:u w:val="single"/>
                <w14:textFill>
                  <w14:solidFill>
                    <w14:schemeClr w14:val="tx1"/>
                  </w14:solidFill>
                </w14:textFill>
              </w:rPr>
              <w:t>开户银行：钦州市区农村信用合作联社政务服务中心分社，开户名称：钦州市公共资源交易中心，银行账号</w:t>
            </w:r>
            <w:r>
              <w:rPr>
                <w:rFonts w:hint="eastAsia" w:ascii="宋体" w:hAnsi="宋体"/>
                <w:color w:val="000000" w:themeColor="text1"/>
                <w:szCs w:val="21"/>
                <w:highlight w:val="none"/>
                <w:u w:val="single"/>
                <w:lang w:eastAsia="zh-CN"/>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800821600000187</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cs="宋体"/>
                <w:color w:val="000000" w:themeColor="text1"/>
                <w:kern w:val="0"/>
                <w:szCs w:val="21"/>
                <w:highlight w:val="none"/>
                <w:u w:val="single"/>
                <w:lang w:val="en-US" w:eastAsia="zh-CN"/>
                <w14:textFill>
                  <w14:solidFill>
                    <w14:schemeClr w14:val="tx1"/>
                  </w14:solidFill>
                </w14:textFill>
              </w:rPr>
              <w:t>2分标：</w:t>
            </w:r>
            <w:r>
              <w:rPr>
                <w:rFonts w:hint="eastAsia" w:ascii="宋体" w:hAnsi="宋体"/>
                <w:color w:val="000000" w:themeColor="text1"/>
                <w:szCs w:val="21"/>
                <w:highlight w:val="none"/>
                <w:u w:val="single"/>
                <w14:textFill>
                  <w14:solidFill>
                    <w14:schemeClr w14:val="tx1"/>
                  </w14:solidFill>
                </w14:textFill>
              </w:rPr>
              <w:t>开户银行：钦州市区农村信用合作联社政务服务中心分社，开户名称：钦州市公共资源交易中心，银行账号：800821600000196;</w:t>
            </w:r>
            <w:r>
              <w:rPr>
                <w:rFonts w:hint="eastAsia" w:ascii="宋体" w:hAnsi="宋体" w:cs="宋体"/>
                <w:color w:val="000000" w:themeColor="text1"/>
                <w:kern w:val="0"/>
                <w:szCs w:val="21"/>
                <w:highlight w:val="none"/>
                <w14:textFill>
                  <w14:solidFill>
                    <w14:schemeClr w14:val="tx1"/>
                  </w14:solidFill>
                </w14:textFill>
              </w:rPr>
              <w:t>）；采用支票、汇票、本票或者保函等方式的，在投标截止时间前，投标人必须递交单独密封的支票、汇票、本票或者保函原件</w:t>
            </w:r>
            <w:r>
              <w:rPr>
                <w:rFonts w:hint="eastAsia" w:ascii="宋体" w:hAnsi="宋体" w:cs="宋体"/>
                <w:color w:val="000000" w:themeColor="text1"/>
                <w:kern w:val="0"/>
                <w:szCs w:val="21"/>
                <w:highlight w:val="none"/>
                <w:lang w:eastAsia="zh-CN"/>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电子保函除外</w:t>
            </w:r>
            <w:r>
              <w:rPr>
                <w:rFonts w:hint="eastAsia" w:ascii="宋体" w:hAnsi="宋体" w:cs="宋体"/>
                <w:color w:val="000000" w:themeColor="text1"/>
                <w:kern w:val="0"/>
                <w:szCs w:val="21"/>
                <w:highlight w:val="none"/>
                <w:lang w:eastAsia="zh-CN"/>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b/>
                <w:color w:val="000000" w:themeColor="text1"/>
                <w:kern w:val="0"/>
                <w:szCs w:val="21"/>
                <w:highlight w:val="none"/>
                <w14:textFill>
                  <w14:solidFill>
                    <w14:schemeClr w14:val="tx1"/>
                  </w14:solidFill>
                </w14:textFill>
              </w:rPr>
              <w:t>否则视为无效投标保证金。</w:t>
            </w:r>
          </w:p>
          <w:p w14:paraId="4462B904">
            <w:pPr>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相关要求：</w:t>
            </w:r>
          </w:p>
          <w:p w14:paraId="77EC479E">
            <w:pPr>
              <w:pStyle w:val="19"/>
              <w:spacing w:line="360" w:lineRule="auto"/>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1.投标保证金采用银行转账交纳方式，在投标截止时间前交至指定账户并且到账，投标人应将银行转账底单的复印件作为投标保证金提交凭证，放置于商务及技术文件中，</w:t>
            </w:r>
            <w:r>
              <w:rPr>
                <w:rFonts w:hint="eastAsia" w:ascii="宋体" w:hAnsi="宋体"/>
                <w:b/>
                <w:color w:val="000000" w:themeColor="text1"/>
                <w:szCs w:val="21"/>
                <w:highlight w:val="none"/>
                <w:lang w:val="en-US" w:eastAsia="zh-CN"/>
                <w14:textFill>
                  <w14:solidFill>
                    <w14:schemeClr w14:val="tx1"/>
                  </w14:solidFill>
                </w14:textFill>
              </w:rPr>
              <w:t>否则投标无效</w:t>
            </w:r>
            <w:r>
              <w:rPr>
                <w:rFonts w:hint="eastAsia" w:ascii="宋体" w:hAnsi="宋体"/>
                <w:color w:val="000000" w:themeColor="text1"/>
                <w:szCs w:val="21"/>
                <w:highlight w:val="none"/>
                <w:lang w:val="en-US" w:eastAsia="zh-CN"/>
                <w14:textFill>
                  <w14:solidFill>
                    <w14:schemeClr w14:val="tx1"/>
                  </w14:solidFill>
                </w14:textFill>
              </w:rPr>
              <w:t>。</w:t>
            </w:r>
          </w:p>
          <w:p w14:paraId="6084331D">
            <w:pPr>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2.投标保证金采用支票、汇票、本票或者银行、保险机构出具的保函</w:t>
            </w:r>
            <w:r>
              <w:rPr>
                <w:rFonts w:hint="eastAsia"/>
                <w:color w:val="000000" w:themeColor="text1"/>
                <w:highlight w:val="none"/>
                <w14:textFill>
                  <w14:solidFill>
                    <w14:schemeClr w14:val="tx1"/>
                  </w14:solidFill>
                </w14:textFill>
              </w:rPr>
              <w:t>（包含电子保函）</w:t>
            </w:r>
            <w:r>
              <w:rPr>
                <w:rFonts w:hint="eastAsia" w:ascii="宋体" w:hAnsi="宋体"/>
                <w:color w:val="000000" w:themeColor="text1"/>
                <w:szCs w:val="21"/>
                <w:highlight w:val="none"/>
                <w14:textFill>
                  <w14:solidFill>
                    <w14:schemeClr w14:val="tx1"/>
                  </w14:solidFill>
                </w14:textFill>
              </w:rPr>
              <w:t>交纳方式的，投标人应将支票、汇票、本票或者银行、保险机构出具的保函</w:t>
            </w:r>
            <w:r>
              <w:rPr>
                <w:rFonts w:hint="eastAsia"/>
                <w:color w:val="000000" w:themeColor="text1"/>
                <w:highlight w:val="none"/>
                <w14:textFill>
                  <w14:solidFill>
                    <w14:schemeClr w14:val="tx1"/>
                  </w14:solidFill>
                </w14:textFill>
              </w:rPr>
              <w:t>（包含电子保函）</w:t>
            </w:r>
            <w:r>
              <w:rPr>
                <w:rFonts w:hint="eastAsia" w:ascii="宋体" w:hAnsi="宋体"/>
                <w:color w:val="000000" w:themeColor="text1"/>
                <w:szCs w:val="21"/>
                <w:highlight w:val="none"/>
                <w14:textFill>
                  <w14:solidFill>
                    <w14:schemeClr w14:val="tx1"/>
                  </w14:solidFill>
                </w14:textFill>
              </w:rPr>
              <w:t>的复印件作为投标保证金提交凭证，放置于商务及技术文件中，</w:t>
            </w:r>
            <w:r>
              <w:rPr>
                <w:rFonts w:hint="eastAsia" w:ascii="宋体" w:hAnsi="宋体"/>
                <w:b/>
                <w:color w:val="000000" w:themeColor="text1"/>
                <w:szCs w:val="21"/>
                <w:highlight w:val="none"/>
                <w14:textFill>
                  <w14:solidFill>
                    <w14:schemeClr w14:val="tx1"/>
                  </w14:solidFill>
                </w14:textFill>
              </w:rPr>
              <w:t>否则投标无效</w:t>
            </w:r>
            <w:r>
              <w:rPr>
                <w:rFonts w:hint="eastAsia" w:ascii="宋体" w:hAnsi="宋体"/>
                <w:color w:val="000000" w:themeColor="text1"/>
                <w:szCs w:val="21"/>
                <w:highlight w:val="none"/>
                <w14:textFill>
                  <w14:solidFill>
                    <w14:schemeClr w14:val="tx1"/>
                  </w14:solidFill>
                </w14:textFill>
              </w:rPr>
              <w:t>。投标人必须</w:t>
            </w:r>
            <w:r>
              <w:rPr>
                <w:rFonts w:hint="eastAsia"/>
                <w:color w:val="000000" w:themeColor="text1"/>
                <w:highlight w:val="none"/>
                <w14:textFill>
                  <w14:solidFill>
                    <w14:schemeClr w14:val="tx1"/>
                  </w14:solidFill>
                </w14:textFill>
              </w:rPr>
              <w:t>在投标截止时间前采用现场或邮寄方式（</w:t>
            </w:r>
            <w:r>
              <w:rPr>
                <w:rFonts w:hint="eastAsia" w:ascii="宋体" w:hAnsi="宋体"/>
                <w:color w:val="000000" w:themeColor="text1"/>
                <w:szCs w:val="21"/>
                <w:highlight w:val="none"/>
                <w14:textFill>
                  <w14:solidFill>
                    <w14:schemeClr w14:val="tx1"/>
                  </w14:solidFill>
                </w14:textFill>
              </w:rPr>
              <w:t>现场提交地址：</w:t>
            </w:r>
            <w:r>
              <w:rPr>
                <w:rFonts w:hint="eastAsia" w:ascii="宋体" w:hAnsi="宋体"/>
                <w:color w:val="000000" w:themeColor="text1"/>
                <w:szCs w:val="21"/>
                <w:highlight w:val="none"/>
                <w:u w:val="single"/>
                <w14:textFill>
                  <w14:solidFill>
                    <w14:schemeClr w14:val="tx1"/>
                  </w14:solidFill>
                </w14:textFill>
              </w:rPr>
              <w:t>钦州市公共资源交易中心电子显示屏所安排的开标室</w:t>
            </w:r>
            <w:r>
              <w:rPr>
                <w:rFonts w:hint="eastAsia" w:ascii="宋体" w:hAnsi="宋体"/>
                <w:color w:val="000000" w:themeColor="text1"/>
                <w:szCs w:val="21"/>
                <w:highlight w:val="none"/>
                <w14:textFill>
                  <w14:solidFill>
                    <w14:schemeClr w14:val="tx1"/>
                  </w14:solidFill>
                </w14:textFill>
              </w:rPr>
              <w:t>；邮寄地址：</w:t>
            </w:r>
            <w:r>
              <w:rPr>
                <w:rFonts w:hint="eastAsia" w:ascii="宋体" w:hAnsi="宋体"/>
                <w:color w:val="000000" w:themeColor="text1"/>
                <w:szCs w:val="21"/>
                <w:highlight w:val="none"/>
                <w:u w:val="single"/>
                <w14:textFill>
                  <w14:solidFill>
                    <w14:schemeClr w14:val="tx1"/>
                  </w14:solidFill>
                </w14:textFill>
              </w:rPr>
              <w:t>广西钦州市子材东大街19号奥林名城8号楼8层云之龙咨询集团有限公司，联系人：秦绍袁，电话：0777-5619399。</w:t>
            </w:r>
            <w:r>
              <w:rPr>
                <w:rFonts w:hint="eastAsia"/>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将</w:t>
            </w:r>
            <w:r>
              <w:rPr>
                <w:rFonts w:hint="eastAsia" w:ascii="宋体" w:hAnsi="宋体" w:cs="宋体"/>
                <w:color w:val="000000" w:themeColor="text1"/>
                <w:kern w:val="0"/>
                <w:szCs w:val="21"/>
                <w:highlight w:val="none"/>
                <w14:textFill>
                  <w14:solidFill>
                    <w14:schemeClr w14:val="tx1"/>
                  </w14:solidFill>
                </w14:textFill>
              </w:rPr>
              <w:t>单独密封的</w:t>
            </w:r>
            <w:r>
              <w:rPr>
                <w:rFonts w:hint="eastAsia" w:ascii="宋体" w:hAnsi="宋体"/>
                <w:color w:val="000000" w:themeColor="text1"/>
                <w:szCs w:val="21"/>
                <w:highlight w:val="none"/>
                <w14:textFill>
                  <w14:solidFill>
                    <w14:schemeClr w14:val="tx1"/>
                  </w14:solidFill>
                </w14:textFill>
              </w:rPr>
              <w:t>支票、汇票、本票或者银行、保险机构出具的保函原件</w:t>
            </w:r>
            <w:r>
              <w:rPr>
                <w:rFonts w:hint="eastAsia" w:ascii="宋体" w:hAnsi="宋体" w:cs="宋体"/>
                <w:color w:val="000000" w:themeColor="text1"/>
                <w:kern w:val="0"/>
                <w:szCs w:val="21"/>
                <w:highlight w:val="none"/>
                <w:lang w:eastAsia="zh-CN"/>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电子保函除外</w:t>
            </w:r>
            <w:r>
              <w:rPr>
                <w:rFonts w:hint="eastAsia" w:ascii="宋体" w:hAnsi="宋体" w:cs="宋体"/>
                <w:color w:val="000000" w:themeColor="text1"/>
                <w:kern w:val="0"/>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提交给采购人或者采购代理机构，未按时提交的</w:t>
            </w:r>
            <w:r>
              <w:rPr>
                <w:rFonts w:hint="eastAsia" w:ascii="宋体" w:hAnsi="宋体"/>
                <w:b/>
                <w:color w:val="000000" w:themeColor="text1"/>
                <w:szCs w:val="21"/>
                <w:highlight w:val="none"/>
                <w14:textFill>
                  <w14:solidFill>
                    <w14:schemeClr w14:val="tx1"/>
                  </w14:solidFill>
                </w14:textFill>
              </w:rPr>
              <w:t>，投标无效</w:t>
            </w:r>
            <w:r>
              <w:rPr>
                <w:rFonts w:hint="eastAsia" w:ascii="宋体" w:hAnsi="宋体"/>
                <w:color w:val="000000" w:themeColor="text1"/>
                <w:szCs w:val="21"/>
                <w:highlight w:val="none"/>
                <w14:textFill>
                  <w14:solidFill>
                    <w14:schemeClr w14:val="tx1"/>
                  </w14:solidFill>
                </w14:textFill>
              </w:rPr>
              <w:t>，由采购人或者采购代理机构向投标人出具回执（邮寄方式的除外），并妥善保管。</w:t>
            </w:r>
          </w:p>
          <w:p w14:paraId="1F57156F">
            <w:pPr>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.投标人为联合体的，可以由联合体中的一方或者多方共同交纳投标保证金，其交纳的保证金对联合体各方均具有约束力。</w:t>
            </w:r>
          </w:p>
          <w:p w14:paraId="131F0F03">
            <w:pPr>
              <w:snapToGrid w:val="0"/>
              <w:spacing w:line="360" w:lineRule="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备注： </w:t>
            </w:r>
          </w:p>
          <w:p w14:paraId="07F93D02">
            <w:pPr>
              <w:snapToGrid w:val="0"/>
              <w:spacing w:line="360" w:lineRule="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 投标保证金在投标截止时间后提交的，或者不按规定交纳方式交纳的，或者未足额交纳的（包含保函额度不足的），视为无效投标保证金。</w:t>
            </w:r>
          </w:p>
          <w:p w14:paraId="034E4E4B">
            <w:pPr>
              <w:snapToGrid w:val="0"/>
              <w:spacing w:line="360" w:lineRule="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2.投标人采用现钞方式或者从个人账户（自然人投标除外）转出的投标保证金，视为无效投标保证金。</w:t>
            </w:r>
          </w:p>
          <w:p w14:paraId="02DB4BDB">
            <w:pPr>
              <w:snapToGrid w:val="0"/>
              <w:spacing w:line="360" w:lineRule="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3.支票、汇票或者本票出现无效或者背书情形的，视为无效投标保证金。</w:t>
            </w:r>
          </w:p>
          <w:p w14:paraId="51F4936B">
            <w:pPr>
              <w:snapToGrid w:val="0"/>
              <w:spacing w:line="360" w:lineRule="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4.保函有效期低于投标有效期的，视为无效投标保证金。</w:t>
            </w:r>
          </w:p>
          <w:p w14:paraId="78996DF4">
            <w:pPr>
              <w:snapToGrid w:val="0"/>
              <w:spacing w:line="360" w:lineRule="auto"/>
              <w:rPr>
                <w:rFonts w:hint="eastAsia"/>
                <w:color w:val="000000" w:themeColor="text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5.采用银行、保险机构出具保函的，必须为无条件保函，否则视为无效投标保证金。</w:t>
            </w:r>
          </w:p>
        </w:tc>
      </w:tr>
      <w:tr w14:paraId="1C87CD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72B20C99">
            <w:pPr>
              <w:spacing w:line="360" w:lineRule="auto"/>
              <w:jc w:val="center"/>
              <w:rPr>
                <w:rFonts w:hint="eastAsia" w:ascii="宋体" w:hAnsi="宋体"/>
                <w:color w:val="000000" w:themeColor="text1"/>
                <w:szCs w:val="21"/>
                <w:highlight w:val="none"/>
                <w14:textFill>
                  <w14:solidFill>
                    <w14:schemeClr w14:val="tx1"/>
                  </w14:solidFill>
                </w14:textFill>
              </w:rPr>
            </w:pPr>
            <w:bookmarkStart w:id="70" w:name="_19.2"/>
            <w:bookmarkEnd w:id="70"/>
            <w:r>
              <w:rPr>
                <w:rFonts w:hint="eastAsia" w:ascii="宋体" w:hAnsi="宋体"/>
                <w:color w:val="000000" w:themeColor="text1"/>
                <w:szCs w:val="21"/>
                <w:highlight w:val="none"/>
                <w14:textFill>
                  <w14:solidFill>
                    <w14:schemeClr w14:val="tx1"/>
                  </w14:solidFill>
                </w14:textFill>
              </w:rPr>
              <w:t>20</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471F9E39">
            <w:pPr>
              <w:autoSpaceDE w:val="0"/>
              <w:autoSpaceDN w:val="0"/>
              <w:adjustRightInd w:val="0"/>
              <w:spacing w:line="360" w:lineRule="auto"/>
              <w:textAlignment w:val="bottom"/>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w:t>
            </w:r>
            <w:r>
              <w:rPr>
                <w:rFonts w:hint="eastAsia"/>
                <w:color w:val="000000" w:themeColor="text1"/>
                <w:highlight w:val="none"/>
                <w14:textFill>
                  <w14:solidFill>
                    <w14:schemeClr w14:val="tx1"/>
                  </w14:solidFill>
                </w14:textFill>
              </w:rPr>
              <w:t>电子</w:t>
            </w:r>
            <w:r>
              <w:rPr>
                <w:rFonts w:hint="eastAsia" w:ascii="宋体" w:hAnsi="宋体"/>
                <w:color w:val="000000" w:themeColor="text1"/>
                <w:szCs w:val="21"/>
                <w:highlight w:val="none"/>
                <w14:textFill>
                  <w14:solidFill>
                    <w14:schemeClr w14:val="tx1"/>
                  </w14:solidFill>
                </w14:textFill>
              </w:rPr>
              <w:t>备份投标文件；</w:t>
            </w:r>
          </w:p>
        </w:tc>
      </w:tr>
      <w:tr w14:paraId="09E2FD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895" w:type="dxa"/>
            <w:tcBorders>
              <w:top w:val="single" w:color="auto" w:sz="4" w:space="0"/>
              <w:left w:val="single" w:color="auto" w:sz="4" w:space="0"/>
              <w:bottom w:val="single" w:color="auto" w:sz="4" w:space="0"/>
              <w:right w:val="single" w:color="auto" w:sz="4" w:space="0"/>
            </w:tcBorders>
            <w:noWrap w:val="0"/>
            <w:vAlign w:val="center"/>
          </w:tcPr>
          <w:p w14:paraId="4AC486C0">
            <w:pPr>
              <w:spacing w:line="360" w:lineRule="auto"/>
              <w:jc w:val="center"/>
              <w:rPr>
                <w:rFonts w:hint="eastAsia" w:ascii="宋体" w:hAnsi="宋体"/>
                <w:color w:val="000000" w:themeColor="text1"/>
                <w:szCs w:val="21"/>
                <w:highlight w:val="none"/>
                <w14:textFill>
                  <w14:solidFill>
                    <w14:schemeClr w14:val="tx1"/>
                  </w14:solidFill>
                </w14:textFill>
              </w:rPr>
            </w:pPr>
            <w:bookmarkStart w:id="71" w:name="_21.1"/>
            <w:bookmarkEnd w:id="71"/>
            <w:r>
              <w:rPr>
                <w:rFonts w:hint="eastAsia" w:ascii="宋体" w:hAnsi="宋体"/>
                <w:color w:val="000000" w:themeColor="text1"/>
                <w:szCs w:val="21"/>
                <w:highlight w:val="none"/>
                <w14:textFill>
                  <w14:solidFill>
                    <w14:schemeClr w14:val="tx1"/>
                  </w14:solidFill>
                </w14:textFill>
              </w:rPr>
              <w:t>21.1</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084E9E2C">
            <w:pPr>
              <w:snapToGrid w:val="0"/>
              <w:spacing w:line="360" w:lineRule="auto"/>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提交投标文件截止时间：详见招标公告</w:t>
            </w:r>
          </w:p>
          <w:p w14:paraId="304A8C99">
            <w:pPr>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2.投标地点：详见招标公告</w:t>
            </w:r>
          </w:p>
        </w:tc>
      </w:tr>
      <w:tr w14:paraId="6BC5C1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58F154D2">
            <w:pPr>
              <w:spacing w:line="360" w:lineRule="auto"/>
              <w:jc w:val="center"/>
              <w:rPr>
                <w:rFonts w:hint="eastAsia" w:ascii="宋体" w:hAnsi="宋体"/>
                <w:color w:val="000000" w:themeColor="text1"/>
                <w:szCs w:val="21"/>
                <w:highlight w:val="none"/>
                <w14:textFill>
                  <w14:solidFill>
                    <w14:schemeClr w14:val="tx1"/>
                  </w14:solidFill>
                </w14:textFill>
              </w:rPr>
            </w:pPr>
            <w:bookmarkStart w:id="72" w:name="_23"/>
            <w:bookmarkEnd w:id="72"/>
            <w:r>
              <w:rPr>
                <w:rFonts w:hint="eastAsia" w:ascii="宋体" w:hAnsi="宋体"/>
                <w:color w:val="000000" w:themeColor="text1"/>
                <w:szCs w:val="21"/>
                <w:highlight w:val="none"/>
                <w14:textFill>
                  <w14:solidFill>
                    <w14:schemeClr w14:val="tx1"/>
                  </w14:solidFill>
                </w14:textFill>
              </w:rPr>
              <w:t>23</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1580DD5C">
            <w:pPr>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1.开标时间：详见招标公告</w:t>
            </w:r>
          </w:p>
          <w:p w14:paraId="27750886">
            <w:pPr>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2.开标地点：详见招标公告</w:t>
            </w:r>
          </w:p>
        </w:tc>
      </w:tr>
      <w:tr w14:paraId="4FDCCB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1513405F">
            <w:pPr>
              <w:spacing w:line="360" w:lineRule="auto"/>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24.3（1）</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2B81D88A">
            <w:pPr>
              <w:snapToGrid w:val="0"/>
              <w:spacing w:line="360" w:lineRule="auto"/>
              <w:rPr>
                <w:rFonts w:hint="eastAsia" w:hAnsi="宋体"/>
                <w:color w:val="000000" w:themeColor="text1"/>
                <w:highlight w:val="none"/>
                <w:u w:val="single"/>
                <w14:textFill>
                  <w14:solidFill>
                    <w14:schemeClr w14:val="tx1"/>
                  </w14:solidFill>
                </w14:textFill>
              </w:rPr>
            </w:pPr>
            <w:r>
              <w:rPr>
                <w:rFonts w:hint="eastAsia" w:hAnsi="宋体"/>
                <w:color w:val="000000" w:themeColor="text1"/>
                <w:highlight w:val="none"/>
                <w14:textFill>
                  <w14:solidFill>
                    <w14:schemeClr w14:val="tx1"/>
                  </w14:solidFill>
                </w14:textFill>
              </w:rPr>
              <w:t>电子投标文件解密时间：</w:t>
            </w:r>
            <w:r>
              <w:rPr>
                <w:rFonts w:hint="eastAsia" w:hAnsi="宋体"/>
                <w:color w:val="000000" w:themeColor="text1"/>
                <w:highlight w:val="none"/>
                <w:u w:val="single"/>
                <w14:textFill>
                  <w14:solidFill>
                    <w14:schemeClr w14:val="tx1"/>
                  </w14:solidFill>
                </w14:textFill>
              </w:rPr>
              <w:t xml:space="preserve">  30   </w:t>
            </w:r>
            <w:r>
              <w:rPr>
                <w:rFonts w:hint="eastAsia" w:hAnsi="宋体"/>
                <w:color w:val="000000" w:themeColor="text1"/>
                <w:highlight w:val="none"/>
                <w14:textFill>
                  <w14:solidFill>
                    <w14:schemeClr w14:val="tx1"/>
                  </w14:solidFill>
                </w14:textFill>
              </w:rPr>
              <w:t>分钟</w:t>
            </w:r>
          </w:p>
        </w:tc>
      </w:tr>
      <w:tr w14:paraId="470AEC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4DD4B4E9">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6F6F467E">
            <w:pPr>
              <w:snapToGrid w:val="0"/>
              <w:spacing w:line="360" w:lineRule="auto"/>
              <w:rPr>
                <w:rFonts w:hint="eastAsia" w:ascii="宋体" w:hAnsi="宋体" w:eastAsia="宋体"/>
                <w:color w:val="000000" w:themeColor="text1"/>
                <w:szCs w:val="2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宣布的内容</w:t>
            </w:r>
            <w:r>
              <w:rPr>
                <w:rFonts w:hint="eastAsia" w:hAnsi="宋体"/>
                <w:color w:val="000000" w:themeColor="text1"/>
                <w:highlight w:val="none"/>
                <w14:textFill>
                  <w14:solidFill>
                    <w14:schemeClr w14:val="tx1"/>
                  </w14:solidFill>
                </w14:textFill>
              </w:rPr>
              <w:t>：投标人名称、投标价格、</w:t>
            </w:r>
            <w:r>
              <w:rPr>
                <w:rFonts w:hAnsi="宋体"/>
                <w:color w:val="000000" w:themeColor="text1"/>
                <w:highlight w:val="none"/>
                <w:u w:val="single"/>
                <w14:textFill>
                  <w14:solidFill>
                    <w14:schemeClr w14:val="tx1"/>
                  </w14:solidFill>
                </w14:textFill>
              </w:rPr>
              <w:t xml:space="preserve">  </w:t>
            </w:r>
            <w:r>
              <w:rPr>
                <w:rFonts w:hint="eastAsia" w:hAnsi="宋体"/>
                <w:color w:val="000000" w:themeColor="text1"/>
                <w:highlight w:val="none"/>
                <w:u w:val="single"/>
                <w:lang w:val="en-US" w:eastAsia="zh-CN"/>
                <w14:textFill>
                  <w14:solidFill>
                    <w14:schemeClr w14:val="tx1"/>
                  </w14:solidFill>
                </w14:textFill>
              </w:rPr>
              <w:t>合同履行期限</w:t>
            </w:r>
            <w:r>
              <w:rPr>
                <w:rFonts w:hAnsi="宋体"/>
                <w:color w:val="000000" w:themeColor="text1"/>
                <w:highlight w:val="none"/>
                <w:u w:val="single"/>
                <w14:textFill>
                  <w14:solidFill>
                    <w14:schemeClr w14:val="tx1"/>
                  </w14:solidFill>
                </w14:textFill>
              </w:rPr>
              <w:t xml:space="preserve"> </w:t>
            </w:r>
            <w:r>
              <w:rPr>
                <w:rFonts w:hint="eastAsia" w:hAnsi="宋体"/>
                <w:color w:val="000000" w:themeColor="text1"/>
                <w:highlight w:val="none"/>
                <w:u w:val="single"/>
                <w:lang w:eastAsia="zh-CN"/>
                <w14:textFill>
                  <w14:solidFill>
                    <w14:schemeClr w14:val="tx1"/>
                  </w14:solidFill>
                </w14:textFill>
              </w:rPr>
              <w:t>。</w:t>
            </w:r>
          </w:p>
        </w:tc>
      </w:tr>
      <w:tr w14:paraId="64DC77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46AE52C1">
            <w:pPr>
              <w:spacing w:line="360" w:lineRule="auto"/>
              <w:jc w:val="center"/>
              <w:rPr>
                <w:rFonts w:hint="eastAsia" w:ascii="宋体" w:hAnsi="宋体"/>
                <w:color w:val="000000" w:themeColor="text1"/>
                <w:szCs w:val="21"/>
                <w:highlight w:val="none"/>
                <w14:textFill>
                  <w14:solidFill>
                    <w14:schemeClr w14:val="tx1"/>
                  </w14:solidFill>
                </w14:textFill>
              </w:rPr>
            </w:pPr>
            <w:bookmarkStart w:id="73" w:name="_25.3"/>
            <w:bookmarkEnd w:id="73"/>
            <w:r>
              <w:rPr>
                <w:rFonts w:hint="eastAsia" w:ascii="宋体" w:hAnsi="宋体"/>
                <w:color w:val="000000" w:themeColor="text1"/>
                <w:szCs w:val="21"/>
                <w:highlight w:val="none"/>
                <w14:textFill>
                  <w14:solidFill>
                    <w14:schemeClr w14:val="tx1"/>
                  </w14:solidFill>
                </w14:textFill>
              </w:rPr>
              <w:t>25.3（</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2C38752F">
            <w:pPr>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采购人或者采购代理机构在资格审查结束前，对投标人进行信用查询。</w:t>
            </w:r>
          </w:p>
          <w:p w14:paraId="69F632C9">
            <w:pPr>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查询渠道：“</w:t>
            </w:r>
            <w:r>
              <w:rPr>
                <w:rFonts w:hint="eastAsia" w:ascii="宋体" w:hAnsi="宋体"/>
                <w:color w:val="000000" w:themeColor="text1"/>
                <w:szCs w:val="21"/>
                <w:highlight w:val="none"/>
                <w:lang w:eastAsia="zh-CN"/>
                <w14:textFill>
                  <w14:solidFill>
                    <w14:schemeClr w14:val="tx1"/>
                  </w14:solidFill>
                </w14:textFill>
              </w:rPr>
              <w:t>信用中国”网站（https://www.creditchina.gov.cn）</w:t>
            </w: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lang w:eastAsia="zh-CN"/>
                <w14:textFill>
                  <w14:solidFill>
                    <w14:schemeClr w14:val="tx1"/>
                  </w14:solidFill>
                </w14:textFill>
              </w:rPr>
              <w:t>中国政府采购网（https://www.ccgp.gov.cn）</w:t>
            </w:r>
            <w:r>
              <w:rPr>
                <w:rFonts w:hint="eastAsia" w:ascii="宋体" w:hAnsi="宋体"/>
                <w:color w:val="000000" w:themeColor="text1"/>
                <w:szCs w:val="21"/>
                <w:highlight w:val="none"/>
                <w14:textFill>
                  <w14:solidFill>
                    <w14:schemeClr w14:val="tx1"/>
                  </w14:solidFill>
                </w14:textFill>
              </w:rPr>
              <w:t>。</w:t>
            </w:r>
          </w:p>
          <w:p w14:paraId="2B63801A">
            <w:pPr>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信用查询截止时点：资格审查结束前</w:t>
            </w:r>
          </w:p>
          <w:p w14:paraId="4820940F">
            <w:pPr>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查询记录和证据留存方式：在查询网站中直接截图查询记录，截图作为在广西政府采购云平台（</w:t>
            </w:r>
            <w:r>
              <w:rPr>
                <w:rFonts w:hint="eastAsia" w:ascii="宋体" w:hAnsi="宋体"/>
                <w:bCs/>
                <w:color w:val="000000" w:themeColor="text1"/>
                <w:szCs w:val="21"/>
                <w:highlight w:val="none"/>
                <w:lang w:eastAsia="zh-CN"/>
                <w14:textFill>
                  <w14:solidFill>
                    <w14:schemeClr w14:val="tx1"/>
                  </w14:solidFill>
                </w14:textFill>
              </w:rPr>
              <w:t>https://www.gcy.zfcg.gxzf.gov.cn/</w:t>
            </w:r>
            <w:r>
              <w:rPr>
                <w:rFonts w:hint="eastAsia" w:ascii="宋体" w:hAnsi="宋体"/>
                <w:color w:val="000000" w:themeColor="text1"/>
                <w:szCs w:val="21"/>
                <w:highlight w:val="none"/>
                <w14:textFill>
                  <w14:solidFill>
                    <w14:schemeClr w14:val="tx1"/>
                  </w14:solidFill>
                </w14:textFill>
              </w:rPr>
              <w:t>）作为附件上传保存。</w:t>
            </w:r>
          </w:p>
          <w:p w14:paraId="0BBFCA05">
            <w:pPr>
              <w:snapToGrid w:val="0"/>
              <w:spacing w:line="360" w:lineRule="auto"/>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信用信息使用规则：对在“</w:t>
            </w:r>
            <w:r>
              <w:rPr>
                <w:rFonts w:hint="eastAsia" w:ascii="宋体" w:hAnsi="宋体"/>
                <w:color w:val="000000" w:themeColor="text1"/>
                <w:szCs w:val="21"/>
                <w:highlight w:val="none"/>
                <w:lang w:eastAsia="zh-CN"/>
                <w14:textFill>
                  <w14:solidFill>
                    <w14:schemeClr w14:val="tx1"/>
                  </w14:solidFill>
                </w14:textFill>
              </w:rPr>
              <w:t>信用中国”网站（https://www.creditchina.gov.cn）</w:t>
            </w: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lang w:eastAsia="zh-CN"/>
                <w14:textFill>
                  <w14:solidFill>
                    <w14:schemeClr w14:val="tx1"/>
                  </w14:solidFill>
                </w14:textFill>
              </w:rPr>
              <w:t>中国政府采购网（https://www.ccgp.gov.cn）</w:t>
            </w:r>
            <w:r>
              <w:rPr>
                <w:rFonts w:hint="eastAsia" w:ascii="宋体" w:hAnsi="宋体"/>
                <w:color w:val="000000" w:themeColor="text1"/>
                <w:szCs w:val="21"/>
                <w:highlight w:val="none"/>
                <w14:textFill>
                  <w14:solidFill>
                    <w14:schemeClr w14:val="tx1"/>
                  </w14:solidFill>
                </w14:textFill>
              </w:rPr>
              <w:t>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6B0D2A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1BDC2E89">
            <w:pPr>
              <w:spacing w:line="360" w:lineRule="auto"/>
              <w:jc w:val="center"/>
              <w:rPr>
                <w:rFonts w:hint="eastAsia" w:ascii="宋体" w:hAnsi="宋体"/>
                <w:color w:val="000000" w:themeColor="text1"/>
                <w:szCs w:val="21"/>
                <w:highlight w:val="none"/>
                <w14:textFill>
                  <w14:solidFill>
                    <w14:schemeClr w14:val="tx1"/>
                  </w14:solidFill>
                </w14:textFill>
              </w:rPr>
            </w:pPr>
            <w:bookmarkStart w:id="74" w:name="_26"/>
            <w:bookmarkEnd w:id="74"/>
            <w:r>
              <w:rPr>
                <w:rFonts w:hint="eastAsia" w:ascii="宋体" w:hAnsi="宋体"/>
                <w:color w:val="000000" w:themeColor="text1"/>
                <w:szCs w:val="21"/>
                <w:highlight w:val="none"/>
                <w14:textFill>
                  <w14:solidFill>
                    <w14:schemeClr w14:val="tx1"/>
                  </w14:solidFill>
                </w14:textFill>
              </w:rPr>
              <w:t>26</w:t>
            </w:r>
            <w:r>
              <w:rPr>
                <w:rFonts w:ascii="宋体" w:hAnsi="宋体"/>
                <w:color w:val="000000" w:themeColor="text1"/>
                <w:szCs w:val="21"/>
                <w:highlight w:val="none"/>
                <w14:textFill>
                  <w14:solidFill>
                    <w14:schemeClr w14:val="tx1"/>
                  </w14:solidFill>
                </w14:textFill>
              </w:rPr>
              <w:t>.1</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15E129CC">
            <w:pPr>
              <w:autoSpaceDE w:val="0"/>
              <w:autoSpaceDN w:val="0"/>
              <w:snapToGrid w:val="0"/>
              <w:spacing w:line="360" w:lineRule="auto"/>
              <w:textAlignment w:val="bottom"/>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评标委员会的人数：</w:t>
            </w:r>
            <w:r>
              <w:rPr>
                <w:rFonts w:hint="eastAsia" w:ascii="宋体" w:hAnsi="宋体"/>
                <w:color w:val="000000" w:themeColor="text1"/>
                <w:szCs w:val="21"/>
                <w:highlight w:val="none"/>
                <w:u w:val="single"/>
                <w14:textFill>
                  <w14:solidFill>
                    <w14:schemeClr w14:val="tx1"/>
                  </w14:solidFill>
                </w14:textFill>
              </w:rPr>
              <w:t xml:space="preserve">  5  </w:t>
            </w:r>
            <w:r>
              <w:rPr>
                <w:rFonts w:hint="eastAsia" w:ascii="宋体" w:hAnsi="宋体"/>
                <w:color w:val="000000" w:themeColor="text1"/>
                <w:szCs w:val="21"/>
                <w:highlight w:val="none"/>
                <w14:textFill>
                  <w14:solidFill>
                    <w14:schemeClr w14:val="tx1"/>
                  </w14:solidFill>
                </w14:textFill>
              </w:rPr>
              <w:t>人</w:t>
            </w:r>
          </w:p>
        </w:tc>
      </w:tr>
      <w:tr w14:paraId="005F52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600CB290">
            <w:pPr>
              <w:spacing w:line="360" w:lineRule="auto"/>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7</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794626EC">
            <w:pPr>
              <w:autoSpaceDE w:val="0"/>
              <w:autoSpaceDN w:val="0"/>
              <w:snapToGrid w:val="0"/>
              <w:spacing w:line="360" w:lineRule="auto"/>
              <w:textAlignment w:val="bottom"/>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如供应商系统平台报价与电子投标文件中报价不一致的，以投标文件开标一览表报价为准。</w:t>
            </w:r>
          </w:p>
        </w:tc>
      </w:tr>
      <w:tr w14:paraId="083544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6E4080E5">
            <w:pPr>
              <w:spacing w:line="360" w:lineRule="auto"/>
              <w:jc w:val="center"/>
              <w:rPr>
                <w:rFonts w:hint="eastAsia" w:ascii="宋体" w:hAnsi="宋体"/>
                <w:color w:val="000000" w:themeColor="text1"/>
                <w:szCs w:val="21"/>
                <w:highlight w:val="none"/>
                <w14:textFill>
                  <w14:solidFill>
                    <w14:schemeClr w14:val="tx1"/>
                  </w14:solidFill>
                </w14:textFill>
              </w:rPr>
            </w:pPr>
            <w:bookmarkStart w:id="75" w:name="_28.3"/>
            <w:bookmarkEnd w:id="75"/>
            <w:r>
              <w:rPr>
                <w:rFonts w:ascii="宋体" w:hAnsi="宋体"/>
                <w:color w:val="000000" w:themeColor="text1"/>
                <w:szCs w:val="21"/>
                <w:highlight w:val="none"/>
                <w14:textFill>
                  <w14:solidFill>
                    <w14:schemeClr w14:val="tx1"/>
                  </w14:solidFill>
                </w14:textFill>
              </w:rPr>
              <w:t>29.1</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00D870E1">
            <w:pPr>
              <w:autoSpaceDE w:val="0"/>
              <w:autoSpaceDN w:val="0"/>
              <w:snapToGrid w:val="0"/>
              <w:spacing w:line="360" w:lineRule="auto"/>
              <w:textAlignment w:val="bottom"/>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评标方法：综合评分法</w:t>
            </w:r>
          </w:p>
        </w:tc>
      </w:tr>
      <w:tr w14:paraId="4D0C07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95" w:type="dxa"/>
            <w:tcBorders>
              <w:top w:val="single" w:color="auto" w:sz="4" w:space="0"/>
              <w:left w:val="single" w:color="auto" w:sz="4" w:space="0"/>
              <w:bottom w:val="single" w:color="auto" w:sz="4" w:space="0"/>
              <w:right w:val="single" w:color="auto" w:sz="4" w:space="0"/>
            </w:tcBorders>
            <w:noWrap w:val="0"/>
            <w:vAlign w:val="center"/>
          </w:tcPr>
          <w:p w14:paraId="0E32BD29">
            <w:pPr>
              <w:spacing w:line="360" w:lineRule="auto"/>
              <w:jc w:val="center"/>
              <w:rPr>
                <w:rFonts w:hint="eastAsia" w:ascii="宋体" w:hAnsi="宋体"/>
                <w:color w:val="000000" w:themeColor="text1"/>
                <w:szCs w:val="21"/>
                <w:highlight w:val="none"/>
                <w14:textFill>
                  <w14:solidFill>
                    <w14:schemeClr w14:val="tx1"/>
                  </w14:solidFill>
                </w14:textFill>
              </w:rPr>
            </w:pPr>
            <w:bookmarkStart w:id="76" w:name="_29.2.2（2）"/>
            <w:bookmarkEnd w:id="76"/>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9.2</w:t>
            </w:r>
          </w:p>
        </w:tc>
        <w:tc>
          <w:tcPr>
            <w:tcW w:w="8711" w:type="dxa"/>
            <w:tcBorders>
              <w:top w:val="single" w:color="auto" w:sz="4" w:space="0"/>
              <w:left w:val="single" w:color="auto" w:sz="4" w:space="0"/>
              <w:right w:val="single" w:color="auto" w:sz="4" w:space="0"/>
            </w:tcBorders>
            <w:noWrap w:val="0"/>
            <w:vAlign w:val="center"/>
          </w:tcPr>
          <w:p w14:paraId="5FBDEDDB">
            <w:pPr>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商务要求</w:t>
            </w:r>
            <w:r>
              <w:rPr>
                <w:rFonts w:hint="eastAsia" w:ascii="宋体" w:hAnsi="宋体"/>
                <w:color w:val="000000" w:themeColor="text1"/>
                <w:szCs w:val="21"/>
                <w:highlight w:val="none"/>
                <w14:textFill>
                  <w14:solidFill>
                    <w14:schemeClr w14:val="tx1"/>
                  </w14:solidFill>
                </w14:textFill>
              </w:rPr>
              <w:t>评审中允许负偏离的条款数为</w:t>
            </w:r>
            <w:r>
              <w:rPr>
                <w:rFonts w:hint="eastAsia" w:ascii="宋体" w:hAnsi="宋体"/>
                <w:color w:val="000000" w:themeColor="text1"/>
                <w:szCs w:val="21"/>
                <w:highlight w:val="none"/>
                <w:u w:val="single"/>
                <w14:textFill>
                  <w14:solidFill>
                    <w14:schemeClr w14:val="tx1"/>
                  </w14:solidFill>
                </w14:textFill>
              </w:rPr>
              <w:t xml:space="preserve">  0 </w:t>
            </w:r>
            <w:r>
              <w:rPr>
                <w:rFonts w:hint="eastAsia" w:ascii="宋体" w:hAnsi="宋体"/>
                <w:color w:val="000000" w:themeColor="text1"/>
                <w:szCs w:val="21"/>
                <w:highlight w:val="none"/>
                <w14:textFill>
                  <w14:solidFill>
                    <w14:schemeClr w14:val="tx1"/>
                  </w14:solidFill>
                </w14:textFill>
              </w:rPr>
              <w:t>项。</w:t>
            </w:r>
          </w:p>
          <w:p w14:paraId="1D8A600F">
            <w:pPr>
              <w:pStyle w:val="19"/>
              <w:rPr>
                <w:rFonts w:hint="eastAsia"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技术要求</w:t>
            </w:r>
            <w:r>
              <w:rPr>
                <w:rFonts w:hint="eastAsia" w:ascii="宋体" w:hAnsi="宋体"/>
                <w:color w:val="000000" w:themeColor="text1"/>
                <w:szCs w:val="21"/>
                <w:highlight w:val="none"/>
                <w14:textFill>
                  <w14:solidFill>
                    <w14:schemeClr w14:val="tx1"/>
                  </w14:solidFill>
                </w14:textFill>
              </w:rPr>
              <w:t>评审中允许负偏离的条款数为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3</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w:t>
            </w:r>
            <w:r>
              <w:rPr>
                <w:rFonts w:hint="eastAsia" w:ascii="宋体" w:hAnsi="宋体"/>
                <w:color w:val="000000" w:themeColor="text1"/>
                <w:szCs w:val="2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标记</w:t>
            </w:r>
            <w:r>
              <w:rPr>
                <w:rFonts w:hint="eastAsia" w:ascii="宋体" w:hAnsi="宋体" w:cs="宋体"/>
                <w:b w:val="0"/>
                <w:bCs w:val="0"/>
                <w:color w:val="000000" w:themeColor="text1"/>
                <w:kern w:val="0"/>
                <w:szCs w:val="21"/>
                <w:highlight w:val="none"/>
                <w14:textFill>
                  <w14:solidFill>
                    <w14:schemeClr w14:val="tx1"/>
                  </w14:solidFill>
                </w14:textFill>
              </w:rPr>
              <w:t>▲</w:t>
            </w:r>
            <w:r>
              <w:rPr>
                <w:rFonts w:hint="eastAsia" w:ascii="宋体" w:hAnsi="宋体" w:cs="宋体"/>
                <w:b w:val="0"/>
                <w:bCs w:val="0"/>
                <w:color w:val="000000" w:themeColor="text1"/>
                <w:kern w:val="0"/>
                <w:szCs w:val="21"/>
                <w:highlight w:val="none"/>
                <w:lang w:eastAsia="zh-CN"/>
                <w14:textFill>
                  <w14:solidFill>
                    <w14:schemeClr w14:val="tx1"/>
                  </w14:solidFill>
                </w14:textFill>
              </w:rPr>
              <w:t>的</w:t>
            </w:r>
            <w:r>
              <w:rPr>
                <w:rFonts w:hint="eastAsia" w:ascii="宋体" w:hAnsi="宋体" w:cs="宋体"/>
                <w:b w:val="0"/>
                <w:bCs w:val="0"/>
                <w:color w:val="000000" w:themeColor="text1"/>
                <w:kern w:val="0"/>
                <w:szCs w:val="21"/>
                <w:highlight w:val="none"/>
                <w:lang w:val="en-US" w:eastAsia="zh-CN"/>
                <w14:textFill>
                  <w14:solidFill>
                    <w14:schemeClr w14:val="tx1"/>
                  </w14:solidFill>
                </w14:textFill>
              </w:rPr>
              <w:t>参数除外</w:t>
            </w:r>
            <w:r>
              <w:rPr>
                <w:rFonts w:hint="eastAsia"/>
                <w:color w:val="000000" w:themeColor="text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w:t>
            </w:r>
          </w:p>
        </w:tc>
      </w:tr>
      <w:tr w14:paraId="7EDCFA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95" w:type="dxa"/>
            <w:tcBorders>
              <w:top w:val="single" w:color="auto" w:sz="4" w:space="0"/>
              <w:left w:val="single" w:color="auto" w:sz="4" w:space="0"/>
              <w:bottom w:val="single" w:color="auto" w:sz="4" w:space="0"/>
              <w:right w:val="single" w:color="auto" w:sz="4" w:space="0"/>
            </w:tcBorders>
            <w:noWrap w:val="0"/>
            <w:vAlign w:val="center"/>
          </w:tcPr>
          <w:p w14:paraId="34186865">
            <w:pPr>
              <w:spacing w:line="360" w:lineRule="auto"/>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9.3</w:t>
            </w:r>
          </w:p>
        </w:tc>
        <w:tc>
          <w:tcPr>
            <w:tcW w:w="8711" w:type="dxa"/>
            <w:tcBorders>
              <w:top w:val="single" w:color="auto" w:sz="4" w:space="0"/>
              <w:left w:val="single" w:color="auto" w:sz="4" w:space="0"/>
              <w:right w:val="single" w:color="auto" w:sz="4" w:space="0"/>
            </w:tcBorders>
            <w:noWrap w:val="0"/>
            <w:vAlign w:val="center"/>
          </w:tcPr>
          <w:p w14:paraId="4BE88989">
            <w:pPr>
              <w:snapToGrid w:val="0"/>
              <w:spacing w:line="360" w:lineRule="auto"/>
              <w:rPr>
                <w:rFonts w:hint="eastAsia" w:ascii="宋体" w:hAnsi="宋体" w:cs="宋体"/>
                <w:color w:val="000000" w:themeColor="text1"/>
                <w:szCs w:val="21"/>
                <w:highlight w:val="none"/>
                <w:u w:val="single"/>
                <w14:textFill>
                  <w14:solidFill>
                    <w14:schemeClr w14:val="tx1"/>
                  </w14:solidFill>
                </w14:textFill>
              </w:rPr>
            </w:pPr>
            <w:r>
              <w:rPr>
                <w:rFonts w:hAnsi="宋体"/>
                <w:color w:val="000000" w:themeColor="text1"/>
                <w:highlight w:val="none"/>
                <w14:textFill>
                  <w14:solidFill>
                    <w14:schemeClr w14:val="tx1"/>
                  </w14:solidFill>
                </w14:textFill>
              </w:rPr>
              <w:t>中标候选人推荐数量</w:t>
            </w:r>
            <w:r>
              <w:rPr>
                <w:rFonts w:hint="eastAsia" w:hAnsi="宋体"/>
                <w:color w:val="000000" w:themeColor="text1"/>
                <w:highlight w:val="none"/>
                <w14:textFill>
                  <w14:solidFill>
                    <w14:schemeClr w14:val="tx1"/>
                  </w14:solidFill>
                </w14:textFill>
              </w:rPr>
              <w:t>：</w:t>
            </w:r>
            <w:r>
              <w:rPr>
                <w:rFonts w:hint="eastAsia" w:hAnsi="宋体"/>
                <w:color w:val="000000" w:themeColor="text1"/>
                <w:highlight w:val="none"/>
                <w:u w:val="single"/>
                <w14:textFill>
                  <w14:solidFill>
                    <w14:schemeClr w14:val="tx1"/>
                  </w14:solidFill>
                </w14:textFill>
              </w:rPr>
              <w:t xml:space="preserve"> </w:t>
            </w:r>
            <w:r>
              <w:rPr>
                <w:rFonts w:hAnsi="宋体"/>
                <w:color w:val="000000" w:themeColor="text1"/>
                <w:highlight w:val="none"/>
                <w:u w:val="single"/>
                <w14:textFill>
                  <w14:solidFill>
                    <w14:schemeClr w14:val="tx1"/>
                  </w14:solidFill>
                </w14:textFill>
              </w:rPr>
              <w:t xml:space="preserve"> </w:t>
            </w:r>
            <w:r>
              <w:rPr>
                <w:rFonts w:hint="eastAsia" w:hAnsi="宋体"/>
                <w:color w:val="000000" w:themeColor="text1"/>
                <w:highlight w:val="none"/>
                <w:u w:val="single"/>
                <w14:textFill>
                  <w14:solidFill>
                    <w14:schemeClr w14:val="tx1"/>
                  </w14:solidFill>
                </w14:textFill>
              </w:rPr>
              <w:t>3</w:t>
            </w:r>
            <w:r>
              <w:rPr>
                <w:rFonts w:hAnsi="宋体"/>
                <w:color w:val="000000" w:themeColor="text1"/>
                <w:highlight w:val="none"/>
                <w:u w:val="single"/>
                <w14:textFill>
                  <w14:solidFill>
                    <w14:schemeClr w14:val="tx1"/>
                  </w14:solidFill>
                </w14:textFill>
              </w:rPr>
              <w:t xml:space="preserve">  </w:t>
            </w:r>
            <w:r>
              <w:rPr>
                <w:rFonts w:hAnsi="宋体"/>
                <w:color w:val="000000" w:themeColor="text1"/>
                <w:highlight w:val="none"/>
                <w14:textFill>
                  <w14:solidFill>
                    <w14:schemeClr w14:val="tx1"/>
                  </w14:solidFill>
                </w14:textFill>
              </w:rPr>
              <w:t>名</w:t>
            </w:r>
          </w:p>
        </w:tc>
      </w:tr>
      <w:tr w14:paraId="3AEF94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6B2C9511">
            <w:pPr>
              <w:spacing w:line="360" w:lineRule="auto"/>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w:t>
            </w:r>
            <w:r>
              <w:rPr>
                <w:rFonts w:ascii="宋体" w:hAnsi="宋体"/>
                <w:color w:val="000000" w:themeColor="text1"/>
                <w:szCs w:val="21"/>
                <w:highlight w:val="none"/>
                <w14:textFill>
                  <w14:solidFill>
                    <w14:schemeClr w14:val="tx1"/>
                  </w14:solidFill>
                </w14:textFill>
              </w:rPr>
              <w:t>.1</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0A8DC5B3">
            <w:pPr>
              <w:autoSpaceDE w:val="0"/>
              <w:autoSpaceDN w:val="0"/>
              <w:snapToGrid w:val="0"/>
              <w:spacing w:line="360" w:lineRule="auto"/>
              <w:textAlignment w:val="bottom"/>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采用综合评分法的采购项目，采购人确定中标人时，出现中标候选人并列的情形，采购人按以下的方式确定中标人：</w:t>
            </w:r>
          </w:p>
          <w:p w14:paraId="762F546C">
            <w:pPr>
              <w:autoSpaceDE w:val="0"/>
              <w:autoSpaceDN w:val="0"/>
              <w:snapToGrid w:val="0"/>
              <w:spacing w:line="360" w:lineRule="auto"/>
              <w:textAlignment w:val="bottom"/>
              <w:rPr>
                <w:rFonts w:hint="eastAsia" w:ascii="宋体" w:hAnsi="宋体"/>
                <w:color w:val="000000" w:themeColor="text1"/>
                <w:szCs w:val="21"/>
                <w:highlight w:val="none"/>
                <w14:textFill>
                  <w14:solidFill>
                    <w14:schemeClr w14:val="tx1"/>
                  </w14:solidFill>
                </w14:textFill>
              </w:rPr>
            </w:pPr>
            <w:r>
              <w:rPr>
                <w:rFonts w:ascii="Wingdings 2" w:hAnsi="Wingdings 2"/>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依次按投标报价低的优先、政策分得分高的优先、技术评分高的优先、商务评分高的优先、质保期长优先、故障响应时间短优先的顺序确定；</w:t>
            </w:r>
          </w:p>
          <w:p w14:paraId="6F6CBEB5">
            <w:pPr>
              <w:autoSpaceDE w:val="0"/>
              <w:autoSpaceDN w:val="0"/>
              <w:snapToGrid w:val="0"/>
              <w:spacing w:line="360" w:lineRule="auto"/>
              <w:textAlignment w:val="bottom"/>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□随机抽取；</w:t>
            </w:r>
          </w:p>
        </w:tc>
      </w:tr>
      <w:tr w14:paraId="262178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5" w:type="dxa"/>
            <w:tcBorders>
              <w:top w:val="single" w:color="auto" w:sz="4" w:space="0"/>
              <w:left w:val="single" w:color="auto" w:sz="4" w:space="0"/>
              <w:bottom w:val="single" w:color="auto" w:sz="4" w:space="0"/>
              <w:right w:val="single" w:color="auto" w:sz="4" w:space="0"/>
            </w:tcBorders>
            <w:noWrap w:val="0"/>
            <w:vAlign w:val="center"/>
          </w:tcPr>
          <w:p w14:paraId="5AF2D140">
            <w:pPr>
              <w:spacing w:line="360" w:lineRule="auto"/>
              <w:jc w:val="center"/>
              <w:rPr>
                <w:rFonts w:hint="eastAsia" w:ascii="宋体" w:hAnsi="宋体"/>
                <w:color w:val="000000" w:themeColor="text1"/>
                <w:szCs w:val="21"/>
                <w:highlight w:val="none"/>
                <w14:textFill>
                  <w14:solidFill>
                    <w14:schemeClr w14:val="tx1"/>
                  </w14:solidFill>
                </w14:textFill>
              </w:rPr>
            </w:pPr>
            <w:bookmarkStart w:id="77" w:name="_39.1"/>
            <w:bookmarkEnd w:id="77"/>
            <w:r>
              <w:rPr>
                <w:rFonts w:hint="eastAsia" w:ascii="宋体" w:hAnsi="宋体"/>
                <w:color w:val="000000" w:themeColor="text1"/>
                <w:szCs w:val="21"/>
                <w:highlight w:val="none"/>
                <w14:textFill>
                  <w14:solidFill>
                    <w14:schemeClr w14:val="tx1"/>
                  </w14:solidFill>
                </w14:textFill>
              </w:rPr>
              <w:t>35</w:t>
            </w:r>
            <w:r>
              <w:rPr>
                <w:rFonts w:ascii="宋体" w:hAnsi="宋体"/>
                <w:color w:val="000000" w:themeColor="text1"/>
                <w:szCs w:val="21"/>
                <w:highlight w:val="none"/>
                <w14:textFill>
                  <w14:solidFill>
                    <w14:schemeClr w14:val="tx1"/>
                  </w14:solidFill>
                </w14:textFill>
              </w:rPr>
              <w:t>.1</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3CCC7C7A">
            <w:pPr>
              <w:wordWrap w:val="0"/>
              <w:autoSpaceDE w:val="0"/>
              <w:autoSpaceDN w:val="0"/>
              <w:snapToGrid w:val="0"/>
              <w:spacing w:line="360" w:lineRule="auto"/>
              <w:rPr>
                <w:rFonts w:ascii="宋体" w:hAnsi="宋体"/>
                <w:color w:val="000000" w:themeColor="text1"/>
                <w:szCs w:val="21"/>
                <w:highlight w:val="none"/>
                <w14:textFill>
                  <w14:solidFill>
                    <w14:schemeClr w14:val="tx1"/>
                  </w14:solidFill>
                </w14:textFill>
              </w:rPr>
            </w:pPr>
            <w:r>
              <w:rPr>
                <w:rFonts w:ascii="Wingdings 2" w:hAnsi="Wingdings 2"/>
                <w:color w:val="000000" w:themeColor="text1"/>
                <w:szCs w:val="21"/>
                <w:highlight w:val="none"/>
                <w14:textFill>
                  <w14:solidFill>
                    <w14:schemeClr w14:val="tx1"/>
                  </w14:solidFill>
                </w14:textFill>
              </w:rPr>
              <w:sym w:font="Wingdings 2" w:char="0052"/>
            </w:r>
            <w:r>
              <w:rPr>
                <w:rFonts w:hint="eastAsia" w:ascii="宋体" w:hAnsi="宋体"/>
                <w:color w:val="000000" w:themeColor="text1"/>
                <w:szCs w:val="21"/>
                <w:highlight w:val="none"/>
                <w14:textFill>
                  <w14:solidFill>
                    <w14:schemeClr w14:val="tx1"/>
                  </w14:solidFill>
                </w14:textFill>
              </w:rPr>
              <w:t>本项目不收取履约保证金。</w:t>
            </w:r>
          </w:p>
          <w:p w14:paraId="053D6EA4">
            <w:pPr>
              <w:wordWrap w:val="0"/>
              <w:autoSpaceDE w:val="0"/>
              <w:autoSpaceDN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本项目收取履约保证金，具体规定如下：</w:t>
            </w:r>
          </w:p>
          <w:p w14:paraId="0B2D219B">
            <w:pPr>
              <w:spacing w:line="500" w:lineRule="exact"/>
              <w:contextualSpacing/>
              <w:rPr>
                <w:rFonts w:hint="eastAsia"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履约保证金金额：按</w:t>
            </w:r>
            <w:r>
              <w:rPr>
                <w:rFonts w:hint="eastAsia" w:ascii="宋体" w:hAnsi="宋体" w:cs="宋体"/>
                <w:color w:val="000000" w:themeColor="text1"/>
                <w:szCs w:val="21"/>
                <w:highlight w:val="none"/>
                <w:lang w:eastAsia="zh-CN"/>
                <w14:textFill>
                  <w14:solidFill>
                    <w14:schemeClr w14:val="tx1"/>
                  </w14:solidFill>
                </w14:textFill>
              </w:rPr>
              <w:t>中标金额</w:t>
            </w:r>
            <w:r>
              <w:rPr>
                <w:rFonts w:hint="eastAsia" w:ascii="宋体" w:hAnsi="宋体" w:cs="宋体"/>
                <w:color w:val="000000" w:themeColor="text1"/>
                <w:szCs w:val="21"/>
                <w:highlight w:val="none"/>
                <w14:textFill>
                  <w14:solidFill>
                    <w14:schemeClr w14:val="tx1"/>
                  </w14:solidFill>
                </w14:textFill>
              </w:rPr>
              <w:t>的</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，中标人</w:t>
            </w:r>
            <w:r>
              <w:rPr>
                <w:rFonts w:hint="eastAsia" w:ascii="宋体" w:hAnsi="宋体" w:cs="宋体"/>
                <w:color w:val="000000" w:themeColor="text1"/>
                <w:szCs w:val="21"/>
                <w:highlight w:val="none"/>
                <w14:textFill>
                  <w14:solidFill>
                    <w14:schemeClr w14:val="tx1"/>
                  </w14:solidFill>
                </w14:textFill>
              </w:rPr>
              <w:t>被认定享受中小微企业政策扶持，按</w:t>
            </w:r>
            <w:r>
              <w:rPr>
                <w:rFonts w:hint="eastAsia" w:ascii="宋体" w:hAnsi="宋体" w:cs="宋体"/>
                <w:color w:val="000000" w:themeColor="text1"/>
                <w:szCs w:val="21"/>
                <w:highlight w:val="none"/>
                <w:lang w:eastAsia="zh-CN"/>
                <w14:textFill>
                  <w14:solidFill>
                    <w14:schemeClr w14:val="tx1"/>
                  </w14:solidFill>
                </w14:textFill>
              </w:rPr>
              <w:t>中标金额</w:t>
            </w:r>
            <w:r>
              <w:rPr>
                <w:rFonts w:hint="eastAsia" w:ascii="宋体" w:hAnsi="宋体" w:cs="宋体"/>
                <w:color w:val="000000" w:themeColor="text1"/>
                <w:szCs w:val="21"/>
                <w:highlight w:val="none"/>
                <w14:textFill>
                  <w14:solidFill>
                    <w14:schemeClr w14:val="tx1"/>
                  </w14:solidFill>
                </w14:textFill>
              </w:rPr>
              <w:t>的</w:t>
            </w:r>
            <w:r>
              <w:rPr>
                <w:rFonts w:hint="eastAsia" w:ascii="宋体" w:hAnsi="宋体" w:cs="宋体"/>
                <w:color w:val="000000" w:themeColor="text1"/>
                <w:szCs w:val="21"/>
                <w:highlight w:val="none"/>
                <w:u w:val="single"/>
                <w14:textFill>
                  <w14:solidFill>
                    <w14:schemeClr w14:val="tx1"/>
                  </w14:solidFill>
                </w14:textFill>
              </w:rPr>
              <w:t xml:space="preserve">2 </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w:t>
            </w:r>
          </w:p>
          <w:p w14:paraId="40027804">
            <w:pPr>
              <w:spacing w:line="500" w:lineRule="exact"/>
              <w:contextualSpacing/>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履约保证金提交方式：银行转账、支票、汇票、本票或者金融、担保机构出具的保函等非现金方式。</w:t>
            </w:r>
          </w:p>
          <w:p w14:paraId="32474695">
            <w:pPr>
              <w:spacing w:line="500" w:lineRule="exact"/>
              <w:contextualSpacing/>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履约保证金提交</w:t>
            </w:r>
            <w:r>
              <w:rPr>
                <w:rFonts w:hint="eastAsia" w:ascii="宋体" w:hAnsi="宋体"/>
                <w:color w:val="000000" w:themeColor="text1"/>
                <w:szCs w:val="21"/>
                <w:highlight w:val="none"/>
                <w:lang w:val="en-US" w:eastAsia="zh-CN"/>
                <w14:textFill>
                  <w14:solidFill>
                    <w14:schemeClr w14:val="tx1"/>
                  </w14:solidFill>
                </w14:textFill>
              </w:rPr>
              <w:t>时间</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szCs w:val="21"/>
                <w:highlight w:val="none"/>
                <w:u w:val="single"/>
                <w14:textFill>
                  <w14:solidFill>
                    <w14:schemeClr w14:val="tx1"/>
                  </w14:solidFill>
                </w14:textFill>
              </w:rPr>
              <w:t>《</w:t>
            </w:r>
            <w:r>
              <w:rPr>
                <w:rFonts w:hint="eastAsia"/>
                <w:color w:val="000000" w:themeColor="text1"/>
                <w:szCs w:val="21"/>
                <w:highlight w:val="none"/>
                <w:u w:val="single"/>
                <w:lang w:val="en-US" w:eastAsia="zh-CN"/>
                <w14:textFill>
                  <w14:solidFill>
                    <w14:schemeClr w14:val="tx1"/>
                  </w14:solidFill>
                </w14:textFill>
              </w:rPr>
              <w:t>中标</w:t>
            </w:r>
            <w:r>
              <w:rPr>
                <w:rFonts w:hint="eastAsia"/>
                <w:color w:val="000000" w:themeColor="text1"/>
                <w:szCs w:val="21"/>
                <w:highlight w:val="none"/>
                <w:u w:val="single"/>
                <w14:textFill>
                  <w14:solidFill>
                    <w14:schemeClr w14:val="tx1"/>
                  </w14:solidFill>
                </w14:textFill>
              </w:rPr>
              <w:t>通知书》发出后、签订合同前</w:t>
            </w:r>
            <w:r>
              <w:rPr>
                <w:rFonts w:hint="eastAsia" w:ascii="宋体" w:hAnsi="宋体"/>
                <w:color w:val="000000" w:themeColor="text1"/>
                <w:szCs w:val="21"/>
                <w:highlight w:val="none"/>
                <w:u w:val="single"/>
                <w14:textFill>
                  <w14:solidFill>
                    <w14:schemeClr w14:val="tx1"/>
                  </w14:solidFill>
                </w14:textFill>
              </w:rPr>
              <w:t>。</w:t>
            </w:r>
          </w:p>
          <w:p w14:paraId="24EBFC79">
            <w:pPr>
              <w:wordWrap w:val="0"/>
              <w:autoSpaceDE w:val="0"/>
              <w:autoSpaceDN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履约保证金退付方式、时间及条件：</w:t>
            </w:r>
            <w:r>
              <w:rPr>
                <w:rFonts w:hint="eastAsia" w:ascii="宋体" w:hAnsi="宋体"/>
                <w:color w:val="000000" w:themeColor="text1"/>
                <w:szCs w:val="21"/>
                <w:highlight w:val="none"/>
                <w:u w:val="single"/>
                <w14:textFill>
                  <w14:solidFill>
                    <w14:schemeClr w14:val="tx1"/>
                  </w14:solidFill>
                </w14:textFill>
              </w:rPr>
              <w:t>合同签订后，如</w:t>
            </w:r>
            <w:r>
              <w:rPr>
                <w:rFonts w:hint="eastAsia" w:ascii="宋体" w:hAnsi="宋体"/>
                <w:color w:val="000000" w:themeColor="text1"/>
                <w:szCs w:val="21"/>
                <w:highlight w:val="none"/>
                <w:u w:val="single"/>
                <w:lang w:eastAsia="zh-CN"/>
                <w14:textFill>
                  <w14:solidFill>
                    <w14:schemeClr w14:val="tx1"/>
                  </w14:solidFill>
                </w14:textFill>
              </w:rPr>
              <w:t>中标人</w:t>
            </w:r>
            <w:r>
              <w:rPr>
                <w:rFonts w:hint="eastAsia" w:ascii="宋体" w:hAnsi="宋体"/>
                <w:color w:val="000000" w:themeColor="text1"/>
                <w:szCs w:val="21"/>
                <w:highlight w:val="none"/>
                <w:u w:val="single"/>
                <w14:textFill>
                  <w14:solidFill>
                    <w14:schemeClr w14:val="tx1"/>
                  </w14:solidFill>
                </w14:textFill>
              </w:rPr>
              <w:t>按合同履约的，并按照售后服务要求履行承诺且无质量问题的，由</w:t>
            </w:r>
            <w:r>
              <w:rPr>
                <w:rFonts w:hint="eastAsia" w:ascii="宋体" w:hAnsi="宋体"/>
                <w:color w:val="000000" w:themeColor="text1"/>
                <w:szCs w:val="21"/>
                <w:highlight w:val="none"/>
                <w:u w:val="single"/>
                <w:lang w:eastAsia="zh-CN"/>
                <w14:textFill>
                  <w14:solidFill>
                    <w14:schemeClr w14:val="tx1"/>
                  </w14:solidFill>
                </w14:textFill>
              </w:rPr>
              <w:t>中标人</w:t>
            </w:r>
            <w:r>
              <w:rPr>
                <w:rFonts w:hint="eastAsia" w:ascii="宋体" w:hAnsi="宋体"/>
                <w:color w:val="000000" w:themeColor="text1"/>
                <w:szCs w:val="21"/>
                <w:highlight w:val="none"/>
                <w:u w:val="single"/>
                <w14:textFill>
                  <w14:solidFill>
                    <w14:schemeClr w14:val="tx1"/>
                  </w14:solidFill>
                </w14:textFill>
              </w:rPr>
              <w:t>向采购人发出</w:t>
            </w:r>
            <w:r>
              <w:rPr>
                <w:rFonts w:hint="eastAsia" w:ascii="宋体" w:hAnsi="宋体"/>
                <w:color w:val="000000" w:themeColor="text1"/>
                <w:szCs w:val="21"/>
                <w:highlight w:val="none"/>
                <w:u w:val="single"/>
                <w:lang w:val="en-US" w:eastAsia="zh-CN"/>
                <w14:textFill>
                  <w14:solidFill>
                    <w14:schemeClr w14:val="tx1"/>
                  </w14:solidFill>
                </w14:textFill>
              </w:rPr>
              <w:t>退</w:t>
            </w:r>
            <w:r>
              <w:rPr>
                <w:rFonts w:hint="eastAsia" w:ascii="宋体" w:hAnsi="宋体"/>
                <w:color w:val="000000" w:themeColor="text1"/>
                <w:szCs w:val="21"/>
                <w:highlight w:val="none"/>
                <w:u w:val="single"/>
                <w14:textFill>
                  <w14:solidFill>
                    <w14:schemeClr w14:val="tx1"/>
                  </w14:solidFill>
                </w14:textFill>
              </w:rPr>
              <w:t>款函，采购人自收到齐全的</w:t>
            </w:r>
            <w:r>
              <w:rPr>
                <w:rFonts w:hint="eastAsia" w:ascii="宋体" w:hAnsi="宋体"/>
                <w:color w:val="000000" w:themeColor="text1"/>
                <w:szCs w:val="21"/>
                <w:highlight w:val="none"/>
                <w:u w:val="single"/>
                <w:lang w:val="en-US" w:eastAsia="zh-CN"/>
                <w14:textFill>
                  <w14:solidFill>
                    <w14:schemeClr w14:val="tx1"/>
                  </w14:solidFill>
                </w14:textFill>
              </w:rPr>
              <w:t>退</w:t>
            </w:r>
            <w:r>
              <w:rPr>
                <w:rFonts w:hint="eastAsia" w:ascii="宋体" w:hAnsi="宋体"/>
                <w:color w:val="000000" w:themeColor="text1"/>
                <w:szCs w:val="21"/>
                <w:highlight w:val="none"/>
                <w:u w:val="single"/>
                <w14:textFill>
                  <w14:solidFill>
                    <w14:schemeClr w14:val="tx1"/>
                  </w14:solidFill>
                </w14:textFill>
              </w:rPr>
              <w:t>款材料之日起十个工作日内向</w:t>
            </w:r>
            <w:r>
              <w:rPr>
                <w:rFonts w:hint="eastAsia" w:ascii="宋体" w:hAnsi="宋体"/>
                <w:color w:val="000000" w:themeColor="text1"/>
                <w:szCs w:val="21"/>
                <w:highlight w:val="none"/>
                <w:u w:val="single"/>
                <w:lang w:eastAsia="zh-CN"/>
                <w14:textFill>
                  <w14:solidFill>
                    <w14:schemeClr w14:val="tx1"/>
                  </w14:solidFill>
                </w14:textFill>
              </w:rPr>
              <w:t>中标人</w:t>
            </w:r>
            <w:r>
              <w:rPr>
                <w:rFonts w:hint="eastAsia" w:ascii="宋体" w:hAnsi="宋体"/>
                <w:color w:val="000000" w:themeColor="text1"/>
                <w:szCs w:val="21"/>
                <w:highlight w:val="none"/>
                <w:u w:val="single"/>
                <w14:textFill>
                  <w14:solidFill>
                    <w14:schemeClr w14:val="tx1"/>
                  </w14:solidFill>
                </w14:textFill>
              </w:rPr>
              <w:t>支付（无息）。如</w:t>
            </w:r>
            <w:r>
              <w:rPr>
                <w:rFonts w:hint="eastAsia" w:ascii="宋体" w:hAnsi="宋体"/>
                <w:color w:val="000000" w:themeColor="text1"/>
                <w:szCs w:val="21"/>
                <w:highlight w:val="none"/>
                <w:u w:val="single"/>
                <w:lang w:eastAsia="zh-CN"/>
                <w14:textFill>
                  <w14:solidFill>
                    <w14:schemeClr w14:val="tx1"/>
                  </w14:solidFill>
                </w14:textFill>
              </w:rPr>
              <w:t>中标人</w:t>
            </w:r>
            <w:r>
              <w:rPr>
                <w:rFonts w:hint="eastAsia" w:ascii="宋体" w:hAnsi="宋体"/>
                <w:color w:val="000000" w:themeColor="text1"/>
                <w:szCs w:val="21"/>
                <w:highlight w:val="none"/>
                <w:u w:val="single"/>
                <w14:textFill>
                  <w14:solidFill>
                    <w14:schemeClr w14:val="tx1"/>
                  </w14:solidFill>
                </w14:textFill>
              </w:rPr>
              <w:t>不按双方签订的合同履约的，履约保证金不予退还，履约保证金不足以赔偿实际损失的，按实际损失赔偿。</w:t>
            </w:r>
          </w:p>
          <w:p w14:paraId="76B857A7">
            <w:pPr>
              <w:wordWrap w:val="0"/>
              <w:autoSpaceDE w:val="0"/>
              <w:autoSpaceDN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履约保证金指定账户：</w:t>
            </w:r>
          </w:p>
          <w:p w14:paraId="5FEC4CAF">
            <w:pPr>
              <w:autoSpaceDE w:val="0"/>
              <w:autoSpaceDN w:val="0"/>
              <w:spacing w:line="360" w:lineRule="auto"/>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户名:</w:t>
            </w:r>
            <w:r>
              <w:rPr>
                <w:rFonts w:hint="eastAsia"/>
                <w:color w:val="000000" w:themeColor="text1"/>
                <w:highlight w:val="none"/>
                <w:lang w:val="en-US" w:eastAsia="zh-CN"/>
                <w14:textFill>
                  <w14:solidFill>
                    <w14:schemeClr w14:val="tx1"/>
                  </w14:solidFill>
                </w14:textFill>
              </w:rPr>
              <w:t>/</w:t>
            </w:r>
          </w:p>
          <w:p w14:paraId="75B59E8B">
            <w:pPr>
              <w:autoSpaceDE w:val="0"/>
              <w:autoSpaceDN w:val="0"/>
              <w:spacing w:line="360" w:lineRule="auto"/>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账号:</w:t>
            </w:r>
            <w:r>
              <w:rPr>
                <w:rFonts w:hint="eastAsia"/>
                <w:color w:val="000000" w:themeColor="text1"/>
                <w:highlight w:val="none"/>
                <w:lang w:val="en-US" w:eastAsia="zh-CN"/>
                <w14:textFill>
                  <w14:solidFill>
                    <w14:schemeClr w14:val="tx1"/>
                  </w14:solidFill>
                </w14:textFill>
              </w:rPr>
              <w:t>/</w:t>
            </w:r>
          </w:p>
          <w:p w14:paraId="181BB5AC">
            <w:pPr>
              <w:wordWrap w:val="0"/>
              <w:spacing w:line="360" w:lineRule="auto"/>
              <w:contextualSpacing/>
              <w:rPr>
                <w:rFonts w:hint="eastAsia"/>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开户银行:</w:t>
            </w:r>
            <w:r>
              <w:rPr>
                <w:rFonts w:hint="eastAsia"/>
                <w:color w:val="000000" w:themeColor="text1"/>
                <w:highlight w:val="none"/>
                <w:lang w:val="en-US" w:eastAsia="zh-CN"/>
                <w14:textFill>
                  <w14:solidFill>
                    <w14:schemeClr w14:val="tx1"/>
                  </w14:solidFill>
                </w14:textFill>
              </w:rPr>
              <w:t>/</w:t>
            </w:r>
          </w:p>
          <w:p w14:paraId="0A65BB6E">
            <w:pPr>
              <w:wordWrap w:val="0"/>
              <w:spacing w:line="360" w:lineRule="auto"/>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备注：</w:t>
            </w:r>
          </w:p>
          <w:p w14:paraId="785A39C8">
            <w:pPr>
              <w:wordWrap w:val="0"/>
              <w:spacing w:line="360" w:lineRule="auto"/>
              <w:contextualSpacing/>
              <w:rPr>
                <w:rFonts w:ascii="宋体" w:hAnsi="宋体" w:cs="宋体"/>
                <w:b/>
                <w:color w:val="000000" w:themeColor="text1"/>
                <w:szCs w:val="21"/>
                <w:highlight w:val="none"/>
                <w14:textFill>
                  <w14:solidFill>
                    <w14:schemeClr w14:val="tx1"/>
                  </w14:solidFill>
                </w14:textFill>
              </w:rPr>
            </w:pPr>
            <w:bookmarkStart w:id="78" w:name="_Hlk54170335"/>
            <w:bookmarkEnd w:id="78"/>
            <w:r>
              <w:rPr>
                <w:rFonts w:hint="eastAsia" w:ascii="宋体" w:hAnsi="宋体" w:cs="宋体"/>
                <w:b/>
                <w:color w:val="000000" w:themeColor="text1"/>
                <w:szCs w:val="21"/>
                <w:highlight w:val="none"/>
                <w14:textFill>
                  <w14:solidFill>
                    <w14:schemeClr w14:val="tx1"/>
                  </w14:solidFill>
                </w14:textFill>
              </w:rPr>
              <w:t>1</w:t>
            </w:r>
            <w:r>
              <w:rPr>
                <w:rFonts w:ascii="宋体" w:hAnsi="宋体" w:cs="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根据《广西壮族自治区财政厅关于持续优化政府采购营商环境推动高质量发展的通知》（桂财采〔2024〕55号）规定，鼓励采购人在与中小微企业签订政府采购合同时，减少或免于收取履约保证金，有必要收取履约保证金的，收取的履约保证金不得超过政府采购合同金额的5%。</w:t>
            </w:r>
          </w:p>
          <w:p w14:paraId="75C25531">
            <w:pPr>
              <w:wordWrap w:val="0"/>
              <w:spacing w:line="360" w:lineRule="auto"/>
              <w:contextualSpacing/>
              <w:rPr>
                <w:rFonts w:ascii="宋体" w:hAnsi="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w:t>
            </w:r>
            <w:r>
              <w:rPr>
                <w:rFonts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履约保证金不足额缴纳的，或者银行、保险机构出具的保函额度不足的或者保函有效期低于合同履行期限（即签订采购合同之日起至履行完合同约定的权利及义务之日止）的，不予签订合同。</w:t>
            </w:r>
          </w:p>
          <w:p w14:paraId="1974C30F">
            <w:pPr>
              <w:wordWrap w:val="0"/>
              <w:spacing w:line="360" w:lineRule="auto"/>
              <w:contextualSpacing/>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3.</w:t>
            </w:r>
            <w:r>
              <w:rPr>
                <w:rFonts w:hint="eastAsia" w:ascii="宋体" w:hAnsi="宋体"/>
                <w:b/>
                <w:color w:val="000000" w:themeColor="text1"/>
                <w:szCs w:val="21"/>
                <w:highlight w:val="none"/>
                <w14:textFill>
                  <w14:solidFill>
                    <w14:schemeClr w14:val="tx1"/>
                  </w14:solidFill>
                </w14:textFill>
              </w:rPr>
              <w:t>采用银行、保险机构出具的保函的，必须为无条件保函，否则不予签订合同。</w:t>
            </w:r>
          </w:p>
          <w:p w14:paraId="480223CD">
            <w:pPr>
              <w:autoSpaceDE w:val="0"/>
              <w:autoSpaceDN w:val="0"/>
              <w:snapToGrid w:val="0"/>
              <w:spacing w:line="360" w:lineRule="auto"/>
              <w:textAlignment w:val="bottom"/>
              <w:rPr>
                <w:rFonts w:hint="eastAsia" w:ascii="宋体" w:hAnsi="宋体" w:cs="宋体"/>
                <w:color w:val="000000" w:themeColor="text1"/>
                <w:kern w:val="0"/>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r>
              <w:rPr>
                <w:rFonts w:hint="eastAsia" w:ascii="宋体" w:hAnsi="宋体"/>
                <w:b/>
                <w:color w:val="000000" w:themeColor="text1"/>
                <w:szCs w:val="21"/>
                <w:highlight w:val="none"/>
                <w:lang w:val="en-US" w:eastAsia="zh-CN"/>
                <w14:textFill>
                  <w14:solidFill>
                    <w14:schemeClr w14:val="tx1"/>
                  </w14:solidFill>
                </w14:textFill>
              </w:rPr>
              <w:t>投标人</w:t>
            </w:r>
            <w:r>
              <w:rPr>
                <w:rFonts w:hint="eastAsia" w:ascii="宋体" w:hAnsi="宋体"/>
                <w:b/>
                <w:color w:val="000000" w:themeColor="text1"/>
                <w:szCs w:val="21"/>
                <w:highlight w:val="none"/>
                <w14:textFill>
                  <w14:solidFill>
                    <w14:schemeClr w14:val="tx1"/>
                  </w14:solidFill>
                </w14:textFill>
              </w:rPr>
              <w:t>为联合体的，由联合体任意一方按规定提交的履约保证金，视为有效履约保证金。</w:t>
            </w:r>
          </w:p>
        </w:tc>
      </w:tr>
      <w:tr w14:paraId="16EA98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0B7B9B53">
            <w:pPr>
              <w:spacing w:line="360" w:lineRule="auto"/>
              <w:jc w:val="center"/>
              <w:rPr>
                <w:rFonts w:hint="eastAsia" w:ascii="宋体" w:hAnsi="宋体"/>
                <w:color w:val="000000" w:themeColor="text1"/>
                <w:szCs w:val="21"/>
                <w:highlight w:val="none"/>
                <w14:textFill>
                  <w14:solidFill>
                    <w14:schemeClr w14:val="tx1"/>
                  </w14:solidFill>
                </w14:textFill>
              </w:rPr>
            </w:pPr>
            <w:bookmarkStart w:id="79" w:name="_40.1"/>
            <w:bookmarkEnd w:id="79"/>
            <w:r>
              <w:rPr>
                <w:rFonts w:hint="eastAsia" w:ascii="宋体" w:hAnsi="宋体"/>
                <w:color w:val="000000" w:themeColor="text1"/>
                <w:szCs w:val="21"/>
                <w:highlight w:val="none"/>
                <w14:textFill>
                  <w14:solidFill>
                    <w14:schemeClr w14:val="tx1"/>
                  </w14:solidFill>
                </w14:textFill>
              </w:rPr>
              <w:t>36.1</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4D4523E8">
            <w:pPr>
              <w:autoSpaceDE w:val="0"/>
              <w:autoSpaceDN w:val="0"/>
              <w:snapToGrid w:val="0"/>
              <w:spacing w:line="360" w:lineRule="auto"/>
              <w:textAlignment w:val="bottom"/>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签订合同携带的证明材料： </w:t>
            </w:r>
          </w:p>
          <w:p w14:paraId="07EAAB39">
            <w:pPr>
              <w:autoSpaceDE w:val="0"/>
              <w:autoSpaceDN w:val="0"/>
              <w:snapToGrid w:val="0"/>
              <w:spacing w:line="360" w:lineRule="auto"/>
              <w:textAlignment w:val="bottom"/>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委托代理人负责签订合同的，须携带授权委托书及委托代理人身份证原件等其他资格证件。</w:t>
            </w:r>
          </w:p>
          <w:p w14:paraId="501A76B1">
            <w:pPr>
              <w:autoSpaceDE w:val="0"/>
              <w:autoSpaceDN w:val="0"/>
              <w:snapToGrid w:val="0"/>
              <w:spacing w:line="360" w:lineRule="auto"/>
              <w:textAlignment w:val="bottom"/>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法定代表人负责签订合同的，须携带法定代表人</w:t>
            </w:r>
            <w:r>
              <w:rPr>
                <w:rFonts w:ascii="宋体" w:hAnsi="宋体"/>
                <w:color w:val="000000" w:themeColor="text1"/>
                <w:szCs w:val="21"/>
                <w:highlight w:val="none"/>
                <w14:textFill>
                  <w14:solidFill>
                    <w14:schemeClr w14:val="tx1"/>
                  </w14:solidFill>
                </w14:textFill>
              </w:rPr>
              <w:t>身份证明原件</w:t>
            </w:r>
            <w:r>
              <w:rPr>
                <w:rFonts w:hint="eastAsia" w:ascii="宋体" w:hAnsi="宋体"/>
                <w:color w:val="000000" w:themeColor="text1"/>
                <w:szCs w:val="21"/>
                <w:highlight w:val="none"/>
                <w14:textFill>
                  <w14:solidFill>
                    <w14:schemeClr w14:val="tx1"/>
                  </w14:solidFill>
                </w14:textFill>
              </w:rPr>
              <w:t>及</w:t>
            </w:r>
            <w:r>
              <w:rPr>
                <w:rFonts w:ascii="宋体" w:hAnsi="宋体"/>
                <w:color w:val="000000" w:themeColor="text1"/>
                <w:szCs w:val="21"/>
                <w:highlight w:val="none"/>
                <w14:textFill>
                  <w14:solidFill>
                    <w14:schemeClr w14:val="tx1"/>
                  </w14:solidFill>
                </w14:textFill>
              </w:rPr>
              <w:t>身份证原件</w:t>
            </w:r>
            <w:r>
              <w:rPr>
                <w:rFonts w:hint="eastAsia" w:ascii="宋体" w:hAnsi="宋体"/>
                <w:color w:val="000000" w:themeColor="text1"/>
                <w:szCs w:val="21"/>
                <w:highlight w:val="none"/>
                <w14:textFill>
                  <w14:solidFill>
                    <w14:schemeClr w14:val="tx1"/>
                  </w14:solidFill>
                </w14:textFill>
              </w:rPr>
              <w:t>等其他证明材料。</w:t>
            </w:r>
          </w:p>
        </w:tc>
      </w:tr>
      <w:tr w14:paraId="5AC59D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07C665C8">
            <w:pPr>
              <w:spacing w:line="360" w:lineRule="auto"/>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ascii="宋体" w:hAnsi="宋体"/>
                <w:color w:val="000000" w:themeColor="text1"/>
                <w:szCs w:val="21"/>
                <w:highlight w:val="none"/>
                <w14:textFill>
                  <w14:solidFill>
                    <w14:schemeClr w14:val="tx1"/>
                  </w14:solidFill>
                </w14:textFill>
              </w:rPr>
              <w:t>8.2</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3DCEDBB0">
            <w:pPr>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接收质疑函方式：以书面形式</w:t>
            </w:r>
          </w:p>
          <w:p w14:paraId="06858012">
            <w:pPr>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质疑联系部门及联系方式：云之龙咨询集团有限公司钦州分公司</w:t>
            </w:r>
            <w:r>
              <w:rPr>
                <w:rFonts w:hint="eastAsia" w:ascii="宋体" w:hAnsi="宋体"/>
                <w:color w:val="000000" w:themeColor="text1"/>
                <w:szCs w:val="21"/>
                <w:highlight w:val="none"/>
                <w:lang w:val="en-US" w:eastAsia="zh-CN"/>
                <w14:textFill>
                  <w14:solidFill>
                    <w14:schemeClr w14:val="tx1"/>
                  </w14:solidFill>
                </w14:textFill>
              </w:rPr>
              <w:t>咨询</w:t>
            </w:r>
            <w:r>
              <w:rPr>
                <w:rFonts w:hint="eastAsia" w:ascii="宋体" w:hAnsi="宋体"/>
                <w:color w:val="000000" w:themeColor="text1"/>
                <w:szCs w:val="21"/>
                <w:highlight w:val="none"/>
                <w14:textFill>
                  <w14:solidFill>
                    <w14:schemeClr w14:val="tx1"/>
                  </w14:solidFill>
                </w14:textFill>
              </w:rPr>
              <w:t>部</w:t>
            </w:r>
          </w:p>
          <w:p w14:paraId="34290189">
            <w:pPr>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联系电话：0777-5619366</w:t>
            </w:r>
          </w:p>
          <w:p w14:paraId="0404DFE4">
            <w:pPr>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通讯地址：云之龙咨询集团有限公司钦州分公司（广西钦州市子材东大街19号奥林名城8号楼8层）</w:t>
            </w:r>
          </w:p>
          <w:p w14:paraId="172D8004">
            <w:pPr>
              <w:autoSpaceDE w:val="0"/>
              <w:autoSpaceDN w:val="0"/>
              <w:snapToGrid w:val="0"/>
              <w:spacing w:line="360" w:lineRule="auto"/>
              <w:textAlignment w:val="bottom"/>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现场提交质疑办理业务时间：工作日8时00分到12时00分，15时00分到18时 00分，业务时间以外、双休日和法定节假日不办理业务。</w:t>
            </w:r>
          </w:p>
        </w:tc>
      </w:tr>
      <w:tr w14:paraId="5DB950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0BD2D696">
            <w:pPr>
              <w:spacing w:line="360" w:lineRule="auto"/>
              <w:jc w:val="center"/>
              <w:rPr>
                <w:rFonts w:hint="eastAsia" w:ascii="宋体" w:hAnsi="宋体"/>
                <w:color w:val="000000" w:themeColor="text1"/>
                <w:szCs w:val="21"/>
                <w:highlight w:val="none"/>
                <w14:textFill>
                  <w14:solidFill>
                    <w14:schemeClr w14:val="tx1"/>
                  </w14:solidFill>
                </w14:textFill>
              </w:rPr>
            </w:pPr>
            <w:bookmarkStart w:id="80" w:name="_42"/>
            <w:bookmarkEnd w:id="80"/>
            <w:bookmarkStart w:id="81" w:name="_41"/>
            <w:bookmarkEnd w:id="81"/>
            <w:bookmarkStart w:id="82" w:name="_Hlt17709148"/>
            <w:r>
              <w:rPr>
                <w:rFonts w:hint="eastAsia" w:ascii="宋体" w:hAnsi="宋体"/>
                <w:color w:val="000000" w:themeColor="text1"/>
                <w:szCs w:val="21"/>
                <w:highlight w:val="none"/>
                <w14:textFill>
                  <w14:solidFill>
                    <w14:schemeClr w14:val="tx1"/>
                  </w14:solidFill>
                </w14:textFill>
              </w:rPr>
              <w:t>3</w:t>
            </w:r>
            <w:bookmarkEnd w:id="82"/>
            <w:r>
              <w:rPr>
                <w:rFonts w:ascii="宋体" w:hAnsi="宋体"/>
                <w:color w:val="000000" w:themeColor="text1"/>
                <w:szCs w:val="21"/>
                <w:highlight w:val="none"/>
                <w14:textFill>
                  <w14:solidFill>
                    <w14:schemeClr w14:val="tx1"/>
                  </w14:solidFill>
                </w14:textFill>
              </w:rPr>
              <w:t>9.1</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65230098">
            <w:pPr>
              <w:pStyle w:val="27"/>
              <w:snapToGrid w:val="0"/>
              <w:spacing w:line="360" w:lineRule="auto"/>
              <w:rPr>
                <w:rFonts w:hint="eastAsia" w:hAnsi="宋体" w:cs="宋体"/>
                <w:color w:val="000000" w:themeColor="text1"/>
                <w:sz w:val="21"/>
                <w:highlight w:val="none"/>
                <w:lang w:val="en-US" w:eastAsia="zh-CN"/>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1.采购代理费支付方式：</w:t>
            </w:r>
          </w:p>
          <w:p w14:paraId="6ED1A115">
            <w:pPr>
              <w:pStyle w:val="27"/>
              <w:snapToGrid w:val="0"/>
              <w:spacing w:line="360" w:lineRule="auto"/>
              <w:rPr>
                <w:rFonts w:hint="eastAsia" w:hAnsi="宋体" w:cs="宋体"/>
                <w:color w:val="000000" w:themeColor="text1"/>
                <w:sz w:val="21"/>
                <w:highlight w:val="none"/>
                <w:lang w:val="en-US" w:eastAsia="zh-CN"/>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本项目代理服务费由各分标</w:t>
            </w:r>
            <w:r>
              <w:rPr>
                <w:rFonts w:hint="eastAsia" w:hAnsi="宋体" w:cs="宋体"/>
                <w:color w:val="000000" w:themeColor="text1"/>
                <w:sz w:val="21"/>
                <w:highlight w:val="none"/>
                <w:u w:val="single"/>
                <w:lang w:val="en-US" w:eastAsia="zh-CN"/>
                <w14:textFill>
                  <w14:solidFill>
                    <w14:schemeClr w14:val="tx1"/>
                  </w14:solidFill>
                </w14:textFill>
              </w:rPr>
              <w:t>中标人</w:t>
            </w:r>
            <w:r>
              <w:rPr>
                <w:rFonts w:hint="eastAsia" w:hAnsi="宋体" w:cs="宋体"/>
                <w:color w:val="000000" w:themeColor="text1"/>
                <w:sz w:val="21"/>
                <w:highlight w:val="none"/>
                <w:lang w:val="en-US" w:eastAsia="zh-CN"/>
                <w14:textFill>
                  <w14:solidFill>
                    <w14:schemeClr w14:val="tx1"/>
                  </w14:solidFill>
                </w14:textFill>
              </w:rPr>
              <w:t>一次性向采购代理机构支付。</w:t>
            </w:r>
          </w:p>
          <w:p w14:paraId="52712A84">
            <w:pPr>
              <w:pStyle w:val="27"/>
              <w:snapToGrid w:val="0"/>
              <w:spacing w:line="360" w:lineRule="auto"/>
              <w:rPr>
                <w:rFonts w:hint="eastAsia" w:hAnsi="宋体" w:cs="宋体"/>
                <w:color w:val="000000" w:themeColor="text1"/>
                <w:sz w:val="21"/>
                <w:highlight w:val="none"/>
                <w:lang w:val="en-US" w:eastAsia="zh-CN"/>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2.采购代理费收取标准：</w:t>
            </w:r>
          </w:p>
          <w:p w14:paraId="4686A6DC">
            <w:pPr>
              <w:pStyle w:val="27"/>
              <w:snapToGrid w:val="0"/>
              <w:spacing w:line="360" w:lineRule="auto"/>
              <w:rPr>
                <w:rFonts w:hint="eastAsia" w:hAnsi="宋体" w:cs="宋体"/>
                <w:color w:val="000000" w:themeColor="text1"/>
                <w:sz w:val="21"/>
                <w:highlight w:val="none"/>
                <w:lang w:val="en-US" w:eastAsia="zh-CN"/>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以各分标预算金额为计费额，按本须知正文第</w:t>
            </w:r>
            <w:r>
              <w:rPr>
                <w:rFonts w:hAnsi="宋体" w:cs="宋体"/>
                <w:color w:val="000000" w:themeColor="text1"/>
                <w:sz w:val="21"/>
                <w:highlight w:val="none"/>
                <w:lang w:val="en-US" w:eastAsia="zh-CN"/>
                <w14:textFill>
                  <w14:solidFill>
                    <w14:schemeClr w14:val="tx1"/>
                  </w14:solidFill>
                </w14:textFill>
              </w:rPr>
              <w:t>39</w:t>
            </w:r>
            <w:r>
              <w:rPr>
                <w:rFonts w:hint="eastAsia" w:hAnsi="宋体" w:cs="宋体"/>
                <w:color w:val="000000" w:themeColor="text1"/>
                <w:sz w:val="21"/>
                <w:highlight w:val="none"/>
                <w:lang w:val="en-US" w:eastAsia="zh-CN"/>
                <w14:textFill>
                  <w14:solidFill>
                    <w14:schemeClr w14:val="tx1"/>
                  </w14:solidFill>
                </w14:textFill>
              </w:rPr>
              <w:t>.</w:t>
            </w:r>
            <w:r>
              <w:rPr>
                <w:rFonts w:hAnsi="宋体" w:cs="宋体"/>
                <w:color w:val="000000" w:themeColor="text1"/>
                <w:sz w:val="21"/>
                <w:highlight w:val="none"/>
                <w:lang w:val="en-US" w:eastAsia="zh-CN"/>
                <w14:textFill>
                  <w14:solidFill>
                    <w14:schemeClr w14:val="tx1"/>
                  </w14:solidFill>
                </w14:textFill>
              </w:rPr>
              <w:t>2</w:t>
            </w:r>
            <w:r>
              <w:rPr>
                <w:rFonts w:hint="eastAsia" w:hAnsi="宋体" w:cs="宋体"/>
                <w:color w:val="000000" w:themeColor="text1"/>
                <w:sz w:val="21"/>
                <w:highlight w:val="none"/>
                <w:lang w:val="en-US" w:eastAsia="zh-CN"/>
                <w14:textFill>
                  <w14:solidFill>
                    <w14:schemeClr w14:val="tx1"/>
                  </w14:solidFill>
                </w14:textFill>
              </w:rPr>
              <w:t>条规定的收费计算标准货物招标类，采用差额定率累进法计算出收费基准价格，采购代理收费以收费基准价格下浮20%后收取。</w:t>
            </w:r>
          </w:p>
          <w:p w14:paraId="36EEEAC3">
            <w:pPr>
              <w:pStyle w:val="27"/>
              <w:snapToGrid w:val="0"/>
              <w:spacing w:line="360" w:lineRule="auto"/>
              <w:rPr>
                <w:rFonts w:hint="eastAsia" w:hAnsi="宋体" w:cs="宋体"/>
                <w:color w:val="000000" w:themeColor="text1"/>
                <w:sz w:val="21"/>
                <w:highlight w:val="none"/>
                <w:lang w:val="en-US" w:eastAsia="zh-CN"/>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3</w:t>
            </w:r>
            <w:r>
              <w:rPr>
                <w:rFonts w:hAnsi="宋体" w:cs="宋体"/>
                <w:color w:val="000000" w:themeColor="text1"/>
                <w:sz w:val="21"/>
                <w:highlight w:val="none"/>
                <w:lang w:val="en-US" w:eastAsia="zh-CN"/>
                <w14:textFill>
                  <w14:solidFill>
                    <w14:schemeClr w14:val="tx1"/>
                  </w14:solidFill>
                </w14:textFill>
              </w:rPr>
              <w:t>.</w:t>
            </w:r>
            <w:r>
              <w:rPr>
                <w:rFonts w:hint="eastAsia" w:hAnsi="宋体" w:cs="宋体"/>
                <w:color w:val="000000" w:themeColor="text1"/>
                <w:sz w:val="21"/>
                <w:highlight w:val="none"/>
                <w:lang w:val="en-US" w:eastAsia="zh-CN"/>
                <w14:textFill>
                  <w14:solidFill>
                    <w14:schemeClr w14:val="tx1"/>
                  </w14:solidFill>
                </w14:textFill>
              </w:rPr>
              <w:t xml:space="preserve"> 账户名称：云之龙咨询集团有限公司钦州分公司</w:t>
            </w:r>
          </w:p>
          <w:p w14:paraId="1385530B">
            <w:pPr>
              <w:snapToGrid w:val="0"/>
              <w:spacing w:line="360" w:lineRule="auto"/>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开户银行：中信银行南宁东葛支行；</w:t>
            </w:r>
          </w:p>
          <w:p w14:paraId="1027B317">
            <w:pPr>
              <w:snapToGrid w:val="0"/>
              <w:spacing w:line="360" w:lineRule="auto"/>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银行账号：8113 0010 1330 0157 979；</w:t>
            </w:r>
          </w:p>
          <w:p w14:paraId="225428F1">
            <w:pPr>
              <w:pStyle w:val="27"/>
              <w:snapToGrid w:val="0"/>
              <w:spacing w:line="360" w:lineRule="auto"/>
              <w:ind w:firstLine="105" w:firstLineChars="50"/>
              <w:rPr>
                <w:rFonts w:hint="eastAsia" w:hAnsi="宋体" w:cs="宋体"/>
                <w:color w:val="000000" w:themeColor="text1"/>
                <w:sz w:val="21"/>
                <w:highlight w:val="none"/>
                <w:lang w:val="en-US" w:eastAsia="zh-CN"/>
                <w14:textFill>
                  <w14:solidFill>
                    <w14:schemeClr w14:val="tx1"/>
                  </w14:solidFill>
                </w14:textFill>
              </w:rPr>
            </w:pPr>
            <w:r>
              <w:rPr>
                <w:rFonts w:hint="eastAsia" w:ascii="Times New Roman" w:hAnsi="宋体" w:cs="宋体"/>
                <w:color w:val="000000" w:themeColor="text1"/>
                <w:kern w:val="2"/>
                <w:sz w:val="21"/>
                <w:szCs w:val="24"/>
                <w:highlight w:val="none"/>
                <w:lang w:val="en-US" w:eastAsia="zh-CN"/>
                <w14:textFill>
                  <w14:solidFill>
                    <w14:schemeClr w14:val="tx1"/>
                  </w14:solidFill>
                </w14:textFill>
              </w:rPr>
              <w:t>行号：3026 1102 9137</w:t>
            </w:r>
          </w:p>
        </w:tc>
      </w:tr>
      <w:tr w14:paraId="6ED293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402EEEB2">
            <w:pPr>
              <w:snapToGrid w:val="0"/>
              <w:spacing w:line="360" w:lineRule="auto"/>
              <w:jc w:val="center"/>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40.1</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3EFB0BBE">
            <w:pPr>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解释：</w:t>
            </w:r>
            <w:r>
              <w:rPr>
                <w:rFonts w:ascii="宋体" w:hAnsi="宋体"/>
                <w:color w:val="000000" w:themeColor="text1"/>
                <w:szCs w:val="21"/>
                <w:highlight w:val="none"/>
                <w14:textFill>
                  <w14:solidFill>
                    <w14:schemeClr w14:val="tx1"/>
                  </w14:solidFill>
                </w14:textFill>
              </w:rPr>
              <w:t>构成本招标文件的各个组成文件应互为解释，互为说明；除招标文件中有特别规定外，仅适用于招标投标阶段的规定，按</w:t>
            </w:r>
            <w:r>
              <w:rPr>
                <w:rFonts w:hint="eastAsia" w:ascii="宋体" w:hAnsi="宋体"/>
                <w:color w:val="000000" w:themeColor="text1"/>
                <w:szCs w:val="21"/>
                <w:highlight w:val="none"/>
                <w14:textFill>
                  <w14:solidFill>
                    <w14:schemeClr w14:val="tx1"/>
                  </w14:solidFill>
                </w14:textFill>
              </w:rPr>
              <w:t>更正公告（澄清公告）</w:t>
            </w:r>
            <w:r>
              <w:rPr>
                <w:rFonts w:ascii="宋体" w:hAnsi="宋体"/>
                <w:color w:val="000000" w:themeColor="text1"/>
                <w:szCs w:val="21"/>
                <w:highlight w:val="none"/>
                <w14:textFill>
                  <w14:solidFill>
                    <w14:schemeClr w14:val="tx1"/>
                  </w14:solidFill>
                </w14:textFill>
              </w:rPr>
              <w:t>、招标公告、</w:t>
            </w:r>
            <w:r>
              <w:rPr>
                <w:rFonts w:hint="eastAsia" w:ascii="宋体" w:hAnsi="宋体"/>
                <w:color w:val="000000" w:themeColor="text1"/>
                <w:szCs w:val="21"/>
                <w:highlight w:val="none"/>
                <w14:textFill>
                  <w14:solidFill>
                    <w14:schemeClr w14:val="tx1"/>
                  </w14:solidFill>
                </w14:textFill>
              </w:rPr>
              <w:t>采购需求、</w:t>
            </w:r>
            <w:r>
              <w:rPr>
                <w:rFonts w:ascii="宋体" w:hAnsi="宋体"/>
                <w:color w:val="000000" w:themeColor="text1"/>
                <w:szCs w:val="21"/>
                <w:highlight w:val="none"/>
                <w14:textFill>
                  <w14:solidFill>
                    <w14:schemeClr w14:val="tx1"/>
                  </w14:solidFill>
                </w14:textFill>
              </w:rPr>
              <w:t>投标人须知、</w:t>
            </w:r>
            <w:r>
              <w:rPr>
                <w:rFonts w:hint="eastAsia" w:ascii="宋体" w:hAnsi="宋体"/>
                <w:color w:val="000000" w:themeColor="text1"/>
                <w:szCs w:val="21"/>
                <w:highlight w:val="none"/>
                <w14:textFill>
                  <w14:solidFill>
                    <w14:schemeClr w14:val="tx1"/>
                  </w14:solidFill>
                </w14:textFill>
              </w:rPr>
              <w:t>评标方法及评标标准</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拟签订的合同文本、</w:t>
            </w:r>
            <w:r>
              <w:rPr>
                <w:rFonts w:ascii="宋体" w:hAnsi="宋体"/>
                <w:color w:val="000000" w:themeColor="text1"/>
                <w:szCs w:val="21"/>
                <w:highlight w:val="none"/>
                <w14:textFill>
                  <w14:solidFill>
                    <w14:schemeClr w14:val="tx1"/>
                  </w14:solidFill>
                </w14:textFill>
              </w:rPr>
              <w:t>投标文件格式的先后顺序解释；同一组成文件中就同一事项的规定或者约定不一致的，以编排顺序在后者为准；同一组成文件不同版本之间有不一致的，以形成时间在后者为准；</w:t>
            </w:r>
            <w:r>
              <w:rPr>
                <w:rFonts w:hint="eastAsia" w:ascii="宋体" w:hAnsi="宋体"/>
                <w:color w:val="000000" w:themeColor="text1"/>
                <w:szCs w:val="21"/>
                <w:highlight w:val="none"/>
                <w14:textFill>
                  <w14:solidFill>
                    <w14:schemeClr w14:val="tx1"/>
                  </w14:solidFill>
                </w14:textFill>
              </w:rPr>
              <w:t>更正公告（澄清公告）</w:t>
            </w:r>
            <w:r>
              <w:rPr>
                <w:rFonts w:ascii="宋体" w:hAnsi="宋体"/>
                <w:color w:val="000000" w:themeColor="text1"/>
                <w:szCs w:val="21"/>
                <w:highlight w:val="none"/>
                <w14:textFill>
                  <w14:solidFill>
                    <w14:schemeClr w14:val="tx1"/>
                  </w14:solidFill>
                </w14:textFill>
              </w:rPr>
              <w:t>与同步更新的招标文件不一致时以</w:t>
            </w:r>
            <w:r>
              <w:rPr>
                <w:rFonts w:hint="eastAsia" w:ascii="宋体" w:hAnsi="宋体"/>
                <w:color w:val="000000" w:themeColor="text1"/>
                <w:szCs w:val="21"/>
                <w:highlight w:val="none"/>
                <w14:textFill>
                  <w14:solidFill>
                    <w14:schemeClr w14:val="tx1"/>
                  </w14:solidFill>
                </w14:textFill>
              </w:rPr>
              <w:t>更正公告（澄清公告）</w:t>
            </w:r>
            <w:r>
              <w:rPr>
                <w:rFonts w:ascii="宋体" w:hAnsi="宋体"/>
                <w:color w:val="000000" w:themeColor="text1"/>
                <w:szCs w:val="21"/>
                <w:highlight w:val="none"/>
                <w14:textFill>
                  <w14:solidFill>
                    <w14:schemeClr w14:val="tx1"/>
                  </w14:solidFill>
                </w14:textFill>
              </w:rPr>
              <w:t>为准。按本款前述规定仍不能形成结论的，由</w:t>
            </w:r>
            <w:r>
              <w:rPr>
                <w:rFonts w:hint="eastAsia" w:ascii="宋体" w:hAnsi="宋体"/>
                <w:color w:val="000000" w:themeColor="text1"/>
                <w:szCs w:val="21"/>
                <w:highlight w:val="none"/>
                <w14:textFill>
                  <w14:solidFill>
                    <w14:schemeClr w14:val="tx1"/>
                  </w14:solidFill>
                </w14:textFill>
              </w:rPr>
              <w:t>采购</w:t>
            </w:r>
            <w:r>
              <w:rPr>
                <w:rFonts w:ascii="宋体" w:hAnsi="宋体"/>
                <w:color w:val="000000" w:themeColor="text1"/>
                <w:szCs w:val="21"/>
                <w:highlight w:val="none"/>
                <w14:textFill>
                  <w14:solidFill>
                    <w14:schemeClr w14:val="tx1"/>
                  </w14:solidFill>
                </w14:textFill>
              </w:rPr>
              <w:t>人</w:t>
            </w:r>
            <w:r>
              <w:rPr>
                <w:rFonts w:hint="eastAsia" w:ascii="宋体" w:hAnsi="宋体"/>
                <w:color w:val="000000" w:themeColor="text1"/>
                <w:szCs w:val="21"/>
                <w:highlight w:val="none"/>
                <w14:textFill>
                  <w14:solidFill>
                    <w14:schemeClr w14:val="tx1"/>
                  </w14:solidFill>
                </w14:textFill>
              </w:rPr>
              <w:t>或者采购代理机构</w:t>
            </w:r>
            <w:r>
              <w:rPr>
                <w:rFonts w:ascii="宋体" w:hAnsi="宋体"/>
                <w:color w:val="000000" w:themeColor="text1"/>
                <w:szCs w:val="21"/>
                <w:highlight w:val="none"/>
                <w14:textFill>
                  <w14:solidFill>
                    <w14:schemeClr w14:val="tx1"/>
                  </w14:solidFill>
                </w14:textFill>
              </w:rPr>
              <w:t>负责解释。</w:t>
            </w:r>
          </w:p>
        </w:tc>
      </w:tr>
      <w:tr w14:paraId="7A6C65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09BC89D5">
            <w:pPr>
              <w:snapToGrid w:val="0"/>
              <w:spacing w:line="360" w:lineRule="auto"/>
              <w:jc w:val="center"/>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40.2</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05FA1218">
            <w:pPr>
              <w:pStyle w:val="27"/>
              <w:snapToGrid w:val="0"/>
              <w:spacing w:line="360" w:lineRule="auto"/>
              <w:rPr>
                <w:rFonts w:hint="eastAsia" w:hAnsi="宋体" w:cs="宋体"/>
                <w:bCs/>
                <w:color w:val="000000" w:themeColor="text1"/>
                <w:sz w:val="21"/>
                <w:highlight w:val="none"/>
                <w:lang w:val="en-US" w:eastAsia="zh-CN"/>
                <w14:textFill>
                  <w14:solidFill>
                    <w14:schemeClr w14:val="tx1"/>
                  </w14:solidFill>
                </w14:textFill>
              </w:rPr>
            </w:pPr>
            <w:r>
              <w:rPr>
                <w:rFonts w:hint="eastAsia" w:hAnsi="宋体" w:cs="宋体"/>
                <w:bCs/>
                <w:color w:val="000000" w:themeColor="text1"/>
                <w:sz w:val="21"/>
                <w:highlight w:val="none"/>
                <w:lang w:val="en-US" w:eastAsia="zh-CN"/>
                <w14:textFill>
                  <w14:solidFill>
                    <w14:schemeClr w14:val="tx1"/>
                  </w14:solidFill>
                </w14:textFill>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6781F73C">
            <w:pPr>
              <w:pStyle w:val="27"/>
              <w:snapToGrid w:val="0"/>
              <w:spacing w:line="360" w:lineRule="auto"/>
              <w:rPr>
                <w:rFonts w:hAnsi="宋体" w:cs="宋体"/>
                <w:bCs/>
                <w:color w:val="000000" w:themeColor="text1"/>
                <w:sz w:val="21"/>
                <w:highlight w:val="none"/>
                <w:lang w:val="en-US" w:eastAsia="zh-CN"/>
                <w14:textFill>
                  <w14:solidFill>
                    <w14:schemeClr w14:val="tx1"/>
                  </w14:solidFill>
                </w14:textFill>
              </w:rPr>
            </w:pPr>
            <w:r>
              <w:rPr>
                <w:rFonts w:hint="eastAsia" w:hAnsi="宋体" w:cs="宋体"/>
                <w:bCs/>
                <w:color w:val="000000" w:themeColor="text1"/>
                <w:sz w:val="21"/>
                <w:highlight w:val="none"/>
                <w:lang w:val="en-US" w:eastAsia="zh-CN"/>
                <w14:textFill>
                  <w14:solidFill>
                    <w14:schemeClr w14:val="tx1"/>
                  </w14:solidFill>
                </w14:textFill>
              </w:rPr>
              <w:t>2.本招标文件所称的“</w:t>
            </w:r>
            <w:r>
              <w:rPr>
                <w:rFonts w:hint="eastAsia" w:hAnsi="宋体"/>
                <w:color w:val="000000" w:themeColor="text1"/>
                <w:sz w:val="21"/>
                <w:highlight w:val="none"/>
                <w:lang w:val="en-US" w:eastAsia="zh-CN"/>
                <w14:textFill>
                  <w14:solidFill>
                    <w14:schemeClr w14:val="tx1"/>
                  </w14:solidFill>
                </w14:textFill>
              </w:rPr>
              <w:t>电子签章</w:t>
            </w:r>
            <w:r>
              <w:rPr>
                <w:rFonts w:hint="eastAsia" w:hAnsi="宋体" w:cs="宋体"/>
                <w:bCs/>
                <w:color w:val="000000" w:themeColor="text1"/>
                <w:sz w:val="21"/>
                <w:highlight w:val="none"/>
                <w:lang w:val="en-US" w:eastAsia="zh-CN"/>
                <w14:textFill>
                  <w14:solidFill>
                    <w14:schemeClr w14:val="tx1"/>
                  </w14:solidFill>
                </w14:textFill>
              </w:rPr>
              <w:t>”、“电子签名”</w:t>
            </w:r>
            <w:r>
              <w:rPr>
                <w:rFonts w:hint="eastAsia" w:hAnsi="宋体"/>
                <w:color w:val="000000" w:themeColor="text1"/>
                <w:sz w:val="21"/>
                <w:highlight w:val="none"/>
                <w:lang w:val="en-US" w:eastAsia="zh-CN"/>
                <w14:textFill>
                  <w14:solidFill>
                    <w14:schemeClr w14:val="tx1"/>
                  </w14:solidFill>
                </w14:textFill>
              </w:rPr>
              <w:t>，是指经广西政府采购云平台认可的CA认证的电子签名数据为表现形式的印章，可用于签署电子投标文件，电子印章与实物印章具有同等法律效力，不因其采用电子化表现形式而否定其法律效力。</w:t>
            </w:r>
          </w:p>
          <w:p w14:paraId="5F335300">
            <w:pPr>
              <w:pStyle w:val="27"/>
              <w:snapToGrid w:val="0"/>
              <w:spacing w:line="360" w:lineRule="auto"/>
              <w:rPr>
                <w:rFonts w:hint="eastAsia" w:hAnsi="宋体" w:cs="宋体"/>
                <w:bCs/>
                <w:color w:val="000000" w:themeColor="text1"/>
                <w:sz w:val="21"/>
                <w:highlight w:val="none"/>
                <w:lang w:val="en-US" w:eastAsia="zh-CN"/>
                <w14:textFill>
                  <w14:solidFill>
                    <w14:schemeClr w14:val="tx1"/>
                  </w14:solidFill>
                </w14:textFill>
              </w:rPr>
            </w:pPr>
            <w:r>
              <w:rPr>
                <w:rFonts w:hint="eastAsia" w:hAnsi="宋体" w:cs="宋体"/>
                <w:bCs/>
                <w:color w:val="000000" w:themeColor="text1"/>
                <w:sz w:val="21"/>
                <w:highlight w:val="none"/>
                <w:lang w:val="en-US" w:eastAsia="zh-CN"/>
                <w14:textFill>
                  <w14:solidFill>
                    <w14:schemeClr w14:val="tx1"/>
                  </w14:solidFill>
                </w14:textFill>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3A491CA5">
            <w:pPr>
              <w:pStyle w:val="27"/>
              <w:snapToGrid w:val="0"/>
              <w:spacing w:line="360" w:lineRule="auto"/>
              <w:rPr>
                <w:rFonts w:hint="eastAsia" w:hAnsi="宋体" w:cs="宋体"/>
                <w:bCs/>
                <w:color w:val="000000" w:themeColor="text1"/>
                <w:sz w:val="21"/>
                <w:highlight w:val="none"/>
                <w:lang w:val="en-US" w:eastAsia="zh-CN"/>
                <w14:textFill>
                  <w14:solidFill>
                    <w14:schemeClr w14:val="tx1"/>
                  </w14:solidFill>
                </w14:textFill>
              </w:rPr>
            </w:pPr>
            <w:r>
              <w:rPr>
                <w:rFonts w:hint="eastAsia" w:hAnsi="宋体" w:cs="宋体"/>
                <w:bCs/>
                <w:color w:val="000000" w:themeColor="text1"/>
                <w:sz w:val="21"/>
                <w:highlight w:val="none"/>
                <w:lang w:val="en-US" w:eastAsia="zh-CN"/>
                <w14:textFill>
                  <w14:solidFill>
                    <w14:schemeClr w14:val="tx1"/>
                  </w14:solidFill>
                </w14:textFill>
              </w:rPr>
              <w:t>4.本招标文件中描述投标人的“签字”是指投标人的法定代表人或者委托代理人亲自在文件规定签字处亲笔写上个人的名字的行为，私章、签字章、印鉴、影印等其他形式均不能代替亲笔签字。</w:t>
            </w:r>
          </w:p>
          <w:p w14:paraId="4303CC21">
            <w:pPr>
              <w:pStyle w:val="27"/>
              <w:snapToGrid w:val="0"/>
              <w:spacing w:line="360" w:lineRule="auto"/>
              <w:rPr>
                <w:rFonts w:hint="eastAsia"/>
                <w:color w:val="000000" w:themeColor="text1"/>
                <w:sz w:val="21"/>
                <w:highlight w:val="none"/>
                <w:lang w:val="en-US" w:eastAsia="zh-CN"/>
                <w14:textFill>
                  <w14:solidFill>
                    <w14:schemeClr w14:val="tx1"/>
                  </w14:solidFill>
                </w14:textFill>
              </w:rPr>
            </w:pPr>
            <w:r>
              <w:rPr>
                <w:rFonts w:hint="eastAsia" w:hAnsi="宋体" w:cs="宋体"/>
                <w:bCs/>
                <w:color w:val="000000" w:themeColor="text1"/>
                <w:sz w:val="21"/>
                <w:highlight w:val="none"/>
                <w:lang w:val="en-US" w:eastAsia="zh-CN"/>
                <w14:textFill>
                  <w14:solidFill>
                    <w14:schemeClr w14:val="tx1"/>
                  </w14:solidFill>
                </w14:textFill>
              </w:rPr>
              <w:t>5.本招标文件所称的“以上”“以下”“以内”“届满”，包括本数；所称的“不满”“超过”“以外”，不包括本数。</w:t>
            </w:r>
          </w:p>
        </w:tc>
      </w:tr>
    </w:tbl>
    <w:p w14:paraId="44EFA53D">
      <w:pPr>
        <w:snapToGrid w:val="0"/>
        <w:rPr>
          <w:rFonts w:hint="eastAsia" w:ascii="宋体" w:hAnsi="宋体"/>
          <w:color w:val="000000" w:themeColor="text1"/>
          <w:sz w:val="24"/>
          <w:szCs w:val="20"/>
          <w:highlight w:val="none"/>
          <w14:textFill>
            <w14:solidFill>
              <w14:schemeClr w14:val="tx1"/>
            </w14:solidFill>
          </w14:textFill>
        </w:rPr>
      </w:pPr>
    </w:p>
    <w:p w14:paraId="041AB664">
      <w:pPr>
        <w:snapToGrid w:val="0"/>
        <w:rPr>
          <w:rFonts w:hint="eastAsia" w:ascii="宋体" w:hAnsi="宋体"/>
          <w:color w:val="000000" w:themeColor="text1"/>
          <w:sz w:val="24"/>
          <w:szCs w:val="20"/>
          <w:highlight w:val="none"/>
          <w14:textFill>
            <w14:solidFill>
              <w14:schemeClr w14:val="tx1"/>
            </w14:solidFill>
          </w14:textFill>
        </w:rPr>
      </w:pPr>
    </w:p>
    <w:p w14:paraId="50908142">
      <w:pPr>
        <w:pStyle w:val="6"/>
        <w:keepNext w:val="0"/>
        <w:keepLines w:val="0"/>
        <w:jc w:val="center"/>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投标人须知正文</w:t>
      </w:r>
    </w:p>
    <w:p w14:paraId="575849BE">
      <w:pPr>
        <w:pStyle w:val="6"/>
        <w:keepNext w:val="0"/>
        <w:keepLines w:val="0"/>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一、总  则</w:t>
      </w:r>
    </w:p>
    <w:p w14:paraId="7A3505F3">
      <w:pPr>
        <w:pStyle w:val="8"/>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bookmarkStart w:id="83" w:name="_Toc254970527"/>
      <w:bookmarkStart w:id="84" w:name="_Toc254970668"/>
      <w:r>
        <w:rPr>
          <w:rFonts w:hint="eastAsia" w:ascii="黑体" w:hAnsi="黑体" w:eastAsia="黑体"/>
          <w:color w:val="000000" w:themeColor="text1"/>
          <w:sz w:val="24"/>
          <w:highlight w:val="none"/>
          <w14:textFill>
            <w14:solidFill>
              <w14:schemeClr w14:val="tx1"/>
            </w14:solidFill>
          </w14:textFill>
        </w:rPr>
        <w:t>1.适用范围</w:t>
      </w:r>
      <w:bookmarkEnd w:id="83"/>
      <w:bookmarkEnd w:id="84"/>
    </w:p>
    <w:p w14:paraId="10CBF48F">
      <w:pPr>
        <w:snapToGrid w:val="0"/>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35D325BF">
      <w:pPr>
        <w:snapToGrid w:val="0"/>
        <w:spacing w:line="360" w:lineRule="auto"/>
        <w:ind w:firstLine="420" w:firstLineChars="200"/>
        <w:jc w:val="left"/>
        <w:rPr>
          <w:rFonts w:ascii="宋体" w:hAnsi="宋体" w:cs="宋体"/>
          <w:color w:val="000000" w:themeColor="text1"/>
          <w:spacing w:val="-6"/>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1.2本招标文件</w:t>
      </w:r>
      <w:r>
        <w:rPr>
          <w:rFonts w:hint="eastAsia" w:ascii="宋体" w:hAnsi="宋体" w:cs="宋体"/>
          <w:color w:val="000000" w:themeColor="text1"/>
          <w:spacing w:val="-6"/>
          <w:szCs w:val="21"/>
          <w:highlight w:val="none"/>
          <w14:textFill>
            <w14:solidFill>
              <w14:schemeClr w14:val="tx1"/>
            </w14:solidFill>
          </w14:textFill>
        </w:rPr>
        <w:t>适用于本项目的所有采购程序和环节（法律、法规另有规定的，从其规定）。</w:t>
      </w:r>
    </w:p>
    <w:p w14:paraId="1AC83072">
      <w:pPr>
        <w:pStyle w:val="8"/>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bookmarkStart w:id="85" w:name="_Toc254970669"/>
      <w:bookmarkStart w:id="86" w:name="_Toc254970528"/>
      <w:r>
        <w:rPr>
          <w:rFonts w:hint="eastAsia" w:ascii="黑体" w:hAnsi="黑体" w:eastAsia="黑体"/>
          <w:color w:val="000000" w:themeColor="text1"/>
          <w:sz w:val="24"/>
          <w:highlight w:val="none"/>
          <w14:textFill>
            <w14:solidFill>
              <w14:schemeClr w14:val="tx1"/>
            </w14:solidFill>
          </w14:textFill>
        </w:rPr>
        <w:t>2.定义</w:t>
      </w:r>
      <w:bookmarkEnd w:id="85"/>
      <w:bookmarkEnd w:id="86"/>
    </w:p>
    <w:p w14:paraId="10AEBBFB">
      <w:pPr>
        <w:pStyle w:val="8"/>
        <w:keepNext w:val="0"/>
        <w:keepLines w:val="0"/>
        <w:spacing w:before="0" w:after="0" w:line="360" w:lineRule="auto"/>
        <w:ind w:left="420" w:leftChars="20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2.1“采购人”是指依法进行政府采购的国家机关、事业单位、团体组织。</w:t>
      </w:r>
    </w:p>
    <w:p w14:paraId="60E97403">
      <w:pPr>
        <w:pStyle w:val="8"/>
        <w:keepNext w:val="0"/>
        <w:keepLines w:val="0"/>
        <w:spacing w:before="0" w:after="0" w:line="360" w:lineRule="auto"/>
        <w:ind w:left="420" w:leftChars="20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2.2“采购代理机构”是指政府采购集中采购机构和集中采购机构以外的采购代理机构。</w:t>
      </w:r>
    </w:p>
    <w:p w14:paraId="4B109DE0">
      <w:pPr>
        <w:pStyle w:val="8"/>
        <w:keepNext w:val="0"/>
        <w:keepLines w:val="0"/>
        <w:spacing w:before="0" w:after="0" w:line="360" w:lineRule="auto"/>
        <w:ind w:left="420" w:leftChars="20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2.3“供应商”是指向采购人提供货物、工程或者服务的法人、其他组织或者自然人。</w:t>
      </w:r>
    </w:p>
    <w:p w14:paraId="7EE3F7FF">
      <w:pPr>
        <w:pStyle w:val="9"/>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2.4“投标人”是指响应招标、参加投标竞争的法人、其他组织或者自然人。</w:t>
      </w:r>
    </w:p>
    <w:p w14:paraId="72C926B6">
      <w:pPr>
        <w:pStyle w:val="8"/>
        <w:keepNext w:val="0"/>
        <w:keepLines w:val="0"/>
        <w:spacing w:before="0" w:after="0" w:line="360" w:lineRule="auto"/>
        <w:ind w:firstLine="420" w:firstLineChars="20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2.5“货物”是指各种形态和种类的物品，包括原材料、燃料、设备、产品等。</w:t>
      </w:r>
    </w:p>
    <w:p w14:paraId="285E0894">
      <w:pPr>
        <w:pStyle w:val="8"/>
        <w:keepNext w:val="0"/>
        <w:keepLines w:val="0"/>
        <w:spacing w:before="0" w:after="0" w:line="360" w:lineRule="auto"/>
        <w:ind w:firstLine="420" w:firstLineChars="20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2.6“售后服务” 是指商品出售以后所提供的各种服务，包含但不限于投标人须承担的备品备件、包装、运输、装卸、保险、货到就位以及安装、调试、培训、质保以及其他各种服务。</w:t>
      </w:r>
    </w:p>
    <w:p w14:paraId="720702EA">
      <w:pPr>
        <w:pStyle w:val="8"/>
        <w:keepNext w:val="0"/>
        <w:keepLines w:val="0"/>
        <w:spacing w:before="0" w:after="0" w:line="360" w:lineRule="auto"/>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 xml:space="preserve">    2.7“书面形式”是指合同书、信件和数据电文（包括电报、电传、传真、电子数据交换和电子邮件）等可以有形地表现所载内容的形式。</w:t>
      </w:r>
    </w:p>
    <w:p w14:paraId="214513FC">
      <w:pPr>
        <w:pStyle w:val="8"/>
        <w:keepNext w:val="0"/>
        <w:keepLines w:val="0"/>
        <w:spacing w:before="0" w:after="0" w:line="360" w:lineRule="auto"/>
        <w:ind w:firstLine="420" w:firstLineChars="20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2.8“实质性要求”是指招标文件中已经指明不满足则投标无效的条款，或者不能负偏离的条款，或者采购需求中带“▲”的条款。</w:t>
      </w:r>
    </w:p>
    <w:p w14:paraId="64693EA5">
      <w:pPr>
        <w:snapToGrid w:val="0"/>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2.9 </w:t>
      </w:r>
      <w:r>
        <w:rPr>
          <w:rFonts w:hint="eastAsia" w:ascii="宋体" w:hAnsi="宋体" w:cs="宋体"/>
          <w:color w:val="000000" w:themeColor="text1"/>
          <w:szCs w:val="21"/>
          <w:highlight w:val="none"/>
          <w14:textFill>
            <w14:solidFill>
              <w14:schemeClr w14:val="tx1"/>
            </w14:solidFill>
          </w14:textFill>
        </w:rPr>
        <w:t>“正偏离”，是指投标文件对招标文件“采购需求”中有关条款作出的响应优于条款要求并有利于采购人的情形。</w:t>
      </w:r>
    </w:p>
    <w:p w14:paraId="73B565B1">
      <w:pPr>
        <w:snapToGrid w:val="0"/>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2.10</w:t>
      </w:r>
      <w:r>
        <w:rPr>
          <w:rFonts w:hint="eastAsia" w:ascii="宋体" w:hAnsi="宋体" w:cs="宋体"/>
          <w:color w:val="000000" w:themeColor="text1"/>
          <w:szCs w:val="21"/>
          <w:highlight w:val="none"/>
          <w14:textFill>
            <w14:solidFill>
              <w14:schemeClr w14:val="tx1"/>
            </w14:solidFill>
          </w14:textFill>
        </w:rPr>
        <w:t>“负偏离”，是指投标文件对招标文件“采购需求”中有关条款作出的响应不满足条款要求，导致采购人要求不能得到满足的情形。</w:t>
      </w:r>
    </w:p>
    <w:p w14:paraId="38A9F28A">
      <w:pPr>
        <w:snapToGrid w:val="0"/>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w:t>
      </w:r>
      <w:r>
        <w:rPr>
          <w:rFonts w:ascii="宋体" w:hAnsi="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“允许负偏离的条款”是指采购需求中的不属于“实质性要求”的条款。</w:t>
      </w:r>
      <w:bookmarkStart w:id="87" w:name="_Toc254970529"/>
      <w:bookmarkStart w:id="88" w:name="_Toc254970670"/>
    </w:p>
    <w:p w14:paraId="1BDEA487">
      <w:pPr>
        <w:pStyle w:val="8"/>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3.</w:t>
      </w:r>
      <w:bookmarkEnd w:id="87"/>
      <w:bookmarkEnd w:id="88"/>
      <w:r>
        <w:rPr>
          <w:rFonts w:hint="eastAsia" w:ascii="黑体" w:hAnsi="黑体" w:eastAsia="黑体"/>
          <w:color w:val="000000" w:themeColor="text1"/>
          <w:sz w:val="24"/>
          <w:highlight w:val="none"/>
          <w14:textFill>
            <w14:solidFill>
              <w14:schemeClr w14:val="tx1"/>
            </w14:solidFill>
          </w14:textFill>
        </w:rPr>
        <w:t>投标人的资格要求</w:t>
      </w:r>
    </w:p>
    <w:p w14:paraId="5D8F68AB">
      <w:pPr>
        <w:snapToGrid w:val="0"/>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投标人的资格要求详见“投标人须知前附表”。</w:t>
      </w:r>
    </w:p>
    <w:p w14:paraId="7D8CB027">
      <w:pPr>
        <w:pStyle w:val="8"/>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bookmarkStart w:id="89" w:name="_Toc254970671"/>
      <w:bookmarkStart w:id="90" w:name="_Toc254970530"/>
      <w:r>
        <w:rPr>
          <w:rFonts w:hint="eastAsia" w:ascii="黑体" w:hAnsi="黑体" w:eastAsia="黑体"/>
          <w:color w:val="000000" w:themeColor="text1"/>
          <w:sz w:val="24"/>
          <w:highlight w:val="none"/>
          <w14:textFill>
            <w14:solidFill>
              <w14:schemeClr w14:val="tx1"/>
            </w14:solidFill>
          </w14:textFill>
        </w:rPr>
        <w:t>4.投标委托</w:t>
      </w:r>
      <w:bookmarkEnd w:id="89"/>
      <w:bookmarkEnd w:id="90"/>
    </w:p>
    <w:p w14:paraId="09875E45">
      <w:pPr>
        <w:snapToGrid w:val="0"/>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投标人代表参加投标活动过程中必须携带个人有效身份证件。如投标人代表不是法定代表人，须持有授权委托书（按第六章要求格式填写）。</w:t>
      </w:r>
    </w:p>
    <w:p w14:paraId="1FB4CA43">
      <w:pPr>
        <w:pStyle w:val="8"/>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bookmarkStart w:id="91" w:name="_5.投标费用"/>
      <w:bookmarkEnd w:id="91"/>
      <w:bookmarkStart w:id="92" w:name="_Toc254970672"/>
      <w:bookmarkStart w:id="93" w:name="_Toc254970531"/>
      <w:r>
        <w:rPr>
          <w:rFonts w:hint="eastAsia" w:ascii="黑体" w:hAnsi="黑体" w:eastAsia="黑体"/>
          <w:color w:val="000000" w:themeColor="text1"/>
          <w:sz w:val="24"/>
          <w:highlight w:val="none"/>
          <w14:textFill>
            <w14:solidFill>
              <w14:schemeClr w14:val="tx1"/>
            </w14:solidFill>
          </w14:textFill>
        </w:rPr>
        <w:t>5.投标费用</w:t>
      </w:r>
      <w:bookmarkEnd w:id="92"/>
      <w:bookmarkEnd w:id="93"/>
    </w:p>
    <w:p w14:paraId="6F23D48A">
      <w:pPr>
        <w:snapToGrid w:val="0"/>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投标费用：投标人应承担参与本次采购活动有关的所有费用，包括但不限于获取招标文件、勘查现场、编制和提交投标文件、参加澄清说明、签订合同等，不论投标结果如何，均应自行承担。</w:t>
      </w:r>
    </w:p>
    <w:p w14:paraId="35CDECFE">
      <w:pPr>
        <w:pStyle w:val="8"/>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6.联合体投标</w:t>
      </w:r>
    </w:p>
    <w:p w14:paraId="74CD63AC">
      <w:pPr>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6.1本项目是否接受联合体投标，详见“投标人须知前附表”。</w:t>
      </w:r>
    </w:p>
    <w:p w14:paraId="71FBB7E7">
      <w:pPr>
        <w:snapToGrid w:val="0"/>
        <w:spacing w:line="360" w:lineRule="auto"/>
        <w:ind w:firstLine="420" w:firstLineChars="200"/>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6.2如接受联合体投标，联合体投标要求详见“投标人须知前附表”。</w:t>
      </w:r>
    </w:p>
    <w:p w14:paraId="172498BC">
      <w:pPr>
        <w:pStyle w:val="8"/>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 xml:space="preserve">7.转包与分包             </w:t>
      </w:r>
    </w:p>
    <w:p w14:paraId="5F2EA02D">
      <w:pPr>
        <w:pStyle w:val="8"/>
        <w:keepNext w:val="0"/>
        <w:keepLines w:val="0"/>
        <w:spacing w:before="0" w:after="0" w:line="360" w:lineRule="auto"/>
        <w:ind w:left="420" w:leftChars="20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7.1本项目不允许转包。</w:t>
      </w:r>
    </w:p>
    <w:p w14:paraId="73BF87A6">
      <w:pPr>
        <w:pStyle w:val="8"/>
        <w:keepNext w:val="0"/>
        <w:keepLines w:val="0"/>
        <w:spacing w:before="0" w:after="0" w:line="360" w:lineRule="auto"/>
        <w:ind w:firstLine="315" w:firstLineChars="15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449FF58F">
      <w:pPr>
        <w:pStyle w:val="8"/>
        <w:keepNext w:val="0"/>
        <w:keepLines w:val="0"/>
        <w:spacing w:before="0" w:after="0" w:line="360" w:lineRule="auto"/>
        <w:ind w:firstLine="315" w:firstLineChars="15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6541362A">
      <w:pPr>
        <w:pStyle w:val="8"/>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bookmarkStart w:id="94" w:name="_Toc254970532"/>
      <w:bookmarkStart w:id="95" w:name="_Toc254970673"/>
      <w:r>
        <w:rPr>
          <w:rFonts w:hint="eastAsia" w:ascii="黑体" w:hAnsi="黑体" w:eastAsia="黑体"/>
          <w:color w:val="000000" w:themeColor="text1"/>
          <w:sz w:val="24"/>
          <w:highlight w:val="none"/>
          <w14:textFill>
            <w14:solidFill>
              <w14:schemeClr w14:val="tx1"/>
            </w14:solidFill>
          </w14:textFill>
        </w:rPr>
        <w:t>8.特别说明</w:t>
      </w:r>
      <w:bookmarkEnd w:id="94"/>
      <w:bookmarkEnd w:id="95"/>
    </w:p>
    <w:p w14:paraId="662F6D26">
      <w:pPr>
        <w:pStyle w:val="8"/>
        <w:keepNext w:val="0"/>
        <w:keepLines w:val="0"/>
        <w:spacing w:before="0" w:after="0" w:line="360" w:lineRule="auto"/>
        <w:ind w:firstLine="420" w:firstLineChars="200"/>
        <w:rPr>
          <w:rFonts w:hint="eastAsia" w:ascii="宋体" w:hAnsi="宋体"/>
          <w:b w:val="0"/>
          <w:color w:val="000000" w:themeColor="text1"/>
          <w:sz w:val="21"/>
          <w:szCs w:val="21"/>
          <w:highlight w:val="none"/>
          <w14:textFill>
            <w14:solidFill>
              <w14:schemeClr w14:val="tx1"/>
            </w14:solidFill>
          </w14:textFill>
        </w:rPr>
      </w:pPr>
      <w:bookmarkStart w:id="96" w:name="_8.1提供相同品牌产品且通过资格审查、符合性审查的不同投标人参加同一合"/>
      <w:bookmarkEnd w:id="96"/>
      <w:r>
        <w:rPr>
          <w:rFonts w:ascii="宋体" w:hAnsi="宋体"/>
          <w:b w:val="0"/>
          <w:color w:val="000000" w:themeColor="text1"/>
          <w:sz w:val="21"/>
          <w:szCs w:val="21"/>
          <w:highlight w:val="none"/>
          <w14:textFill>
            <w14:solidFill>
              <w14:schemeClr w14:val="tx1"/>
            </w14:solidFill>
          </w14:textFill>
        </w:rPr>
        <w:fldChar w:fldCharType="begin"/>
      </w:r>
      <w:r>
        <w:rPr>
          <w:rFonts w:ascii="宋体" w:hAnsi="宋体"/>
          <w:b w:val="0"/>
          <w:color w:val="000000" w:themeColor="text1"/>
          <w:sz w:val="21"/>
          <w:szCs w:val="21"/>
          <w:highlight w:val="none"/>
          <w14:textFill>
            <w14:solidFill>
              <w14:schemeClr w14:val="tx1"/>
            </w14:solidFill>
          </w14:textFill>
        </w:rPr>
        <w:instrText xml:space="preserve"> HYPERLINK  \l "_8.1" </w:instrText>
      </w:r>
      <w:r>
        <w:rPr>
          <w:rFonts w:ascii="宋体" w:hAnsi="宋体"/>
          <w:b w:val="0"/>
          <w:color w:val="000000" w:themeColor="text1"/>
          <w:sz w:val="21"/>
          <w:szCs w:val="21"/>
          <w:highlight w:val="none"/>
          <w14:textFill>
            <w14:solidFill>
              <w14:schemeClr w14:val="tx1"/>
            </w14:solidFill>
          </w14:textFill>
        </w:rPr>
        <w:fldChar w:fldCharType="separate"/>
      </w:r>
      <w:r>
        <w:rPr>
          <w:rFonts w:hint="eastAsia" w:ascii="宋体" w:hAnsi="宋体"/>
          <w:b w:val="0"/>
          <w:color w:val="000000" w:themeColor="text1"/>
          <w:sz w:val="21"/>
          <w:szCs w:val="21"/>
          <w:highlight w:val="none"/>
          <w14:textFill>
            <w14:solidFill>
              <w14:schemeClr w14:val="tx1"/>
            </w14:solidFill>
          </w14:textFill>
        </w:rPr>
        <w:t>8.1</w:t>
      </w:r>
      <w:r>
        <w:rPr>
          <w:rFonts w:ascii="宋体" w:hAnsi="宋体"/>
          <w:b w:val="0"/>
          <w:color w:val="000000" w:themeColor="text1"/>
          <w:sz w:val="21"/>
          <w:szCs w:val="21"/>
          <w:highlight w:val="none"/>
          <w14:textFill>
            <w14:solidFill>
              <w14:schemeClr w14:val="tx1"/>
            </w14:solidFill>
          </w14:textFill>
        </w:rPr>
        <w:fldChar w:fldCharType="end"/>
      </w:r>
      <w:r>
        <w:rPr>
          <w:rFonts w:hint="eastAsia" w:ascii="宋体" w:hAnsi="宋体"/>
          <w:b w:val="0"/>
          <w:color w:val="000000" w:themeColor="text1"/>
          <w:sz w:val="21"/>
          <w:szCs w:val="21"/>
          <w:highlight w:val="none"/>
          <w14:textFill>
            <w14:solidFill>
              <w14:schemeClr w14:val="tx1"/>
            </w14:solidFill>
          </w14:textFill>
        </w:rPr>
        <w:t>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w:t>
      </w:r>
      <w:r>
        <w:rPr>
          <w:rFonts w:hint="eastAsia" w:ascii="宋体" w:hAnsi="宋体"/>
          <w:color w:val="000000" w:themeColor="text1"/>
          <w:sz w:val="22"/>
          <w:szCs w:val="22"/>
          <w:highlight w:val="none"/>
          <w14:textFill>
            <w14:solidFill>
              <w14:schemeClr w14:val="tx1"/>
            </w14:solidFill>
          </w14:textFill>
        </w:rPr>
        <w:t>其他投标无效。</w:t>
      </w:r>
    </w:p>
    <w:p w14:paraId="6611B044">
      <w:pPr>
        <w:pStyle w:val="8"/>
        <w:keepNext w:val="0"/>
        <w:keepLines w:val="0"/>
        <w:spacing w:before="0" w:after="0" w:line="360" w:lineRule="auto"/>
        <w:ind w:firstLine="420" w:firstLineChars="20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作为中标候选人。</w:t>
      </w:r>
    </w:p>
    <w:p w14:paraId="697CA42D">
      <w:pPr>
        <w:pStyle w:val="27"/>
        <w:snapToGrid w:val="0"/>
        <w:spacing w:line="360" w:lineRule="auto"/>
        <w:ind w:left="2" w:leftChars="1" w:firstLine="420" w:firstLineChars="200"/>
        <w:rPr>
          <w:rFonts w:hint="eastAsia" w:hAnsi="宋体"/>
          <w:color w:val="000000" w:themeColor="text1"/>
          <w:kern w:val="2"/>
          <w:sz w:val="21"/>
          <w:highlight w:val="none"/>
          <w14:textFill>
            <w14:solidFill>
              <w14:schemeClr w14:val="tx1"/>
            </w14:solidFill>
          </w14:textFill>
        </w:rPr>
      </w:pPr>
      <w:r>
        <w:rPr>
          <w:rFonts w:hint="eastAsia" w:hAnsi="宋体"/>
          <w:color w:val="000000" w:themeColor="text1"/>
          <w:kern w:val="2"/>
          <w:sz w:val="21"/>
          <w:highlight w:val="none"/>
          <w14:textFill>
            <w14:solidFill>
              <w14:schemeClr w14:val="tx1"/>
            </w14:solidFill>
          </w14:textFill>
        </w:rPr>
        <w:t>非单一产品采购项目，多家投标人提供的核心产品品牌相同的，</w:t>
      </w:r>
      <w:r>
        <w:rPr>
          <w:rFonts w:hint="eastAsia" w:hAnsi="宋体"/>
          <w:color w:val="000000" w:themeColor="text1"/>
          <w:sz w:val="22"/>
          <w:szCs w:val="22"/>
          <w:highlight w:val="none"/>
          <w14:textFill>
            <w14:solidFill>
              <w14:schemeClr w14:val="tx1"/>
            </w14:solidFill>
          </w14:textFill>
        </w:rPr>
        <w:t>按前两款规定处理</w:t>
      </w:r>
      <w:r>
        <w:rPr>
          <w:rFonts w:hint="eastAsia" w:hAnsi="宋体"/>
          <w:color w:val="000000" w:themeColor="text1"/>
          <w:kern w:val="2"/>
          <w:sz w:val="21"/>
          <w:highlight w:val="none"/>
          <w14:textFill>
            <w14:solidFill>
              <w14:schemeClr w14:val="tx1"/>
            </w14:solidFill>
          </w14:textFill>
        </w:rPr>
        <w:t>。</w:t>
      </w:r>
    </w:p>
    <w:p w14:paraId="7A2928ED">
      <w:pPr>
        <w:pStyle w:val="8"/>
        <w:keepNext w:val="0"/>
        <w:keepLines w:val="0"/>
        <w:spacing w:before="0" w:after="0" w:line="360" w:lineRule="auto"/>
        <w:ind w:firstLine="367" w:firstLineChars="175"/>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 xml:space="preserve"> 8.2如果本招标文件要求提供投标人或制造商的资格、信誉、荣誉、业绩与企业认证等材料的，资格、信誉、荣誉、业绩与企业认证等必须为投标人或者制造商所拥有或自身获得 。</w:t>
      </w:r>
    </w:p>
    <w:p w14:paraId="583E97AA">
      <w:pPr>
        <w:pStyle w:val="8"/>
        <w:keepNext w:val="0"/>
        <w:keepLines w:val="0"/>
        <w:spacing w:before="0" w:after="0" w:line="360" w:lineRule="auto"/>
        <w:ind w:firstLine="367" w:firstLineChars="175"/>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 xml:space="preserve"> 8.3投标人应仔细阅读招标文件的所有内容，按照招标文件的要求提交投标文件，并对所提供的全部资料的真实性承担法律责任。</w:t>
      </w:r>
    </w:p>
    <w:p w14:paraId="20A260B9">
      <w:pPr>
        <w:pStyle w:val="8"/>
        <w:keepNext w:val="0"/>
        <w:keepLines w:val="0"/>
        <w:spacing w:before="0" w:after="0" w:line="360" w:lineRule="auto"/>
        <w:ind w:firstLine="367" w:firstLineChars="175"/>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 xml:space="preserve"> 8.4投标人在投标活动中提供任何虚假材料，将报监管部门查处；中标后发现的，中标人须依照《中华人民共和国消费者权益保护法》规定赔偿采购人，且民事赔偿并不免除违法投标人的行政与刑事责任。</w:t>
      </w:r>
    </w:p>
    <w:p w14:paraId="4DAF4CA2">
      <w:pPr>
        <w:pStyle w:val="9"/>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8.5</w:t>
      </w:r>
      <w:r>
        <w:rPr>
          <w:rFonts w:hint="eastAsia"/>
          <w:color w:val="000000" w:themeColor="text1"/>
          <w:highlight w:val="none"/>
          <w14:textFill>
            <w14:solidFill>
              <w14:schemeClr w14:val="tx1"/>
            </w14:solidFill>
          </w14:textFill>
        </w:rPr>
        <w:t>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8F006F1">
      <w:pPr>
        <w:pStyle w:val="9"/>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产品在中国境内生产的组件成本占比应当达到规定比例，计算公式为：</w:t>
      </w:r>
    </w:p>
    <w:p w14:paraId="5D1F5D76">
      <w:pPr>
        <w:widowControl/>
        <w:shd w:val="clear" w:color="auto" w:fill="FFFFFF"/>
        <w:spacing w:before="30" w:after="30" w:line="360" w:lineRule="auto"/>
        <w:jc w:val="center"/>
        <w:rPr>
          <w:rFonts w:hint="eastAsia" w:ascii="宋体" w:hAnsi="宋体" w:cs="宋体"/>
          <w:color w:val="000000" w:themeColor="text1"/>
          <w:kern w:val="0"/>
          <w:sz w:val="24"/>
          <w:highlight w:val="non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fldChar w:fldCharType="begin"/>
      </w:r>
      <w:r>
        <w:rPr>
          <w:rFonts w:ascii="宋体" w:hAnsi="宋体" w:cs="宋体"/>
          <w:color w:val="000000" w:themeColor="text1"/>
          <w:kern w:val="0"/>
          <w:sz w:val="24"/>
          <w:highlight w:val="none"/>
          <w14:textFill>
            <w14:solidFill>
              <w14:schemeClr w14:val="tx1"/>
            </w14:solidFill>
          </w14:textFill>
        </w:rPr>
        <w:instrText xml:space="preserve"> INCLUDEPICTURE "https://www.gov.cn/zhengce/content/202509/W020250930645245947614.png" \* MERGEFORMATINET </w:instrText>
      </w:r>
      <w:r>
        <w:rPr>
          <w:rFonts w:ascii="宋体" w:hAnsi="宋体" w:cs="宋体"/>
          <w:color w:val="000000" w:themeColor="text1"/>
          <w:kern w:val="0"/>
          <w:sz w:val="24"/>
          <w:highlight w:val="none"/>
          <w14:textFill>
            <w14:solidFill>
              <w14:schemeClr w14:val="tx1"/>
            </w14:solidFill>
          </w14:textFill>
        </w:rPr>
        <w:fldChar w:fldCharType="separate"/>
      </w:r>
      <w:r>
        <w:rPr>
          <w:rFonts w:ascii="宋体" w:hAnsi="宋体" w:cs="宋体"/>
          <w:color w:val="000000" w:themeColor="text1"/>
          <w:kern w:val="0"/>
          <w:sz w:val="24"/>
          <w:highlight w:val="none"/>
          <w14:textFill>
            <w14:solidFill>
              <w14:schemeClr w14:val="tx1"/>
            </w14:solidFill>
          </w14:textFill>
        </w:rPr>
        <w:drawing>
          <wp:inline distT="0" distB="0" distL="114300" distR="114300">
            <wp:extent cx="4827905" cy="762635"/>
            <wp:effectExtent l="0" t="0" r="3175" b="146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r:link="rId13"/>
                    <a:stretch>
                      <a:fillRect/>
                    </a:stretch>
                  </pic:blipFill>
                  <pic:spPr>
                    <a:xfrm>
                      <a:off x="0" y="0"/>
                      <a:ext cx="4827905" cy="762635"/>
                    </a:xfrm>
                    <a:prstGeom prst="rect">
                      <a:avLst/>
                    </a:prstGeom>
                    <a:noFill/>
                    <a:ln>
                      <a:noFill/>
                    </a:ln>
                  </pic:spPr>
                </pic:pic>
              </a:graphicData>
            </a:graphic>
          </wp:inline>
        </w:drawing>
      </w:r>
      <w:r>
        <w:rPr>
          <w:rFonts w:ascii="宋体" w:hAnsi="宋体" w:cs="宋体"/>
          <w:color w:val="000000" w:themeColor="text1"/>
          <w:kern w:val="0"/>
          <w:sz w:val="24"/>
          <w:highlight w:val="none"/>
          <w14:textFill>
            <w14:solidFill>
              <w14:schemeClr w14:val="tx1"/>
            </w14:solidFill>
          </w14:textFill>
        </w:rPr>
        <w:fldChar w:fldCharType="end"/>
      </w:r>
    </w:p>
    <w:p w14:paraId="71C4E936">
      <w:pPr>
        <w:pStyle w:val="9"/>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14:paraId="7527A9EF">
      <w:pPr>
        <w:pStyle w:val="9"/>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政府采购活动中既有本国产品又有非本国产品参与竞争的，依法对本国产品给予价格评审优惠，对本国产品的报价给予20%的价格扣除，用扣除后的价格参与评审。</w:t>
      </w:r>
    </w:p>
    <w:p w14:paraId="6EB4BB3D">
      <w:pPr>
        <w:pStyle w:val="9"/>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7F0B610">
      <w:pPr>
        <w:pStyle w:val="9"/>
        <w:rPr>
          <w:rFonts w:hint="eastAsia"/>
          <w:color w:val="000000" w:themeColor="text1"/>
          <w:highlight w:val="none"/>
          <w14:textFill>
            <w14:solidFill>
              <w14:schemeClr w14:val="tx1"/>
            </w14:solidFill>
          </w14:textFill>
        </w:rPr>
      </w:pPr>
    </w:p>
    <w:p w14:paraId="0BC5C0C4">
      <w:pPr>
        <w:pStyle w:val="8"/>
        <w:keepNext w:val="0"/>
        <w:keepLines w:val="0"/>
        <w:spacing w:before="0" w:after="0" w:line="360" w:lineRule="auto"/>
        <w:ind w:left="420" w:leftChars="200"/>
        <w:rPr>
          <w:rFonts w:ascii="黑体" w:hAnsi="黑体" w:eastAsia="黑体"/>
          <w:color w:val="000000" w:themeColor="text1"/>
          <w:sz w:val="24"/>
          <w:highlight w:val="none"/>
          <w14:textFill>
            <w14:solidFill>
              <w14:schemeClr w14:val="tx1"/>
            </w14:solidFill>
          </w14:textFill>
        </w:rPr>
      </w:pPr>
      <w:r>
        <w:rPr>
          <w:rFonts w:ascii="黑体" w:hAnsi="黑体" w:eastAsia="黑体"/>
          <w:color w:val="000000" w:themeColor="text1"/>
          <w:sz w:val="24"/>
          <w:highlight w:val="none"/>
          <w14:textFill>
            <w14:solidFill>
              <w14:schemeClr w14:val="tx1"/>
            </w14:solidFill>
          </w14:textFill>
        </w:rPr>
        <w:t>9.</w:t>
      </w:r>
      <w:r>
        <w:rPr>
          <w:rFonts w:hint="eastAsia" w:ascii="黑体" w:hAnsi="黑体" w:eastAsia="黑体"/>
          <w:color w:val="000000" w:themeColor="text1"/>
          <w:sz w:val="24"/>
          <w:highlight w:val="none"/>
          <w14:textFill>
            <w14:solidFill>
              <w14:schemeClr w14:val="tx1"/>
            </w14:solidFill>
          </w14:textFill>
        </w:rPr>
        <w:t>回避与串通投标</w:t>
      </w:r>
    </w:p>
    <w:p w14:paraId="242F9F29">
      <w:pPr>
        <w:pStyle w:val="8"/>
        <w:keepNext w:val="0"/>
        <w:keepLines w:val="0"/>
        <w:spacing w:before="0" w:after="0" w:line="360" w:lineRule="auto"/>
        <w:ind w:firstLine="367" w:firstLineChars="175"/>
        <w:rPr>
          <w:rFonts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9</w:t>
      </w:r>
      <w:r>
        <w:rPr>
          <w:rFonts w:ascii="宋体" w:hAnsi="宋体"/>
          <w:b w:val="0"/>
          <w:color w:val="000000" w:themeColor="text1"/>
          <w:sz w:val="21"/>
          <w:szCs w:val="21"/>
          <w:highlight w:val="none"/>
          <w14:textFill>
            <w14:solidFill>
              <w14:schemeClr w14:val="tx1"/>
            </w14:solidFill>
          </w14:textFill>
        </w:rPr>
        <w:t>.1在政府采购活动中，采购人员及相关人员与</w:t>
      </w:r>
      <w:r>
        <w:rPr>
          <w:rFonts w:hint="eastAsia" w:ascii="宋体" w:hAnsi="宋体"/>
          <w:b w:val="0"/>
          <w:color w:val="000000" w:themeColor="text1"/>
          <w:sz w:val="21"/>
          <w:szCs w:val="21"/>
          <w:highlight w:val="none"/>
          <w14:textFill>
            <w14:solidFill>
              <w14:schemeClr w14:val="tx1"/>
            </w14:solidFill>
          </w14:textFill>
        </w:rPr>
        <w:t>供应商</w:t>
      </w:r>
      <w:r>
        <w:rPr>
          <w:rFonts w:ascii="宋体" w:hAnsi="宋体"/>
          <w:b w:val="0"/>
          <w:color w:val="000000" w:themeColor="text1"/>
          <w:sz w:val="21"/>
          <w:szCs w:val="21"/>
          <w:highlight w:val="none"/>
          <w14:textFill>
            <w14:solidFill>
              <w14:schemeClr w14:val="tx1"/>
            </w14:solidFill>
          </w14:textFill>
        </w:rPr>
        <w:t>有下列利害关系之一的，应当回避：</w:t>
      </w:r>
    </w:p>
    <w:p w14:paraId="1DF5F210">
      <w:pPr>
        <w:pStyle w:val="27"/>
        <w:snapToGrid w:val="0"/>
        <w:spacing w:line="360" w:lineRule="auto"/>
        <w:ind w:left="2" w:leftChars="1" w:firstLine="420" w:firstLineChars="200"/>
        <w:rPr>
          <w:rFonts w:hAnsi="宋体"/>
          <w:color w:val="000000" w:themeColor="text1"/>
          <w:kern w:val="2"/>
          <w:sz w:val="21"/>
          <w:highlight w:val="none"/>
          <w14:textFill>
            <w14:solidFill>
              <w14:schemeClr w14:val="tx1"/>
            </w14:solidFill>
          </w14:textFill>
        </w:rPr>
      </w:pPr>
      <w:r>
        <w:rPr>
          <w:rFonts w:hAnsi="宋体"/>
          <w:color w:val="000000" w:themeColor="text1"/>
          <w:kern w:val="2"/>
          <w:sz w:val="21"/>
          <w:highlight w:val="none"/>
          <w14:textFill>
            <w14:solidFill>
              <w14:schemeClr w14:val="tx1"/>
            </w14:solidFill>
          </w14:textFill>
        </w:rPr>
        <w:t>（</w:t>
      </w:r>
      <w:r>
        <w:rPr>
          <w:rFonts w:hint="eastAsia" w:hAnsi="宋体"/>
          <w:color w:val="000000" w:themeColor="text1"/>
          <w:kern w:val="2"/>
          <w:sz w:val="21"/>
          <w:highlight w:val="none"/>
          <w14:textFill>
            <w14:solidFill>
              <w14:schemeClr w14:val="tx1"/>
            </w14:solidFill>
          </w14:textFill>
        </w:rPr>
        <w:t>1</w:t>
      </w:r>
      <w:r>
        <w:rPr>
          <w:rFonts w:hAnsi="宋体"/>
          <w:color w:val="000000" w:themeColor="text1"/>
          <w:kern w:val="2"/>
          <w:sz w:val="21"/>
          <w:highlight w:val="none"/>
          <w14:textFill>
            <w14:solidFill>
              <w14:schemeClr w14:val="tx1"/>
            </w14:solidFill>
          </w14:textFill>
        </w:rPr>
        <w:t>）参加采购活动前3年内与</w:t>
      </w:r>
      <w:r>
        <w:rPr>
          <w:rFonts w:hint="eastAsia" w:hAnsi="宋体"/>
          <w:color w:val="000000" w:themeColor="text1"/>
          <w:kern w:val="2"/>
          <w:sz w:val="21"/>
          <w:highlight w:val="none"/>
          <w14:textFill>
            <w14:solidFill>
              <w14:schemeClr w14:val="tx1"/>
            </w14:solidFill>
          </w14:textFill>
        </w:rPr>
        <w:t>供应商</w:t>
      </w:r>
      <w:r>
        <w:rPr>
          <w:rFonts w:hAnsi="宋体"/>
          <w:color w:val="000000" w:themeColor="text1"/>
          <w:kern w:val="2"/>
          <w:sz w:val="21"/>
          <w:highlight w:val="none"/>
          <w14:textFill>
            <w14:solidFill>
              <w14:schemeClr w14:val="tx1"/>
            </w14:solidFill>
          </w14:textFill>
        </w:rPr>
        <w:t>存在劳动关系；</w:t>
      </w:r>
    </w:p>
    <w:p w14:paraId="0A6CDB73">
      <w:pPr>
        <w:pStyle w:val="27"/>
        <w:snapToGrid w:val="0"/>
        <w:spacing w:line="360" w:lineRule="auto"/>
        <w:ind w:left="2" w:leftChars="1" w:firstLine="420" w:firstLineChars="200"/>
        <w:rPr>
          <w:rFonts w:hAnsi="宋体"/>
          <w:color w:val="000000" w:themeColor="text1"/>
          <w:kern w:val="2"/>
          <w:sz w:val="21"/>
          <w:highlight w:val="none"/>
          <w14:textFill>
            <w14:solidFill>
              <w14:schemeClr w14:val="tx1"/>
            </w14:solidFill>
          </w14:textFill>
        </w:rPr>
      </w:pPr>
      <w:r>
        <w:rPr>
          <w:rFonts w:hAnsi="宋体"/>
          <w:color w:val="000000" w:themeColor="text1"/>
          <w:kern w:val="2"/>
          <w:sz w:val="21"/>
          <w:highlight w:val="none"/>
          <w14:textFill>
            <w14:solidFill>
              <w14:schemeClr w14:val="tx1"/>
            </w14:solidFill>
          </w14:textFill>
        </w:rPr>
        <w:t>（</w:t>
      </w:r>
      <w:r>
        <w:rPr>
          <w:rFonts w:hint="eastAsia" w:hAnsi="宋体"/>
          <w:color w:val="000000" w:themeColor="text1"/>
          <w:kern w:val="2"/>
          <w:sz w:val="21"/>
          <w:highlight w:val="none"/>
          <w14:textFill>
            <w14:solidFill>
              <w14:schemeClr w14:val="tx1"/>
            </w14:solidFill>
          </w14:textFill>
        </w:rPr>
        <w:t>2</w:t>
      </w:r>
      <w:r>
        <w:rPr>
          <w:rFonts w:hAnsi="宋体"/>
          <w:color w:val="000000" w:themeColor="text1"/>
          <w:kern w:val="2"/>
          <w:sz w:val="21"/>
          <w:highlight w:val="none"/>
          <w14:textFill>
            <w14:solidFill>
              <w14:schemeClr w14:val="tx1"/>
            </w14:solidFill>
          </w14:textFill>
        </w:rPr>
        <w:t>）参加采购活动前3年内担任</w:t>
      </w:r>
      <w:r>
        <w:rPr>
          <w:rFonts w:hint="eastAsia" w:hAnsi="宋体"/>
          <w:color w:val="000000" w:themeColor="text1"/>
          <w:kern w:val="2"/>
          <w:sz w:val="21"/>
          <w:highlight w:val="none"/>
          <w14:textFill>
            <w14:solidFill>
              <w14:schemeClr w14:val="tx1"/>
            </w14:solidFill>
          </w14:textFill>
        </w:rPr>
        <w:t>供应商</w:t>
      </w:r>
      <w:r>
        <w:rPr>
          <w:rFonts w:hAnsi="宋体"/>
          <w:color w:val="000000" w:themeColor="text1"/>
          <w:kern w:val="2"/>
          <w:sz w:val="21"/>
          <w:highlight w:val="none"/>
          <w14:textFill>
            <w14:solidFill>
              <w14:schemeClr w14:val="tx1"/>
            </w14:solidFill>
          </w14:textFill>
        </w:rPr>
        <w:t>的董事、监事；</w:t>
      </w:r>
    </w:p>
    <w:p w14:paraId="385E4815">
      <w:pPr>
        <w:pStyle w:val="27"/>
        <w:snapToGrid w:val="0"/>
        <w:spacing w:line="360" w:lineRule="auto"/>
        <w:ind w:left="2" w:leftChars="1" w:firstLine="420" w:firstLineChars="200"/>
        <w:rPr>
          <w:rFonts w:hAnsi="宋体"/>
          <w:color w:val="000000" w:themeColor="text1"/>
          <w:kern w:val="2"/>
          <w:sz w:val="21"/>
          <w:highlight w:val="none"/>
          <w14:textFill>
            <w14:solidFill>
              <w14:schemeClr w14:val="tx1"/>
            </w14:solidFill>
          </w14:textFill>
        </w:rPr>
      </w:pPr>
      <w:r>
        <w:rPr>
          <w:rFonts w:hAnsi="宋体"/>
          <w:color w:val="000000" w:themeColor="text1"/>
          <w:kern w:val="2"/>
          <w:sz w:val="21"/>
          <w:highlight w:val="none"/>
          <w14:textFill>
            <w14:solidFill>
              <w14:schemeClr w14:val="tx1"/>
            </w14:solidFill>
          </w14:textFill>
        </w:rPr>
        <w:t>（</w:t>
      </w:r>
      <w:r>
        <w:rPr>
          <w:rFonts w:hint="eastAsia" w:hAnsi="宋体"/>
          <w:color w:val="000000" w:themeColor="text1"/>
          <w:kern w:val="2"/>
          <w:sz w:val="21"/>
          <w:highlight w:val="none"/>
          <w14:textFill>
            <w14:solidFill>
              <w14:schemeClr w14:val="tx1"/>
            </w14:solidFill>
          </w14:textFill>
        </w:rPr>
        <w:t>3</w:t>
      </w:r>
      <w:r>
        <w:rPr>
          <w:rFonts w:hAnsi="宋体"/>
          <w:color w:val="000000" w:themeColor="text1"/>
          <w:kern w:val="2"/>
          <w:sz w:val="21"/>
          <w:highlight w:val="none"/>
          <w14:textFill>
            <w14:solidFill>
              <w14:schemeClr w14:val="tx1"/>
            </w14:solidFill>
          </w14:textFill>
        </w:rPr>
        <w:t>）参加采购活动前3年内是</w:t>
      </w:r>
      <w:r>
        <w:rPr>
          <w:rFonts w:hint="eastAsia" w:hAnsi="宋体"/>
          <w:color w:val="000000" w:themeColor="text1"/>
          <w:kern w:val="2"/>
          <w:sz w:val="21"/>
          <w:highlight w:val="none"/>
          <w14:textFill>
            <w14:solidFill>
              <w14:schemeClr w14:val="tx1"/>
            </w14:solidFill>
          </w14:textFill>
        </w:rPr>
        <w:t>供应商</w:t>
      </w:r>
      <w:r>
        <w:rPr>
          <w:rFonts w:hAnsi="宋体"/>
          <w:color w:val="000000" w:themeColor="text1"/>
          <w:kern w:val="2"/>
          <w:sz w:val="21"/>
          <w:highlight w:val="none"/>
          <w14:textFill>
            <w14:solidFill>
              <w14:schemeClr w14:val="tx1"/>
            </w14:solidFill>
          </w14:textFill>
        </w:rPr>
        <w:t>的控股股东或者实际控制人；</w:t>
      </w:r>
    </w:p>
    <w:p w14:paraId="73091A65">
      <w:pPr>
        <w:pStyle w:val="27"/>
        <w:snapToGrid w:val="0"/>
        <w:spacing w:line="360" w:lineRule="auto"/>
        <w:ind w:left="2" w:leftChars="1" w:firstLine="420" w:firstLineChars="200"/>
        <w:rPr>
          <w:rFonts w:hAnsi="宋体"/>
          <w:color w:val="000000" w:themeColor="text1"/>
          <w:kern w:val="2"/>
          <w:sz w:val="21"/>
          <w:highlight w:val="none"/>
          <w14:textFill>
            <w14:solidFill>
              <w14:schemeClr w14:val="tx1"/>
            </w14:solidFill>
          </w14:textFill>
        </w:rPr>
      </w:pPr>
      <w:r>
        <w:rPr>
          <w:rFonts w:hAnsi="宋体"/>
          <w:color w:val="000000" w:themeColor="text1"/>
          <w:kern w:val="2"/>
          <w:sz w:val="21"/>
          <w:highlight w:val="none"/>
          <w14:textFill>
            <w14:solidFill>
              <w14:schemeClr w14:val="tx1"/>
            </w14:solidFill>
          </w14:textFill>
        </w:rPr>
        <w:t>（</w:t>
      </w:r>
      <w:r>
        <w:rPr>
          <w:rFonts w:hint="eastAsia" w:hAnsi="宋体"/>
          <w:color w:val="000000" w:themeColor="text1"/>
          <w:kern w:val="2"/>
          <w:sz w:val="21"/>
          <w:highlight w:val="none"/>
          <w14:textFill>
            <w14:solidFill>
              <w14:schemeClr w14:val="tx1"/>
            </w14:solidFill>
          </w14:textFill>
        </w:rPr>
        <w:t>4</w:t>
      </w:r>
      <w:r>
        <w:rPr>
          <w:rFonts w:hAnsi="宋体"/>
          <w:color w:val="000000" w:themeColor="text1"/>
          <w:kern w:val="2"/>
          <w:sz w:val="21"/>
          <w:highlight w:val="none"/>
          <w14:textFill>
            <w14:solidFill>
              <w14:schemeClr w14:val="tx1"/>
            </w14:solidFill>
          </w14:textFill>
        </w:rPr>
        <w:t>）与</w:t>
      </w:r>
      <w:r>
        <w:rPr>
          <w:rFonts w:hint="eastAsia" w:hAnsi="宋体"/>
          <w:color w:val="000000" w:themeColor="text1"/>
          <w:kern w:val="2"/>
          <w:sz w:val="21"/>
          <w:highlight w:val="none"/>
          <w14:textFill>
            <w14:solidFill>
              <w14:schemeClr w14:val="tx1"/>
            </w14:solidFill>
          </w14:textFill>
        </w:rPr>
        <w:t>供应商</w:t>
      </w:r>
      <w:r>
        <w:rPr>
          <w:rFonts w:hAnsi="宋体"/>
          <w:color w:val="000000" w:themeColor="text1"/>
          <w:kern w:val="2"/>
          <w:sz w:val="21"/>
          <w:highlight w:val="none"/>
          <w14:textFill>
            <w14:solidFill>
              <w14:schemeClr w14:val="tx1"/>
            </w14:solidFill>
          </w14:textFill>
        </w:rPr>
        <w:t>的法定代表人或者负责人有夫妻、直系血亲、三代以内旁系血亲或者近姻亲关系；</w:t>
      </w:r>
    </w:p>
    <w:p w14:paraId="62A8F24B">
      <w:pPr>
        <w:pStyle w:val="27"/>
        <w:snapToGrid w:val="0"/>
        <w:spacing w:line="360" w:lineRule="auto"/>
        <w:ind w:left="2" w:leftChars="1" w:firstLine="420" w:firstLineChars="200"/>
        <w:rPr>
          <w:rFonts w:hAnsi="宋体"/>
          <w:color w:val="000000" w:themeColor="text1"/>
          <w:kern w:val="2"/>
          <w:sz w:val="21"/>
          <w:highlight w:val="none"/>
          <w14:textFill>
            <w14:solidFill>
              <w14:schemeClr w14:val="tx1"/>
            </w14:solidFill>
          </w14:textFill>
        </w:rPr>
      </w:pPr>
      <w:r>
        <w:rPr>
          <w:rFonts w:hAnsi="宋体"/>
          <w:color w:val="000000" w:themeColor="text1"/>
          <w:kern w:val="2"/>
          <w:sz w:val="21"/>
          <w:highlight w:val="none"/>
          <w14:textFill>
            <w14:solidFill>
              <w14:schemeClr w14:val="tx1"/>
            </w14:solidFill>
          </w14:textFill>
        </w:rPr>
        <w:t>（</w:t>
      </w:r>
      <w:r>
        <w:rPr>
          <w:rFonts w:hint="eastAsia" w:hAnsi="宋体"/>
          <w:color w:val="000000" w:themeColor="text1"/>
          <w:kern w:val="2"/>
          <w:sz w:val="21"/>
          <w:highlight w:val="none"/>
          <w14:textFill>
            <w14:solidFill>
              <w14:schemeClr w14:val="tx1"/>
            </w14:solidFill>
          </w14:textFill>
        </w:rPr>
        <w:t>5</w:t>
      </w:r>
      <w:r>
        <w:rPr>
          <w:rFonts w:hAnsi="宋体"/>
          <w:color w:val="000000" w:themeColor="text1"/>
          <w:kern w:val="2"/>
          <w:sz w:val="21"/>
          <w:highlight w:val="none"/>
          <w14:textFill>
            <w14:solidFill>
              <w14:schemeClr w14:val="tx1"/>
            </w14:solidFill>
          </w14:textFill>
        </w:rPr>
        <w:t>）与</w:t>
      </w:r>
      <w:r>
        <w:rPr>
          <w:rFonts w:hint="eastAsia" w:hAnsi="宋体"/>
          <w:color w:val="000000" w:themeColor="text1"/>
          <w:kern w:val="2"/>
          <w:sz w:val="21"/>
          <w:highlight w:val="none"/>
          <w14:textFill>
            <w14:solidFill>
              <w14:schemeClr w14:val="tx1"/>
            </w14:solidFill>
          </w14:textFill>
        </w:rPr>
        <w:t>供应商</w:t>
      </w:r>
      <w:r>
        <w:rPr>
          <w:rFonts w:hAnsi="宋体"/>
          <w:color w:val="000000" w:themeColor="text1"/>
          <w:kern w:val="2"/>
          <w:sz w:val="21"/>
          <w:highlight w:val="none"/>
          <w14:textFill>
            <w14:solidFill>
              <w14:schemeClr w14:val="tx1"/>
            </w14:solidFill>
          </w14:textFill>
        </w:rPr>
        <w:t>有其他可能影响政府采购活动公平、公正进行的关系。</w:t>
      </w:r>
    </w:p>
    <w:p w14:paraId="0AFBC7C3">
      <w:pPr>
        <w:pStyle w:val="27"/>
        <w:snapToGrid w:val="0"/>
        <w:spacing w:line="360" w:lineRule="auto"/>
        <w:ind w:left="2" w:leftChars="1" w:firstLine="420" w:firstLineChars="200"/>
        <w:rPr>
          <w:rFonts w:hint="eastAsia" w:hAnsi="宋体"/>
          <w:color w:val="000000" w:themeColor="text1"/>
          <w:kern w:val="2"/>
          <w:sz w:val="21"/>
          <w:highlight w:val="none"/>
          <w14:textFill>
            <w14:solidFill>
              <w14:schemeClr w14:val="tx1"/>
            </w14:solidFill>
          </w14:textFill>
        </w:rPr>
      </w:pPr>
      <w:r>
        <w:rPr>
          <w:rFonts w:hint="eastAsia" w:hAnsi="宋体"/>
          <w:color w:val="000000" w:themeColor="text1"/>
          <w:kern w:val="2"/>
          <w:sz w:val="21"/>
          <w:highlight w:val="none"/>
          <w14:textFill>
            <w14:solidFill>
              <w14:schemeClr w14:val="tx1"/>
            </w14:solidFill>
          </w14:textFill>
        </w:rPr>
        <w:t>供应商</w:t>
      </w:r>
      <w:r>
        <w:rPr>
          <w:rFonts w:hAnsi="宋体"/>
          <w:color w:val="000000" w:themeColor="text1"/>
          <w:kern w:val="2"/>
          <w:sz w:val="21"/>
          <w:highlight w:val="none"/>
          <w14:textFill>
            <w14:solidFill>
              <w14:schemeClr w14:val="tx1"/>
            </w14:solidFill>
          </w14:textFill>
        </w:rPr>
        <w:t>认为采购人员及相关人员与其他</w:t>
      </w:r>
      <w:r>
        <w:rPr>
          <w:rFonts w:hint="eastAsia" w:hAnsi="宋体"/>
          <w:color w:val="000000" w:themeColor="text1"/>
          <w:kern w:val="2"/>
          <w:sz w:val="21"/>
          <w:highlight w:val="none"/>
          <w14:textFill>
            <w14:solidFill>
              <w14:schemeClr w14:val="tx1"/>
            </w14:solidFill>
          </w14:textFill>
        </w:rPr>
        <w:t>供应商</w:t>
      </w:r>
      <w:r>
        <w:rPr>
          <w:rFonts w:hAnsi="宋体"/>
          <w:color w:val="000000" w:themeColor="text1"/>
          <w:kern w:val="2"/>
          <w:sz w:val="21"/>
          <w:highlight w:val="none"/>
          <w14:textFill>
            <w14:solidFill>
              <w14:schemeClr w14:val="tx1"/>
            </w14:solidFill>
          </w14:textFill>
        </w:rPr>
        <w:t>有利害关系的，可以向采购人或者采购代理机构书面提出回避申请，并说明理由。采购人或者采购代理机构应当及时询问被申请回避人员，有利害关系的被申请回避人员应当回避。</w:t>
      </w:r>
    </w:p>
    <w:p w14:paraId="578034C6">
      <w:pPr>
        <w:pStyle w:val="8"/>
        <w:keepNext w:val="0"/>
        <w:keepLines w:val="0"/>
        <w:spacing w:before="0" w:after="0" w:line="360" w:lineRule="auto"/>
        <w:ind w:left="420" w:leftChars="200"/>
        <w:rPr>
          <w:rFonts w:hint="eastAsia"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9.2</w:t>
      </w:r>
      <w:r>
        <w:rPr>
          <w:rFonts w:hint="eastAsia" w:ascii="宋体" w:hAnsi="宋体"/>
          <w:color w:val="000000" w:themeColor="text1"/>
          <w:sz w:val="21"/>
          <w:szCs w:val="21"/>
          <w:highlight w:val="none"/>
          <w14:textFill>
            <w14:solidFill>
              <w14:schemeClr w14:val="tx1"/>
            </w14:solidFill>
          </w14:textFill>
        </w:rPr>
        <w:t>有下列情形之一的视为投标人相互串通投标，投标文件将被视为无效：</w:t>
      </w:r>
    </w:p>
    <w:p w14:paraId="64FEC208">
      <w:pPr>
        <w:pStyle w:val="27"/>
        <w:snapToGrid w:val="0"/>
        <w:spacing w:line="360" w:lineRule="auto"/>
        <w:ind w:left="2" w:leftChars="1" w:firstLine="422" w:firstLineChars="200"/>
        <w:rPr>
          <w:rFonts w:hint="eastAsia" w:hAnsi="宋体"/>
          <w:b/>
          <w:color w:val="000000" w:themeColor="text1"/>
          <w:kern w:val="2"/>
          <w:sz w:val="21"/>
          <w:highlight w:val="none"/>
          <w14:textFill>
            <w14:solidFill>
              <w14:schemeClr w14:val="tx1"/>
            </w14:solidFill>
          </w14:textFill>
        </w:rPr>
      </w:pPr>
      <w:r>
        <w:rPr>
          <w:rFonts w:hint="eastAsia" w:hAnsi="宋体"/>
          <w:b/>
          <w:color w:val="000000" w:themeColor="text1"/>
          <w:kern w:val="2"/>
          <w:sz w:val="21"/>
          <w:highlight w:val="none"/>
          <w14:textFill>
            <w14:solidFill>
              <w14:schemeClr w14:val="tx1"/>
            </w14:solidFill>
          </w14:textFill>
        </w:rPr>
        <w:t>（1）</w:t>
      </w:r>
      <w:r>
        <w:rPr>
          <w:rFonts w:hint="eastAsia" w:hAnsi="宋体"/>
          <w:b/>
          <w:color w:val="000000" w:themeColor="text1"/>
          <w:kern w:val="2"/>
          <w:sz w:val="21"/>
          <w:highlight w:val="none"/>
          <w:lang w:eastAsia="zh-CN"/>
          <w14:textFill>
            <w14:solidFill>
              <w14:schemeClr w14:val="tx1"/>
            </w14:solidFill>
          </w14:textFill>
        </w:rPr>
        <w:t xml:space="preserve">不同投标人的投标文件由同一单位或者个人编制；或不同投标人报名的IP地址一致的； </w:t>
      </w:r>
      <w:r>
        <w:rPr>
          <w:rFonts w:hint="eastAsia" w:hAnsi="宋体"/>
          <w:b/>
          <w:color w:val="000000" w:themeColor="text1"/>
          <w:kern w:val="2"/>
          <w:sz w:val="21"/>
          <w:highlight w:val="none"/>
          <w14:textFill>
            <w14:solidFill>
              <w14:schemeClr w14:val="tx1"/>
            </w14:solidFill>
          </w14:textFill>
        </w:rPr>
        <w:t xml:space="preserve"> </w:t>
      </w:r>
    </w:p>
    <w:p w14:paraId="7659109B">
      <w:pPr>
        <w:pStyle w:val="27"/>
        <w:snapToGrid w:val="0"/>
        <w:spacing w:line="360" w:lineRule="auto"/>
        <w:ind w:left="2" w:leftChars="1" w:firstLine="422" w:firstLineChars="200"/>
        <w:rPr>
          <w:rFonts w:hint="eastAsia" w:hAnsi="宋体"/>
          <w:b/>
          <w:color w:val="000000" w:themeColor="text1"/>
          <w:kern w:val="2"/>
          <w:sz w:val="21"/>
          <w:highlight w:val="none"/>
          <w14:textFill>
            <w14:solidFill>
              <w14:schemeClr w14:val="tx1"/>
            </w14:solidFill>
          </w14:textFill>
        </w:rPr>
      </w:pPr>
      <w:r>
        <w:rPr>
          <w:rFonts w:hint="eastAsia" w:hAnsi="宋体"/>
          <w:b/>
          <w:color w:val="000000" w:themeColor="text1"/>
          <w:kern w:val="2"/>
          <w:sz w:val="21"/>
          <w:highlight w:val="none"/>
          <w14:textFill>
            <w14:solidFill>
              <w14:schemeClr w14:val="tx1"/>
            </w14:solidFill>
          </w14:textFill>
        </w:rPr>
        <w:t>（2）不同投标人委托同一单位或者个人办理投标事宜；</w:t>
      </w:r>
    </w:p>
    <w:p w14:paraId="66F2E0E5">
      <w:pPr>
        <w:pStyle w:val="27"/>
        <w:snapToGrid w:val="0"/>
        <w:spacing w:line="360" w:lineRule="auto"/>
        <w:ind w:left="2" w:leftChars="1" w:firstLine="422" w:firstLineChars="200"/>
        <w:rPr>
          <w:rFonts w:hint="eastAsia" w:hAnsi="宋体"/>
          <w:b/>
          <w:color w:val="000000" w:themeColor="text1"/>
          <w:kern w:val="2"/>
          <w:sz w:val="21"/>
          <w:highlight w:val="none"/>
          <w14:textFill>
            <w14:solidFill>
              <w14:schemeClr w14:val="tx1"/>
            </w14:solidFill>
          </w14:textFill>
        </w:rPr>
      </w:pPr>
      <w:r>
        <w:rPr>
          <w:rFonts w:hint="eastAsia" w:hAnsi="宋体"/>
          <w:b/>
          <w:color w:val="000000" w:themeColor="text1"/>
          <w:kern w:val="2"/>
          <w:sz w:val="21"/>
          <w:highlight w:val="none"/>
          <w14:textFill>
            <w14:solidFill>
              <w14:schemeClr w14:val="tx1"/>
            </w14:solidFill>
          </w14:textFill>
        </w:rPr>
        <w:t>（3）不同的投标人的投标文件载明的项目管理员为同一个人；</w:t>
      </w:r>
    </w:p>
    <w:p w14:paraId="7E5C5DE4">
      <w:pPr>
        <w:pStyle w:val="27"/>
        <w:snapToGrid w:val="0"/>
        <w:spacing w:line="360" w:lineRule="auto"/>
        <w:ind w:left="2" w:leftChars="1" w:firstLine="422" w:firstLineChars="200"/>
        <w:rPr>
          <w:rFonts w:hint="eastAsia" w:hAnsi="宋体"/>
          <w:b/>
          <w:color w:val="000000" w:themeColor="text1"/>
          <w:kern w:val="2"/>
          <w:sz w:val="21"/>
          <w:highlight w:val="none"/>
          <w14:textFill>
            <w14:solidFill>
              <w14:schemeClr w14:val="tx1"/>
            </w14:solidFill>
          </w14:textFill>
        </w:rPr>
      </w:pPr>
      <w:r>
        <w:rPr>
          <w:rFonts w:hint="eastAsia" w:hAnsi="宋体"/>
          <w:b/>
          <w:color w:val="000000" w:themeColor="text1"/>
          <w:kern w:val="2"/>
          <w:sz w:val="21"/>
          <w:highlight w:val="none"/>
          <w14:textFill>
            <w14:solidFill>
              <w14:schemeClr w14:val="tx1"/>
            </w14:solidFill>
          </w14:textFill>
        </w:rPr>
        <w:t>（4）不同投标人的投标文件异常一致或者投标报价呈规律性差异；</w:t>
      </w:r>
    </w:p>
    <w:p w14:paraId="2DF6A074">
      <w:pPr>
        <w:pStyle w:val="27"/>
        <w:snapToGrid w:val="0"/>
        <w:spacing w:line="360" w:lineRule="auto"/>
        <w:ind w:left="2" w:leftChars="1" w:firstLine="422" w:firstLineChars="200"/>
        <w:rPr>
          <w:rFonts w:hint="eastAsia" w:hAnsi="宋体"/>
          <w:b/>
          <w:color w:val="000000" w:themeColor="text1"/>
          <w:kern w:val="2"/>
          <w:sz w:val="21"/>
          <w:highlight w:val="none"/>
          <w14:textFill>
            <w14:solidFill>
              <w14:schemeClr w14:val="tx1"/>
            </w14:solidFill>
          </w14:textFill>
        </w:rPr>
      </w:pPr>
      <w:r>
        <w:rPr>
          <w:rFonts w:hint="eastAsia" w:hAnsi="宋体"/>
          <w:b/>
          <w:color w:val="000000" w:themeColor="text1"/>
          <w:kern w:val="2"/>
          <w:sz w:val="21"/>
          <w:highlight w:val="none"/>
          <w14:textFill>
            <w14:solidFill>
              <w14:schemeClr w14:val="tx1"/>
            </w14:solidFill>
          </w14:textFill>
        </w:rPr>
        <w:t>（5）不同投标人的投标文件相互混装；</w:t>
      </w:r>
    </w:p>
    <w:p w14:paraId="084BA4F6">
      <w:pPr>
        <w:pStyle w:val="27"/>
        <w:snapToGrid w:val="0"/>
        <w:spacing w:line="360" w:lineRule="auto"/>
        <w:ind w:left="2" w:leftChars="1" w:firstLine="422" w:firstLineChars="200"/>
        <w:rPr>
          <w:rFonts w:hint="eastAsia" w:hAnsi="宋体"/>
          <w:b/>
          <w:color w:val="000000" w:themeColor="text1"/>
          <w:kern w:val="2"/>
          <w:sz w:val="21"/>
          <w:highlight w:val="none"/>
          <w14:textFill>
            <w14:solidFill>
              <w14:schemeClr w14:val="tx1"/>
            </w14:solidFill>
          </w14:textFill>
        </w:rPr>
      </w:pPr>
      <w:r>
        <w:rPr>
          <w:rFonts w:hint="eastAsia" w:hAnsi="宋体"/>
          <w:b/>
          <w:color w:val="000000" w:themeColor="text1"/>
          <w:kern w:val="2"/>
          <w:sz w:val="21"/>
          <w:highlight w:val="none"/>
          <w14:textFill>
            <w14:solidFill>
              <w14:schemeClr w14:val="tx1"/>
            </w14:solidFill>
          </w14:textFill>
        </w:rPr>
        <w:t>（6）不同投标人的投标保证金从同一单位或者个人账户转出。</w:t>
      </w:r>
    </w:p>
    <w:p w14:paraId="4ECFE919">
      <w:pPr>
        <w:pStyle w:val="8"/>
        <w:keepNext w:val="0"/>
        <w:keepLines w:val="0"/>
        <w:spacing w:before="0" w:after="0" w:line="360" w:lineRule="auto"/>
        <w:ind w:left="420" w:leftChars="200"/>
        <w:rPr>
          <w:rFonts w:hint="eastAsia" w:ascii="宋体" w:hAnsi="宋体"/>
          <w:b w:val="0"/>
          <w:color w:val="000000" w:themeColor="text1"/>
          <w:sz w:val="21"/>
          <w:szCs w:val="21"/>
          <w:highlight w:val="none"/>
          <w14:textFill>
            <w14:solidFill>
              <w14:schemeClr w14:val="tx1"/>
            </w14:solidFill>
          </w14:textFill>
        </w:rPr>
      </w:pPr>
      <w:r>
        <w:rPr>
          <w:rFonts w:ascii="宋体" w:hAnsi="宋体"/>
          <w:b w:val="0"/>
          <w:color w:val="000000" w:themeColor="text1"/>
          <w:sz w:val="21"/>
          <w:szCs w:val="21"/>
          <w:highlight w:val="none"/>
          <w14:textFill>
            <w14:solidFill>
              <w14:schemeClr w14:val="tx1"/>
            </w14:solidFill>
          </w14:textFill>
        </w:rPr>
        <w:t>9.3</w:t>
      </w:r>
      <w:r>
        <w:rPr>
          <w:rFonts w:hint="eastAsia" w:ascii="宋体" w:hAnsi="宋体"/>
          <w:b w:val="0"/>
          <w:color w:val="000000" w:themeColor="text1"/>
          <w:sz w:val="21"/>
          <w:szCs w:val="21"/>
          <w:highlight w:val="none"/>
          <w14:textFill>
            <w14:solidFill>
              <w14:schemeClr w14:val="tx1"/>
            </w14:solidFill>
          </w14:textFill>
        </w:rPr>
        <w:t>供应商有下列情形之一的，属于恶意串通行为，将报同级监督管理部门：</w:t>
      </w:r>
    </w:p>
    <w:p w14:paraId="1C0567A7">
      <w:pPr>
        <w:pStyle w:val="27"/>
        <w:snapToGrid w:val="0"/>
        <w:spacing w:line="360" w:lineRule="auto"/>
        <w:ind w:left="2" w:leftChars="1" w:firstLine="420" w:firstLineChars="200"/>
        <w:rPr>
          <w:rFonts w:hint="eastAsia" w:hAnsi="宋体"/>
          <w:color w:val="000000" w:themeColor="text1"/>
          <w:kern w:val="2"/>
          <w:sz w:val="21"/>
          <w:highlight w:val="none"/>
          <w14:textFill>
            <w14:solidFill>
              <w14:schemeClr w14:val="tx1"/>
            </w14:solidFill>
          </w14:textFill>
        </w:rPr>
      </w:pPr>
      <w:r>
        <w:rPr>
          <w:rFonts w:hint="eastAsia" w:hAnsi="宋体"/>
          <w:color w:val="000000" w:themeColor="text1"/>
          <w:kern w:val="2"/>
          <w:sz w:val="21"/>
          <w:highlight w:val="none"/>
          <w14:textFill>
            <w14:solidFill>
              <w14:schemeClr w14:val="tx1"/>
            </w14:solidFill>
          </w14:textFill>
        </w:rPr>
        <w:t>（1）供应商直接或者间接从采购人或者采购代理机构处获得其他供应商的相关信息并修改其投标文件或者</w:t>
      </w:r>
      <w:r>
        <w:rPr>
          <w:rFonts w:hint="eastAsia" w:hAnsi="宋体"/>
          <w:color w:val="000000" w:themeColor="text1"/>
          <w:kern w:val="2"/>
          <w:sz w:val="21"/>
          <w:highlight w:val="none"/>
          <w:lang w:eastAsia="zh-CN"/>
          <w14:textFill>
            <w14:solidFill>
              <w14:schemeClr w14:val="tx1"/>
            </w14:solidFill>
          </w14:textFill>
        </w:rPr>
        <w:t>投标文件</w:t>
      </w:r>
      <w:r>
        <w:rPr>
          <w:rFonts w:hint="eastAsia" w:hAnsi="宋体"/>
          <w:color w:val="000000" w:themeColor="text1"/>
          <w:kern w:val="2"/>
          <w:sz w:val="21"/>
          <w:highlight w:val="none"/>
          <w14:textFill>
            <w14:solidFill>
              <w14:schemeClr w14:val="tx1"/>
            </w14:solidFill>
          </w14:textFill>
        </w:rPr>
        <w:t>；</w:t>
      </w:r>
    </w:p>
    <w:p w14:paraId="7C3C0A68">
      <w:pPr>
        <w:pStyle w:val="27"/>
        <w:snapToGrid w:val="0"/>
        <w:spacing w:line="360" w:lineRule="auto"/>
        <w:ind w:left="2" w:leftChars="1" w:firstLine="420" w:firstLineChars="200"/>
        <w:rPr>
          <w:rFonts w:hint="eastAsia" w:hAnsi="宋体"/>
          <w:color w:val="000000" w:themeColor="text1"/>
          <w:kern w:val="2"/>
          <w:sz w:val="21"/>
          <w:highlight w:val="none"/>
          <w14:textFill>
            <w14:solidFill>
              <w14:schemeClr w14:val="tx1"/>
            </w14:solidFill>
          </w14:textFill>
        </w:rPr>
      </w:pPr>
      <w:r>
        <w:rPr>
          <w:rFonts w:hint="eastAsia" w:hAnsi="宋体"/>
          <w:color w:val="000000" w:themeColor="text1"/>
          <w:kern w:val="2"/>
          <w:sz w:val="21"/>
          <w:highlight w:val="none"/>
          <w14:textFill>
            <w14:solidFill>
              <w14:schemeClr w14:val="tx1"/>
            </w14:solidFill>
          </w14:textFill>
        </w:rPr>
        <w:t>（2）供应商按照采购人或者采购代理机构的授意撤换、修改投标文件或者</w:t>
      </w:r>
      <w:r>
        <w:rPr>
          <w:rFonts w:hint="eastAsia" w:hAnsi="宋体"/>
          <w:color w:val="000000" w:themeColor="text1"/>
          <w:kern w:val="2"/>
          <w:sz w:val="21"/>
          <w:highlight w:val="none"/>
          <w:lang w:eastAsia="zh-CN"/>
          <w14:textFill>
            <w14:solidFill>
              <w14:schemeClr w14:val="tx1"/>
            </w14:solidFill>
          </w14:textFill>
        </w:rPr>
        <w:t>投标文件</w:t>
      </w:r>
      <w:r>
        <w:rPr>
          <w:rFonts w:hint="eastAsia" w:hAnsi="宋体"/>
          <w:color w:val="000000" w:themeColor="text1"/>
          <w:kern w:val="2"/>
          <w:sz w:val="21"/>
          <w:highlight w:val="none"/>
          <w14:textFill>
            <w14:solidFill>
              <w14:schemeClr w14:val="tx1"/>
            </w14:solidFill>
          </w14:textFill>
        </w:rPr>
        <w:t>；</w:t>
      </w:r>
    </w:p>
    <w:p w14:paraId="78A3CDA2">
      <w:pPr>
        <w:pStyle w:val="27"/>
        <w:snapToGrid w:val="0"/>
        <w:spacing w:line="360" w:lineRule="auto"/>
        <w:ind w:left="2" w:leftChars="1" w:firstLine="420" w:firstLineChars="200"/>
        <w:rPr>
          <w:rFonts w:hint="eastAsia" w:hAnsi="宋体"/>
          <w:color w:val="000000" w:themeColor="text1"/>
          <w:kern w:val="2"/>
          <w:sz w:val="21"/>
          <w:highlight w:val="none"/>
          <w14:textFill>
            <w14:solidFill>
              <w14:schemeClr w14:val="tx1"/>
            </w14:solidFill>
          </w14:textFill>
        </w:rPr>
      </w:pPr>
      <w:r>
        <w:rPr>
          <w:rFonts w:hint="eastAsia" w:hAnsi="宋体"/>
          <w:color w:val="000000" w:themeColor="text1"/>
          <w:kern w:val="2"/>
          <w:sz w:val="21"/>
          <w:highlight w:val="none"/>
          <w14:textFill>
            <w14:solidFill>
              <w14:schemeClr w14:val="tx1"/>
            </w14:solidFill>
          </w14:textFill>
        </w:rPr>
        <w:t>（3）供应商之间协商报价、技术方案等投标文件或者</w:t>
      </w:r>
      <w:r>
        <w:rPr>
          <w:rFonts w:hint="eastAsia" w:hAnsi="宋体"/>
          <w:color w:val="000000" w:themeColor="text1"/>
          <w:kern w:val="2"/>
          <w:sz w:val="21"/>
          <w:highlight w:val="none"/>
          <w:lang w:eastAsia="zh-CN"/>
          <w14:textFill>
            <w14:solidFill>
              <w14:schemeClr w14:val="tx1"/>
            </w14:solidFill>
          </w14:textFill>
        </w:rPr>
        <w:t>投标文件</w:t>
      </w:r>
      <w:r>
        <w:rPr>
          <w:rFonts w:hint="eastAsia" w:hAnsi="宋体"/>
          <w:color w:val="000000" w:themeColor="text1"/>
          <w:kern w:val="2"/>
          <w:sz w:val="21"/>
          <w:highlight w:val="none"/>
          <w14:textFill>
            <w14:solidFill>
              <w14:schemeClr w14:val="tx1"/>
            </w14:solidFill>
          </w14:textFill>
        </w:rPr>
        <w:t>的实质性内容；</w:t>
      </w:r>
    </w:p>
    <w:p w14:paraId="7D69A015">
      <w:pPr>
        <w:pStyle w:val="27"/>
        <w:snapToGrid w:val="0"/>
        <w:spacing w:line="360" w:lineRule="auto"/>
        <w:ind w:left="2" w:leftChars="1" w:firstLine="420" w:firstLineChars="200"/>
        <w:rPr>
          <w:rFonts w:hint="eastAsia" w:hAnsi="宋体"/>
          <w:color w:val="000000" w:themeColor="text1"/>
          <w:kern w:val="2"/>
          <w:sz w:val="21"/>
          <w:highlight w:val="none"/>
          <w14:textFill>
            <w14:solidFill>
              <w14:schemeClr w14:val="tx1"/>
            </w14:solidFill>
          </w14:textFill>
        </w:rPr>
      </w:pPr>
      <w:r>
        <w:rPr>
          <w:rFonts w:hint="eastAsia" w:hAnsi="宋体"/>
          <w:color w:val="000000" w:themeColor="text1"/>
          <w:kern w:val="2"/>
          <w:sz w:val="21"/>
          <w:highlight w:val="none"/>
          <w14:textFill>
            <w14:solidFill>
              <w14:schemeClr w14:val="tx1"/>
            </w14:solidFill>
          </w14:textFill>
        </w:rPr>
        <w:t>（4）属于同一集团、协会、商会等组织成员的供应商按照该组织要求协同参加政府采购活动；</w:t>
      </w:r>
    </w:p>
    <w:p w14:paraId="72A2701C">
      <w:pPr>
        <w:pStyle w:val="27"/>
        <w:snapToGrid w:val="0"/>
        <w:spacing w:line="360" w:lineRule="auto"/>
        <w:ind w:left="2" w:leftChars="1" w:firstLine="420" w:firstLineChars="200"/>
        <w:rPr>
          <w:rFonts w:hint="eastAsia" w:hAnsi="宋体"/>
          <w:color w:val="000000" w:themeColor="text1"/>
          <w:kern w:val="2"/>
          <w:sz w:val="21"/>
          <w:highlight w:val="none"/>
          <w14:textFill>
            <w14:solidFill>
              <w14:schemeClr w14:val="tx1"/>
            </w14:solidFill>
          </w14:textFill>
        </w:rPr>
      </w:pPr>
      <w:r>
        <w:rPr>
          <w:rFonts w:hint="eastAsia" w:hAnsi="宋体"/>
          <w:color w:val="000000" w:themeColor="text1"/>
          <w:kern w:val="2"/>
          <w:sz w:val="21"/>
          <w:highlight w:val="none"/>
          <w14:textFill>
            <w14:solidFill>
              <w14:schemeClr w14:val="tx1"/>
            </w14:solidFill>
          </w14:textFill>
        </w:rPr>
        <w:t>（5）供应商之间事先约定一致抬高或者压低投标报价，或者在招标项目中事先约定轮流以高价位或者低价位中标，或者事先约定由某一特定供应商中标，然后再参加投标；</w:t>
      </w:r>
    </w:p>
    <w:p w14:paraId="0125C436">
      <w:pPr>
        <w:pStyle w:val="27"/>
        <w:snapToGrid w:val="0"/>
        <w:spacing w:line="360" w:lineRule="auto"/>
        <w:ind w:left="2" w:leftChars="1" w:firstLine="420" w:firstLineChars="200"/>
        <w:rPr>
          <w:rFonts w:hint="eastAsia" w:hAnsi="宋体"/>
          <w:color w:val="000000" w:themeColor="text1"/>
          <w:kern w:val="2"/>
          <w:sz w:val="21"/>
          <w:highlight w:val="none"/>
          <w14:textFill>
            <w14:solidFill>
              <w14:schemeClr w14:val="tx1"/>
            </w14:solidFill>
          </w14:textFill>
        </w:rPr>
      </w:pPr>
      <w:r>
        <w:rPr>
          <w:rFonts w:hint="eastAsia" w:hAnsi="宋体"/>
          <w:color w:val="000000" w:themeColor="text1"/>
          <w:kern w:val="2"/>
          <w:sz w:val="21"/>
          <w:highlight w:val="none"/>
          <w14:textFill>
            <w14:solidFill>
              <w14:schemeClr w14:val="tx1"/>
            </w14:solidFill>
          </w14:textFill>
        </w:rPr>
        <w:t>（6）供应商之间商定部分供应商放弃参加政府采购活动或者放弃中标；</w:t>
      </w:r>
    </w:p>
    <w:p w14:paraId="440081B8">
      <w:pPr>
        <w:pStyle w:val="27"/>
        <w:snapToGrid w:val="0"/>
        <w:spacing w:line="360" w:lineRule="auto"/>
        <w:ind w:left="2" w:leftChars="1" w:firstLine="420" w:firstLineChars="200"/>
        <w:rPr>
          <w:rFonts w:hAnsi="宋体"/>
          <w:color w:val="000000" w:themeColor="text1"/>
          <w:kern w:val="2"/>
          <w:sz w:val="21"/>
          <w:highlight w:val="none"/>
          <w14:textFill>
            <w14:solidFill>
              <w14:schemeClr w14:val="tx1"/>
            </w14:solidFill>
          </w14:textFill>
        </w:rPr>
      </w:pPr>
      <w:r>
        <w:rPr>
          <w:rFonts w:hint="eastAsia" w:hAnsi="宋体"/>
          <w:color w:val="000000" w:themeColor="text1"/>
          <w:kern w:val="2"/>
          <w:sz w:val="21"/>
          <w:highlight w:val="none"/>
          <w14:textFill>
            <w14:solidFill>
              <w14:schemeClr w14:val="tx1"/>
            </w14:solidFill>
          </w14:textFill>
        </w:rPr>
        <w:t>（7）供应商与采购人或者采购代理机构之间、供应商相互之间，为谋求特定供应商中标或者排斥其他供应商的其他串通行为。</w:t>
      </w:r>
    </w:p>
    <w:p w14:paraId="106009A9">
      <w:pPr>
        <w:pStyle w:val="27"/>
        <w:snapToGrid w:val="0"/>
        <w:spacing w:line="360" w:lineRule="auto"/>
        <w:ind w:left="2" w:leftChars="1" w:firstLine="422" w:firstLineChars="200"/>
        <w:rPr>
          <w:rFonts w:hint="eastAsia" w:hAnsi="宋体"/>
          <w:b/>
          <w:color w:val="000000" w:themeColor="text1"/>
          <w:kern w:val="2"/>
          <w:sz w:val="21"/>
          <w:highlight w:val="none"/>
          <w14:textFill>
            <w14:solidFill>
              <w14:schemeClr w14:val="tx1"/>
            </w14:solidFill>
          </w14:textFill>
        </w:rPr>
      </w:pPr>
    </w:p>
    <w:p w14:paraId="2D63EAE5">
      <w:pPr>
        <w:pStyle w:val="6"/>
        <w:keepNext w:val="0"/>
        <w:keepLines w:val="0"/>
        <w:jc w:val="center"/>
        <w:rPr>
          <w:rFonts w:hint="eastAsia"/>
          <w:color w:val="000000" w:themeColor="text1"/>
          <w:highlight w:val="none"/>
          <w14:textFill>
            <w14:solidFill>
              <w14:schemeClr w14:val="tx1"/>
            </w14:solidFill>
          </w14:textFill>
        </w:rPr>
      </w:pPr>
      <w:bookmarkStart w:id="97" w:name="_Toc254970534"/>
      <w:bookmarkStart w:id="98" w:name="_Toc254970675"/>
      <w:r>
        <w:rPr>
          <w:rFonts w:hint="eastAsia"/>
          <w:color w:val="000000" w:themeColor="text1"/>
          <w:highlight w:val="none"/>
          <w14:textFill>
            <w14:solidFill>
              <w14:schemeClr w14:val="tx1"/>
            </w14:solidFill>
          </w14:textFill>
        </w:rPr>
        <w:t>二、招标文件</w:t>
      </w:r>
      <w:bookmarkEnd w:id="97"/>
      <w:bookmarkEnd w:id="98"/>
    </w:p>
    <w:p w14:paraId="0168671E">
      <w:pPr>
        <w:pStyle w:val="8"/>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10.招标文件的组成</w:t>
      </w:r>
    </w:p>
    <w:p w14:paraId="1AD37A93">
      <w:pPr>
        <w:snapToGrid w:val="0"/>
        <w:spacing w:line="360" w:lineRule="auto"/>
        <w:ind w:firstLine="42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（1）招标公告；</w:t>
      </w:r>
    </w:p>
    <w:p w14:paraId="7B7FBD88">
      <w:pPr>
        <w:snapToGrid w:val="0"/>
        <w:spacing w:line="360" w:lineRule="auto"/>
        <w:ind w:firstLine="42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（2）采购需求； </w:t>
      </w:r>
    </w:p>
    <w:p w14:paraId="0813C269">
      <w:pPr>
        <w:snapToGrid w:val="0"/>
        <w:spacing w:line="360" w:lineRule="auto"/>
        <w:ind w:firstLine="42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（3）投标人须知；</w:t>
      </w:r>
    </w:p>
    <w:p w14:paraId="2A71DE6A">
      <w:pPr>
        <w:snapToGrid w:val="0"/>
        <w:spacing w:line="360" w:lineRule="auto"/>
        <w:ind w:firstLine="42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（4）评标方法及评标标准；</w:t>
      </w:r>
    </w:p>
    <w:p w14:paraId="64204E28">
      <w:pPr>
        <w:snapToGrid w:val="0"/>
        <w:spacing w:line="360" w:lineRule="auto"/>
        <w:ind w:firstLine="42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（5）拟签订的合同文本；</w:t>
      </w:r>
    </w:p>
    <w:p w14:paraId="122C71FD">
      <w:pPr>
        <w:snapToGrid w:val="0"/>
        <w:spacing w:line="360" w:lineRule="auto"/>
        <w:ind w:firstLine="42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（6）投标文件格式。</w:t>
      </w:r>
    </w:p>
    <w:p w14:paraId="6AFD43CA">
      <w:pPr>
        <w:pStyle w:val="8"/>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11.招标文件的澄清、修改 、现场考察和答疑会</w:t>
      </w:r>
    </w:p>
    <w:p w14:paraId="15E924AD">
      <w:pPr>
        <w:pStyle w:val="8"/>
        <w:keepNext w:val="0"/>
        <w:keepLines w:val="0"/>
        <w:spacing w:before="0" w:after="0" w:line="360" w:lineRule="auto"/>
        <w:ind w:firstLine="315" w:firstLineChars="15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0A056C94">
      <w:pPr>
        <w:pStyle w:val="27"/>
        <w:snapToGrid w:val="0"/>
        <w:spacing w:line="360" w:lineRule="auto"/>
        <w:ind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0B224BFC">
      <w:pPr>
        <w:pStyle w:val="27"/>
        <w:snapToGrid w:val="0"/>
        <w:spacing w:line="360" w:lineRule="auto"/>
        <w:ind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1</w:t>
      </w:r>
      <w:r>
        <w:rPr>
          <w:rFonts w:hAnsi="宋体"/>
          <w:color w:val="000000" w:themeColor="text1"/>
          <w:sz w:val="21"/>
          <w:highlight w:val="none"/>
          <w14:textFill>
            <w14:solidFill>
              <w14:schemeClr w14:val="tx1"/>
            </w14:solidFill>
          </w14:textFill>
        </w:rPr>
        <w:t>1.2</w:t>
      </w:r>
      <w:bookmarkStart w:id="99" w:name="_Hlk53134511"/>
      <w:r>
        <w:rPr>
          <w:rFonts w:hint="eastAsia" w:hAnsi="宋体"/>
          <w:color w:val="000000" w:themeColor="text1"/>
          <w:sz w:val="21"/>
          <w:highlight w:val="none"/>
          <w14:textFill>
            <w14:solidFill>
              <w14:schemeClr w14:val="tx1"/>
            </w14:solidFill>
          </w14:textFill>
        </w:rPr>
        <w:t>采购人或者采购代理机构可以在招标文件提供期限截止后，组织已获取招标文件的潜在投标人现场考察或者召开开标前答疑会，具体详见“投标人须知前附表”。</w:t>
      </w:r>
    </w:p>
    <w:bookmarkEnd w:id="99"/>
    <w:p w14:paraId="71B26C4F">
      <w:pPr>
        <w:pStyle w:val="6"/>
        <w:keepNext w:val="0"/>
        <w:keepLines w:val="0"/>
        <w:jc w:val="center"/>
        <w:rPr>
          <w:rFonts w:hint="eastAsia"/>
          <w:color w:val="000000" w:themeColor="text1"/>
          <w:highlight w:val="none"/>
          <w14:textFill>
            <w14:solidFill>
              <w14:schemeClr w14:val="tx1"/>
            </w14:solidFill>
          </w14:textFill>
        </w:rPr>
      </w:pPr>
      <w:bookmarkStart w:id="100" w:name="_Toc254970676"/>
      <w:bookmarkStart w:id="101" w:name="_Toc254970535"/>
      <w:r>
        <w:rPr>
          <w:rFonts w:hint="eastAsia"/>
          <w:color w:val="000000" w:themeColor="text1"/>
          <w:highlight w:val="none"/>
          <w14:textFill>
            <w14:solidFill>
              <w14:schemeClr w14:val="tx1"/>
            </w14:solidFill>
          </w14:textFill>
        </w:rPr>
        <w:t>三、投标文件的编制</w:t>
      </w:r>
      <w:bookmarkEnd w:id="100"/>
      <w:bookmarkEnd w:id="101"/>
    </w:p>
    <w:p w14:paraId="69AA3C51">
      <w:pPr>
        <w:pStyle w:val="8"/>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bookmarkStart w:id="102" w:name="_Toc254970677"/>
      <w:bookmarkStart w:id="103" w:name="_Toc254970536"/>
      <w:r>
        <w:rPr>
          <w:rFonts w:hint="eastAsia" w:ascii="黑体" w:hAnsi="黑体" w:eastAsia="黑体"/>
          <w:color w:val="000000" w:themeColor="text1"/>
          <w:sz w:val="24"/>
          <w:highlight w:val="none"/>
          <w14:textFill>
            <w14:solidFill>
              <w14:schemeClr w14:val="tx1"/>
            </w14:solidFill>
          </w14:textFill>
        </w:rPr>
        <w:t>12.投标文件的编制原则</w:t>
      </w:r>
    </w:p>
    <w:p w14:paraId="2F94B8DD">
      <w:pPr>
        <w:snapToGrid w:val="0"/>
        <w:spacing w:line="360" w:lineRule="auto"/>
        <w:ind w:firstLine="420"/>
        <w:jc w:val="left"/>
        <w:rPr>
          <w:rFonts w:hint="eastAsia" w:ascii="宋体" w:hAnsi="宋体" w:cs="Courier New"/>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投标人必须按照招标文件的要求编制投标文件。投标文件必须对招标文件提出的要求和条件作出明确响应。</w:t>
      </w:r>
    </w:p>
    <w:p w14:paraId="7D007C67">
      <w:pPr>
        <w:pStyle w:val="8"/>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13.投标文件的组成</w:t>
      </w:r>
      <w:bookmarkEnd w:id="102"/>
      <w:bookmarkEnd w:id="103"/>
    </w:p>
    <w:p w14:paraId="2CD78810">
      <w:pPr>
        <w:snapToGrid w:val="0"/>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投标文件由报价文件、资格证明文件、商务及技术文件三部分组成。</w:t>
      </w:r>
    </w:p>
    <w:p w14:paraId="379AB27B">
      <w:pPr>
        <w:pStyle w:val="8"/>
        <w:keepNext w:val="0"/>
        <w:keepLines w:val="0"/>
        <w:spacing w:before="0" w:after="0" w:line="360" w:lineRule="auto"/>
        <w:ind w:left="420" w:leftChars="200"/>
        <w:rPr>
          <w:rFonts w:hint="eastAsia" w:ascii="宋体" w:hAnsi="宋体"/>
          <w:b w:val="0"/>
          <w:color w:val="000000" w:themeColor="text1"/>
          <w:sz w:val="21"/>
          <w:szCs w:val="21"/>
          <w:highlight w:val="none"/>
          <w14:textFill>
            <w14:solidFill>
              <w14:schemeClr w14:val="tx1"/>
            </w14:solidFill>
          </w14:textFill>
        </w:rPr>
      </w:pPr>
      <w:bookmarkStart w:id="104" w:name="_13.1报价文件:_具体材料见“投标人须知前附表”。"/>
      <w:bookmarkEnd w:id="104"/>
      <w:r>
        <w:rPr>
          <w:rFonts w:hint="eastAsia" w:ascii="宋体" w:hAnsi="宋体"/>
          <w:b w:val="0"/>
          <w:color w:val="000000" w:themeColor="text1"/>
          <w:sz w:val="21"/>
          <w:szCs w:val="21"/>
          <w:highlight w:val="none"/>
          <w14:textFill>
            <w14:solidFill>
              <w14:schemeClr w14:val="tx1"/>
            </w14:solidFill>
          </w14:textFill>
        </w:rPr>
        <w:t>（1）报价文件：</w:t>
      </w:r>
      <w:r>
        <w:rPr>
          <w:rFonts w:ascii="宋体" w:hAnsi="宋体"/>
          <w:b w:val="0"/>
          <w:color w:val="000000" w:themeColor="text1"/>
          <w:sz w:val="21"/>
          <w:szCs w:val="21"/>
          <w:highlight w:val="none"/>
          <w14:textFill>
            <w14:solidFill>
              <w14:schemeClr w14:val="tx1"/>
            </w14:solidFill>
          </w14:textFill>
        </w:rPr>
        <w:t>具体材料见“投标人须知前附表”</w:t>
      </w:r>
      <w:r>
        <w:rPr>
          <w:rFonts w:hint="eastAsia" w:ascii="宋体" w:hAnsi="宋体"/>
          <w:b w:val="0"/>
          <w:color w:val="000000" w:themeColor="text1"/>
          <w:sz w:val="21"/>
          <w:szCs w:val="21"/>
          <w:highlight w:val="none"/>
          <w14:textFill>
            <w14:solidFill>
              <w14:schemeClr w14:val="tx1"/>
            </w14:solidFill>
          </w14:textFill>
        </w:rPr>
        <w:t>。</w:t>
      </w:r>
    </w:p>
    <w:p w14:paraId="35168DDB">
      <w:pPr>
        <w:pStyle w:val="8"/>
        <w:keepNext w:val="0"/>
        <w:keepLines w:val="0"/>
        <w:spacing w:before="0" w:after="0" w:line="360" w:lineRule="auto"/>
        <w:ind w:left="420" w:leftChars="200"/>
        <w:rPr>
          <w:rFonts w:hint="eastAsia" w:ascii="宋体" w:hAnsi="宋体"/>
          <w:b w:val="0"/>
          <w:color w:val="000000" w:themeColor="text1"/>
          <w:sz w:val="21"/>
          <w:szCs w:val="21"/>
          <w:highlight w:val="none"/>
          <w14:textFill>
            <w14:solidFill>
              <w14:schemeClr w14:val="tx1"/>
            </w14:solidFill>
          </w14:textFill>
        </w:rPr>
      </w:pPr>
      <w:bookmarkStart w:id="105" w:name="_13.2资格证明文件：具体材料见“投标人须知前附表”。"/>
      <w:bookmarkEnd w:id="105"/>
      <w:r>
        <w:rPr>
          <w:rFonts w:hint="eastAsia" w:ascii="宋体" w:hAnsi="宋体"/>
          <w:b w:val="0"/>
          <w:color w:val="000000" w:themeColor="text1"/>
          <w:sz w:val="21"/>
          <w:szCs w:val="21"/>
          <w:highlight w:val="none"/>
          <w14:textFill>
            <w14:solidFill>
              <w14:schemeClr w14:val="tx1"/>
            </w14:solidFill>
          </w14:textFill>
        </w:rPr>
        <w:t>（</w:t>
      </w:r>
      <w:r>
        <w:rPr>
          <w:rFonts w:ascii="宋体" w:hAnsi="宋体"/>
          <w:b w:val="0"/>
          <w:color w:val="000000" w:themeColor="text1"/>
          <w:sz w:val="21"/>
          <w:szCs w:val="21"/>
          <w:highlight w:val="none"/>
          <w14:textFill>
            <w14:solidFill>
              <w14:schemeClr w14:val="tx1"/>
            </w14:solidFill>
          </w14:textFill>
        </w:rPr>
        <w:t>2</w:t>
      </w:r>
      <w:r>
        <w:rPr>
          <w:rFonts w:hint="eastAsia" w:ascii="宋体" w:hAnsi="宋体"/>
          <w:b w:val="0"/>
          <w:color w:val="000000" w:themeColor="text1"/>
          <w:sz w:val="21"/>
          <w:szCs w:val="21"/>
          <w:highlight w:val="none"/>
          <w14:textFill>
            <w14:solidFill>
              <w14:schemeClr w14:val="tx1"/>
            </w14:solidFill>
          </w14:textFill>
        </w:rPr>
        <w:t>）资格证明文件：</w:t>
      </w:r>
      <w:r>
        <w:rPr>
          <w:rFonts w:ascii="宋体" w:hAnsi="宋体"/>
          <w:b w:val="0"/>
          <w:color w:val="000000" w:themeColor="text1"/>
          <w:sz w:val="21"/>
          <w:szCs w:val="21"/>
          <w:highlight w:val="none"/>
          <w14:textFill>
            <w14:solidFill>
              <w14:schemeClr w14:val="tx1"/>
            </w14:solidFill>
          </w14:textFill>
        </w:rPr>
        <w:t>具体材料见“投标人须知前附表”</w:t>
      </w:r>
      <w:r>
        <w:rPr>
          <w:rFonts w:hint="eastAsia" w:ascii="宋体" w:hAnsi="宋体"/>
          <w:b w:val="0"/>
          <w:color w:val="000000" w:themeColor="text1"/>
          <w:sz w:val="21"/>
          <w:szCs w:val="21"/>
          <w:highlight w:val="none"/>
          <w14:textFill>
            <w14:solidFill>
              <w14:schemeClr w14:val="tx1"/>
            </w14:solidFill>
          </w14:textFill>
        </w:rPr>
        <w:t>。</w:t>
      </w:r>
    </w:p>
    <w:p w14:paraId="690BC824">
      <w:pPr>
        <w:pStyle w:val="8"/>
        <w:keepNext w:val="0"/>
        <w:keepLines w:val="0"/>
        <w:spacing w:before="0" w:after="0" w:line="360" w:lineRule="auto"/>
        <w:ind w:left="420" w:leftChars="200"/>
        <w:rPr>
          <w:rFonts w:hint="eastAsia" w:ascii="宋体" w:hAnsi="宋体"/>
          <w:b w:val="0"/>
          <w:color w:val="000000" w:themeColor="text1"/>
          <w:sz w:val="21"/>
          <w:szCs w:val="21"/>
          <w:highlight w:val="none"/>
          <w14:textFill>
            <w14:solidFill>
              <w14:schemeClr w14:val="tx1"/>
            </w14:solidFill>
          </w14:textFill>
        </w:rPr>
      </w:pPr>
      <w:bookmarkStart w:id="106" w:name="_13.3商务文件:_具体材料见“投标人须知前附表”。"/>
      <w:bookmarkEnd w:id="106"/>
      <w:r>
        <w:rPr>
          <w:rFonts w:hint="eastAsia" w:ascii="宋体" w:hAnsi="宋体"/>
          <w:b w:val="0"/>
          <w:color w:val="000000" w:themeColor="text1"/>
          <w:sz w:val="21"/>
          <w:szCs w:val="21"/>
          <w:highlight w:val="none"/>
          <w14:textFill>
            <w14:solidFill>
              <w14:schemeClr w14:val="tx1"/>
            </w14:solidFill>
          </w14:textFill>
        </w:rPr>
        <w:t>（</w:t>
      </w:r>
      <w:r>
        <w:rPr>
          <w:rFonts w:ascii="宋体" w:hAnsi="宋体"/>
          <w:b w:val="0"/>
          <w:color w:val="000000" w:themeColor="text1"/>
          <w:sz w:val="21"/>
          <w:szCs w:val="21"/>
          <w:highlight w:val="none"/>
          <w14:textFill>
            <w14:solidFill>
              <w14:schemeClr w14:val="tx1"/>
            </w14:solidFill>
          </w14:textFill>
        </w:rPr>
        <w:t>3</w:t>
      </w:r>
      <w:r>
        <w:rPr>
          <w:rFonts w:hint="eastAsia" w:ascii="宋体" w:hAnsi="宋体"/>
          <w:b w:val="0"/>
          <w:color w:val="000000" w:themeColor="text1"/>
          <w:sz w:val="21"/>
          <w:szCs w:val="21"/>
          <w:highlight w:val="none"/>
          <w14:textFill>
            <w14:solidFill>
              <w14:schemeClr w14:val="tx1"/>
            </w14:solidFill>
          </w14:textFill>
        </w:rPr>
        <w:t>）商务及技术文件：</w:t>
      </w:r>
      <w:r>
        <w:rPr>
          <w:rFonts w:ascii="宋体" w:hAnsi="宋体"/>
          <w:b w:val="0"/>
          <w:color w:val="000000" w:themeColor="text1"/>
          <w:sz w:val="21"/>
          <w:szCs w:val="21"/>
          <w:highlight w:val="none"/>
          <w14:textFill>
            <w14:solidFill>
              <w14:schemeClr w14:val="tx1"/>
            </w14:solidFill>
          </w14:textFill>
        </w:rPr>
        <w:t>具体材料见“投标人须知前附表”</w:t>
      </w:r>
      <w:r>
        <w:rPr>
          <w:rFonts w:hint="eastAsia" w:ascii="宋体" w:hAnsi="宋体"/>
          <w:b w:val="0"/>
          <w:color w:val="000000" w:themeColor="text1"/>
          <w:sz w:val="21"/>
          <w:szCs w:val="21"/>
          <w:highlight w:val="none"/>
          <w14:textFill>
            <w14:solidFill>
              <w14:schemeClr w14:val="tx1"/>
            </w14:solidFill>
          </w14:textFill>
        </w:rPr>
        <w:t>。</w:t>
      </w:r>
    </w:p>
    <w:p w14:paraId="2002939A">
      <w:pPr>
        <w:pStyle w:val="8"/>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bookmarkStart w:id="107" w:name="_13.5投标文件电子版：具体材料见“投标人须知前附表”。"/>
      <w:bookmarkEnd w:id="107"/>
      <w:bookmarkStart w:id="108" w:name="_13.4技术文件：具体材料见“投标人须知前附表”。"/>
      <w:bookmarkEnd w:id="108"/>
      <w:bookmarkStart w:id="109" w:name="_Toc254970537"/>
      <w:bookmarkStart w:id="110" w:name="_Toc254970678"/>
      <w:r>
        <w:rPr>
          <w:rFonts w:hint="eastAsia" w:ascii="黑体" w:hAnsi="黑体" w:eastAsia="黑体"/>
          <w:color w:val="000000" w:themeColor="text1"/>
          <w:sz w:val="24"/>
          <w:highlight w:val="none"/>
          <w14:textFill>
            <w14:solidFill>
              <w14:schemeClr w14:val="tx1"/>
            </w14:solidFill>
          </w14:textFill>
        </w:rPr>
        <w:t>14.投标文件的语言及计量</w:t>
      </w:r>
      <w:bookmarkEnd w:id="109"/>
      <w:bookmarkEnd w:id="110"/>
    </w:p>
    <w:p w14:paraId="5FFD3328">
      <w:pPr>
        <w:pStyle w:val="8"/>
        <w:keepNext w:val="0"/>
        <w:keepLines w:val="0"/>
        <w:spacing w:before="0" w:after="0" w:line="360" w:lineRule="auto"/>
        <w:ind w:left="420" w:leftChars="20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14.1语言文字</w:t>
      </w:r>
    </w:p>
    <w:p w14:paraId="0EEC4C70">
      <w:pPr>
        <w:pStyle w:val="8"/>
        <w:keepNext w:val="0"/>
        <w:keepLines w:val="0"/>
        <w:spacing w:before="0" w:after="0" w:line="360" w:lineRule="auto"/>
        <w:ind w:firstLine="420" w:firstLineChars="20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5ECBEF94">
      <w:pPr>
        <w:pStyle w:val="8"/>
        <w:keepNext w:val="0"/>
        <w:keepLines w:val="0"/>
        <w:spacing w:before="0" w:after="0" w:line="360" w:lineRule="auto"/>
        <w:ind w:firstLine="420" w:firstLineChars="200"/>
        <w:rPr>
          <w:rFonts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14.2投标计量单位</w:t>
      </w:r>
    </w:p>
    <w:p w14:paraId="751C149B">
      <w:pPr>
        <w:pStyle w:val="8"/>
        <w:keepNext w:val="0"/>
        <w:keepLines w:val="0"/>
        <w:spacing w:before="0" w:after="0" w:line="360" w:lineRule="auto"/>
        <w:ind w:firstLine="420" w:firstLineChars="20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招标文件已有明确规定的，使用招标文件规定的计量单位；招标文件没有规定的，应采用中华人民共和国法定计量单位，货币种类为人民币，</w:t>
      </w:r>
      <w:r>
        <w:rPr>
          <w:rFonts w:hint="eastAsia" w:ascii="宋体" w:hAnsi="宋体"/>
          <w:color w:val="000000" w:themeColor="text1"/>
          <w:sz w:val="21"/>
          <w:szCs w:val="21"/>
          <w:highlight w:val="none"/>
          <w14:textFill>
            <w14:solidFill>
              <w14:schemeClr w14:val="tx1"/>
            </w14:solidFill>
          </w14:textFill>
        </w:rPr>
        <w:t>否则视同未响应。</w:t>
      </w:r>
    </w:p>
    <w:p w14:paraId="776FB5C4">
      <w:pPr>
        <w:pStyle w:val="8"/>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15.投标的风险</w:t>
      </w:r>
    </w:p>
    <w:p w14:paraId="202EA37E">
      <w:pPr>
        <w:pStyle w:val="27"/>
        <w:snapToGrid w:val="0"/>
        <w:spacing w:line="360" w:lineRule="auto"/>
        <w:ind w:firstLine="420" w:firstLineChars="200"/>
        <w:jc w:val="left"/>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投标人没有按照招标文件要求提供全部资料，或者投标人没有对招标文件作出实质性响应是投标人的风险，并可能导致其投标被拒绝。</w:t>
      </w:r>
    </w:p>
    <w:p w14:paraId="6567602C">
      <w:pPr>
        <w:pStyle w:val="8"/>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bookmarkStart w:id="111" w:name="_Toc254970538"/>
      <w:bookmarkStart w:id="112" w:name="_Toc254970679"/>
      <w:r>
        <w:rPr>
          <w:rFonts w:hint="eastAsia" w:ascii="黑体" w:hAnsi="黑体" w:eastAsia="黑体"/>
          <w:color w:val="000000" w:themeColor="text1"/>
          <w:sz w:val="24"/>
          <w:highlight w:val="none"/>
          <w14:textFill>
            <w14:solidFill>
              <w14:schemeClr w14:val="tx1"/>
            </w14:solidFill>
          </w14:textFill>
        </w:rPr>
        <w:t>16.投标报价</w:t>
      </w:r>
      <w:bookmarkEnd w:id="111"/>
      <w:bookmarkEnd w:id="112"/>
    </w:p>
    <w:p w14:paraId="5B68C3BD">
      <w:pPr>
        <w:pStyle w:val="8"/>
        <w:keepNext w:val="0"/>
        <w:keepLines w:val="0"/>
        <w:spacing w:before="0" w:after="0" w:line="360" w:lineRule="auto"/>
        <w:ind w:left="420" w:leftChars="20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16.1投标报价应按“第六章　投标文件格式”中“开标一览表”格式填写。</w:t>
      </w:r>
    </w:p>
    <w:p w14:paraId="72F9FF8A">
      <w:pPr>
        <w:pStyle w:val="8"/>
        <w:keepNext w:val="0"/>
        <w:keepLines w:val="0"/>
        <w:spacing w:before="0" w:after="0" w:line="360" w:lineRule="auto"/>
        <w:ind w:left="420" w:leftChars="200"/>
        <w:rPr>
          <w:rFonts w:hint="eastAsia" w:ascii="宋体" w:hAnsi="宋体"/>
          <w:b w:val="0"/>
          <w:color w:val="000000" w:themeColor="text1"/>
          <w:sz w:val="21"/>
          <w:szCs w:val="21"/>
          <w:highlight w:val="none"/>
          <w14:textFill>
            <w14:solidFill>
              <w14:schemeClr w14:val="tx1"/>
            </w14:solidFill>
          </w14:textFill>
        </w:rPr>
      </w:pPr>
      <w:bookmarkStart w:id="113" w:name="_16.2投标报价具体定义见投标人须知前附表。"/>
      <w:bookmarkEnd w:id="113"/>
      <w:r>
        <w:rPr>
          <w:rFonts w:hint="eastAsia" w:ascii="宋体" w:hAnsi="宋体"/>
          <w:b w:val="0"/>
          <w:color w:val="000000" w:themeColor="text1"/>
          <w:sz w:val="21"/>
          <w:szCs w:val="21"/>
          <w:highlight w:val="none"/>
          <w14:textFill>
            <w14:solidFill>
              <w14:schemeClr w14:val="tx1"/>
            </w14:solidFill>
          </w14:textFill>
        </w:rPr>
        <w:t>16.2投标报价具体包括内容详见“投标人须知前附表”。</w:t>
      </w:r>
    </w:p>
    <w:p w14:paraId="327EAC3C">
      <w:pPr>
        <w:pStyle w:val="8"/>
        <w:keepNext w:val="0"/>
        <w:keepLines w:val="0"/>
        <w:spacing w:before="0" w:after="0" w:line="360" w:lineRule="auto"/>
        <w:ind w:firstLine="420" w:firstLineChars="20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16.3投标人必须就所投每个分标的全部内容分别作完整唯一总价报价，不得存在漏项报价；投标人必须就所投分标的单项内容作唯一报价。</w:t>
      </w:r>
    </w:p>
    <w:p w14:paraId="46264935">
      <w:pPr>
        <w:pStyle w:val="8"/>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17.投标有效期</w:t>
      </w:r>
    </w:p>
    <w:p w14:paraId="4ED6C651">
      <w:pPr>
        <w:pStyle w:val="8"/>
        <w:keepNext w:val="0"/>
        <w:keepLines w:val="0"/>
        <w:spacing w:before="0" w:after="0" w:line="360" w:lineRule="auto"/>
        <w:ind w:firstLine="420" w:firstLineChars="200"/>
        <w:rPr>
          <w:rFonts w:hint="eastAsia" w:ascii="宋体" w:hAnsi="宋体"/>
          <w:b w:val="0"/>
          <w:color w:val="000000" w:themeColor="text1"/>
          <w:sz w:val="21"/>
          <w:szCs w:val="21"/>
          <w:highlight w:val="none"/>
          <w14:textFill>
            <w14:solidFill>
              <w14:schemeClr w14:val="tx1"/>
            </w14:solidFill>
          </w14:textFill>
        </w:rPr>
      </w:pPr>
      <w:bookmarkStart w:id="114" w:name="_17.1投标有效期应按“投标人须知中的前附表”规定的期限。"/>
      <w:bookmarkEnd w:id="114"/>
      <w:r>
        <w:rPr>
          <w:rFonts w:hint="eastAsia" w:ascii="宋体" w:hAnsi="宋体"/>
          <w:b w:val="0"/>
          <w:color w:val="000000" w:themeColor="text1"/>
          <w:sz w:val="21"/>
          <w:szCs w:val="21"/>
          <w:highlight w:val="none"/>
          <w14:textFill>
            <w14:solidFill>
              <w14:schemeClr w14:val="tx1"/>
            </w14:solidFill>
          </w14:textFill>
        </w:rPr>
        <w:t>17.1投标有效期是指为保证采购人有足够的时间在开标后完成评标、定标、合同签订等工作而要求投标人提交的投标文件在一定时间内保持有效的期限。</w:t>
      </w:r>
    </w:p>
    <w:p w14:paraId="0E27C4C8">
      <w:pPr>
        <w:pStyle w:val="8"/>
        <w:keepNext w:val="0"/>
        <w:keepLines w:val="0"/>
        <w:spacing w:before="0" w:after="0" w:line="360" w:lineRule="auto"/>
        <w:ind w:firstLine="424" w:firstLineChars="202"/>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17.2</w:t>
      </w:r>
      <w:bookmarkStart w:id="115" w:name="_Toc254970540"/>
      <w:bookmarkStart w:id="116" w:name="_Toc254970681"/>
      <w:r>
        <w:rPr>
          <w:rFonts w:hint="eastAsia" w:ascii="宋体" w:hAnsi="宋体"/>
          <w:b w:val="0"/>
          <w:color w:val="000000" w:themeColor="text1"/>
          <w:sz w:val="21"/>
          <w:szCs w:val="21"/>
          <w:highlight w:val="none"/>
          <w14:textFill>
            <w14:solidFill>
              <w14:schemeClr w14:val="tx1"/>
            </w14:solidFill>
          </w14:textFill>
        </w:rPr>
        <w:t xml:space="preserve"> 投标有效期应按招标文件规定的期限作出承诺，具体详见“投标人须知前附表”。</w:t>
      </w:r>
      <w:r>
        <w:rPr>
          <w:rFonts w:hint="eastAsia" w:ascii="宋体" w:hAnsi="宋体"/>
          <w:color w:val="000000" w:themeColor="text1"/>
          <w:sz w:val="21"/>
          <w:szCs w:val="21"/>
          <w:highlight w:val="none"/>
          <w14:textFill>
            <w14:solidFill>
              <w14:schemeClr w14:val="tx1"/>
            </w14:solidFill>
          </w14:textFill>
        </w:rPr>
        <w:t>承诺的投标有效期低于招标文件规定期限的，按无效投标处理</w:t>
      </w:r>
      <w:r>
        <w:rPr>
          <w:rFonts w:hint="eastAsia" w:ascii="宋体" w:hAnsi="宋体"/>
          <w:b w:val="0"/>
          <w:color w:val="000000" w:themeColor="text1"/>
          <w:sz w:val="21"/>
          <w:szCs w:val="21"/>
          <w:highlight w:val="none"/>
          <w14:textFill>
            <w14:solidFill>
              <w14:schemeClr w14:val="tx1"/>
            </w14:solidFill>
          </w14:textFill>
        </w:rPr>
        <w:t>。</w:t>
      </w:r>
    </w:p>
    <w:p w14:paraId="46ADA60E">
      <w:pPr>
        <w:pStyle w:val="8"/>
        <w:keepNext w:val="0"/>
        <w:keepLines w:val="0"/>
        <w:spacing w:before="0" w:after="0" w:line="360" w:lineRule="auto"/>
        <w:ind w:left="420" w:leftChars="20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17.3投标人的投标文件在投标有效期内均保持有效。</w:t>
      </w:r>
      <w:bookmarkEnd w:id="115"/>
      <w:bookmarkEnd w:id="116"/>
    </w:p>
    <w:p w14:paraId="73148F73">
      <w:pPr>
        <w:pStyle w:val="8"/>
        <w:keepNext w:val="0"/>
        <w:keepLines w:val="0"/>
        <w:spacing w:before="0" w:after="0" w:line="360" w:lineRule="auto"/>
        <w:ind w:left="420" w:leftChars="200"/>
        <w:rPr>
          <w:rFonts w:hint="eastAsia" w:ascii="宋体" w:hAnsi="宋体"/>
          <w:b w:val="0"/>
          <w:color w:val="000000" w:themeColor="text1"/>
          <w:sz w:val="21"/>
          <w:szCs w:val="21"/>
          <w:highlight w:val="none"/>
          <w14:textFill>
            <w14:solidFill>
              <w14:schemeClr w14:val="tx1"/>
            </w14:solidFill>
          </w14:textFill>
        </w:rPr>
      </w:pPr>
    </w:p>
    <w:p w14:paraId="7014B171">
      <w:pPr>
        <w:pStyle w:val="8"/>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bookmarkStart w:id="117" w:name="_18.投标保证金"/>
      <w:bookmarkEnd w:id="117"/>
      <w:bookmarkStart w:id="118" w:name="_Toc254970541"/>
      <w:bookmarkStart w:id="119" w:name="_Toc254970682"/>
      <w:r>
        <w:rPr>
          <w:rFonts w:hint="eastAsia" w:ascii="黑体" w:hAnsi="黑体" w:eastAsia="黑体"/>
          <w:color w:val="000000" w:themeColor="text1"/>
          <w:sz w:val="24"/>
          <w:highlight w:val="none"/>
          <w14:textFill>
            <w14:solidFill>
              <w14:schemeClr w14:val="tx1"/>
            </w14:solidFill>
          </w14:textFill>
        </w:rPr>
        <w:t>18.投标保证金</w:t>
      </w:r>
      <w:bookmarkEnd w:id="118"/>
      <w:bookmarkEnd w:id="119"/>
    </w:p>
    <w:p w14:paraId="42FFC86C">
      <w:pPr>
        <w:pStyle w:val="8"/>
        <w:keepNext w:val="0"/>
        <w:keepLines w:val="0"/>
        <w:spacing w:before="0" w:after="0" w:line="360" w:lineRule="auto"/>
        <w:ind w:left="420" w:leftChars="200"/>
        <w:rPr>
          <w:rFonts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18.1投标人须按“投标人须知前附表” 的规定提交投标保证金。</w:t>
      </w:r>
    </w:p>
    <w:p w14:paraId="1DAF8310">
      <w:pPr>
        <w:pStyle w:val="8"/>
        <w:keepNext w:val="0"/>
        <w:keepLines w:val="0"/>
        <w:spacing w:before="0" w:after="0" w:line="360" w:lineRule="auto"/>
        <w:ind w:firstLine="420" w:firstLineChars="20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18.2投标保证金的退还</w:t>
      </w:r>
    </w:p>
    <w:p w14:paraId="6797C6C6">
      <w:pPr>
        <w:pStyle w:val="8"/>
        <w:keepNext w:val="0"/>
        <w:keepLines w:val="0"/>
        <w:spacing w:before="0" w:after="0" w:line="360" w:lineRule="auto"/>
        <w:ind w:firstLine="420" w:firstLineChars="20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 xml:space="preserve">未中标人的投标保证金自中标通知书发出之日起5个工作日内退还；中标人的投标保证金自政府采购合同签订之日起5个工作日内退还。 </w:t>
      </w:r>
    </w:p>
    <w:p w14:paraId="50ED8F60">
      <w:pPr>
        <w:pStyle w:val="8"/>
        <w:keepNext w:val="0"/>
        <w:keepLines w:val="0"/>
        <w:spacing w:before="0" w:after="0" w:line="360" w:lineRule="auto"/>
        <w:ind w:left="420" w:leftChars="20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18.3除逾期退还投标保证金和终止招标的情形以外，投标保证金不计息。</w:t>
      </w:r>
    </w:p>
    <w:p w14:paraId="18204130">
      <w:pPr>
        <w:pStyle w:val="8"/>
        <w:keepNext w:val="0"/>
        <w:keepLines w:val="0"/>
        <w:spacing w:before="0" w:after="0" w:line="360" w:lineRule="auto"/>
        <w:ind w:left="420" w:leftChars="20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 xml:space="preserve">18.4投标人有下列情形之一的，投标保证金将不予退还： </w:t>
      </w:r>
    </w:p>
    <w:p w14:paraId="1E29EAF1">
      <w:pPr>
        <w:snapToGrid w:val="0"/>
        <w:spacing w:line="360" w:lineRule="auto"/>
        <w:ind w:firstLine="411" w:firstLineChars="196"/>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（1）投标人在投标有效期内撤销投标文件的；</w:t>
      </w:r>
    </w:p>
    <w:p w14:paraId="006A94C4">
      <w:pPr>
        <w:snapToGrid w:val="0"/>
        <w:spacing w:line="360" w:lineRule="auto"/>
        <w:ind w:firstLine="411" w:firstLineChars="196"/>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（2）未按规定提交履约保证金的；</w:t>
      </w:r>
    </w:p>
    <w:p w14:paraId="6334F6A2">
      <w:pPr>
        <w:snapToGrid w:val="0"/>
        <w:spacing w:line="360" w:lineRule="auto"/>
        <w:ind w:firstLine="411" w:firstLineChars="196"/>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（3）投标人在投标过程中弄虚作假，提供虚假材料的；</w:t>
      </w:r>
    </w:p>
    <w:p w14:paraId="4EE14BCB">
      <w:pPr>
        <w:snapToGrid w:val="0"/>
        <w:spacing w:line="360" w:lineRule="auto"/>
        <w:ind w:firstLine="411" w:firstLineChars="196"/>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（4）中标人无正当理由不与采购人签订合同的；</w:t>
      </w:r>
    </w:p>
    <w:p w14:paraId="6B9D4400">
      <w:pPr>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（5）投标人出现本章第9.2、9.3情形的；</w:t>
      </w:r>
    </w:p>
    <w:p w14:paraId="1FDC1F1C">
      <w:pPr>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法律法规规定的其他情形</w:t>
      </w:r>
      <w:r>
        <w:rPr>
          <w:rFonts w:hint="eastAsia" w:ascii="宋体" w:hAnsi="宋体"/>
          <w:color w:val="000000" w:themeColor="text1"/>
          <w:szCs w:val="21"/>
          <w:highlight w:val="none"/>
          <w14:textFill>
            <w14:solidFill>
              <w14:schemeClr w14:val="tx1"/>
            </w14:solidFill>
          </w14:textFill>
        </w:rPr>
        <w:t>。</w:t>
      </w:r>
    </w:p>
    <w:p w14:paraId="0BC954CF">
      <w:pPr>
        <w:pStyle w:val="8"/>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bookmarkStart w:id="120" w:name="_Toc254970542"/>
      <w:bookmarkStart w:id="121" w:name="_Toc254970683"/>
      <w:r>
        <w:rPr>
          <w:rFonts w:hint="eastAsia" w:ascii="黑体" w:hAnsi="黑体" w:eastAsia="黑体"/>
          <w:color w:val="000000" w:themeColor="text1"/>
          <w:sz w:val="24"/>
          <w:highlight w:val="none"/>
          <w14:textFill>
            <w14:solidFill>
              <w14:schemeClr w14:val="tx1"/>
            </w14:solidFill>
          </w14:textFill>
        </w:rPr>
        <w:t>19.投标文件的</w:t>
      </w:r>
      <w:bookmarkEnd w:id="120"/>
      <w:bookmarkEnd w:id="121"/>
      <w:r>
        <w:rPr>
          <w:rFonts w:hint="eastAsia" w:ascii="黑体" w:hAnsi="黑体" w:eastAsia="黑体"/>
          <w:color w:val="000000" w:themeColor="text1"/>
          <w:sz w:val="24"/>
          <w:highlight w:val="none"/>
          <w14:textFill>
            <w14:solidFill>
              <w14:schemeClr w14:val="tx1"/>
            </w14:solidFill>
          </w14:textFill>
        </w:rPr>
        <w:t>编制</w:t>
      </w:r>
    </w:p>
    <w:p w14:paraId="2210784C">
      <w:pPr>
        <w:pStyle w:val="8"/>
        <w:keepNext w:val="0"/>
        <w:keepLines w:val="0"/>
        <w:numPr>
          <w:ilvl w:val="4"/>
          <w:numId w:val="12"/>
        </w:numPr>
        <w:spacing w:before="0" w:after="0" w:line="360" w:lineRule="auto"/>
        <w:ind w:firstLine="315" w:firstLineChars="150"/>
        <w:rPr>
          <w:rFonts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 xml:space="preserve"> </w:t>
      </w:r>
      <w:bookmarkStart w:id="122" w:name="_Toc254970685"/>
      <w:bookmarkStart w:id="123" w:name="_Toc254970544"/>
      <w:r>
        <w:rPr>
          <w:rFonts w:hint="eastAsia" w:ascii="宋体" w:hAnsi="宋体"/>
          <w:b w:val="0"/>
          <w:color w:val="000000" w:themeColor="text1"/>
          <w:sz w:val="21"/>
          <w:szCs w:val="21"/>
          <w:highlight w:val="none"/>
          <w14:textFill>
            <w14:solidFill>
              <w14:schemeClr w14:val="tx1"/>
            </w14:solidFill>
          </w14:textFill>
        </w:rPr>
        <w:t xml:space="preserve"> 19.1投标人应按照本项目招标文件规定的格式和顺序和广西政府采购云平台的要求编制投标文件并加密。投标文件内容不完整、编排混乱导致投标文件被误读、漏读或者查找不到相关内容的，由此引发的后果由投标人承担。</w:t>
      </w:r>
    </w:p>
    <w:p w14:paraId="14264372">
      <w:pPr>
        <w:pStyle w:val="8"/>
        <w:keepNext w:val="0"/>
        <w:keepLines w:val="0"/>
        <w:numPr>
          <w:ilvl w:val="4"/>
          <w:numId w:val="12"/>
        </w:numPr>
        <w:spacing w:before="0" w:after="0" w:line="360" w:lineRule="auto"/>
        <w:ind w:firstLine="315" w:firstLineChars="150"/>
        <w:rPr>
          <w:rFonts w:hint="eastAsia" w:ascii="宋体" w:hAnsi="宋体"/>
          <w:b w:val="0"/>
          <w:color w:val="000000" w:themeColor="text1"/>
          <w:sz w:val="21"/>
          <w:szCs w:val="21"/>
          <w:highlight w:val="none"/>
          <w14:textFill>
            <w14:solidFill>
              <w14:schemeClr w14:val="tx1"/>
            </w14:solidFill>
          </w14:textFill>
        </w:rPr>
      </w:pPr>
      <w:bookmarkStart w:id="124" w:name="_19.2投标文件应按报价文件、资格证明文件、商务文件、技术文件分别编制"/>
      <w:bookmarkEnd w:id="124"/>
      <w:r>
        <w:rPr>
          <w:rFonts w:hint="eastAsia" w:ascii="宋体" w:hAnsi="宋体"/>
          <w:b w:val="0"/>
          <w:color w:val="000000" w:themeColor="text1"/>
          <w:sz w:val="21"/>
          <w:szCs w:val="21"/>
          <w:highlight w:val="none"/>
          <w14:textFill>
            <w14:solidFill>
              <w14:schemeClr w14:val="tx1"/>
            </w14:solidFill>
          </w14:textFill>
        </w:rPr>
        <w:t xml:space="preserve"> 19.2为确保网上操作合法、有效和安全，投标人应当在投标截止时间前完成在广西政府采购云平台的身份认证，确保在电子投标过程中能够对相关数据电文进行加密和使用电子签章。</w:t>
      </w:r>
    </w:p>
    <w:p w14:paraId="4284A2DC">
      <w:pPr>
        <w:pStyle w:val="8"/>
        <w:keepNext w:val="0"/>
        <w:keepLines w:val="0"/>
        <w:numPr>
          <w:ilvl w:val="4"/>
          <w:numId w:val="12"/>
        </w:numPr>
        <w:spacing w:before="0" w:after="0" w:line="360" w:lineRule="auto"/>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 xml:space="preserve">    19.3投标文件须由投标人在规定位置签字（或者电子签名）、盖章（具体以投标人须知前附表或投标文件格式规定为准），</w:t>
      </w:r>
      <w:r>
        <w:rPr>
          <w:rFonts w:hint="eastAsia" w:ascii="宋体" w:hAnsi="宋体"/>
          <w:bCs/>
          <w:color w:val="000000" w:themeColor="text1"/>
          <w:sz w:val="21"/>
          <w:szCs w:val="21"/>
          <w:highlight w:val="none"/>
          <w14:textFill>
            <w14:solidFill>
              <w14:schemeClr w14:val="tx1"/>
            </w14:solidFill>
          </w14:textFill>
        </w:rPr>
        <w:t>否则按无效投标处理</w:t>
      </w:r>
      <w:r>
        <w:rPr>
          <w:rFonts w:hint="eastAsia" w:ascii="宋体" w:hAnsi="宋体"/>
          <w:b w:val="0"/>
          <w:color w:val="000000" w:themeColor="text1"/>
          <w:sz w:val="21"/>
          <w:szCs w:val="21"/>
          <w:highlight w:val="none"/>
          <w14:textFill>
            <w14:solidFill>
              <w14:schemeClr w14:val="tx1"/>
            </w14:solidFill>
          </w14:textFill>
        </w:rPr>
        <w:t>。</w:t>
      </w:r>
    </w:p>
    <w:p w14:paraId="42E77090">
      <w:pPr>
        <w:pStyle w:val="8"/>
        <w:keepNext w:val="0"/>
        <w:keepLines w:val="0"/>
        <w:numPr>
          <w:ilvl w:val="4"/>
          <w:numId w:val="12"/>
        </w:numPr>
        <w:spacing w:before="0" w:after="0" w:line="360" w:lineRule="auto"/>
        <w:ind w:firstLine="315" w:firstLineChars="15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 xml:space="preserve"> 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Pr>
          <w:rFonts w:hint="eastAsia" w:ascii="宋体" w:hAnsi="宋体"/>
          <w:color w:val="000000" w:themeColor="text1"/>
          <w:sz w:val="21"/>
          <w:szCs w:val="21"/>
          <w:highlight w:val="none"/>
          <w14:textFill>
            <w14:solidFill>
              <w14:schemeClr w14:val="tx1"/>
            </w14:solidFill>
          </w14:textFill>
        </w:rPr>
        <w:t>否则按无效投标处理</w:t>
      </w:r>
      <w:r>
        <w:rPr>
          <w:rFonts w:hint="eastAsia" w:ascii="宋体" w:hAnsi="宋体"/>
          <w:b w:val="0"/>
          <w:color w:val="000000" w:themeColor="text1"/>
          <w:sz w:val="21"/>
          <w:szCs w:val="21"/>
          <w:highlight w:val="none"/>
          <w14:textFill>
            <w14:solidFill>
              <w14:schemeClr w14:val="tx1"/>
            </w14:solidFill>
          </w14:textFill>
        </w:rPr>
        <w:t>。</w:t>
      </w:r>
    </w:p>
    <w:p w14:paraId="49ABF955">
      <w:pPr>
        <w:pStyle w:val="8"/>
        <w:keepNext w:val="0"/>
        <w:keepLines w:val="0"/>
        <w:numPr>
          <w:ilvl w:val="4"/>
          <w:numId w:val="12"/>
        </w:numPr>
        <w:spacing w:before="0" w:after="0" w:line="360" w:lineRule="auto"/>
        <w:ind w:firstLine="315" w:firstLineChars="15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 xml:space="preserve"> 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1DD5B319">
      <w:pPr>
        <w:spacing w:line="360" w:lineRule="auto"/>
        <w:ind w:firstLine="480" w:firstLineChars="200"/>
        <w:rPr>
          <w:rFonts w:hint="eastAsia"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20.电子备份投标文件</w:t>
      </w:r>
    </w:p>
    <w:p w14:paraId="500A55A3">
      <w:pPr>
        <w:spacing w:line="360" w:lineRule="auto"/>
        <w:ind w:firstLine="420" w:firstLineChars="200"/>
        <w:rPr>
          <w:rFonts w:hint="eastAsia" w:ascii="黑体" w:hAnsi="黑体" w:eastAsia="黑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电子备份投标文件是指通过在线编制生成且后缀名为“</w:t>
      </w:r>
      <w:r>
        <w:rPr>
          <w:color w:val="000000" w:themeColor="text1"/>
          <w:highlight w:val="none"/>
          <w14:textFill>
            <w14:solidFill>
              <w14:schemeClr w14:val="tx1"/>
            </w14:solidFill>
          </w14:textFill>
        </w:rPr>
        <w:t>bfbs</w:t>
      </w:r>
      <w:r>
        <w:rPr>
          <w:rFonts w:hint="eastAsia"/>
          <w:color w:val="000000" w:themeColor="text1"/>
          <w:highlight w:val="none"/>
          <w14:textFill>
            <w14:solidFill>
              <w14:schemeClr w14:val="tx1"/>
            </w14:solidFill>
          </w14:textFill>
        </w:rPr>
        <w:t>”的文件，是否接受电子备份投标文件</w:t>
      </w:r>
      <w:r>
        <w:rPr>
          <w:rFonts w:hint="eastAsia" w:hAnsi="宋体"/>
          <w:bCs/>
          <w:color w:val="000000" w:themeColor="text1"/>
          <w:szCs w:val="21"/>
          <w:highlight w:val="none"/>
          <w14:textFill>
            <w14:solidFill>
              <w14:schemeClr w14:val="tx1"/>
            </w14:solidFill>
          </w14:textFill>
        </w:rPr>
        <w:t>详见“投标人须知前附表”。</w:t>
      </w:r>
    </w:p>
    <w:p w14:paraId="07398647">
      <w:pPr>
        <w:pStyle w:val="8"/>
        <w:keepNext w:val="0"/>
        <w:keepLines w:val="0"/>
        <w:numPr>
          <w:ilvl w:val="4"/>
          <w:numId w:val="12"/>
        </w:numPr>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21.投标文件的提交</w:t>
      </w:r>
    </w:p>
    <w:p w14:paraId="3A995F02">
      <w:pPr>
        <w:spacing w:line="360" w:lineRule="auto"/>
        <w:ind w:firstLine="420" w:firstLineChars="200"/>
        <w:rPr>
          <w:rFonts w:hint="eastAsia" w:hAnsi="宋体"/>
          <w:b/>
          <w:color w:val="000000" w:themeColor="text1"/>
          <w:highlight w:val="none"/>
          <w14:textFill>
            <w14:solidFill>
              <w14:schemeClr w14:val="tx1"/>
            </w14:solidFill>
          </w14:textFill>
        </w:rPr>
      </w:pPr>
      <w:bookmarkStart w:id="125" w:name="_21.1投标人必须在“投标人须知中的前附表”规定的投标文件接收时间和投"/>
      <w:bookmarkEnd w:id="125"/>
      <w:r>
        <w:rPr>
          <w:rFonts w:hAnsi="宋体"/>
          <w:bCs/>
          <w:color w:val="000000" w:themeColor="text1"/>
          <w:szCs w:val="21"/>
          <w:highlight w:val="none"/>
          <w14:textFill>
            <w14:solidFill>
              <w14:schemeClr w14:val="tx1"/>
            </w14:solidFill>
          </w14:textFill>
        </w:rPr>
        <w:t>21.1</w:t>
      </w:r>
      <w:r>
        <w:rPr>
          <w:rFonts w:hint="eastAsia" w:hAnsi="宋体"/>
          <w:bCs/>
          <w:color w:val="000000" w:themeColor="text1"/>
          <w:szCs w:val="21"/>
          <w:highlight w:val="none"/>
          <w14:textFill>
            <w14:solidFill>
              <w14:schemeClr w14:val="tx1"/>
            </w14:solidFill>
          </w14:textFill>
        </w:rPr>
        <w:t>投标人必须在“投标人须知前附表”规定的</w:t>
      </w:r>
      <w:r>
        <w:rPr>
          <w:rFonts w:hint="eastAsia" w:ascii="宋体" w:hAnsi="宋体"/>
          <w:color w:val="000000" w:themeColor="text1"/>
          <w:szCs w:val="21"/>
          <w:highlight w:val="none"/>
          <w14:textFill>
            <w14:solidFill>
              <w14:schemeClr w14:val="tx1"/>
            </w14:solidFill>
          </w14:textFill>
        </w:rPr>
        <w:t>提交投标文件截止时间前将</w:t>
      </w:r>
      <w:r>
        <w:rPr>
          <w:rFonts w:hint="eastAsia" w:hAnsi="宋体"/>
          <w:bCs/>
          <w:color w:val="000000" w:themeColor="text1"/>
          <w:szCs w:val="21"/>
          <w:highlight w:val="none"/>
          <w14:textFill>
            <w14:solidFill>
              <w14:schemeClr w14:val="tx1"/>
            </w14:solidFill>
          </w14:textFill>
        </w:rPr>
        <w:t>电子投标文件提交至投标地点。电子投标文件应在制作完成后，在投标截止时间前通过有效数字证书（</w:t>
      </w:r>
      <w:r>
        <w:rPr>
          <w:rFonts w:hAnsi="宋体"/>
          <w:bCs/>
          <w:color w:val="000000" w:themeColor="text1"/>
          <w:szCs w:val="21"/>
          <w:highlight w:val="none"/>
          <w14:textFill>
            <w14:solidFill>
              <w14:schemeClr w14:val="tx1"/>
            </w14:solidFill>
          </w14:textFill>
        </w:rPr>
        <w:t>CA</w:t>
      </w:r>
      <w:r>
        <w:rPr>
          <w:rFonts w:hint="eastAsia" w:hAnsi="宋体"/>
          <w:bCs/>
          <w:color w:val="000000" w:themeColor="text1"/>
          <w:szCs w:val="21"/>
          <w:highlight w:val="none"/>
          <w14:textFill>
            <w14:solidFill>
              <w14:schemeClr w14:val="tx1"/>
            </w14:solidFill>
          </w14:textFill>
        </w:rPr>
        <w:t>认证锁）进行电子签章、加密，然后通过网络将加密的电子投标文件递交至</w:t>
      </w:r>
      <w:r>
        <w:rPr>
          <w:rFonts w:hint="eastAsia" w:ascii="宋体" w:hAnsi="宋体"/>
          <w:b/>
          <w:color w:val="000000" w:themeColor="text1"/>
          <w:szCs w:val="21"/>
          <w:highlight w:val="none"/>
          <w14:textFill>
            <w14:solidFill>
              <w14:schemeClr w14:val="tx1"/>
            </w14:solidFill>
          </w14:textFill>
        </w:rPr>
        <w:t>广西政府采购云平台</w:t>
      </w:r>
      <w:r>
        <w:rPr>
          <w:rFonts w:hint="eastAsia" w:hAnsi="宋体"/>
          <w:bCs/>
          <w:color w:val="000000" w:themeColor="text1"/>
          <w:szCs w:val="21"/>
          <w:highlight w:val="none"/>
          <w14:textFill>
            <w14:solidFill>
              <w14:schemeClr w14:val="tx1"/>
            </w14:solidFill>
          </w14:textFill>
        </w:rPr>
        <w:t>。</w:t>
      </w:r>
      <w:r>
        <w:rPr>
          <w:rFonts w:hAnsi="宋体"/>
          <w:bCs/>
          <w:color w:val="000000" w:themeColor="text1"/>
          <w:szCs w:val="21"/>
          <w:highlight w:val="none"/>
          <w14:textFill>
            <w14:solidFill>
              <w14:schemeClr w14:val="tx1"/>
            </w14:solidFill>
          </w14:textFill>
        </w:rPr>
        <w:t xml:space="preserve"> </w:t>
      </w:r>
      <w:r>
        <w:rPr>
          <w:rFonts w:hAnsi="宋体"/>
          <w:b/>
          <w:color w:val="000000" w:themeColor="text1"/>
          <w:highlight w:val="none"/>
          <w14:textFill>
            <w14:solidFill>
              <w14:schemeClr w14:val="tx1"/>
            </w14:solidFill>
          </w14:textFill>
        </w:rPr>
        <w:t xml:space="preserve"> </w:t>
      </w:r>
    </w:p>
    <w:p w14:paraId="5498939D">
      <w:pPr>
        <w:spacing w:line="360" w:lineRule="auto"/>
        <w:ind w:firstLine="422" w:firstLineChars="200"/>
        <w:rPr>
          <w:rFonts w:ascii="宋体" w:hAnsi="宋体"/>
          <w:b/>
          <w:color w:val="000000" w:themeColor="text1"/>
          <w:szCs w:val="20"/>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21.2未在规定时间内提交或者未按照招标文件要求加密的电子投标文件，广西政府采购云平台将拒收。</w:t>
      </w:r>
    </w:p>
    <w:p w14:paraId="23540C57">
      <w:pPr>
        <w:pStyle w:val="8"/>
        <w:keepNext w:val="0"/>
        <w:keepLines w:val="0"/>
        <w:numPr>
          <w:ilvl w:val="4"/>
          <w:numId w:val="12"/>
        </w:numPr>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22. 投标文件的补充、修改、撤回与退回</w:t>
      </w:r>
    </w:p>
    <w:p w14:paraId="0ACE854E">
      <w:pPr>
        <w:snapToGrid w:val="0"/>
        <w:spacing w:line="360" w:lineRule="auto"/>
        <w:ind w:firstLine="420"/>
        <w:jc w:val="left"/>
        <w:rPr>
          <w:rFonts w:hint="eastAsia" w:ascii="宋体" w:hAnsi="宋体"/>
          <w:color w:val="000000" w:themeColor="text1"/>
          <w:szCs w:val="21"/>
          <w:highlight w:val="none"/>
          <w14:textFill>
            <w14:solidFill>
              <w14:schemeClr w14:val="tx1"/>
            </w14:solidFill>
          </w14:textFill>
        </w:rPr>
      </w:pPr>
      <w:bookmarkStart w:id="126" w:name="_Toc254970684"/>
      <w:bookmarkStart w:id="127" w:name="_Toc254970543"/>
      <w:r>
        <w:rPr>
          <w:rFonts w:hint="eastAsia" w:ascii="宋体" w:hAnsi="宋体" w:cs="宋体"/>
          <w:color w:val="000000" w:themeColor="text1"/>
          <w:szCs w:val="21"/>
          <w:highlight w:val="none"/>
          <w14:textFill>
            <w14:solidFill>
              <w14:schemeClr w14:val="tx1"/>
            </w14:solidFill>
          </w14:textFill>
        </w:rPr>
        <w:t>22.1</w:t>
      </w:r>
      <w:r>
        <w:rPr>
          <w:rFonts w:hint="eastAsia" w:ascii="宋体" w:hAnsi="宋体"/>
          <w:bCs/>
          <w:color w:val="000000" w:themeColor="text1"/>
          <w:szCs w:val="21"/>
          <w:highlight w:val="none"/>
          <w14:textFill>
            <w14:solidFill>
              <w14:schemeClr w14:val="tx1"/>
            </w14:solidFill>
          </w14:textFill>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Pr>
          <w:rFonts w:hint="eastAsia" w:ascii="宋体" w:hAnsi="宋体" w:cs="宋体"/>
          <w:color w:val="000000" w:themeColor="text1"/>
          <w:szCs w:val="21"/>
          <w:highlight w:val="none"/>
          <w14:textFill>
            <w14:solidFill>
              <w14:schemeClr w14:val="tx1"/>
            </w14:solidFill>
          </w14:textFill>
        </w:rPr>
        <w:t>（补充、修改或者撤回方式可</w:t>
      </w:r>
      <w:r>
        <w:rPr>
          <w:rFonts w:hint="eastAsia" w:ascii="宋体" w:hAnsi="宋体"/>
          <w:color w:val="000000" w:themeColor="text1"/>
          <w:szCs w:val="21"/>
          <w:highlight w:val="none"/>
          <w14:textFill>
            <w14:solidFill>
              <w14:schemeClr w14:val="tx1"/>
            </w14:solidFill>
          </w14:textFill>
        </w:rPr>
        <w:t>登录</w:t>
      </w:r>
      <w:r>
        <w:rPr>
          <w:rFonts w:hint="eastAsia" w:ascii="宋体" w:hAnsi="宋体" w:cs="宋体"/>
          <w:color w:val="000000" w:themeColor="text1"/>
          <w:kern w:val="0"/>
          <w:szCs w:val="21"/>
          <w:highlight w:val="none"/>
          <w14:textFill>
            <w14:solidFill>
              <w14:schemeClr w14:val="tx1"/>
            </w14:solidFill>
          </w14:textFill>
        </w:rPr>
        <w:t>广西政府采购云平台，</w:t>
      </w:r>
      <w:r>
        <w:rPr>
          <w:rFonts w:hint="eastAsia" w:ascii="宋体" w:hAnsi="宋体"/>
          <w:color w:val="000000" w:themeColor="text1"/>
          <w:szCs w:val="21"/>
          <w:highlight w:val="none"/>
          <w14:textFill>
            <w14:solidFill>
              <w14:schemeClr w14:val="tx1"/>
            </w14:solidFill>
          </w14:textFill>
        </w:rPr>
        <w:t>依次进入“服务中心”中查看</w:t>
      </w:r>
      <w:r>
        <w:rPr>
          <w:rFonts w:hint="eastAsia" w:ascii="宋体" w:hAnsi="宋体" w:cs="宋体"/>
          <w:color w:val="000000" w:themeColor="text1"/>
          <w:szCs w:val="21"/>
          <w:highlight w:val="none"/>
          <w14:textFill>
            <w14:solidFill>
              <w14:schemeClr w14:val="tx1"/>
            </w14:solidFill>
          </w14:textFill>
        </w:rPr>
        <w:t xml:space="preserve"> “电子投标文件制作与投送教程”）</w:t>
      </w:r>
    </w:p>
    <w:bookmarkEnd w:id="126"/>
    <w:bookmarkEnd w:id="127"/>
    <w:p w14:paraId="44E4F415">
      <w:pPr>
        <w:pStyle w:val="128"/>
        <w:spacing w:before="0"/>
        <w:ind w:firstLine="42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22.2“广西政府采购云平台收到投标文件后向供应商发出确认回执通知。在投标截止时间前，除供应商补充、修改或者撤回投标文件外，任何单位和个人不得解密或提取投标文件。</w:t>
      </w:r>
    </w:p>
    <w:p w14:paraId="69A4F410">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22.3在投标截止时间后，采购人和采购代理机构对已提交的投标文件概不退回。</w:t>
      </w:r>
    </w:p>
    <w:p w14:paraId="245ED6A5">
      <w:pPr>
        <w:pStyle w:val="6"/>
        <w:keepNext w:val="0"/>
        <w:keepLines w:val="0"/>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四、开    标</w:t>
      </w:r>
      <w:bookmarkEnd w:id="122"/>
      <w:bookmarkEnd w:id="123"/>
    </w:p>
    <w:p w14:paraId="02A9FF65">
      <w:pPr>
        <w:pStyle w:val="8"/>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bookmarkStart w:id="128" w:name="_23.开标时间和地点"/>
      <w:bookmarkEnd w:id="128"/>
      <w:r>
        <w:rPr>
          <w:rFonts w:hint="eastAsia" w:ascii="黑体" w:hAnsi="黑体" w:eastAsia="黑体"/>
          <w:color w:val="000000" w:themeColor="text1"/>
          <w:sz w:val="24"/>
          <w:highlight w:val="none"/>
          <w14:textFill>
            <w14:solidFill>
              <w14:schemeClr w14:val="tx1"/>
            </w14:solidFill>
          </w14:textFill>
        </w:rPr>
        <w:t>23.开标时间和地点</w:t>
      </w:r>
    </w:p>
    <w:p w14:paraId="321FACFD">
      <w:pPr>
        <w:spacing w:line="360" w:lineRule="auto"/>
        <w:ind w:firstLine="420" w:firstLineChars="200"/>
        <w:rPr>
          <w:rFonts w:hint="eastAsia"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开标时间及地点详见“投标人须知前附表”</w:t>
      </w:r>
    </w:p>
    <w:p w14:paraId="13DCD472">
      <w:pPr>
        <w:pStyle w:val="8"/>
        <w:keepNext w:val="0"/>
        <w:keepLines w:val="0"/>
        <w:spacing w:before="0" w:after="0" w:line="360" w:lineRule="auto"/>
        <w:ind w:left="420" w:leftChars="200"/>
        <w:rPr>
          <w:rFonts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24.开标程序</w:t>
      </w:r>
    </w:p>
    <w:p w14:paraId="3A2A89B2">
      <w:pPr>
        <w:pStyle w:val="9"/>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24.1</w:t>
      </w:r>
      <w:r>
        <w:rPr>
          <w:rFonts w:hint="eastAsia"/>
          <w:color w:val="000000" w:themeColor="text1"/>
          <w:highlight w:val="none"/>
          <w14:textFill>
            <w14:solidFill>
              <w14:schemeClr w14:val="tx1"/>
            </w14:solidFill>
          </w14:textFill>
        </w:rPr>
        <w:t>提交投标文件截止时间止，投标人不足</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家的，不得开标。</w:t>
      </w:r>
    </w:p>
    <w:p w14:paraId="25E70307">
      <w:pPr>
        <w:pStyle w:val="9"/>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24.2</w:t>
      </w:r>
      <w:r>
        <w:rPr>
          <w:rFonts w:hint="eastAsia"/>
          <w:color w:val="000000" w:themeColor="text1"/>
          <w:highlight w:val="none"/>
          <w14:textFill>
            <w14:solidFill>
              <w14:schemeClr w14:val="tx1"/>
            </w14:solidFill>
          </w14:textFill>
        </w:rPr>
        <w:t>采购代理机构将按照招标文件规定的时间通过广西政府采购云平台组织线上开标活动，所有供应商均应当准时在线参加，投标人因未在线参加开标而导致投标文件无法按时解密等一切后果由投标人自己承担。</w:t>
      </w:r>
    </w:p>
    <w:p w14:paraId="4059E9F3">
      <w:pPr>
        <w:pStyle w:val="9"/>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24.3</w:t>
      </w:r>
      <w:r>
        <w:rPr>
          <w:rFonts w:hint="eastAsia"/>
          <w:color w:val="000000" w:themeColor="text1"/>
          <w:highlight w:val="none"/>
          <w14:textFill>
            <w14:solidFill>
              <w14:schemeClr w14:val="tx1"/>
            </w14:solidFill>
          </w14:textFill>
        </w:rPr>
        <w:t>开标程序</w:t>
      </w:r>
    </w:p>
    <w:p w14:paraId="258426E5">
      <w:pPr>
        <w:pStyle w:val="9"/>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）解密电子投标文件。“广西政府采购云平台按开标时间自动提取所有投标文件。采购代理机构依托广西政府采购云平台向各投标人发出电子加密投标文件【开始解密】通知，由投标人按</w:t>
      </w:r>
      <w:r>
        <w:rPr>
          <w:rFonts w:hint="eastAsia" w:hAnsi="宋体"/>
          <w:bCs/>
          <w:color w:val="000000" w:themeColor="text1"/>
          <w:szCs w:val="21"/>
          <w:highlight w:val="none"/>
          <w14:textFill>
            <w14:solidFill>
              <w14:schemeClr w14:val="tx1"/>
            </w14:solidFill>
          </w14:textFill>
        </w:rPr>
        <w:t>“投标人须知前附表”</w:t>
      </w:r>
      <w:r>
        <w:rPr>
          <w:rFonts w:hint="eastAsia"/>
          <w:color w:val="000000" w:themeColor="text1"/>
          <w:highlight w:val="none"/>
          <w14:textFill>
            <w14:solidFill>
              <w14:schemeClr w14:val="tx1"/>
            </w14:solidFill>
          </w14:textFill>
        </w:rPr>
        <w:t>规定的时间内自行进行投标文件解密。投标人的法定代表人或其委托代理人须凭加密时所用的</w:t>
      </w:r>
      <w:r>
        <w:rPr>
          <w:color w:val="000000" w:themeColor="text1"/>
          <w:highlight w:val="none"/>
          <w14:textFill>
            <w14:solidFill>
              <w14:schemeClr w14:val="tx1"/>
            </w14:solidFill>
          </w14:textFill>
        </w:rPr>
        <w:t>CA</w:t>
      </w:r>
      <w:r>
        <w:rPr>
          <w:rFonts w:hint="eastAsia"/>
          <w:color w:val="000000" w:themeColor="text1"/>
          <w:highlight w:val="none"/>
          <w14:textFill>
            <w14:solidFill>
              <w14:schemeClr w14:val="tx1"/>
            </w14:solidFill>
          </w14:textFill>
        </w:rPr>
        <w:t>锁准时登录到广西政府采购云平台电子开标大厅签到并对电子投标文件解密。</w:t>
      </w:r>
      <w:r>
        <w:rPr>
          <w:rFonts w:hint="eastAsia"/>
          <w:b/>
          <w:color w:val="000000" w:themeColor="text1"/>
          <w:highlight w:val="none"/>
          <w14:textFill>
            <w14:solidFill>
              <w14:schemeClr w14:val="tx1"/>
            </w14:solidFill>
          </w14:textFill>
        </w:rPr>
        <w:t>投标人未在规定的时间内解密投标文件或者解密失败的，</w:t>
      </w:r>
      <w:r>
        <w:rPr>
          <w:rFonts w:hint="eastAsia" w:ascii="宋体" w:hAnsi="宋体"/>
          <w:b/>
          <w:color w:val="000000" w:themeColor="text1"/>
          <w:szCs w:val="21"/>
          <w:highlight w:val="none"/>
          <w14:textFill>
            <w14:solidFill>
              <w14:schemeClr w14:val="tx1"/>
            </w14:solidFill>
          </w14:textFill>
        </w:rPr>
        <w:t>投标人的投标文件作无效处理</w:t>
      </w:r>
      <w:r>
        <w:rPr>
          <w:rFonts w:hint="eastAsia"/>
          <w:b/>
          <w:color w:val="000000" w:themeColor="text1"/>
          <w:highlight w:val="none"/>
          <w14:textFill>
            <w14:solidFill>
              <w14:schemeClr w14:val="tx1"/>
            </w14:solidFill>
          </w14:textFill>
        </w:rPr>
        <w:t>。</w:t>
      </w:r>
    </w:p>
    <w:p w14:paraId="0B04C583">
      <w:pPr>
        <w:pStyle w:val="9"/>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）电子唱标。投标文件解密结束，宣布的内容均在广西政府采购云平台远程开标大厅展示，具体详见</w:t>
      </w:r>
      <w:r>
        <w:rPr>
          <w:rFonts w:hint="eastAsia" w:hAnsi="宋体"/>
          <w:bCs/>
          <w:color w:val="000000" w:themeColor="text1"/>
          <w:highlight w:val="none"/>
          <w14:textFill>
            <w14:solidFill>
              <w14:schemeClr w14:val="tx1"/>
            </w14:solidFill>
          </w14:textFill>
        </w:rPr>
        <w:t>“投标人须知前附表”</w:t>
      </w:r>
      <w:r>
        <w:rPr>
          <w:rFonts w:hint="eastAsia"/>
          <w:color w:val="000000" w:themeColor="text1"/>
          <w:highlight w:val="none"/>
          <w14:textFill>
            <w14:solidFill>
              <w14:schemeClr w14:val="tx1"/>
            </w14:solidFill>
          </w14:textFill>
        </w:rPr>
        <w:t>；</w:t>
      </w:r>
    </w:p>
    <w:p w14:paraId="6BFAD637">
      <w:pPr>
        <w:pStyle w:val="9"/>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）开标过程由采购代理机构如实记录，并电子留痕，由参加电子开标的各投标人代表对电子开标记录在开标记录公布后</w:t>
      </w:r>
      <w:r>
        <w:rPr>
          <w:color w:val="000000" w:themeColor="text1"/>
          <w:highlight w:val="none"/>
          <w14:textFill>
            <w14:solidFill>
              <w14:schemeClr w14:val="tx1"/>
            </w14:solidFill>
          </w14:textFill>
        </w:rPr>
        <w:t>15</w:t>
      </w:r>
      <w:r>
        <w:rPr>
          <w:rFonts w:hint="eastAsia"/>
          <w:color w:val="000000" w:themeColor="text1"/>
          <w:highlight w:val="none"/>
          <w14:textFill>
            <w14:solidFill>
              <w14:schemeClr w14:val="tx1"/>
            </w14:solidFill>
          </w14:textFill>
        </w:rPr>
        <w:t>分钟内进行当场校核及勘误，并线上确认是否有异议，未确认的视同认可开标结果。</w:t>
      </w:r>
    </w:p>
    <w:p w14:paraId="45EDC4C3">
      <w:pPr>
        <w:pStyle w:val="9"/>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417C8CEC">
      <w:pPr>
        <w:pStyle w:val="9"/>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5</w:t>
      </w:r>
      <w:r>
        <w:rPr>
          <w:rFonts w:hint="eastAsia"/>
          <w:color w:val="000000" w:themeColor="text1"/>
          <w:szCs w:val="21"/>
          <w:highlight w:val="none"/>
          <w14:textFill>
            <w14:solidFill>
              <w14:schemeClr w14:val="tx1"/>
            </w14:solidFill>
          </w14:textFill>
        </w:rPr>
        <w:t>）开标结束。</w:t>
      </w:r>
    </w:p>
    <w:p w14:paraId="2D5A5B90">
      <w:pPr>
        <w:pStyle w:val="27"/>
        <w:snapToGrid w:val="0"/>
        <w:spacing w:line="360" w:lineRule="auto"/>
        <w:ind w:firstLine="420" w:firstLineChars="200"/>
        <w:rPr>
          <w:rFonts w:hAnsi="宋体"/>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特别说明：如遇广西政府采购云平台电子化开标或评审程序调整的，按调整后执行。</w:t>
      </w:r>
    </w:p>
    <w:p w14:paraId="468C3748">
      <w:pPr>
        <w:pStyle w:val="27"/>
        <w:snapToGrid w:val="0"/>
        <w:spacing w:line="360" w:lineRule="auto"/>
        <w:ind w:left="689" w:leftChars="228" w:hanging="210" w:hangingChars="100"/>
        <w:rPr>
          <w:rFonts w:hint="eastAsia" w:hAnsi="宋体"/>
          <w:color w:val="000000" w:themeColor="text1"/>
          <w:sz w:val="21"/>
          <w:highlight w:val="none"/>
          <w14:textFill>
            <w14:solidFill>
              <w14:schemeClr w14:val="tx1"/>
            </w14:solidFill>
          </w14:textFill>
        </w:rPr>
      </w:pPr>
    </w:p>
    <w:p w14:paraId="1CAAFD1F">
      <w:pPr>
        <w:pStyle w:val="6"/>
        <w:keepNext w:val="0"/>
        <w:keepLines w:val="0"/>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五、资格审查</w:t>
      </w:r>
    </w:p>
    <w:p w14:paraId="6503ED92">
      <w:pPr>
        <w:pStyle w:val="8"/>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25.资格审查</w:t>
      </w:r>
    </w:p>
    <w:p w14:paraId="6028098A">
      <w:pPr>
        <w:pStyle w:val="8"/>
        <w:keepNext w:val="0"/>
        <w:keepLines w:val="0"/>
        <w:spacing w:before="0" w:after="0" w:line="360" w:lineRule="auto"/>
        <w:ind w:firstLine="315" w:firstLineChars="15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 xml:space="preserve"> 25.1</w:t>
      </w:r>
      <w:r>
        <w:rPr>
          <w:rFonts w:ascii="宋体" w:hAnsi="宋体"/>
          <w:b w:val="0"/>
          <w:color w:val="000000" w:themeColor="text1"/>
          <w:sz w:val="21"/>
          <w:szCs w:val="21"/>
          <w:highlight w:val="none"/>
          <w14:textFill>
            <w14:solidFill>
              <w14:schemeClr w14:val="tx1"/>
            </w14:solidFill>
          </w14:textFill>
        </w:rPr>
        <w:t>开标结束后，</w:t>
      </w:r>
      <w:r>
        <w:rPr>
          <w:rFonts w:hint="eastAsia" w:ascii="宋体" w:hAnsi="宋体"/>
          <w:b w:val="0"/>
          <w:color w:val="000000" w:themeColor="text1"/>
          <w:sz w:val="21"/>
          <w:szCs w:val="21"/>
          <w:highlight w:val="none"/>
          <w14:textFill>
            <w14:solidFill>
              <w14:schemeClr w14:val="tx1"/>
            </w14:solidFill>
          </w14:textFill>
        </w:rPr>
        <w:t>采购人或者采购代理机构通过电子开评标系统依据招标文件对电子投标文件进行线上资格审查</w:t>
      </w:r>
      <w:r>
        <w:rPr>
          <w:rFonts w:ascii="宋体" w:hAnsi="宋体"/>
          <w:b w:val="0"/>
          <w:color w:val="000000" w:themeColor="text1"/>
          <w:sz w:val="21"/>
          <w:szCs w:val="21"/>
          <w:highlight w:val="none"/>
          <w14:textFill>
            <w14:solidFill>
              <w14:schemeClr w14:val="tx1"/>
            </w14:solidFill>
          </w14:textFill>
        </w:rPr>
        <w:t>。</w:t>
      </w:r>
    </w:p>
    <w:p w14:paraId="57C21F3F">
      <w:pPr>
        <w:pStyle w:val="8"/>
        <w:keepNext w:val="0"/>
        <w:keepLines w:val="0"/>
        <w:spacing w:before="0" w:after="0" w:line="360" w:lineRule="auto"/>
        <w:ind w:firstLine="315" w:firstLineChars="15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 xml:space="preserve"> 25.2资格审查标准为本招标文件中载明对投标人资格要求的条件。本项目资格审查采用合格制，凡符合招标文件规定的投标人资格要求的投标人均通过资格审查。</w:t>
      </w:r>
    </w:p>
    <w:p w14:paraId="70137BFF">
      <w:pPr>
        <w:pStyle w:val="8"/>
        <w:keepNext w:val="0"/>
        <w:keepLines w:val="0"/>
        <w:numPr>
          <w:ilvl w:val="0"/>
          <w:numId w:val="0"/>
        </w:numPr>
        <w:spacing w:before="0" w:after="0" w:line="360" w:lineRule="auto"/>
        <w:ind w:firstLine="422" w:firstLineChars="200"/>
        <w:rPr>
          <w:rFonts w:hint="eastAsia" w:ascii="宋体" w:hAnsi="宋体"/>
          <w:color w:val="000000" w:themeColor="text1"/>
          <w:sz w:val="21"/>
          <w:szCs w:val="21"/>
          <w:highlight w:val="none"/>
          <w14:textFill>
            <w14:solidFill>
              <w14:schemeClr w14:val="tx1"/>
            </w14:solidFill>
          </w14:textFill>
        </w:rPr>
      </w:pPr>
      <w:bookmarkStart w:id="129" w:name="_25.3_投标人有下列情形之一的，资格审查不通过而导致其投标无效："/>
      <w:bookmarkEnd w:id="129"/>
      <w:r>
        <w:rPr>
          <w:rFonts w:hint="eastAsia" w:ascii="宋体" w:hAnsi="宋体"/>
          <w:color w:val="000000" w:themeColor="text1"/>
          <w:sz w:val="21"/>
          <w:szCs w:val="21"/>
          <w:highlight w:val="none"/>
          <w14:textFill>
            <w14:solidFill>
              <w14:schemeClr w14:val="tx1"/>
            </w14:solidFill>
          </w14:textFill>
        </w:rPr>
        <w:t>25.3 投标人有下列情形之一的，资格审查不通过，作无效投标处理：</w:t>
      </w:r>
    </w:p>
    <w:p w14:paraId="4D199040">
      <w:pPr>
        <w:pStyle w:val="27"/>
        <w:snapToGrid w:val="0"/>
        <w:spacing w:line="360" w:lineRule="auto"/>
        <w:ind w:firstLine="422" w:firstLineChars="200"/>
        <w:rPr>
          <w:rFonts w:hAnsi="宋体"/>
          <w:b/>
          <w:color w:val="000000" w:themeColor="text1"/>
          <w:sz w:val="21"/>
          <w:highlight w:val="none"/>
          <w14:textFill>
            <w14:solidFill>
              <w14:schemeClr w14:val="tx1"/>
            </w14:solidFill>
          </w14:textFill>
        </w:rPr>
      </w:pPr>
      <w:r>
        <w:rPr>
          <w:rFonts w:hint="eastAsia" w:hAnsi="宋体"/>
          <w:b/>
          <w:color w:val="000000" w:themeColor="text1"/>
          <w:sz w:val="21"/>
          <w:highlight w:val="none"/>
          <w14:textFill>
            <w14:solidFill>
              <w14:schemeClr w14:val="tx1"/>
            </w14:solidFill>
          </w14:textFill>
        </w:rPr>
        <w:t>（1）不具备招标文件中规定的资格要求的；</w:t>
      </w:r>
    </w:p>
    <w:p w14:paraId="4FCDC275">
      <w:pPr>
        <w:pStyle w:val="27"/>
        <w:snapToGrid w:val="0"/>
        <w:spacing w:line="360" w:lineRule="auto"/>
        <w:ind w:firstLine="422" w:firstLineChars="200"/>
        <w:rPr>
          <w:rFonts w:hAnsi="宋体"/>
          <w:b/>
          <w:color w:val="000000" w:themeColor="text1"/>
          <w:sz w:val="21"/>
          <w:highlight w:val="none"/>
          <w14:textFill>
            <w14:solidFill>
              <w14:schemeClr w14:val="tx1"/>
            </w14:solidFill>
          </w14:textFill>
        </w:rPr>
      </w:pPr>
      <w:r>
        <w:rPr>
          <w:rFonts w:hint="eastAsia" w:hAnsi="宋体"/>
          <w:b/>
          <w:color w:val="000000" w:themeColor="text1"/>
          <w:sz w:val="21"/>
          <w:highlight w:val="none"/>
          <w14:textFill>
            <w14:solidFill>
              <w14:schemeClr w14:val="tx1"/>
            </w14:solidFill>
          </w14:textFill>
        </w:rPr>
        <w:t>（2）在“</w:t>
      </w:r>
      <w:r>
        <w:rPr>
          <w:rFonts w:hint="eastAsia" w:hAnsi="宋体"/>
          <w:b/>
          <w:color w:val="000000" w:themeColor="text1"/>
          <w:sz w:val="21"/>
          <w:highlight w:val="none"/>
          <w:lang w:eastAsia="zh-CN"/>
          <w14:textFill>
            <w14:solidFill>
              <w14:schemeClr w14:val="tx1"/>
            </w14:solidFill>
          </w14:textFill>
        </w:rPr>
        <w:t>信用中国”网站（https://www.creditchina.gov.cn）</w:t>
      </w:r>
      <w:r>
        <w:rPr>
          <w:rFonts w:hint="eastAsia" w:hAnsi="宋体"/>
          <w:b/>
          <w:color w:val="000000" w:themeColor="text1"/>
          <w:sz w:val="21"/>
          <w:highlight w:val="none"/>
          <w14:textFill>
            <w14:solidFill>
              <w14:schemeClr w14:val="tx1"/>
            </w14:solidFill>
          </w14:textFill>
        </w:rPr>
        <w:t>、</w:t>
      </w:r>
      <w:r>
        <w:rPr>
          <w:rFonts w:hint="eastAsia" w:hAnsi="宋体"/>
          <w:b/>
          <w:color w:val="000000" w:themeColor="text1"/>
          <w:sz w:val="21"/>
          <w:highlight w:val="none"/>
          <w:lang w:eastAsia="zh-CN"/>
          <w14:textFill>
            <w14:solidFill>
              <w14:schemeClr w14:val="tx1"/>
            </w14:solidFill>
          </w14:textFill>
        </w:rPr>
        <w:t>中国政府采购网（https://www.ccgp.gov.cn）</w:t>
      </w:r>
      <w:r>
        <w:rPr>
          <w:rFonts w:hint="eastAsia" w:hAnsi="宋体"/>
          <w:b/>
          <w:color w:val="000000" w:themeColor="text1"/>
          <w:sz w:val="21"/>
          <w:highlight w:val="none"/>
          <w14:textFill>
            <w14:solidFill>
              <w14:schemeClr w14:val="tx1"/>
            </w14:solidFill>
          </w14:textFill>
        </w:rPr>
        <w:t>被列入失信被执行人、重大税收违法失信主体、政府采购严重违法失信行为记录名单及其他不符合《中华人民共和国政府采购法》第二十二条规定条件的；（注：其中信用查询规则见“投标人须知前附表”）</w:t>
      </w:r>
    </w:p>
    <w:p w14:paraId="2253995F">
      <w:pPr>
        <w:pStyle w:val="27"/>
        <w:snapToGrid w:val="0"/>
        <w:spacing w:line="360" w:lineRule="auto"/>
        <w:ind w:firstLine="422" w:firstLineChars="200"/>
        <w:rPr>
          <w:rFonts w:hint="eastAsia" w:hAnsi="宋体"/>
          <w:b/>
          <w:color w:val="000000" w:themeColor="text1"/>
          <w:sz w:val="21"/>
          <w:highlight w:val="none"/>
          <w14:textFill>
            <w14:solidFill>
              <w14:schemeClr w14:val="tx1"/>
            </w14:solidFill>
          </w14:textFill>
        </w:rPr>
      </w:pPr>
      <w:r>
        <w:rPr>
          <w:rFonts w:hint="eastAsia" w:hAnsi="宋体"/>
          <w:b/>
          <w:color w:val="000000" w:themeColor="text1"/>
          <w:sz w:val="21"/>
          <w:highlight w:val="none"/>
          <w14:textFill>
            <w14:solidFill>
              <w14:schemeClr w14:val="tx1"/>
            </w14:solidFill>
          </w14:textFill>
        </w:rPr>
        <w:t>（3）同一合同项下的不同投标人，单位负责人为同一人或者存在直接控股、管理关系的；为本项目提供过整体设计、规范编制或者项目管理、监理、检测等服务的供应商，再参加该采购项目的其他采购活动的；</w:t>
      </w:r>
    </w:p>
    <w:p w14:paraId="797B396B">
      <w:pPr>
        <w:pStyle w:val="27"/>
        <w:snapToGrid w:val="0"/>
        <w:spacing w:line="360" w:lineRule="auto"/>
        <w:ind w:firstLine="422" w:firstLineChars="200"/>
        <w:rPr>
          <w:rFonts w:hint="eastAsia" w:hAnsi="宋体"/>
          <w:b/>
          <w:color w:val="000000" w:themeColor="text1"/>
          <w:sz w:val="21"/>
          <w:highlight w:val="none"/>
          <w14:textFill>
            <w14:solidFill>
              <w14:schemeClr w14:val="tx1"/>
            </w14:solidFill>
          </w14:textFill>
        </w:rPr>
      </w:pPr>
      <w:r>
        <w:rPr>
          <w:rFonts w:hint="eastAsia" w:hAnsi="宋体"/>
          <w:b/>
          <w:color w:val="000000" w:themeColor="text1"/>
          <w:sz w:val="21"/>
          <w:highlight w:val="none"/>
          <w14:textFill>
            <w14:solidFill>
              <w14:schemeClr w14:val="tx1"/>
            </w14:solidFill>
          </w14:textFill>
        </w:rPr>
        <w:t>（4）投标文件中的资格证明文件缺少任一项“投标人须知前附表”资格证明文件规定“必须提供”的文件资料的；</w:t>
      </w:r>
    </w:p>
    <w:p w14:paraId="0C470E92">
      <w:pPr>
        <w:pStyle w:val="27"/>
        <w:snapToGrid w:val="0"/>
        <w:spacing w:line="360" w:lineRule="auto"/>
        <w:ind w:firstLine="422" w:firstLineChars="200"/>
        <w:rPr>
          <w:rFonts w:hint="eastAsia" w:hAnsi="宋体"/>
          <w:b/>
          <w:color w:val="000000" w:themeColor="text1"/>
          <w:sz w:val="21"/>
          <w:highlight w:val="none"/>
          <w14:textFill>
            <w14:solidFill>
              <w14:schemeClr w14:val="tx1"/>
            </w14:solidFill>
          </w14:textFill>
        </w:rPr>
      </w:pPr>
      <w:r>
        <w:rPr>
          <w:rFonts w:hint="eastAsia" w:hAnsi="宋体"/>
          <w:b/>
          <w:color w:val="000000" w:themeColor="text1"/>
          <w:sz w:val="21"/>
          <w:highlight w:val="none"/>
          <w14:textFill>
            <w14:solidFill>
              <w14:schemeClr w14:val="tx1"/>
            </w14:solidFill>
          </w14:textFill>
        </w:rPr>
        <w:t>（5）投标文件中的资格证明文件出现任一项不符合“投标人须知前附表”资格证明文件规定“必须提供”的文件资料要求或者无效的。</w:t>
      </w:r>
    </w:p>
    <w:p w14:paraId="1F7E7E73">
      <w:pPr>
        <w:pStyle w:val="8"/>
        <w:keepNext w:val="0"/>
        <w:keepLines w:val="0"/>
        <w:spacing w:before="0" w:after="0" w:line="360" w:lineRule="auto"/>
        <w:ind w:left="420" w:leftChars="20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25.4</w:t>
      </w:r>
      <w:r>
        <w:rPr>
          <w:rFonts w:ascii="宋体" w:hAnsi="宋体"/>
          <w:color w:val="000000" w:themeColor="text1"/>
          <w:sz w:val="21"/>
          <w:szCs w:val="21"/>
          <w:highlight w:val="none"/>
          <w14:textFill>
            <w14:solidFill>
              <w14:schemeClr w14:val="tx1"/>
            </w14:solidFill>
          </w14:textFill>
        </w:rPr>
        <w:t>合格投标人不足3家的，不得评标。</w:t>
      </w:r>
    </w:p>
    <w:p w14:paraId="4B7E5C1F">
      <w:pPr>
        <w:pStyle w:val="27"/>
        <w:snapToGrid w:val="0"/>
        <w:spacing w:line="360" w:lineRule="auto"/>
        <w:ind w:left="689" w:leftChars="228" w:hanging="210" w:hangingChars="100"/>
        <w:rPr>
          <w:rFonts w:hint="eastAsia" w:hAnsi="宋体"/>
          <w:color w:val="000000" w:themeColor="text1"/>
          <w:sz w:val="21"/>
          <w:highlight w:val="none"/>
          <w14:textFill>
            <w14:solidFill>
              <w14:schemeClr w14:val="tx1"/>
            </w14:solidFill>
          </w14:textFill>
        </w:rPr>
      </w:pPr>
    </w:p>
    <w:p w14:paraId="1727DB2E">
      <w:pPr>
        <w:pStyle w:val="6"/>
        <w:keepNext w:val="0"/>
        <w:keepLines w:val="0"/>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六、评   标</w:t>
      </w:r>
    </w:p>
    <w:p w14:paraId="2AA6A0D3">
      <w:pPr>
        <w:pStyle w:val="8"/>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bookmarkStart w:id="130" w:name="_26.组建评标委员会"/>
      <w:bookmarkEnd w:id="130"/>
      <w:r>
        <w:rPr>
          <w:rFonts w:hint="eastAsia" w:ascii="黑体" w:hAnsi="黑体" w:eastAsia="黑体"/>
          <w:color w:val="000000" w:themeColor="text1"/>
          <w:sz w:val="24"/>
          <w:highlight w:val="none"/>
          <w14:textFill>
            <w14:solidFill>
              <w14:schemeClr w14:val="tx1"/>
            </w14:solidFill>
          </w14:textFill>
        </w:rPr>
        <w:t>26.组建评标委员会</w:t>
      </w:r>
    </w:p>
    <w:p w14:paraId="383CDF00">
      <w:pPr>
        <w:pStyle w:val="27"/>
        <w:snapToGrid w:val="0"/>
        <w:spacing w:line="360" w:lineRule="auto"/>
        <w:ind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26.1评标委员会由采购人代表和评审专家组成，具体人数详见“投标人须知前附表”，其中评审专家不得少于成员总数的三分之二。</w:t>
      </w:r>
    </w:p>
    <w:p w14:paraId="239B9A51">
      <w:pPr>
        <w:pStyle w:val="27"/>
        <w:snapToGrid w:val="0"/>
        <w:spacing w:line="360" w:lineRule="auto"/>
        <w:ind w:left="2" w:leftChars="1"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26.2参加过采购项目前期咨询论证的专家，不得参加该采购项目的评审活动。</w:t>
      </w:r>
    </w:p>
    <w:p w14:paraId="18D54D0D">
      <w:pPr>
        <w:pStyle w:val="27"/>
        <w:snapToGrid w:val="0"/>
        <w:spacing w:line="360" w:lineRule="auto"/>
        <w:ind w:left="2" w:leftChars="1"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26.3</w:t>
      </w:r>
      <w:r>
        <w:rPr>
          <w:rFonts w:hint="eastAsia" w:hAnsi="宋体"/>
          <w:bCs/>
          <w:color w:val="000000" w:themeColor="text1"/>
          <w:sz w:val="21"/>
          <w:highlight w:val="none"/>
          <w14:textFill>
            <w14:solidFill>
              <w14:schemeClr w14:val="tx1"/>
            </w14:solidFill>
          </w14:textFill>
        </w:rPr>
        <w:t>采购代理机构应当基于广西政府采购云平台抽（选）取评审专家。</w:t>
      </w:r>
    </w:p>
    <w:p w14:paraId="37497EDF">
      <w:pPr>
        <w:pStyle w:val="8"/>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27.评标的依据</w:t>
      </w:r>
    </w:p>
    <w:p w14:paraId="1A083D77">
      <w:pPr>
        <w:pStyle w:val="27"/>
        <w:snapToGrid w:val="0"/>
        <w:spacing w:line="360" w:lineRule="auto"/>
        <w:ind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评标委员会以</w:t>
      </w:r>
      <w:r>
        <w:rPr>
          <w:rFonts w:hint="eastAsia" w:hAnsi="宋体" w:cs="宋体"/>
          <w:color w:val="000000" w:themeColor="text1"/>
          <w:sz w:val="21"/>
          <w:highlight w:val="none"/>
          <w14:textFill>
            <w14:solidFill>
              <w14:schemeClr w14:val="tx1"/>
            </w14:solidFill>
          </w14:textFill>
        </w:rPr>
        <w:t>“第四章 评标方法和评标标准”</w:t>
      </w:r>
      <w:r>
        <w:rPr>
          <w:rFonts w:hint="eastAsia" w:hAnsi="宋体"/>
          <w:color w:val="000000" w:themeColor="text1"/>
          <w:sz w:val="21"/>
          <w:highlight w:val="none"/>
          <w14:textFill>
            <w14:solidFill>
              <w14:schemeClr w14:val="tx1"/>
            </w14:solidFill>
          </w14:textFill>
        </w:rPr>
        <w:t>为依据对投标文件进行评审，</w:t>
      </w:r>
      <w:r>
        <w:rPr>
          <w:rFonts w:hAnsi="宋体"/>
          <w:color w:val="000000" w:themeColor="text1"/>
          <w:sz w:val="21"/>
          <w:highlight w:val="none"/>
          <w14:textFill>
            <w14:solidFill>
              <w14:schemeClr w14:val="tx1"/>
            </w14:solidFill>
          </w14:textFill>
        </w:rPr>
        <w:t>没有规定的方法、评审因素和标准，不作为评标依据。</w:t>
      </w:r>
    </w:p>
    <w:p w14:paraId="3EF2D577">
      <w:pPr>
        <w:pStyle w:val="8"/>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28.评标原则</w:t>
      </w:r>
    </w:p>
    <w:p w14:paraId="23AEACD2">
      <w:pPr>
        <w:pStyle w:val="27"/>
        <w:snapToGrid w:val="0"/>
        <w:spacing w:line="360" w:lineRule="auto"/>
        <w:ind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5DE6F2B5">
      <w:pPr>
        <w:pStyle w:val="27"/>
        <w:snapToGrid w:val="0"/>
        <w:spacing w:line="360" w:lineRule="auto"/>
        <w:ind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28.2</w:t>
      </w:r>
      <w:bookmarkStart w:id="131" w:name="_28.3评标方法。本项目将按须知前附表规定的评标办法进行评标，具体评标"/>
      <w:bookmarkEnd w:id="131"/>
      <w:r>
        <w:rPr>
          <w:rFonts w:hint="eastAsia" w:hAnsi="宋体"/>
          <w:color w:val="000000" w:themeColor="text1"/>
          <w:sz w:val="21"/>
          <w:highlight w:val="none"/>
          <w14:textFill>
            <w14:solidFill>
              <w14:schemeClr w14:val="tx1"/>
            </w14:solidFill>
          </w14:textFill>
        </w:rPr>
        <w:t>评委表决。评标委员会成员对需要共同认定的事项存在争议的，应当按照少数服从多数的原则作出结论。</w:t>
      </w:r>
    </w:p>
    <w:p w14:paraId="51647AF6">
      <w:pPr>
        <w:pStyle w:val="27"/>
        <w:snapToGrid w:val="0"/>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28.</w:t>
      </w:r>
      <w:r>
        <w:rPr>
          <w:rFonts w:hAnsi="宋体"/>
          <w:color w:val="000000" w:themeColor="text1"/>
          <w:sz w:val="21"/>
          <w:highlight w:val="none"/>
          <w14:textFill>
            <w14:solidFill>
              <w14:schemeClr w14:val="tx1"/>
            </w14:solidFill>
          </w14:textFill>
        </w:rPr>
        <w:t>3</w:t>
      </w:r>
      <w:r>
        <w:rPr>
          <w:rFonts w:hint="eastAsia" w:hAnsi="宋体"/>
          <w:color w:val="000000" w:themeColor="text1"/>
          <w:sz w:val="21"/>
          <w:highlight w:val="none"/>
          <w14:textFill>
            <w14:solidFill>
              <w14:schemeClr w14:val="tx1"/>
            </w14:solidFill>
          </w14:textFill>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2407D4F8">
      <w:pPr>
        <w:pStyle w:val="27"/>
        <w:snapToGrid w:val="0"/>
        <w:spacing w:line="360" w:lineRule="auto"/>
        <w:ind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w:t>
      </w:r>
      <w:r>
        <w:rPr>
          <w:rFonts w:hAnsi="宋体"/>
          <w:color w:val="000000" w:themeColor="text1"/>
          <w:sz w:val="21"/>
          <w:highlight w:val="none"/>
          <w14:textFill>
            <w14:solidFill>
              <w14:schemeClr w14:val="tx1"/>
            </w14:solidFill>
          </w14:textFill>
        </w:rPr>
        <w:t>8.4</w:t>
      </w:r>
      <w:r>
        <w:rPr>
          <w:rFonts w:hint="eastAsia" w:hAnsi="宋体"/>
          <w:color w:val="000000" w:themeColor="text1"/>
          <w:sz w:val="21"/>
          <w:highlight w:val="none"/>
          <w14:textFill>
            <w14:solidFill>
              <w14:schemeClr w14:val="tx1"/>
            </w14:solidFill>
          </w14:textFill>
        </w:rPr>
        <w:t>评标过程的监控。本项目电子评标过程实行网上留痕、全程录音、录像监控，</w:t>
      </w:r>
      <w:r>
        <w:rPr>
          <w:rFonts w:hint="eastAsia" w:hAnsi="宋体"/>
          <w:b/>
          <w:color w:val="000000" w:themeColor="text1"/>
          <w:sz w:val="21"/>
          <w:highlight w:val="none"/>
          <w14:textFill>
            <w14:solidFill>
              <w14:schemeClr w14:val="tx1"/>
            </w14:solidFill>
          </w14:textFill>
        </w:rPr>
        <w:t>投标人在评标过程中所进行的试图影响评标结果的不公正活动，可能导致其投标按无效处理。</w:t>
      </w:r>
    </w:p>
    <w:p w14:paraId="673EC377">
      <w:pPr>
        <w:pStyle w:val="8"/>
        <w:keepNext w:val="0"/>
        <w:keepLines w:val="0"/>
        <w:spacing w:before="0" w:after="0" w:line="360" w:lineRule="auto"/>
        <w:ind w:left="420" w:leftChars="200"/>
        <w:rPr>
          <w:rFonts w:hint="eastAsia" w:ascii="黑体" w:hAnsi="黑体" w:eastAsia="黑体"/>
          <w:color w:val="000000" w:themeColor="text1"/>
          <w:sz w:val="21"/>
          <w:szCs w:val="21"/>
          <w:highlight w:val="none"/>
          <w14:textFill>
            <w14:solidFill>
              <w14:schemeClr w14:val="tx1"/>
            </w14:solidFill>
          </w14:textFill>
        </w:rPr>
      </w:pPr>
      <w:r>
        <w:rPr>
          <w:rFonts w:hint="eastAsia" w:ascii="黑体" w:hAnsi="黑体" w:eastAsia="黑体"/>
          <w:color w:val="000000" w:themeColor="text1"/>
          <w:sz w:val="21"/>
          <w:szCs w:val="21"/>
          <w:highlight w:val="none"/>
          <w14:textFill>
            <w14:solidFill>
              <w14:schemeClr w14:val="tx1"/>
            </w14:solidFill>
          </w14:textFill>
        </w:rPr>
        <w:t>29.评标方法及中标候选人推荐</w:t>
      </w:r>
    </w:p>
    <w:p w14:paraId="233B9560">
      <w:pPr>
        <w:pStyle w:val="27"/>
        <w:snapToGrid w:val="0"/>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w:t>
      </w:r>
      <w:r>
        <w:rPr>
          <w:rFonts w:hAnsi="宋体"/>
          <w:color w:val="000000" w:themeColor="text1"/>
          <w:sz w:val="21"/>
          <w:highlight w:val="none"/>
          <w14:textFill>
            <w14:solidFill>
              <w14:schemeClr w14:val="tx1"/>
            </w14:solidFill>
          </w14:textFill>
        </w:rPr>
        <w:t>9.1</w:t>
      </w:r>
      <w:r>
        <w:rPr>
          <w:rFonts w:hint="eastAsia" w:hAnsi="宋体"/>
          <w:color w:val="000000" w:themeColor="text1"/>
          <w:sz w:val="21"/>
          <w:highlight w:val="none"/>
          <w14:textFill>
            <w14:solidFill>
              <w14:schemeClr w14:val="tx1"/>
            </w14:solidFill>
          </w14:textFill>
        </w:rPr>
        <w:t>本项目的评标方法详见“投标人须知前附表”。</w:t>
      </w:r>
    </w:p>
    <w:p w14:paraId="4926CD12">
      <w:pPr>
        <w:pStyle w:val="27"/>
        <w:snapToGrid w:val="0"/>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w:t>
      </w:r>
      <w:r>
        <w:rPr>
          <w:rFonts w:hAnsi="宋体"/>
          <w:color w:val="000000" w:themeColor="text1"/>
          <w:sz w:val="21"/>
          <w:highlight w:val="none"/>
          <w14:textFill>
            <w14:solidFill>
              <w14:schemeClr w14:val="tx1"/>
            </w14:solidFill>
          </w14:textFill>
        </w:rPr>
        <w:t>9.2</w:t>
      </w:r>
      <w:r>
        <w:rPr>
          <w:rFonts w:hAnsi="宋体" w:cs="宋体"/>
          <w:color w:val="000000" w:themeColor="text1"/>
          <w:sz w:val="21"/>
          <w:highlight w:val="none"/>
          <w14:textFill>
            <w14:solidFill>
              <w14:schemeClr w14:val="tx1"/>
            </w14:solidFill>
          </w14:textFill>
        </w:rPr>
        <w:t xml:space="preserve"> </w:t>
      </w:r>
      <w:r>
        <w:rPr>
          <w:rFonts w:hint="eastAsia" w:hAnsi="宋体" w:cs="宋体"/>
          <w:color w:val="000000" w:themeColor="text1"/>
          <w:sz w:val="21"/>
          <w:highlight w:val="none"/>
          <w14:textFill>
            <w14:solidFill>
              <w14:schemeClr w14:val="tx1"/>
            </w14:solidFill>
          </w14:textFill>
        </w:rPr>
        <w:t>商务/技术要求</w:t>
      </w:r>
      <w:r>
        <w:rPr>
          <w:rFonts w:hint="eastAsia" w:hAnsi="宋体"/>
          <w:color w:val="000000" w:themeColor="text1"/>
          <w:sz w:val="21"/>
          <w:highlight w:val="none"/>
          <w14:textFill>
            <w14:solidFill>
              <w14:schemeClr w14:val="tx1"/>
            </w14:solidFill>
          </w14:textFill>
        </w:rPr>
        <w:t>允许负偏离的条款数</w:t>
      </w:r>
      <w:r>
        <w:rPr>
          <w:rFonts w:hAnsi="宋体"/>
          <w:color w:val="000000" w:themeColor="text1"/>
          <w:sz w:val="21"/>
          <w:highlight w:val="none"/>
          <w14:textFill>
            <w14:solidFill>
              <w14:schemeClr w14:val="tx1"/>
            </w14:solidFill>
          </w14:textFill>
        </w:rPr>
        <w:t>详见</w:t>
      </w:r>
      <w:r>
        <w:rPr>
          <w:rFonts w:hint="eastAsia" w:hAnsi="宋体"/>
          <w:color w:val="000000" w:themeColor="text1"/>
          <w:sz w:val="21"/>
          <w:highlight w:val="none"/>
          <w14:textFill>
            <w14:solidFill>
              <w14:schemeClr w14:val="tx1"/>
            </w14:solidFill>
          </w14:textFill>
        </w:rPr>
        <w:t>“投标人须知前附表”。</w:t>
      </w:r>
    </w:p>
    <w:p w14:paraId="16DF4670">
      <w:pPr>
        <w:pStyle w:val="27"/>
        <w:snapToGrid w:val="0"/>
        <w:spacing w:line="360" w:lineRule="auto"/>
        <w:ind w:firstLine="420" w:firstLineChars="200"/>
        <w:rPr>
          <w:rFonts w:hint="eastAsia" w:hAnsi="宋体" w:cs="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w:t>
      </w:r>
      <w:r>
        <w:rPr>
          <w:rFonts w:hAnsi="宋体"/>
          <w:color w:val="000000" w:themeColor="text1"/>
          <w:sz w:val="21"/>
          <w:highlight w:val="none"/>
          <w14:textFill>
            <w14:solidFill>
              <w14:schemeClr w14:val="tx1"/>
            </w14:solidFill>
          </w14:textFill>
        </w:rPr>
        <w:t>9.3</w:t>
      </w:r>
      <w:r>
        <w:rPr>
          <w:rFonts w:hAnsi="宋体" w:cs="宋体"/>
          <w:color w:val="000000" w:themeColor="text1"/>
          <w:sz w:val="21"/>
          <w:highlight w:val="none"/>
          <w14:textFill>
            <w14:solidFill>
              <w14:schemeClr w14:val="tx1"/>
            </w14:solidFill>
          </w14:textFill>
        </w:rPr>
        <w:t xml:space="preserve"> </w:t>
      </w:r>
      <w:r>
        <w:rPr>
          <w:rFonts w:hAnsi="宋体"/>
          <w:color w:val="000000" w:themeColor="text1"/>
          <w:sz w:val="21"/>
          <w:highlight w:val="none"/>
          <w14:textFill>
            <w14:solidFill>
              <w14:schemeClr w14:val="tx1"/>
            </w14:solidFill>
          </w14:textFill>
        </w:rPr>
        <w:t>中标候选人推荐数量详见</w:t>
      </w:r>
      <w:r>
        <w:rPr>
          <w:rFonts w:hint="eastAsia" w:hAnsi="宋体"/>
          <w:color w:val="000000" w:themeColor="text1"/>
          <w:sz w:val="21"/>
          <w:highlight w:val="none"/>
          <w14:textFill>
            <w14:solidFill>
              <w14:schemeClr w14:val="tx1"/>
            </w14:solidFill>
          </w14:textFill>
        </w:rPr>
        <w:t>“投标人须知前附表”。</w:t>
      </w:r>
    </w:p>
    <w:p w14:paraId="120F425C">
      <w:pPr>
        <w:spacing w:line="360" w:lineRule="auto"/>
        <w:ind w:firstLine="420" w:firstLineChars="200"/>
        <w:rPr>
          <w:rFonts w:hint="eastAsia"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29.</w:t>
      </w:r>
      <w:r>
        <w:rPr>
          <w:rFonts w:hAnsi="宋体"/>
          <w:color w:val="000000" w:themeColor="text1"/>
          <w:szCs w:val="21"/>
          <w:highlight w:val="none"/>
          <w14:textFill>
            <w14:solidFill>
              <w14:schemeClr w14:val="tx1"/>
            </w14:solidFill>
          </w14:textFill>
        </w:rPr>
        <w:t>4</w:t>
      </w:r>
      <w:r>
        <w:rPr>
          <w:rFonts w:hint="eastAsia" w:hAnsi="宋体"/>
          <w:color w:val="000000" w:themeColor="text1"/>
          <w:szCs w:val="21"/>
          <w:highlight w:val="none"/>
          <w14:textFill>
            <w14:solidFill>
              <w14:schemeClr w14:val="tx1"/>
            </w14:solidFill>
          </w14:textFill>
        </w:rPr>
        <w:t xml:space="preserve"> 电子交易活动的中止。采购过程中出现以下情形，导致电子交易平台无法正常运行，或者无法保证电子交易的公平、公正和安全时，采购代理机构可以中止电子交易活动：</w:t>
      </w:r>
    </w:p>
    <w:p w14:paraId="0F9B7219">
      <w:pPr>
        <w:spacing w:line="360" w:lineRule="auto"/>
        <w:ind w:firstLine="420" w:firstLineChars="200"/>
        <w:rPr>
          <w:rFonts w:hint="eastAsia"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 xml:space="preserve">（1）电子交易平台发生故障而无法登录访问的； </w:t>
      </w:r>
    </w:p>
    <w:p w14:paraId="440799CB">
      <w:pPr>
        <w:spacing w:line="360" w:lineRule="auto"/>
        <w:ind w:firstLine="420" w:firstLineChars="200"/>
        <w:rPr>
          <w:rFonts w:hint="eastAsia"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（2）电子交易平台应用或数据库出现错误，不能进行正常操作的；</w:t>
      </w:r>
    </w:p>
    <w:p w14:paraId="0C034B52">
      <w:pPr>
        <w:spacing w:line="360" w:lineRule="auto"/>
        <w:ind w:firstLine="420" w:firstLineChars="200"/>
        <w:rPr>
          <w:rFonts w:hint="eastAsia"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（3）电子交易平台发现严重安全漏洞，有潜在泄密危险的；</w:t>
      </w:r>
    </w:p>
    <w:p w14:paraId="4F193300">
      <w:pPr>
        <w:spacing w:line="360" w:lineRule="auto"/>
        <w:ind w:firstLine="420" w:firstLineChars="200"/>
        <w:rPr>
          <w:rFonts w:hint="eastAsia"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 xml:space="preserve">（4）病毒发作导致不能进行正常操作的； </w:t>
      </w:r>
    </w:p>
    <w:p w14:paraId="69ACB561">
      <w:pPr>
        <w:spacing w:line="360" w:lineRule="auto"/>
        <w:ind w:firstLine="420" w:firstLineChars="200"/>
        <w:rPr>
          <w:rFonts w:hint="eastAsia"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（5）其他无法保证电子交易的公平、公正和安全的情况。</w:t>
      </w:r>
    </w:p>
    <w:p w14:paraId="0E688EA6">
      <w:pPr>
        <w:spacing w:line="360" w:lineRule="auto"/>
        <w:ind w:firstLine="420" w:firstLineChars="200"/>
        <w:rPr>
          <w:rFonts w:hint="eastAsia"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6458D706">
      <w:pPr>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29.5出现下列情形之一的，应予废标：</w:t>
      </w:r>
    </w:p>
    <w:p w14:paraId="1388331F">
      <w:pPr>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（1）符合专业条件的供应商或者对招标文件作实质响应的供应商不足三家的；</w:t>
      </w:r>
    </w:p>
    <w:p w14:paraId="0A0911F7">
      <w:pPr>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（2）出现影响采购公正的违法、违规行为的；</w:t>
      </w:r>
    </w:p>
    <w:p w14:paraId="3B570B06">
      <w:pPr>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（3）投标人的报价均超过了采购预算，采购人不能支付的；</w:t>
      </w:r>
    </w:p>
    <w:p w14:paraId="10C8A735">
      <w:pPr>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（4）因重大变故，采购任务取消的。</w:t>
      </w:r>
    </w:p>
    <w:p w14:paraId="4924FBB4">
      <w:pPr>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废标后，采购人应当将废标理由通知所有投标人。</w:t>
      </w:r>
    </w:p>
    <w:p w14:paraId="5616E1B6">
      <w:pPr>
        <w:pStyle w:val="27"/>
        <w:snapToGrid w:val="0"/>
        <w:spacing w:line="360" w:lineRule="auto"/>
        <w:rPr>
          <w:rFonts w:hint="eastAsia" w:hAnsi="宋体"/>
          <w:color w:val="000000" w:themeColor="text1"/>
          <w:sz w:val="21"/>
          <w:highlight w:val="none"/>
          <w14:textFill>
            <w14:solidFill>
              <w14:schemeClr w14:val="tx1"/>
            </w14:solidFill>
          </w14:textFill>
        </w:rPr>
      </w:pPr>
    </w:p>
    <w:p w14:paraId="53A26460">
      <w:pPr>
        <w:pStyle w:val="6"/>
        <w:keepNext w:val="0"/>
        <w:keepLines w:val="0"/>
        <w:jc w:val="center"/>
        <w:rPr>
          <w:rFonts w:hint="eastAsia"/>
          <w:color w:val="000000" w:themeColor="text1"/>
          <w:highlight w:val="none"/>
          <w14:textFill>
            <w14:solidFill>
              <w14:schemeClr w14:val="tx1"/>
            </w14:solidFill>
          </w14:textFill>
        </w:rPr>
      </w:pPr>
      <w:bookmarkStart w:id="132" w:name="_Toc254970546"/>
      <w:bookmarkStart w:id="133" w:name="_Toc254970687"/>
      <w:r>
        <w:rPr>
          <w:rFonts w:hint="eastAsia"/>
          <w:color w:val="000000" w:themeColor="text1"/>
          <w:highlight w:val="none"/>
          <w14:textFill>
            <w14:solidFill>
              <w14:schemeClr w14:val="tx1"/>
            </w14:solidFill>
          </w14:textFill>
        </w:rPr>
        <w:t>七、</w:t>
      </w:r>
      <w:bookmarkEnd w:id="132"/>
      <w:bookmarkEnd w:id="133"/>
      <w:r>
        <w:rPr>
          <w:rFonts w:hint="eastAsia"/>
          <w:color w:val="000000" w:themeColor="text1"/>
          <w:highlight w:val="none"/>
          <w14:textFill>
            <w14:solidFill>
              <w14:schemeClr w14:val="tx1"/>
            </w14:solidFill>
          </w14:textFill>
        </w:rPr>
        <w:t>中标和合同</w:t>
      </w:r>
    </w:p>
    <w:p w14:paraId="05D8BB04">
      <w:pPr>
        <w:pStyle w:val="8"/>
        <w:keepNext w:val="0"/>
        <w:keepLines w:val="0"/>
        <w:spacing w:before="0" w:after="0" w:line="360" w:lineRule="auto"/>
        <w:ind w:left="420" w:leftChars="200"/>
        <w:rPr>
          <w:rFonts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30</w:t>
      </w:r>
      <w:r>
        <w:rPr>
          <w:rFonts w:ascii="黑体" w:hAnsi="黑体" w:eastAsia="黑体"/>
          <w:color w:val="000000" w:themeColor="text1"/>
          <w:sz w:val="24"/>
          <w:highlight w:val="none"/>
          <w14:textFill>
            <w14:solidFill>
              <w14:schemeClr w14:val="tx1"/>
            </w14:solidFill>
          </w14:textFill>
        </w:rPr>
        <w:t xml:space="preserve"> </w:t>
      </w:r>
      <w:r>
        <w:rPr>
          <w:rFonts w:hint="eastAsia" w:ascii="黑体" w:hAnsi="黑体" w:eastAsia="黑体"/>
          <w:color w:val="000000" w:themeColor="text1"/>
          <w:sz w:val="24"/>
          <w:highlight w:val="none"/>
          <w14:textFill>
            <w14:solidFill>
              <w14:schemeClr w14:val="tx1"/>
            </w14:solidFill>
          </w14:textFill>
        </w:rPr>
        <w:t>.确定中标人</w:t>
      </w:r>
    </w:p>
    <w:p w14:paraId="368ABAA5">
      <w:pPr>
        <w:pStyle w:val="8"/>
        <w:keepNext w:val="0"/>
        <w:keepLines w:val="0"/>
        <w:spacing w:before="0" w:after="0" w:line="360" w:lineRule="auto"/>
        <w:ind w:firstLine="420" w:firstLineChars="200"/>
        <w:rPr>
          <w:rFonts w:hint="eastAsia" w:ascii="宋体" w:hAnsi="宋体"/>
          <w:b w:val="0"/>
          <w:color w:val="000000" w:themeColor="text1"/>
          <w:sz w:val="21"/>
          <w:szCs w:val="21"/>
          <w:highlight w:val="none"/>
          <w14:textFill>
            <w14:solidFill>
              <w14:schemeClr w14:val="tx1"/>
            </w14:solidFill>
          </w14:textFill>
        </w:rPr>
      </w:pPr>
      <w:r>
        <w:rPr>
          <w:rFonts w:ascii="宋体" w:hAnsi="宋体"/>
          <w:b w:val="0"/>
          <w:color w:val="000000" w:themeColor="text1"/>
          <w:sz w:val="21"/>
          <w:szCs w:val="21"/>
          <w:highlight w:val="none"/>
          <w14:textFill>
            <w14:solidFill>
              <w14:schemeClr w14:val="tx1"/>
            </w14:solidFill>
          </w14:textFill>
        </w:rPr>
        <w:t>30.1</w:t>
      </w:r>
      <w:r>
        <w:rPr>
          <w:rFonts w:hint="eastAsia" w:ascii="宋体" w:hAnsi="宋体"/>
          <w:b w:val="0"/>
          <w:color w:val="000000" w:themeColor="text1"/>
          <w:sz w:val="21"/>
          <w:szCs w:val="21"/>
          <w:highlight w:val="none"/>
          <w14:textFill>
            <w14:solidFill>
              <w14:schemeClr w14:val="tx1"/>
            </w14:solidFill>
          </w14:textFill>
        </w:rPr>
        <w:t>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296967FE">
      <w:pPr>
        <w:snapToGrid w:val="0"/>
        <w:spacing w:line="360" w:lineRule="auto"/>
        <w:ind w:firstLine="420" w:firstLineChars="200"/>
        <w:rPr>
          <w:rFonts w:hint="eastAsia" w:ascii="宋体" w:hAnsi="宋体" w:cs="Courier New"/>
          <w:color w:val="000000" w:themeColor="text1"/>
          <w:szCs w:val="21"/>
          <w:highlight w:val="none"/>
          <w14:textFill>
            <w14:solidFill>
              <w14:schemeClr w14:val="tx1"/>
            </w14:solidFill>
          </w14:textFill>
        </w:rPr>
      </w:pPr>
      <w:r>
        <w:rPr>
          <w:rFonts w:ascii="宋体" w:hAnsi="宋体" w:cs="Courier New"/>
          <w:color w:val="000000" w:themeColor="text1"/>
          <w:szCs w:val="21"/>
          <w:highlight w:val="none"/>
          <w14:textFill>
            <w14:solidFill>
              <w14:schemeClr w14:val="tx1"/>
            </w14:solidFill>
          </w14:textFill>
        </w:rPr>
        <w:t>30.2</w:t>
      </w:r>
      <w:r>
        <w:rPr>
          <w:rFonts w:hint="eastAsia" w:ascii="宋体" w:hAnsi="宋体" w:cs="Courier New"/>
          <w:color w:val="000000" w:themeColor="text1"/>
          <w:szCs w:val="21"/>
          <w:highlight w:val="none"/>
          <w14:textFill>
            <w14:solidFill>
              <w14:schemeClr w14:val="tx1"/>
            </w14:solidFill>
          </w14:textFill>
        </w:rPr>
        <w:t>采购人在收到评标报告5个工作日内未按评标报告推荐的中标候选人顺序确定中标人，又不能说明合法理由的，视同按评标报告推荐的顺序确定排名第一的中标候选人为中标人。</w:t>
      </w:r>
    </w:p>
    <w:p w14:paraId="08CE0A0E">
      <w:pPr>
        <w:pStyle w:val="8"/>
        <w:keepNext w:val="0"/>
        <w:keepLines w:val="0"/>
        <w:spacing w:before="0" w:after="0" w:line="360" w:lineRule="auto"/>
        <w:ind w:left="420" w:leftChars="200"/>
        <w:rPr>
          <w:rFonts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31. 结果公告</w:t>
      </w:r>
    </w:p>
    <w:p w14:paraId="64C0D696">
      <w:pPr>
        <w:pStyle w:val="8"/>
        <w:keepNext w:val="0"/>
        <w:keepLines w:val="0"/>
        <w:spacing w:before="0" w:after="0" w:line="360" w:lineRule="auto"/>
        <w:ind w:firstLine="420" w:firstLineChars="20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3</w:t>
      </w:r>
      <w:r>
        <w:rPr>
          <w:rFonts w:ascii="宋体" w:hAnsi="宋体"/>
          <w:b w:val="0"/>
          <w:color w:val="000000" w:themeColor="text1"/>
          <w:sz w:val="21"/>
          <w:szCs w:val="21"/>
          <w:highlight w:val="none"/>
          <w14:textFill>
            <w14:solidFill>
              <w14:schemeClr w14:val="tx1"/>
            </w14:solidFill>
          </w14:textFill>
        </w:rPr>
        <w:t>1.1</w:t>
      </w:r>
      <w:r>
        <w:rPr>
          <w:rFonts w:hint="eastAsia" w:ascii="宋体" w:hAnsi="宋体"/>
          <w:b w:val="0"/>
          <w:color w:val="000000" w:themeColor="text1"/>
          <w:sz w:val="21"/>
          <w:szCs w:val="21"/>
          <w:highlight w:val="none"/>
          <w14:textFill>
            <w14:solidFill>
              <w14:schemeClr w14:val="tx1"/>
            </w14:solidFill>
          </w14:textFill>
        </w:rPr>
        <w:t>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3B1C15B7">
      <w:pPr>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以上信息查询记录及相关证据与招标文件一并保存。</w:t>
      </w:r>
    </w:p>
    <w:p w14:paraId="139FCB25">
      <w:pPr>
        <w:pStyle w:val="8"/>
        <w:keepNext w:val="0"/>
        <w:keepLines w:val="0"/>
        <w:spacing w:before="0" w:after="0" w:line="360" w:lineRule="auto"/>
        <w:ind w:firstLine="420" w:firstLineChars="20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31.2中标人享受《政府采购促进中小企业发展管理办法》（财库〔2020〕46号）规定的中小企业扶持政策的，采购人、采购代理机构应当随中标结果公开中标人的《中小企业声明函》。</w:t>
      </w:r>
    </w:p>
    <w:p w14:paraId="5BE42644">
      <w:pPr>
        <w:pStyle w:val="8"/>
        <w:keepNext w:val="0"/>
        <w:keepLines w:val="0"/>
        <w:spacing w:before="0" w:after="0" w:line="360" w:lineRule="auto"/>
        <w:ind w:firstLine="420" w:firstLineChars="200"/>
        <w:rPr>
          <w:rFonts w:hint="eastAsia"/>
          <w:color w:val="000000" w:themeColor="text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3</w:t>
      </w:r>
      <w:r>
        <w:rPr>
          <w:rFonts w:ascii="宋体" w:hAnsi="宋体"/>
          <w:b w:val="0"/>
          <w:color w:val="000000" w:themeColor="text1"/>
          <w:sz w:val="21"/>
          <w:szCs w:val="21"/>
          <w:highlight w:val="none"/>
          <w14:textFill>
            <w14:solidFill>
              <w14:schemeClr w14:val="tx1"/>
            </w14:solidFill>
          </w14:textFill>
        </w:rPr>
        <w:t>1.3</w:t>
      </w:r>
      <w:r>
        <w:rPr>
          <w:rFonts w:hint="eastAsia" w:ascii="宋体" w:hAnsi="宋体"/>
          <w:b w:val="0"/>
          <w:color w:val="000000" w:themeColor="text1"/>
          <w:sz w:val="21"/>
          <w:szCs w:val="21"/>
          <w:highlight w:val="none"/>
          <w14:textFill>
            <w14:solidFill>
              <w14:schemeClr w14:val="tx1"/>
            </w14:solidFill>
          </w14:textFill>
        </w:rPr>
        <w:t>采购人、采购代理机构应当随中标结果公开中标供应商的《关于符合本国产品标准的声明函》或有关证明文件。</w:t>
      </w:r>
    </w:p>
    <w:p w14:paraId="655125B7">
      <w:pPr>
        <w:pStyle w:val="8"/>
        <w:keepNext w:val="0"/>
        <w:keepLines w:val="0"/>
        <w:spacing w:before="0" w:after="0" w:line="360" w:lineRule="auto"/>
        <w:ind w:left="420" w:leftChars="200"/>
        <w:rPr>
          <w:rFonts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32.发出中标通知书</w:t>
      </w:r>
    </w:p>
    <w:p w14:paraId="582FF397">
      <w:pPr>
        <w:pStyle w:val="8"/>
        <w:keepNext w:val="0"/>
        <w:keepLines w:val="0"/>
        <w:spacing w:before="0" w:after="0" w:line="360" w:lineRule="auto"/>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 xml:space="preserve"> </w:t>
      </w:r>
      <w:r>
        <w:rPr>
          <w:rFonts w:ascii="宋体" w:hAnsi="宋体"/>
          <w:b w:val="0"/>
          <w:color w:val="000000" w:themeColor="text1"/>
          <w:sz w:val="21"/>
          <w:szCs w:val="21"/>
          <w:highlight w:val="none"/>
          <w14:textFill>
            <w14:solidFill>
              <w14:schemeClr w14:val="tx1"/>
            </w14:solidFill>
          </w14:textFill>
        </w:rPr>
        <w:t xml:space="preserve">   </w:t>
      </w:r>
      <w:r>
        <w:rPr>
          <w:rFonts w:hint="eastAsia" w:ascii="宋体" w:hAnsi="宋体"/>
          <w:b w:val="0"/>
          <w:color w:val="000000" w:themeColor="text1"/>
          <w:sz w:val="21"/>
          <w:szCs w:val="21"/>
          <w:highlight w:val="none"/>
          <w14:textFill>
            <w14:solidFill>
              <w14:schemeClr w14:val="tx1"/>
            </w14:solidFill>
          </w14:textFill>
        </w:rPr>
        <w:t>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14:paraId="42DEC200">
      <w:pPr>
        <w:pStyle w:val="8"/>
        <w:keepNext w:val="0"/>
        <w:keepLines w:val="0"/>
        <w:spacing w:before="0" w:after="0" w:line="360" w:lineRule="auto"/>
        <w:ind w:left="420" w:leftChars="200"/>
        <w:rPr>
          <w:rFonts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33. 无义务解释未中标原因</w:t>
      </w:r>
    </w:p>
    <w:p w14:paraId="4C6BD889">
      <w:pPr>
        <w:pStyle w:val="8"/>
        <w:keepNext w:val="0"/>
        <w:keepLines w:val="0"/>
        <w:spacing w:before="0" w:after="0" w:line="360" w:lineRule="auto"/>
        <w:ind w:left="420" w:leftChars="20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采购代理机构无义务向未中标的投标人解释未中标原因。</w:t>
      </w:r>
    </w:p>
    <w:p w14:paraId="713CFCBD">
      <w:pPr>
        <w:pStyle w:val="8"/>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34.合同授予标准</w:t>
      </w:r>
    </w:p>
    <w:p w14:paraId="76AAF1B7">
      <w:pPr>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合同将授予被确定实质上响应招标文件要求，具备履行合同能力的中标人。</w:t>
      </w:r>
    </w:p>
    <w:p w14:paraId="55B9B5A7">
      <w:pPr>
        <w:pStyle w:val="8"/>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35.履约保证金</w:t>
      </w:r>
    </w:p>
    <w:p w14:paraId="70524E54">
      <w:pPr>
        <w:pStyle w:val="8"/>
        <w:keepNext w:val="0"/>
        <w:keepLines w:val="0"/>
        <w:spacing w:before="0" w:after="0" w:line="360" w:lineRule="auto"/>
        <w:ind w:firstLine="315" w:firstLineChars="150"/>
        <w:rPr>
          <w:rFonts w:hint="eastAsia" w:ascii="宋体" w:hAnsi="宋体"/>
          <w:b w:val="0"/>
          <w:color w:val="000000" w:themeColor="text1"/>
          <w:sz w:val="21"/>
          <w:szCs w:val="21"/>
          <w:highlight w:val="none"/>
          <w14:textFill>
            <w14:solidFill>
              <w14:schemeClr w14:val="tx1"/>
            </w14:solidFill>
          </w14:textFill>
        </w:rPr>
      </w:pPr>
      <w:bookmarkStart w:id="134" w:name="_39.1中标人须于签订合同前按本须知前附表规定的金额转账或电汇到指定账"/>
      <w:bookmarkEnd w:id="134"/>
      <w:r>
        <w:rPr>
          <w:rFonts w:ascii="宋体" w:hAnsi="宋体"/>
          <w:b w:val="0"/>
          <w:color w:val="000000" w:themeColor="text1"/>
          <w:sz w:val="21"/>
          <w:szCs w:val="21"/>
          <w:highlight w:val="none"/>
          <w14:textFill>
            <w14:solidFill>
              <w14:schemeClr w14:val="tx1"/>
            </w14:solidFill>
          </w14:textFill>
        </w:rPr>
        <w:t xml:space="preserve"> </w:t>
      </w:r>
      <w:r>
        <w:rPr>
          <w:rFonts w:hint="eastAsia" w:ascii="宋体" w:hAnsi="宋体"/>
          <w:b w:val="0"/>
          <w:color w:val="000000" w:themeColor="text1"/>
          <w:sz w:val="21"/>
          <w:szCs w:val="21"/>
          <w:highlight w:val="none"/>
          <w14:textFill>
            <w14:solidFill>
              <w14:schemeClr w14:val="tx1"/>
            </w14:solidFill>
          </w14:textFill>
        </w:rPr>
        <w:t>3</w:t>
      </w:r>
      <w:r>
        <w:rPr>
          <w:rFonts w:ascii="宋体" w:hAnsi="宋体"/>
          <w:b w:val="0"/>
          <w:color w:val="000000" w:themeColor="text1"/>
          <w:sz w:val="21"/>
          <w:szCs w:val="21"/>
          <w:highlight w:val="none"/>
          <w14:textFill>
            <w14:solidFill>
              <w14:schemeClr w14:val="tx1"/>
            </w14:solidFill>
          </w14:textFill>
        </w:rPr>
        <w:t>5</w:t>
      </w:r>
      <w:r>
        <w:rPr>
          <w:rFonts w:hint="eastAsia" w:ascii="宋体" w:hAnsi="宋体"/>
          <w:b w:val="0"/>
          <w:color w:val="000000" w:themeColor="text1"/>
          <w:sz w:val="21"/>
          <w:szCs w:val="21"/>
          <w:highlight w:val="none"/>
          <w14:textFill>
            <w14:solidFill>
              <w14:schemeClr w14:val="tx1"/>
            </w14:solidFill>
          </w14:textFill>
        </w:rPr>
        <w:t>.1 履约保证金的金额、提交方式、缴纳期限、退付的时间和条件详见 “投标人须知前附表”。中标人未按规定提交履约保证金的，视为拒绝与采购人签订合同。</w:t>
      </w:r>
    </w:p>
    <w:p w14:paraId="727CCD9A">
      <w:pPr>
        <w:pStyle w:val="8"/>
        <w:keepNext w:val="0"/>
        <w:keepLines w:val="0"/>
        <w:spacing w:before="0" w:after="0" w:line="360" w:lineRule="auto"/>
        <w:ind w:firstLine="316" w:firstLineChars="150"/>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 </w:t>
      </w:r>
      <w:r>
        <w:rPr>
          <w:rFonts w:hint="eastAsia" w:ascii="宋体" w:hAnsi="宋体"/>
          <w:b w:val="0"/>
          <w:bCs/>
          <w:color w:val="000000" w:themeColor="text1"/>
          <w:sz w:val="21"/>
          <w:szCs w:val="21"/>
          <w:highlight w:val="none"/>
          <w14:textFill>
            <w14:solidFill>
              <w14:schemeClr w14:val="tx1"/>
            </w14:solidFill>
          </w14:textFill>
        </w:rPr>
        <w:t>35.2在履约保证金退还日期前，若中标人的开户名称、开户银行、账号有变动的，请以书面形式通知履约保证金收取单位，否则由此产生的后果由中标人自行承担。</w:t>
      </w:r>
    </w:p>
    <w:p w14:paraId="51441849">
      <w:pPr>
        <w:pStyle w:val="8"/>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36.签订合同</w:t>
      </w:r>
    </w:p>
    <w:p w14:paraId="55A50977">
      <w:pPr>
        <w:pStyle w:val="8"/>
        <w:keepNext w:val="0"/>
        <w:keepLines w:val="0"/>
        <w:spacing w:before="0" w:after="0" w:line="360" w:lineRule="auto"/>
        <w:ind w:firstLine="315" w:firstLineChars="150"/>
        <w:rPr>
          <w:rFonts w:hint="eastAsia" w:ascii="宋体" w:hAnsi="宋体"/>
          <w:b w:val="0"/>
          <w:color w:val="000000" w:themeColor="text1"/>
          <w:sz w:val="21"/>
          <w:szCs w:val="21"/>
          <w:highlight w:val="none"/>
          <w14:textFill>
            <w14:solidFill>
              <w14:schemeClr w14:val="tx1"/>
            </w14:solidFill>
          </w14:textFill>
        </w:rPr>
      </w:pPr>
      <w:bookmarkStart w:id="135" w:name="_40.1投标人接到中标通知书后，按须知前附表规定向采购人出示相关资格证"/>
      <w:bookmarkEnd w:id="135"/>
      <w:r>
        <w:rPr>
          <w:rFonts w:hint="eastAsia" w:ascii="宋体" w:hAnsi="宋体"/>
          <w:b w:val="0"/>
          <w:color w:val="000000" w:themeColor="text1"/>
          <w:sz w:val="21"/>
          <w:szCs w:val="21"/>
          <w:highlight w:val="none"/>
          <w14:textFill>
            <w14:solidFill>
              <w14:schemeClr w14:val="tx1"/>
            </w14:solidFill>
          </w14:textFill>
        </w:rPr>
        <w:t xml:space="preserve"> </w:t>
      </w:r>
      <w:r>
        <w:rPr>
          <w:rFonts w:hint="eastAsia" w:ascii="宋体" w:hAnsi="宋体"/>
          <w:color w:val="000000" w:themeColor="text1"/>
          <w:sz w:val="21"/>
          <w:szCs w:val="21"/>
          <w:highlight w:val="none"/>
          <w14:textFill>
            <w14:solidFill>
              <w14:schemeClr w14:val="tx1"/>
            </w14:solidFill>
          </w14:textFill>
        </w:rPr>
        <w:t>36.1签订电子采购合同：中标人领取电子中标通知书后，</w:t>
      </w:r>
      <w:r>
        <w:rPr>
          <w:rFonts w:hint="eastAsia" w:ascii="宋体" w:hAnsi="宋体"/>
          <w:color w:val="000000" w:themeColor="text1"/>
          <w:kern w:val="0"/>
          <w:sz w:val="21"/>
          <w:szCs w:val="21"/>
          <w:highlight w:val="none"/>
          <w14:textFill>
            <w14:solidFill>
              <w14:schemeClr w14:val="tx1"/>
            </w14:solidFill>
          </w14:textFill>
        </w:rPr>
        <w:t>在</w:t>
      </w:r>
      <w:r>
        <w:rPr>
          <w:rFonts w:hint="eastAsia" w:ascii="宋体" w:hAnsi="宋体"/>
          <w:color w:val="000000" w:themeColor="text1"/>
          <w:kern w:val="0"/>
          <w:sz w:val="21"/>
          <w:szCs w:val="21"/>
          <w:highlight w:val="none"/>
          <w:lang w:val="zh-CN"/>
          <w14:textFill>
            <w14:solidFill>
              <w14:schemeClr w14:val="tx1"/>
            </w14:solidFill>
          </w14:textFill>
        </w:rPr>
        <w:t>规定的日期、时间、地点，由法定代表人或其授权代表与采购人代表签订电子采购合同。如中标人为联合体的，由联合体成员各方法定代表人或其授权代表与采购人代表签订合同。</w:t>
      </w:r>
    </w:p>
    <w:p w14:paraId="2B03F4AD">
      <w:pPr>
        <w:pStyle w:val="8"/>
        <w:keepNext w:val="0"/>
        <w:keepLines w:val="0"/>
        <w:spacing w:before="0" w:after="0" w:line="360" w:lineRule="auto"/>
        <w:ind w:firstLine="315" w:firstLineChars="15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 xml:space="preserve"> 线下签订纸质合同：投标人领取中标通知书后，按“投标人须知前附表”规定向采购人出示相关证明材料，经采购人核验合格后方可签订合同。</w:t>
      </w:r>
    </w:p>
    <w:p w14:paraId="38965B73">
      <w:pPr>
        <w:pStyle w:val="8"/>
        <w:keepNext w:val="0"/>
        <w:keepLines w:val="0"/>
        <w:numPr>
          <w:ilvl w:val="0"/>
          <w:numId w:val="0"/>
        </w:numPr>
        <w:spacing w:before="0" w:after="0" w:line="360" w:lineRule="auto"/>
        <w:ind w:firstLine="420" w:firstLineChars="20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36.2签订合同时间：按中标通知书规定的时间与采购人签订合同。</w:t>
      </w:r>
    </w:p>
    <w:p w14:paraId="37E2AD3F">
      <w:pPr>
        <w:pStyle w:val="8"/>
        <w:keepNext w:val="0"/>
        <w:keepLines w:val="0"/>
        <w:spacing w:before="0" w:after="0" w:line="360" w:lineRule="auto"/>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 xml:space="preserve">    36.</w:t>
      </w:r>
      <w:r>
        <w:rPr>
          <w:rFonts w:ascii="宋体" w:hAnsi="宋体"/>
          <w:b w:val="0"/>
          <w:color w:val="000000" w:themeColor="text1"/>
          <w:sz w:val="21"/>
          <w:szCs w:val="21"/>
          <w:highlight w:val="none"/>
          <w14:textFill>
            <w14:solidFill>
              <w14:schemeClr w14:val="tx1"/>
            </w14:solidFill>
          </w14:textFill>
        </w:rPr>
        <w:t>3</w:t>
      </w:r>
      <w:r>
        <w:rPr>
          <w:rFonts w:hint="eastAsia" w:ascii="宋体" w:hAnsi="宋体"/>
          <w:b w:val="0"/>
          <w:color w:val="000000" w:themeColor="text1"/>
          <w:sz w:val="21"/>
          <w:szCs w:val="21"/>
          <w:highlight w:val="none"/>
          <w14:textFill>
            <w14:solidFill>
              <w14:schemeClr w14:val="tx1"/>
            </w14:solidFill>
          </w14:textFill>
        </w:rPr>
        <w:t>中标人拒绝签订政府采购合同（包括但不限于放弃中标、因不可抗力不能履行合同而放弃签订合同），采购人可以按照评审报告推荐的中标候选人名单排序，确定下一候选人为中标人，也可以重新开展政府采购活动。如采购人无正当理由拒签合同的，给中标人造成损失的，中标人可追究采购人承担相应的法律责任。</w:t>
      </w:r>
    </w:p>
    <w:p w14:paraId="47AD0329">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36.4政府采购合同是政府采购项目验收的依据，中标人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708CFEB9">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36.5采购人或中标人不得单方面向合同另一方提出任何招标文件没有约定的条件或不合理的要求，作为签订合同的条件；也不得协商另行订立背离招标文件和合同实质性内容的协议。</w:t>
      </w:r>
    </w:p>
    <w:p w14:paraId="2C6BAA18">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36.6</w:t>
      </w:r>
      <w:r>
        <w:rPr>
          <w:rFonts w:hint="eastAsia" w:ascii="宋体" w:hAnsi="宋体" w:cs="仿宋_GB2312"/>
          <w:color w:val="000000" w:themeColor="text1"/>
          <w:szCs w:val="21"/>
          <w:highlight w:val="none"/>
          <w14:textFill>
            <w14:solidFill>
              <w14:schemeClr w14:val="tx1"/>
            </w14:solidFill>
          </w14:textFill>
        </w:rPr>
        <w:t>如签订合同并生效后，供应商无故拒绝或延期，除按照合同条款处理外，将承担相应的法律责任。</w:t>
      </w:r>
    </w:p>
    <w:p w14:paraId="5038B68F">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36.7</w:t>
      </w:r>
      <w:r>
        <w:rPr>
          <w:rFonts w:hint="eastAsia" w:ascii="宋体" w:hAnsi="宋体" w:cs="宋体"/>
          <w:color w:val="000000" w:themeColor="text1"/>
          <w:szCs w:val="21"/>
          <w:highlight w:val="none"/>
          <w14:textFill>
            <w14:solidFill>
              <w14:schemeClr w14:val="tx1"/>
            </w14:solidFill>
          </w14:textFill>
        </w:rPr>
        <w:t>政府采购合同履行中，采购人需追加与合同标的相同的货物、工程或者服务的，在不改变合同其他条款的前提下，可以与供应商协商签订补充合同，但所有补充合同的采购金额不得超过原合同采购金额的10%。</w:t>
      </w:r>
    </w:p>
    <w:p w14:paraId="5FF15844">
      <w:pPr>
        <w:pStyle w:val="8"/>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bookmarkStart w:id="136" w:name="_41.政府采购合同公告"/>
      <w:bookmarkEnd w:id="136"/>
      <w:r>
        <w:rPr>
          <w:rFonts w:hint="eastAsia" w:ascii="黑体" w:hAnsi="黑体" w:eastAsia="黑体"/>
          <w:color w:val="000000" w:themeColor="text1"/>
          <w:sz w:val="24"/>
          <w:highlight w:val="none"/>
          <w14:textFill>
            <w14:solidFill>
              <w14:schemeClr w14:val="tx1"/>
            </w14:solidFill>
          </w14:textFill>
        </w:rPr>
        <w:t>37.政府采购合同公告</w:t>
      </w:r>
    </w:p>
    <w:p w14:paraId="32757DEA">
      <w:pPr>
        <w:pStyle w:val="27"/>
        <w:snapToGrid w:val="0"/>
        <w:spacing w:line="360" w:lineRule="auto"/>
        <w:ind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采购人或者受托采购代理机构应当自政府采购合同签订之日起2个工作日内，将政府采购合同在省级以上人民政府财政部门指定的媒体上公告，</w:t>
      </w:r>
      <w:r>
        <w:rPr>
          <w:rFonts w:hAnsi="宋体"/>
          <w:color w:val="000000" w:themeColor="text1"/>
          <w:sz w:val="21"/>
          <w:highlight w:val="none"/>
          <w14:textFill>
            <w14:solidFill>
              <w14:schemeClr w14:val="tx1"/>
            </w14:solidFill>
          </w14:textFill>
        </w:rPr>
        <w:t>但政府采购合同中涉及国家秘密、商业秘密的内容除外。</w:t>
      </w:r>
    </w:p>
    <w:p w14:paraId="5D4D0DD3">
      <w:pPr>
        <w:pStyle w:val="8"/>
        <w:keepNext w:val="0"/>
        <w:keepLines w:val="0"/>
        <w:spacing w:before="0" w:after="0" w:line="360" w:lineRule="auto"/>
        <w:ind w:left="420" w:leftChars="200"/>
        <w:rPr>
          <w:rFonts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3</w:t>
      </w:r>
      <w:r>
        <w:rPr>
          <w:rFonts w:ascii="黑体" w:hAnsi="黑体" w:eastAsia="黑体"/>
          <w:color w:val="000000" w:themeColor="text1"/>
          <w:sz w:val="24"/>
          <w:highlight w:val="none"/>
          <w14:textFill>
            <w14:solidFill>
              <w14:schemeClr w14:val="tx1"/>
            </w14:solidFill>
          </w14:textFill>
        </w:rPr>
        <w:t>8.</w:t>
      </w:r>
      <w:r>
        <w:rPr>
          <w:rFonts w:hint="eastAsia" w:ascii="黑体" w:hAnsi="黑体" w:eastAsia="黑体"/>
          <w:color w:val="000000" w:themeColor="text1"/>
          <w:sz w:val="24"/>
          <w:highlight w:val="none"/>
          <w14:textFill>
            <w14:solidFill>
              <w14:schemeClr w14:val="tx1"/>
            </w14:solidFill>
          </w14:textFill>
        </w:rPr>
        <w:t xml:space="preserve"> 询问、质疑和投诉</w:t>
      </w:r>
    </w:p>
    <w:p w14:paraId="23C11541">
      <w:pPr>
        <w:pStyle w:val="9"/>
        <w:spacing w:line="360" w:lineRule="auto"/>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38.1</w:t>
      </w:r>
      <w:r>
        <w:rPr>
          <w:rFonts w:hint="eastAsia" w:ascii="宋体" w:hAnsi="宋体"/>
          <w:color w:val="000000" w:themeColor="text1"/>
          <w:szCs w:val="21"/>
          <w:highlight w:val="none"/>
          <w14:textFill>
            <w14:solidFill>
              <w14:schemeClr w14:val="tx1"/>
            </w14:solidFill>
          </w14:textFill>
        </w:rPr>
        <w:t>供应商对政府采购活动事项有疑问的，可以向采购人提出询问，采购人或者采购代理机构应当在3个工作日内对供应商依法提出的询问作出答复，但答复的内容不得涉及商业秘密。</w:t>
      </w:r>
    </w:p>
    <w:p w14:paraId="74795493">
      <w:pPr>
        <w:pStyle w:val="8"/>
        <w:keepNext w:val="0"/>
        <w:keepLines w:val="0"/>
        <w:spacing w:before="0" w:after="0" w:line="360" w:lineRule="auto"/>
        <w:ind w:firstLine="315" w:firstLineChars="15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 xml:space="preserve"> </w:t>
      </w:r>
      <w:r>
        <w:rPr>
          <w:rFonts w:ascii="宋体" w:hAnsi="宋体"/>
          <w:b w:val="0"/>
          <w:color w:val="000000" w:themeColor="text1"/>
          <w:sz w:val="21"/>
          <w:szCs w:val="21"/>
          <w:highlight w:val="none"/>
          <w14:textFill>
            <w14:solidFill>
              <w14:schemeClr w14:val="tx1"/>
            </w14:solidFill>
          </w14:textFill>
        </w:rPr>
        <w:t>38</w:t>
      </w:r>
      <w:r>
        <w:rPr>
          <w:rFonts w:hint="eastAsia" w:ascii="宋体" w:hAnsi="宋体"/>
          <w:b w:val="0"/>
          <w:color w:val="000000" w:themeColor="text1"/>
          <w:sz w:val="21"/>
          <w:szCs w:val="21"/>
          <w:highlight w:val="none"/>
          <w14:textFill>
            <w14:solidFill>
              <w14:schemeClr w14:val="tx1"/>
            </w14:solidFill>
          </w14:textFill>
        </w:rPr>
        <w:t>.</w:t>
      </w:r>
      <w:r>
        <w:rPr>
          <w:rFonts w:ascii="宋体" w:hAnsi="宋体"/>
          <w:b w:val="0"/>
          <w:color w:val="000000" w:themeColor="text1"/>
          <w:sz w:val="21"/>
          <w:szCs w:val="21"/>
          <w:highlight w:val="none"/>
          <w14:textFill>
            <w14:solidFill>
              <w14:schemeClr w14:val="tx1"/>
            </w14:solidFill>
          </w14:textFill>
        </w:rPr>
        <w:t>2</w:t>
      </w:r>
      <w:r>
        <w:rPr>
          <w:rFonts w:hint="eastAsia" w:ascii="宋体" w:hAnsi="宋体"/>
          <w:b w:val="0"/>
          <w:color w:val="000000" w:themeColor="text1"/>
          <w:sz w:val="21"/>
          <w:szCs w:val="21"/>
          <w:highlight w:val="none"/>
          <w14:textFill>
            <w14:solidFill>
              <w14:schemeClr w14:val="tx1"/>
            </w14:solidFill>
          </w14:textFill>
        </w:rPr>
        <w:t xml:space="preserve">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18D446DA">
      <w:pPr>
        <w:pStyle w:val="27"/>
        <w:snapToGrid w:val="0"/>
        <w:spacing w:line="360" w:lineRule="auto"/>
        <w:ind w:firstLine="420" w:firstLineChars="200"/>
        <w:rPr>
          <w:rFonts w:hAnsi="宋体"/>
          <w:color w:val="000000" w:themeColor="text1"/>
          <w:sz w:val="21"/>
          <w:highlight w:val="none"/>
          <w14:textFill>
            <w14:solidFill>
              <w14:schemeClr w14:val="tx1"/>
            </w14:solidFill>
          </w14:textFill>
        </w:rPr>
      </w:pPr>
      <w:r>
        <w:rPr>
          <w:rFonts w:hAnsi="宋体"/>
          <w:color w:val="000000" w:themeColor="text1"/>
          <w:sz w:val="21"/>
          <w:highlight w:val="none"/>
          <w14:textFill>
            <w14:solidFill>
              <w14:schemeClr w14:val="tx1"/>
            </w14:solidFill>
          </w14:textFill>
        </w:rPr>
        <w:t>（</w:t>
      </w:r>
      <w:r>
        <w:rPr>
          <w:rFonts w:hint="eastAsia" w:hAnsi="宋体"/>
          <w:color w:val="000000" w:themeColor="text1"/>
          <w:sz w:val="21"/>
          <w:highlight w:val="none"/>
          <w14:textFill>
            <w14:solidFill>
              <w14:schemeClr w14:val="tx1"/>
            </w14:solidFill>
          </w14:textFill>
        </w:rPr>
        <w:t>1</w:t>
      </w:r>
      <w:r>
        <w:rPr>
          <w:rFonts w:hAnsi="宋体"/>
          <w:color w:val="000000" w:themeColor="text1"/>
          <w:sz w:val="21"/>
          <w:highlight w:val="none"/>
          <w14:textFill>
            <w14:solidFill>
              <w14:schemeClr w14:val="tx1"/>
            </w14:solidFill>
          </w14:textFill>
        </w:rPr>
        <w:t>）对可以质疑的</w:t>
      </w:r>
      <w:r>
        <w:rPr>
          <w:rFonts w:hint="eastAsia" w:hAnsi="宋体"/>
          <w:color w:val="000000" w:themeColor="text1"/>
          <w:sz w:val="21"/>
          <w:highlight w:val="none"/>
          <w14:textFill>
            <w14:solidFill>
              <w14:schemeClr w14:val="tx1"/>
            </w14:solidFill>
          </w14:textFill>
        </w:rPr>
        <w:t>招标</w:t>
      </w:r>
      <w:r>
        <w:rPr>
          <w:rFonts w:hAnsi="宋体"/>
          <w:color w:val="000000" w:themeColor="text1"/>
          <w:sz w:val="21"/>
          <w:highlight w:val="none"/>
          <w14:textFill>
            <w14:solidFill>
              <w14:schemeClr w14:val="tx1"/>
            </w14:solidFill>
          </w14:textFill>
        </w:rPr>
        <w:t>文件提出质疑的，为收到</w:t>
      </w:r>
      <w:r>
        <w:rPr>
          <w:rFonts w:hint="eastAsia" w:hAnsi="宋体"/>
          <w:color w:val="000000" w:themeColor="text1"/>
          <w:sz w:val="21"/>
          <w:highlight w:val="none"/>
          <w14:textFill>
            <w14:solidFill>
              <w14:schemeClr w14:val="tx1"/>
            </w14:solidFill>
          </w14:textFill>
        </w:rPr>
        <w:t>招标</w:t>
      </w:r>
      <w:r>
        <w:rPr>
          <w:rFonts w:hAnsi="宋体"/>
          <w:color w:val="000000" w:themeColor="text1"/>
          <w:sz w:val="21"/>
          <w:highlight w:val="none"/>
          <w14:textFill>
            <w14:solidFill>
              <w14:schemeClr w14:val="tx1"/>
            </w14:solidFill>
          </w14:textFill>
        </w:rPr>
        <w:t>文件之日</w:t>
      </w:r>
      <w:r>
        <w:rPr>
          <w:rFonts w:hint="eastAsia" w:hAnsi="宋体"/>
          <w:color w:val="000000" w:themeColor="text1"/>
          <w:sz w:val="21"/>
          <w:highlight w:val="none"/>
          <w14:textFill>
            <w14:solidFill>
              <w14:schemeClr w14:val="tx1"/>
            </w14:solidFill>
          </w14:textFill>
        </w:rPr>
        <w:t>或者招标文件公告期限届满之日</w:t>
      </w:r>
      <w:r>
        <w:rPr>
          <w:rFonts w:hAnsi="宋体"/>
          <w:color w:val="000000" w:themeColor="text1"/>
          <w:sz w:val="21"/>
          <w:highlight w:val="none"/>
          <w14:textFill>
            <w14:solidFill>
              <w14:schemeClr w14:val="tx1"/>
            </w14:solidFill>
          </w14:textFill>
        </w:rPr>
        <w:t>；</w:t>
      </w:r>
    </w:p>
    <w:p w14:paraId="499BC24E">
      <w:pPr>
        <w:pStyle w:val="27"/>
        <w:snapToGrid w:val="0"/>
        <w:spacing w:line="360" w:lineRule="auto"/>
        <w:ind w:firstLine="420" w:firstLineChars="200"/>
        <w:rPr>
          <w:rFonts w:hint="eastAsia" w:hAnsi="宋体"/>
          <w:color w:val="000000" w:themeColor="text1"/>
          <w:sz w:val="21"/>
          <w:highlight w:val="none"/>
          <w14:textFill>
            <w14:solidFill>
              <w14:schemeClr w14:val="tx1"/>
            </w14:solidFill>
          </w14:textFill>
        </w:rPr>
      </w:pPr>
      <w:r>
        <w:rPr>
          <w:rFonts w:hAnsi="宋体"/>
          <w:color w:val="000000" w:themeColor="text1"/>
          <w:sz w:val="21"/>
          <w:highlight w:val="none"/>
          <w14:textFill>
            <w14:solidFill>
              <w14:schemeClr w14:val="tx1"/>
            </w14:solidFill>
          </w14:textFill>
        </w:rPr>
        <w:t>（</w:t>
      </w:r>
      <w:r>
        <w:rPr>
          <w:rFonts w:hint="eastAsia" w:hAnsi="宋体"/>
          <w:color w:val="000000" w:themeColor="text1"/>
          <w:sz w:val="21"/>
          <w:highlight w:val="none"/>
          <w14:textFill>
            <w14:solidFill>
              <w14:schemeClr w14:val="tx1"/>
            </w14:solidFill>
          </w14:textFill>
        </w:rPr>
        <w:t>2</w:t>
      </w:r>
      <w:r>
        <w:rPr>
          <w:rFonts w:hAnsi="宋体"/>
          <w:color w:val="000000" w:themeColor="text1"/>
          <w:sz w:val="21"/>
          <w:highlight w:val="none"/>
          <w14:textFill>
            <w14:solidFill>
              <w14:schemeClr w14:val="tx1"/>
            </w14:solidFill>
          </w14:textFill>
        </w:rPr>
        <w:t>）对</w:t>
      </w:r>
      <w:r>
        <w:rPr>
          <w:rFonts w:hint="eastAsia" w:hAnsi="宋体"/>
          <w:color w:val="000000" w:themeColor="text1"/>
          <w:sz w:val="21"/>
          <w:highlight w:val="none"/>
          <w14:textFill>
            <w14:solidFill>
              <w14:schemeClr w14:val="tx1"/>
            </w14:solidFill>
          </w14:textFill>
        </w:rPr>
        <w:t>采购</w:t>
      </w:r>
      <w:r>
        <w:rPr>
          <w:rFonts w:hAnsi="宋体"/>
          <w:color w:val="000000" w:themeColor="text1"/>
          <w:sz w:val="21"/>
          <w:highlight w:val="none"/>
          <w14:textFill>
            <w14:solidFill>
              <w14:schemeClr w14:val="tx1"/>
            </w14:solidFill>
          </w14:textFill>
        </w:rPr>
        <w:t>过程提出质疑的，为各采购程序环节结束之日；</w:t>
      </w:r>
    </w:p>
    <w:p w14:paraId="3F48A44E">
      <w:pPr>
        <w:pStyle w:val="27"/>
        <w:snapToGrid w:val="0"/>
        <w:spacing w:line="360" w:lineRule="auto"/>
        <w:ind w:firstLine="420" w:firstLineChars="200"/>
        <w:rPr>
          <w:rFonts w:hint="eastAsia" w:hAnsi="宋体"/>
          <w:bCs/>
          <w:color w:val="000000" w:themeColor="text1"/>
          <w:sz w:val="21"/>
          <w:highlight w:val="none"/>
          <w14:textFill>
            <w14:solidFill>
              <w14:schemeClr w14:val="tx1"/>
            </w14:solidFill>
          </w14:textFill>
        </w:rPr>
      </w:pPr>
      <w:r>
        <w:rPr>
          <w:rFonts w:hAnsi="宋体"/>
          <w:color w:val="000000" w:themeColor="text1"/>
          <w:sz w:val="21"/>
          <w:highlight w:val="none"/>
          <w14:textFill>
            <w14:solidFill>
              <w14:schemeClr w14:val="tx1"/>
            </w14:solidFill>
          </w14:textFill>
        </w:rPr>
        <w:t>（</w:t>
      </w:r>
      <w:r>
        <w:rPr>
          <w:rFonts w:hint="eastAsia" w:hAnsi="宋体"/>
          <w:color w:val="000000" w:themeColor="text1"/>
          <w:sz w:val="21"/>
          <w:highlight w:val="none"/>
          <w14:textFill>
            <w14:solidFill>
              <w14:schemeClr w14:val="tx1"/>
            </w14:solidFill>
          </w14:textFill>
        </w:rPr>
        <w:t>3</w:t>
      </w:r>
      <w:r>
        <w:rPr>
          <w:rFonts w:hAnsi="宋体"/>
          <w:color w:val="000000" w:themeColor="text1"/>
          <w:sz w:val="21"/>
          <w:highlight w:val="none"/>
          <w14:textFill>
            <w14:solidFill>
              <w14:schemeClr w14:val="tx1"/>
            </w14:solidFill>
          </w14:textFill>
        </w:rPr>
        <w:t>）对中标结果提出质疑的，为中标结果公告期限届满之日。</w:t>
      </w:r>
    </w:p>
    <w:p w14:paraId="6395BE5C">
      <w:pPr>
        <w:pStyle w:val="8"/>
        <w:keepNext w:val="0"/>
        <w:keepLines w:val="0"/>
        <w:spacing w:before="0" w:after="0" w:line="360" w:lineRule="auto"/>
        <w:ind w:firstLine="315" w:firstLineChars="150"/>
        <w:rPr>
          <w:rFonts w:ascii="宋体" w:hAnsi="宋体"/>
          <w:b w:val="0"/>
          <w:color w:val="000000" w:themeColor="text1"/>
          <w:sz w:val="21"/>
          <w:szCs w:val="21"/>
          <w:highlight w:val="none"/>
          <w14:textFill>
            <w14:solidFill>
              <w14:schemeClr w14:val="tx1"/>
            </w14:solidFill>
          </w14:textFill>
        </w:rPr>
      </w:pPr>
      <w:r>
        <w:rPr>
          <w:rFonts w:ascii="宋体" w:hAnsi="宋体"/>
          <w:b w:val="0"/>
          <w:color w:val="000000" w:themeColor="text1"/>
          <w:sz w:val="21"/>
          <w:szCs w:val="21"/>
          <w:highlight w:val="none"/>
          <w14:textFill>
            <w14:solidFill>
              <w14:schemeClr w14:val="tx1"/>
            </w14:solidFill>
          </w14:textFill>
        </w:rPr>
        <w:t>38</w:t>
      </w:r>
      <w:r>
        <w:rPr>
          <w:rFonts w:hint="eastAsia" w:ascii="宋体" w:hAnsi="宋体"/>
          <w:b w:val="0"/>
          <w:color w:val="000000" w:themeColor="text1"/>
          <w:sz w:val="21"/>
          <w:szCs w:val="21"/>
          <w:highlight w:val="none"/>
          <w14:textFill>
            <w14:solidFill>
              <w14:schemeClr w14:val="tx1"/>
            </w14:solidFill>
          </w14:textFill>
        </w:rPr>
        <w:t>.</w:t>
      </w:r>
      <w:r>
        <w:rPr>
          <w:rFonts w:ascii="宋体" w:hAnsi="宋体"/>
          <w:b w:val="0"/>
          <w:color w:val="000000" w:themeColor="text1"/>
          <w:sz w:val="21"/>
          <w:szCs w:val="21"/>
          <w:highlight w:val="none"/>
          <w14:textFill>
            <w14:solidFill>
              <w14:schemeClr w14:val="tx1"/>
            </w14:solidFill>
          </w14:textFill>
        </w:rPr>
        <w:t>3</w:t>
      </w:r>
      <w:r>
        <w:rPr>
          <w:rFonts w:hint="eastAsia" w:ascii="宋体" w:hAnsi="宋体"/>
          <w:b w:val="0"/>
          <w:color w:val="000000" w:themeColor="text1"/>
          <w:sz w:val="21"/>
          <w:szCs w:val="21"/>
          <w:highlight w:val="none"/>
          <w14:textFill>
            <w14:solidFill>
              <w14:schemeClr w14:val="tx1"/>
            </w14:solidFill>
          </w14:textFill>
        </w:rPr>
        <w:t xml:space="preserve"> </w:t>
      </w:r>
      <w:r>
        <w:rPr>
          <w:rFonts w:hAnsi="宋体"/>
          <w:b w:val="0"/>
          <w:bCs/>
          <w:color w:val="000000" w:themeColor="text1"/>
          <w:sz w:val="21"/>
          <w:highlight w:val="none"/>
          <w14:textFill>
            <w14:solidFill>
              <w14:schemeClr w14:val="tx1"/>
            </w14:solidFill>
          </w14:textFill>
        </w:rPr>
        <w:t>供应商提出质疑应当提交质疑函和必要的证明材料</w:t>
      </w:r>
      <w:r>
        <w:rPr>
          <w:rFonts w:hint="eastAsia" w:hAnsi="宋体"/>
          <w:b w:val="0"/>
          <w:bCs/>
          <w:color w:val="000000" w:themeColor="text1"/>
          <w:sz w:val="21"/>
          <w:highlight w:val="none"/>
          <w14:textFill>
            <w14:solidFill>
              <w14:schemeClr w14:val="tx1"/>
            </w14:solidFill>
          </w14:textFill>
        </w:rPr>
        <w:t>，</w:t>
      </w:r>
      <w:r>
        <w:rPr>
          <w:rFonts w:hAnsi="宋体"/>
          <w:b w:val="0"/>
          <w:bCs/>
          <w:color w:val="000000" w:themeColor="text1"/>
          <w:sz w:val="21"/>
          <w:highlight w:val="none"/>
          <w14:textFill>
            <w14:solidFill>
              <w14:schemeClr w14:val="tx1"/>
            </w14:solidFill>
          </w14:textFill>
        </w:rPr>
        <w:t>针对同一采购程序环节的质疑</w:t>
      </w:r>
      <w:r>
        <w:rPr>
          <w:rFonts w:hint="eastAsia" w:hAnsi="宋体"/>
          <w:b w:val="0"/>
          <w:bCs/>
          <w:color w:val="000000" w:themeColor="text1"/>
          <w:sz w:val="21"/>
          <w:highlight w:val="none"/>
          <w14:textFill>
            <w14:solidFill>
              <w14:schemeClr w14:val="tx1"/>
            </w14:solidFill>
          </w14:textFill>
        </w:rPr>
        <w:t>必须</w:t>
      </w:r>
      <w:r>
        <w:rPr>
          <w:rFonts w:hAnsi="宋体"/>
          <w:b w:val="0"/>
          <w:bCs/>
          <w:color w:val="000000" w:themeColor="text1"/>
          <w:sz w:val="21"/>
          <w:highlight w:val="none"/>
          <w14:textFill>
            <w14:solidFill>
              <w14:schemeClr w14:val="tx1"/>
            </w14:solidFill>
          </w14:textFill>
        </w:rPr>
        <w:t>在法定质疑期内一次性提出。质疑函应当包括下列内容</w:t>
      </w:r>
      <w:r>
        <w:rPr>
          <w:rFonts w:hint="eastAsia" w:hAnsi="宋体"/>
          <w:b w:val="0"/>
          <w:bCs/>
          <w:color w:val="000000" w:themeColor="text1"/>
          <w:sz w:val="21"/>
          <w:highlight w:val="none"/>
          <w14:textFill>
            <w14:solidFill>
              <w14:schemeClr w14:val="tx1"/>
            </w14:solidFill>
          </w14:textFill>
        </w:rPr>
        <w:t>（质疑函格式后附）</w:t>
      </w:r>
      <w:r>
        <w:rPr>
          <w:rFonts w:hAnsi="宋体"/>
          <w:b w:val="0"/>
          <w:bCs/>
          <w:color w:val="000000" w:themeColor="text1"/>
          <w:sz w:val="21"/>
          <w:highlight w:val="none"/>
          <w14:textFill>
            <w14:solidFill>
              <w14:schemeClr w14:val="tx1"/>
            </w14:solidFill>
          </w14:textFill>
        </w:rPr>
        <w:t>：</w:t>
      </w:r>
    </w:p>
    <w:p w14:paraId="5BF8A7E3">
      <w:pPr>
        <w:pStyle w:val="27"/>
        <w:snapToGrid w:val="0"/>
        <w:spacing w:line="360" w:lineRule="auto"/>
        <w:ind w:firstLine="420" w:firstLineChars="200"/>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w:t>
      </w:r>
      <w:r>
        <w:rPr>
          <w:rFonts w:hint="eastAsia" w:hAnsi="宋体"/>
          <w:bCs/>
          <w:color w:val="000000" w:themeColor="text1"/>
          <w:sz w:val="21"/>
          <w:highlight w:val="none"/>
          <w14:textFill>
            <w14:solidFill>
              <w14:schemeClr w14:val="tx1"/>
            </w14:solidFill>
          </w14:textFill>
        </w:rPr>
        <w:t>1</w:t>
      </w:r>
      <w:r>
        <w:rPr>
          <w:rFonts w:hAnsi="宋体"/>
          <w:bCs/>
          <w:color w:val="000000" w:themeColor="text1"/>
          <w:sz w:val="21"/>
          <w:highlight w:val="none"/>
          <w14:textFill>
            <w14:solidFill>
              <w14:schemeClr w14:val="tx1"/>
            </w14:solidFill>
          </w14:textFill>
        </w:rPr>
        <w:t>）供应商的姓名或者名称、地址、邮编、联系人及联系电话；</w:t>
      </w:r>
    </w:p>
    <w:p w14:paraId="51DC274A">
      <w:pPr>
        <w:pStyle w:val="27"/>
        <w:snapToGrid w:val="0"/>
        <w:spacing w:line="360" w:lineRule="auto"/>
        <w:ind w:firstLine="420" w:firstLineChars="200"/>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w:t>
      </w:r>
      <w:r>
        <w:rPr>
          <w:rFonts w:hint="eastAsia" w:hAnsi="宋体"/>
          <w:bCs/>
          <w:color w:val="000000" w:themeColor="text1"/>
          <w:sz w:val="21"/>
          <w:highlight w:val="none"/>
          <w14:textFill>
            <w14:solidFill>
              <w14:schemeClr w14:val="tx1"/>
            </w14:solidFill>
          </w14:textFill>
        </w:rPr>
        <w:t>2</w:t>
      </w:r>
      <w:r>
        <w:rPr>
          <w:rFonts w:hAnsi="宋体"/>
          <w:bCs/>
          <w:color w:val="000000" w:themeColor="text1"/>
          <w:sz w:val="21"/>
          <w:highlight w:val="none"/>
          <w14:textFill>
            <w14:solidFill>
              <w14:schemeClr w14:val="tx1"/>
            </w14:solidFill>
          </w14:textFill>
        </w:rPr>
        <w:t>）质疑项目的名称、编号；</w:t>
      </w:r>
    </w:p>
    <w:p w14:paraId="66FB097C">
      <w:pPr>
        <w:pStyle w:val="27"/>
        <w:snapToGrid w:val="0"/>
        <w:spacing w:line="360" w:lineRule="auto"/>
        <w:ind w:firstLine="420" w:firstLineChars="200"/>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w:t>
      </w:r>
      <w:r>
        <w:rPr>
          <w:rFonts w:hint="eastAsia" w:hAnsi="宋体"/>
          <w:bCs/>
          <w:color w:val="000000" w:themeColor="text1"/>
          <w:sz w:val="21"/>
          <w:highlight w:val="none"/>
          <w14:textFill>
            <w14:solidFill>
              <w14:schemeClr w14:val="tx1"/>
            </w14:solidFill>
          </w14:textFill>
        </w:rPr>
        <w:t>3</w:t>
      </w:r>
      <w:r>
        <w:rPr>
          <w:rFonts w:hAnsi="宋体"/>
          <w:bCs/>
          <w:color w:val="000000" w:themeColor="text1"/>
          <w:sz w:val="21"/>
          <w:highlight w:val="none"/>
          <w14:textFill>
            <w14:solidFill>
              <w14:schemeClr w14:val="tx1"/>
            </w14:solidFill>
          </w14:textFill>
        </w:rPr>
        <w:t>）具体、明确的质疑事项和与质疑事项相关的请求；</w:t>
      </w:r>
    </w:p>
    <w:p w14:paraId="592B51C8">
      <w:pPr>
        <w:pStyle w:val="27"/>
        <w:snapToGrid w:val="0"/>
        <w:spacing w:line="360" w:lineRule="auto"/>
        <w:ind w:firstLine="420" w:firstLineChars="200"/>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w:t>
      </w:r>
      <w:r>
        <w:rPr>
          <w:rFonts w:hint="eastAsia" w:hAnsi="宋体"/>
          <w:bCs/>
          <w:color w:val="000000" w:themeColor="text1"/>
          <w:sz w:val="21"/>
          <w:highlight w:val="none"/>
          <w14:textFill>
            <w14:solidFill>
              <w14:schemeClr w14:val="tx1"/>
            </w14:solidFill>
          </w14:textFill>
        </w:rPr>
        <w:t>4</w:t>
      </w:r>
      <w:r>
        <w:rPr>
          <w:rFonts w:hAnsi="宋体"/>
          <w:bCs/>
          <w:color w:val="000000" w:themeColor="text1"/>
          <w:sz w:val="21"/>
          <w:highlight w:val="none"/>
          <w14:textFill>
            <w14:solidFill>
              <w14:schemeClr w14:val="tx1"/>
            </w14:solidFill>
          </w14:textFill>
        </w:rPr>
        <w:t>）事实依据；</w:t>
      </w:r>
    </w:p>
    <w:p w14:paraId="05E657A5">
      <w:pPr>
        <w:pStyle w:val="27"/>
        <w:snapToGrid w:val="0"/>
        <w:spacing w:line="360" w:lineRule="auto"/>
        <w:ind w:firstLine="420" w:firstLineChars="200"/>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w:t>
      </w:r>
      <w:r>
        <w:rPr>
          <w:rFonts w:hint="eastAsia" w:hAnsi="宋体"/>
          <w:bCs/>
          <w:color w:val="000000" w:themeColor="text1"/>
          <w:sz w:val="21"/>
          <w:highlight w:val="none"/>
          <w14:textFill>
            <w14:solidFill>
              <w14:schemeClr w14:val="tx1"/>
            </w14:solidFill>
          </w14:textFill>
        </w:rPr>
        <w:t>5</w:t>
      </w:r>
      <w:r>
        <w:rPr>
          <w:rFonts w:hAnsi="宋体"/>
          <w:bCs/>
          <w:color w:val="000000" w:themeColor="text1"/>
          <w:sz w:val="21"/>
          <w:highlight w:val="none"/>
          <w14:textFill>
            <w14:solidFill>
              <w14:schemeClr w14:val="tx1"/>
            </w14:solidFill>
          </w14:textFill>
        </w:rPr>
        <w:t>）必要的法律依据；</w:t>
      </w:r>
    </w:p>
    <w:p w14:paraId="48F98EDC">
      <w:pPr>
        <w:pStyle w:val="27"/>
        <w:snapToGrid w:val="0"/>
        <w:spacing w:line="360" w:lineRule="auto"/>
        <w:ind w:firstLine="420" w:firstLineChars="200"/>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w:t>
      </w:r>
      <w:r>
        <w:rPr>
          <w:rFonts w:hint="eastAsia" w:hAnsi="宋体"/>
          <w:bCs/>
          <w:color w:val="000000" w:themeColor="text1"/>
          <w:sz w:val="21"/>
          <w:highlight w:val="none"/>
          <w14:textFill>
            <w14:solidFill>
              <w14:schemeClr w14:val="tx1"/>
            </w14:solidFill>
          </w14:textFill>
        </w:rPr>
        <w:t>6</w:t>
      </w:r>
      <w:r>
        <w:rPr>
          <w:rFonts w:hAnsi="宋体"/>
          <w:bCs/>
          <w:color w:val="000000" w:themeColor="text1"/>
          <w:sz w:val="21"/>
          <w:highlight w:val="none"/>
          <w14:textFill>
            <w14:solidFill>
              <w14:schemeClr w14:val="tx1"/>
            </w14:solidFill>
          </w14:textFill>
        </w:rPr>
        <w:t>）提出质疑的日期。</w:t>
      </w:r>
    </w:p>
    <w:p w14:paraId="0CD624B0">
      <w:pPr>
        <w:pStyle w:val="27"/>
        <w:snapToGrid w:val="0"/>
        <w:spacing w:line="360" w:lineRule="auto"/>
        <w:ind w:firstLine="420" w:firstLineChars="200"/>
        <w:rPr>
          <w:rFonts w:hint="eastAsia"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供应商为自然人的，应当由本人签字；供应商为法人或者其他组织的，应当由法定代表人、主要负责人，或者其委托代理人签字或者盖章，并加盖公章</w:t>
      </w:r>
      <w:r>
        <w:rPr>
          <w:rFonts w:hint="eastAsia" w:hAnsi="宋体"/>
          <w:bCs/>
          <w:color w:val="000000" w:themeColor="text1"/>
          <w:sz w:val="21"/>
          <w:highlight w:val="none"/>
          <w14:textFill>
            <w14:solidFill>
              <w14:schemeClr w14:val="tx1"/>
            </w14:solidFill>
          </w14:textFill>
        </w:rPr>
        <w:t>。</w:t>
      </w:r>
    </w:p>
    <w:p w14:paraId="2496385D">
      <w:pPr>
        <w:pStyle w:val="8"/>
        <w:keepNext w:val="0"/>
        <w:keepLines w:val="0"/>
        <w:snapToGrid w:val="0"/>
        <w:spacing w:before="0" w:after="0" w:line="360" w:lineRule="auto"/>
        <w:ind w:firstLine="420" w:firstLineChars="200"/>
        <w:rPr>
          <w:rFonts w:hint="eastAsia" w:ascii="宋体" w:hAnsi="宋体"/>
          <w:b w:val="0"/>
          <w:bCs/>
          <w:color w:val="000000" w:themeColor="text1"/>
          <w:sz w:val="21"/>
          <w:szCs w:val="21"/>
          <w:highlight w:val="none"/>
          <w14:textFill>
            <w14:solidFill>
              <w14:schemeClr w14:val="tx1"/>
            </w14:solidFill>
          </w14:textFill>
        </w:rPr>
      </w:pPr>
      <w:r>
        <w:rPr>
          <w:rFonts w:ascii="宋体" w:hAnsi="宋体"/>
          <w:b w:val="0"/>
          <w:color w:val="000000" w:themeColor="text1"/>
          <w:sz w:val="21"/>
          <w:szCs w:val="21"/>
          <w:highlight w:val="none"/>
          <w14:textFill>
            <w14:solidFill>
              <w14:schemeClr w14:val="tx1"/>
            </w14:solidFill>
          </w14:textFill>
        </w:rPr>
        <w:t>3</w:t>
      </w:r>
      <w:r>
        <w:rPr>
          <w:rFonts w:ascii="宋体" w:hAnsi="宋体"/>
          <w:b w:val="0"/>
          <w:bCs/>
          <w:color w:val="000000" w:themeColor="text1"/>
          <w:sz w:val="21"/>
          <w:szCs w:val="21"/>
          <w:highlight w:val="none"/>
          <w14:textFill>
            <w14:solidFill>
              <w14:schemeClr w14:val="tx1"/>
            </w14:solidFill>
          </w14:textFill>
        </w:rPr>
        <w:t>8.4</w:t>
      </w:r>
      <w:r>
        <w:rPr>
          <w:rFonts w:hint="eastAsia" w:ascii="宋体" w:hAnsi="宋体"/>
          <w:b w:val="0"/>
          <w:bCs/>
          <w:color w:val="000000" w:themeColor="text1"/>
          <w:sz w:val="21"/>
          <w:szCs w:val="21"/>
          <w:highlight w:val="none"/>
          <w14:textFill>
            <w14:solidFill>
              <w14:schemeClr w14:val="tx1"/>
            </w14:solidFill>
          </w14:textFill>
        </w:rPr>
        <w:t>采购人、采购代理机构认为供应商质疑不成立，或者成立但未对中标结果构成影响的，继续开展采购活动；认为供应商质疑成立且影响或者可能影响中标结果的，按照下列情况处理：</w:t>
      </w:r>
    </w:p>
    <w:p w14:paraId="546DA6B9">
      <w:pPr>
        <w:pStyle w:val="27"/>
        <w:snapToGrid w:val="0"/>
        <w:spacing w:line="360" w:lineRule="auto"/>
        <w:rPr>
          <w:rFonts w:hint="eastAsia"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（一）对招标文件提出的质疑，依法通过澄清或者修改可以继续开展采购活动的，澄清或者修改招标文件后继续开展采购活动；否则应当修改招标文件后重新开展采购活动。</w:t>
      </w:r>
    </w:p>
    <w:p w14:paraId="131A4555">
      <w:pPr>
        <w:pStyle w:val="27"/>
        <w:snapToGrid w:val="0"/>
        <w:spacing w:line="360" w:lineRule="auto"/>
        <w:rPr>
          <w:rFonts w:hint="eastAsia"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（二）对采购过程、中标结果提出的质疑，合格供应商符合法定数量时，可以从合格的中标候选人中另行确定中标人的，应当依法另行确定中标人；否则应当重新开展采购活动。</w:t>
      </w:r>
    </w:p>
    <w:p w14:paraId="55DFA82D">
      <w:pPr>
        <w:pStyle w:val="27"/>
        <w:snapToGrid w:val="0"/>
        <w:spacing w:line="360" w:lineRule="auto"/>
        <w:ind w:firstLine="42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质疑答复导致中标结果改变的，采购人或者采购代理机构应当将有关情况书面报告本级财政部门。</w:t>
      </w:r>
    </w:p>
    <w:p w14:paraId="580D28B4">
      <w:pPr>
        <w:pStyle w:val="27"/>
        <w:snapToGrid w:val="0"/>
        <w:spacing w:line="360" w:lineRule="auto"/>
        <w:ind w:firstLine="420" w:firstLineChars="200"/>
        <w:rPr>
          <w:rFonts w:hint="eastAsia" w:hAnsi="宋体"/>
          <w:color w:val="000000" w:themeColor="text1"/>
          <w:sz w:val="21"/>
          <w:highlight w:val="none"/>
          <w14:textFill>
            <w14:solidFill>
              <w14:schemeClr w14:val="tx1"/>
            </w14:solidFill>
          </w14:textFill>
        </w:rPr>
      </w:pPr>
      <w:r>
        <w:rPr>
          <w:rFonts w:hAnsi="宋体"/>
          <w:color w:val="000000" w:themeColor="text1"/>
          <w:sz w:val="21"/>
          <w:highlight w:val="none"/>
          <w14:textFill>
            <w14:solidFill>
              <w14:schemeClr w14:val="tx1"/>
            </w14:solidFill>
          </w14:textFill>
        </w:rPr>
        <w:t>38</w:t>
      </w:r>
      <w:r>
        <w:rPr>
          <w:rFonts w:hint="eastAsia" w:hAnsi="宋体"/>
          <w:color w:val="000000" w:themeColor="text1"/>
          <w:sz w:val="21"/>
          <w:highlight w:val="none"/>
          <w14:textFill>
            <w14:solidFill>
              <w14:schemeClr w14:val="tx1"/>
            </w14:solidFill>
          </w14:textFill>
        </w:rPr>
        <w:t>.</w:t>
      </w:r>
      <w:r>
        <w:rPr>
          <w:rFonts w:hAnsi="宋体"/>
          <w:color w:val="000000" w:themeColor="text1"/>
          <w:sz w:val="21"/>
          <w:highlight w:val="none"/>
          <w14:textFill>
            <w14:solidFill>
              <w14:schemeClr w14:val="tx1"/>
            </w14:solidFill>
          </w14:textFill>
        </w:rPr>
        <w:t>5</w:t>
      </w:r>
      <w:r>
        <w:rPr>
          <w:rFonts w:hint="eastAsia" w:hAnsi="宋体"/>
          <w:color w:val="000000" w:themeColor="text1"/>
          <w:sz w:val="21"/>
          <w:highlight w:val="none"/>
          <w14:textFill>
            <w14:solidFill>
              <w14:schemeClr w14:val="tx1"/>
            </w14:solidFill>
          </w14:textFill>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60A772B0">
      <w:pPr>
        <w:pStyle w:val="6"/>
        <w:keepNext w:val="0"/>
        <w:keepLines w:val="0"/>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八、其他事项</w:t>
      </w:r>
    </w:p>
    <w:p w14:paraId="495D11B8">
      <w:pPr>
        <w:pStyle w:val="8"/>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bookmarkStart w:id="137" w:name="_42.代理服务费"/>
      <w:bookmarkEnd w:id="137"/>
      <w:r>
        <w:rPr>
          <w:rFonts w:hint="eastAsia" w:ascii="黑体" w:hAnsi="黑体" w:eastAsia="黑体"/>
          <w:color w:val="000000" w:themeColor="text1"/>
          <w:sz w:val="24"/>
          <w:highlight w:val="none"/>
          <w14:textFill>
            <w14:solidFill>
              <w14:schemeClr w14:val="tx1"/>
            </w14:solidFill>
          </w14:textFill>
        </w:rPr>
        <w:t>3</w:t>
      </w:r>
      <w:r>
        <w:rPr>
          <w:rFonts w:ascii="黑体" w:hAnsi="黑体" w:eastAsia="黑体"/>
          <w:color w:val="000000" w:themeColor="text1"/>
          <w:sz w:val="24"/>
          <w:highlight w:val="none"/>
          <w14:textFill>
            <w14:solidFill>
              <w14:schemeClr w14:val="tx1"/>
            </w14:solidFill>
          </w14:textFill>
        </w:rPr>
        <w:t>9</w:t>
      </w:r>
      <w:r>
        <w:rPr>
          <w:rFonts w:hint="eastAsia" w:ascii="黑体" w:hAnsi="黑体" w:eastAsia="黑体"/>
          <w:color w:val="000000" w:themeColor="text1"/>
          <w:sz w:val="24"/>
          <w:highlight w:val="none"/>
          <w14:textFill>
            <w14:solidFill>
              <w14:schemeClr w14:val="tx1"/>
            </w14:solidFill>
          </w14:textFill>
        </w:rPr>
        <w:t>.代理服务费</w:t>
      </w:r>
    </w:p>
    <w:p w14:paraId="34661FDB">
      <w:pPr>
        <w:pStyle w:val="8"/>
        <w:keepNext w:val="0"/>
        <w:keepLines w:val="0"/>
        <w:spacing w:before="0" w:after="0" w:line="360" w:lineRule="auto"/>
        <w:ind w:firstLine="420" w:firstLineChars="20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3</w:t>
      </w:r>
      <w:r>
        <w:rPr>
          <w:rFonts w:ascii="宋体" w:hAnsi="宋体"/>
          <w:b w:val="0"/>
          <w:color w:val="000000" w:themeColor="text1"/>
          <w:sz w:val="21"/>
          <w:szCs w:val="21"/>
          <w:highlight w:val="none"/>
          <w14:textFill>
            <w14:solidFill>
              <w14:schemeClr w14:val="tx1"/>
            </w14:solidFill>
          </w14:textFill>
        </w:rPr>
        <w:t>9</w:t>
      </w:r>
      <w:r>
        <w:rPr>
          <w:rFonts w:hint="eastAsia" w:ascii="宋体" w:hAnsi="宋体"/>
          <w:b w:val="0"/>
          <w:color w:val="000000" w:themeColor="text1"/>
          <w:sz w:val="21"/>
          <w:szCs w:val="21"/>
          <w:highlight w:val="none"/>
          <w14:textFill>
            <w14:solidFill>
              <w14:schemeClr w14:val="tx1"/>
            </w14:solidFill>
          </w14:textFill>
        </w:rPr>
        <w:t>.1代理服务</w:t>
      </w:r>
      <w:r>
        <w:rPr>
          <w:rFonts w:hint="eastAsia" w:ascii="宋体" w:hAnsi="宋体"/>
          <w:b w:val="0"/>
          <w:color w:val="000000" w:themeColor="text1"/>
          <w:sz w:val="21"/>
          <w:szCs w:val="21"/>
          <w:highlight w:val="none"/>
          <w:lang w:val="en-US" w:eastAsia="zh-CN"/>
          <w14:textFill>
            <w14:solidFill>
              <w14:schemeClr w14:val="tx1"/>
            </w14:solidFill>
          </w14:textFill>
        </w:rPr>
        <w:t>费</w:t>
      </w:r>
      <w:r>
        <w:rPr>
          <w:rFonts w:hint="eastAsia" w:ascii="宋体" w:hAnsi="宋体"/>
          <w:b w:val="0"/>
          <w:color w:val="000000" w:themeColor="text1"/>
          <w:sz w:val="21"/>
          <w:szCs w:val="21"/>
          <w:highlight w:val="none"/>
          <w14:textFill>
            <w14:solidFill>
              <w14:schemeClr w14:val="tx1"/>
            </w14:solidFill>
          </w14:textFill>
        </w:rPr>
        <w:t>收取标准及缴费账户详见“投标人须知前附表”，投标人为联合体的，可以由联合体中的一方或者多方共同交纳代理服务费。</w:t>
      </w:r>
    </w:p>
    <w:p w14:paraId="71B97374">
      <w:pPr>
        <w:pStyle w:val="8"/>
        <w:keepNext w:val="0"/>
        <w:keepLines w:val="0"/>
        <w:spacing w:before="0" w:after="0" w:line="360" w:lineRule="auto"/>
        <w:ind w:left="420" w:leftChars="20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3</w:t>
      </w:r>
      <w:r>
        <w:rPr>
          <w:rFonts w:ascii="宋体" w:hAnsi="宋体"/>
          <w:b w:val="0"/>
          <w:color w:val="000000" w:themeColor="text1"/>
          <w:sz w:val="21"/>
          <w:szCs w:val="21"/>
          <w:highlight w:val="none"/>
          <w14:textFill>
            <w14:solidFill>
              <w14:schemeClr w14:val="tx1"/>
            </w14:solidFill>
          </w14:textFill>
        </w:rPr>
        <w:t>9</w:t>
      </w:r>
      <w:r>
        <w:rPr>
          <w:rFonts w:hint="eastAsia" w:ascii="宋体" w:hAnsi="宋体"/>
          <w:b w:val="0"/>
          <w:color w:val="000000" w:themeColor="text1"/>
          <w:sz w:val="21"/>
          <w:szCs w:val="21"/>
          <w:highlight w:val="none"/>
          <w14:textFill>
            <w14:solidFill>
              <w14:schemeClr w14:val="tx1"/>
            </w14:solidFill>
          </w14:textFill>
        </w:rPr>
        <w:t>.2代理服务收费标准：</w:t>
      </w:r>
    </w:p>
    <w:p w14:paraId="6B176568">
      <w:pPr>
        <w:spacing w:line="360" w:lineRule="auto"/>
        <w:rPr>
          <w:rFonts w:hint="eastAsia" w:ascii="宋体" w:hAnsi="宋体"/>
          <w:color w:val="000000" w:themeColor="text1"/>
          <w:szCs w:val="21"/>
          <w:highlight w:val="none"/>
          <w14:textFill>
            <w14:solidFill>
              <w14:schemeClr w14:val="tx1"/>
            </w14:solidFill>
          </w14:textFill>
        </w:rPr>
      </w:pPr>
    </w:p>
    <w:tbl>
      <w:tblPr>
        <w:tblStyle w:val="48"/>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3C7D0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13011E04">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费率</w:t>
            </w:r>
          </w:p>
          <w:p w14:paraId="27B7CC97">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预算</w:t>
            </w:r>
            <w:r>
              <w:rPr>
                <w:rFonts w:hint="eastAsia" w:ascii="宋体" w:hAnsi="宋体"/>
                <w:color w:val="000000" w:themeColor="text1"/>
                <w:szCs w:val="21"/>
                <w:highlight w:val="none"/>
                <w14:textFill>
                  <w14:solidFill>
                    <w14:schemeClr w14:val="tx1"/>
                  </w14:solidFill>
                </w14:textFill>
              </w:rPr>
              <w:t>金额</w:t>
            </w:r>
          </w:p>
        </w:tc>
        <w:tc>
          <w:tcPr>
            <w:tcW w:w="1659" w:type="dxa"/>
            <w:tcBorders>
              <w:top w:val="single" w:color="auto" w:sz="4" w:space="0"/>
              <w:left w:val="single" w:color="auto" w:sz="4" w:space="0"/>
              <w:bottom w:val="single" w:color="auto" w:sz="4" w:space="0"/>
              <w:right w:val="single" w:color="auto" w:sz="4" w:space="0"/>
            </w:tcBorders>
            <w:noWrap w:val="0"/>
            <w:vAlign w:val="center"/>
          </w:tcPr>
          <w:p w14:paraId="0EA414B0">
            <w:pPr>
              <w:spacing w:line="360" w:lineRule="auto"/>
              <w:ind w:firstLine="105" w:firstLineChars="5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货物招标</w:t>
            </w:r>
          </w:p>
        </w:tc>
        <w:tc>
          <w:tcPr>
            <w:tcW w:w="1687" w:type="dxa"/>
            <w:tcBorders>
              <w:top w:val="single" w:color="auto" w:sz="4" w:space="0"/>
              <w:left w:val="single" w:color="auto" w:sz="4" w:space="0"/>
              <w:bottom w:val="single" w:color="auto" w:sz="4" w:space="0"/>
              <w:right w:val="single" w:color="auto" w:sz="4" w:space="0"/>
            </w:tcBorders>
            <w:noWrap w:val="0"/>
            <w:vAlign w:val="center"/>
          </w:tcPr>
          <w:p w14:paraId="56EBEB52">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服务招标</w:t>
            </w:r>
          </w:p>
        </w:tc>
        <w:tc>
          <w:tcPr>
            <w:tcW w:w="1659" w:type="dxa"/>
            <w:tcBorders>
              <w:top w:val="single" w:color="auto" w:sz="4" w:space="0"/>
              <w:left w:val="single" w:color="auto" w:sz="4" w:space="0"/>
              <w:bottom w:val="single" w:color="auto" w:sz="4" w:space="0"/>
              <w:right w:val="single" w:color="auto" w:sz="4" w:space="0"/>
            </w:tcBorders>
            <w:noWrap w:val="0"/>
            <w:vAlign w:val="center"/>
          </w:tcPr>
          <w:p w14:paraId="751F2629">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工程招标</w:t>
            </w:r>
          </w:p>
        </w:tc>
      </w:tr>
      <w:tr w14:paraId="6752C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2877A0D3">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100万元以下</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0A77A9E6">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1.5%                </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3DF12D55">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1.5%</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13F41088">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1.0% </w:t>
            </w:r>
          </w:p>
        </w:tc>
      </w:tr>
      <w:tr w14:paraId="74A54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0B17B95D">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100万元～500万元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49E31F5E">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1.1%                 </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19A548A3">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0.8%</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4D597B23">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0.7% </w:t>
            </w:r>
          </w:p>
        </w:tc>
      </w:tr>
      <w:tr w14:paraId="21159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6CCEE323">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500万元～1000万元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464978E5">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0.8%                </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1CF74CFA">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0.45%</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0E161256">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0.55%</w:t>
            </w:r>
          </w:p>
        </w:tc>
      </w:tr>
      <w:tr w14:paraId="3661F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58D7F082">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1000万元～5000万元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02548CFF">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0.5%                </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1305AEB7">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0.25%</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42DB94A3">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0.35% </w:t>
            </w:r>
          </w:p>
        </w:tc>
      </w:tr>
      <w:tr w14:paraId="3A585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62D30C72">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5000万元～1亿元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7FF4CCE8">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0.25%                 </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6C6A43C3">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0.1%</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539CFAB2">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0.2%</w:t>
            </w:r>
          </w:p>
        </w:tc>
      </w:tr>
      <w:tr w14:paraId="0403F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46EA06B7">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1亿元～5亿元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14D7E0E4">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0.05%</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51528290">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0.05%</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73A7D6EF">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0.05%</w:t>
            </w:r>
          </w:p>
        </w:tc>
      </w:tr>
      <w:tr w14:paraId="455D9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50CFAD74">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5亿元～10亿元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2913B036">
            <w:pPr>
              <w:spacing w:line="360" w:lineRule="auto"/>
              <w:ind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0.035%</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29C5505A">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0.035%</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38703FD9">
            <w:pPr>
              <w:spacing w:line="360" w:lineRule="auto"/>
              <w:ind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0.035%</w:t>
            </w:r>
          </w:p>
        </w:tc>
      </w:tr>
      <w:tr w14:paraId="2EC5E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32C082FF">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10亿元～50亿元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210CCB3C">
            <w:pPr>
              <w:spacing w:line="360" w:lineRule="auto"/>
              <w:ind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0.008%</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31265F66">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0.008%</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34C7B048">
            <w:pPr>
              <w:spacing w:line="360" w:lineRule="auto"/>
              <w:ind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0.008%</w:t>
            </w:r>
          </w:p>
        </w:tc>
      </w:tr>
      <w:tr w14:paraId="08FB5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19D20928">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50亿元～100亿元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62030B2C">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0.006%</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2DD8ACD9">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0.006%</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1E1A7547">
            <w:pPr>
              <w:spacing w:line="360" w:lineRule="auto"/>
              <w:ind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0.006%</w:t>
            </w:r>
          </w:p>
        </w:tc>
      </w:tr>
      <w:tr w14:paraId="06A54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31507C52">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100亿以上</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4768CEDD">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0.004%</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4D6D1C89">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0.004%</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5A005B6C">
            <w:pPr>
              <w:spacing w:line="360" w:lineRule="auto"/>
              <w:ind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0.004%</w:t>
            </w:r>
          </w:p>
        </w:tc>
      </w:tr>
    </w:tbl>
    <w:p w14:paraId="6D9E988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w:t>
      </w:r>
      <w:r>
        <w:rPr>
          <w:rFonts w:ascii="宋体" w:hAnsi="宋体" w:cs="宋体"/>
          <w:color w:val="000000" w:themeColor="text1"/>
          <w:szCs w:val="21"/>
          <w:highlight w:val="none"/>
          <w14:textFill>
            <w14:solidFill>
              <w14:schemeClr w14:val="tx1"/>
            </w14:solidFill>
          </w14:textFill>
        </w:rPr>
        <w:t xml:space="preserve"> </w:t>
      </w:r>
    </w:p>
    <w:p w14:paraId="0AA7723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ascii="宋体" w:hAnsi="宋体" w:cs="宋体"/>
          <w:color w:val="000000" w:themeColor="text1"/>
          <w:szCs w:val="21"/>
          <w:highlight w:val="none"/>
          <w14:textFill>
            <w14:solidFill>
              <w14:schemeClr w14:val="tx1"/>
            </w14:solidFill>
          </w14:textFill>
        </w:rPr>
        <w:t>按本表费率计算的收费为</w:t>
      </w:r>
      <w:r>
        <w:rPr>
          <w:rFonts w:hint="eastAsia" w:ascii="宋体" w:hAnsi="宋体" w:cs="宋体"/>
          <w:color w:val="000000" w:themeColor="text1"/>
          <w:szCs w:val="21"/>
          <w:highlight w:val="none"/>
          <w14:textFill>
            <w14:solidFill>
              <w14:schemeClr w14:val="tx1"/>
            </w14:solidFill>
          </w14:textFill>
        </w:rPr>
        <w:t>采购</w:t>
      </w:r>
      <w:r>
        <w:rPr>
          <w:rFonts w:ascii="宋体" w:hAnsi="宋体" w:cs="宋体"/>
          <w:color w:val="000000" w:themeColor="text1"/>
          <w:szCs w:val="21"/>
          <w:highlight w:val="none"/>
          <w14:textFill>
            <w14:solidFill>
              <w14:schemeClr w14:val="tx1"/>
            </w14:solidFill>
          </w14:textFill>
        </w:rPr>
        <w:t>代理的收费基准价格</w:t>
      </w:r>
      <w:r>
        <w:rPr>
          <w:rFonts w:hint="eastAsia" w:ascii="宋体" w:hAnsi="宋体" w:cs="宋体"/>
          <w:color w:val="000000" w:themeColor="text1"/>
          <w:szCs w:val="21"/>
          <w:highlight w:val="none"/>
          <w14:textFill>
            <w14:solidFill>
              <w14:schemeClr w14:val="tx1"/>
            </w14:solidFill>
          </w14:textFill>
        </w:rPr>
        <w:t>；</w:t>
      </w:r>
    </w:p>
    <w:p w14:paraId="3E85532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（2）采购</w:t>
      </w:r>
      <w:r>
        <w:rPr>
          <w:rFonts w:ascii="宋体" w:hAnsi="宋体" w:cs="宋体"/>
          <w:color w:val="000000" w:themeColor="text1"/>
          <w:szCs w:val="21"/>
          <w:highlight w:val="none"/>
          <w14:textFill>
            <w14:solidFill>
              <w14:schemeClr w14:val="tx1"/>
            </w14:solidFill>
          </w14:textFill>
        </w:rPr>
        <w:t>代理收费按差额定率累进法计算。</w:t>
      </w:r>
    </w:p>
    <w:p w14:paraId="371CE995">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例如：某</w:t>
      </w:r>
      <w:r>
        <w:rPr>
          <w:rFonts w:hint="eastAsia" w:ascii="宋体" w:hAnsi="宋体" w:cs="宋体"/>
          <w:color w:val="000000" w:themeColor="text1"/>
          <w:szCs w:val="21"/>
          <w:highlight w:val="none"/>
          <w14:textFill>
            <w14:solidFill>
              <w14:schemeClr w14:val="tx1"/>
            </w14:solidFill>
          </w14:textFill>
        </w:rPr>
        <w:t>货物采购</w:t>
      </w:r>
      <w:r>
        <w:rPr>
          <w:rFonts w:ascii="宋体" w:hAnsi="宋体" w:cs="宋体"/>
          <w:color w:val="000000" w:themeColor="text1"/>
          <w:szCs w:val="21"/>
          <w:highlight w:val="none"/>
          <w14:textFill>
            <w14:solidFill>
              <w14:schemeClr w14:val="tx1"/>
            </w14:solidFill>
          </w14:textFill>
        </w:rPr>
        <w:t>代理业务</w:t>
      </w:r>
      <w:r>
        <w:rPr>
          <w:rFonts w:hint="eastAsia" w:ascii="宋体" w:hAnsi="宋体" w:cs="宋体"/>
          <w:color w:val="000000" w:themeColor="text1"/>
          <w:szCs w:val="21"/>
          <w:highlight w:val="none"/>
          <w:lang w:val="en-US" w:eastAsia="zh-CN"/>
          <w14:textFill>
            <w14:solidFill>
              <w14:schemeClr w14:val="tx1"/>
            </w14:solidFill>
          </w14:textFill>
        </w:rPr>
        <w:t>预算</w:t>
      </w:r>
      <w:r>
        <w:rPr>
          <w:rFonts w:ascii="宋体" w:hAnsi="宋体" w:cs="宋体"/>
          <w:color w:val="000000" w:themeColor="text1"/>
          <w:szCs w:val="21"/>
          <w:highlight w:val="none"/>
          <w14:textFill>
            <w14:solidFill>
              <w14:schemeClr w14:val="tx1"/>
            </w14:solidFill>
          </w14:textFill>
        </w:rPr>
        <w:t>金额</w:t>
      </w:r>
      <w:r>
        <w:rPr>
          <w:rFonts w:hint="eastAsia" w:ascii="宋体" w:hAnsi="宋体" w:cs="宋体"/>
          <w:color w:val="000000" w:themeColor="text1"/>
          <w:szCs w:val="21"/>
          <w:highlight w:val="none"/>
          <w14:textFill>
            <w14:solidFill>
              <w14:schemeClr w14:val="tx1"/>
            </w14:solidFill>
          </w14:textFill>
        </w:rPr>
        <w:t>或者暂定价</w:t>
      </w:r>
      <w:r>
        <w:rPr>
          <w:rFonts w:ascii="宋体" w:hAnsi="宋体" w:cs="宋体"/>
          <w:color w:val="000000" w:themeColor="text1"/>
          <w:szCs w:val="21"/>
          <w:highlight w:val="none"/>
          <w14:textFill>
            <w14:solidFill>
              <w14:schemeClr w14:val="tx1"/>
            </w14:solidFill>
          </w14:textFill>
        </w:rPr>
        <w:t>为200万元，计算</w:t>
      </w:r>
      <w:r>
        <w:rPr>
          <w:rFonts w:hint="eastAsia" w:ascii="宋体" w:hAnsi="宋体" w:cs="宋体"/>
          <w:color w:val="000000" w:themeColor="text1"/>
          <w:szCs w:val="21"/>
          <w:highlight w:val="none"/>
          <w14:textFill>
            <w14:solidFill>
              <w14:schemeClr w14:val="tx1"/>
            </w14:solidFill>
          </w14:textFill>
        </w:rPr>
        <w:t>采购</w:t>
      </w:r>
      <w:r>
        <w:rPr>
          <w:rFonts w:ascii="宋体" w:hAnsi="宋体" w:cs="宋体"/>
          <w:color w:val="000000" w:themeColor="text1"/>
          <w:szCs w:val="21"/>
          <w:highlight w:val="none"/>
          <w14:textFill>
            <w14:solidFill>
              <w14:schemeClr w14:val="tx1"/>
            </w14:solidFill>
          </w14:textFill>
        </w:rPr>
        <w:t>代理收费额如下：</w:t>
      </w:r>
    </w:p>
    <w:p w14:paraId="63852F85">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100 万元×l.5 ％＝ 1.5 万元</w:t>
      </w:r>
    </w:p>
    <w:p w14:paraId="357F8A8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 200 － 100 ）万元 ×1.1％＝1.1万元</w:t>
      </w:r>
    </w:p>
    <w:p w14:paraId="64E72449">
      <w:pPr>
        <w:pStyle w:val="27"/>
        <w:snapToGrid w:val="0"/>
        <w:spacing w:line="360" w:lineRule="auto"/>
        <w:ind w:firstLine="420" w:firstLineChars="200"/>
        <w:rPr>
          <w:rFonts w:hAnsi="宋体" w:cs="宋体"/>
          <w:color w:val="000000" w:themeColor="text1"/>
          <w:sz w:val="21"/>
          <w:highlight w:val="none"/>
          <w14:textFill>
            <w14:solidFill>
              <w14:schemeClr w14:val="tx1"/>
            </w14:solidFill>
          </w14:textFill>
        </w:rPr>
      </w:pPr>
      <w:r>
        <w:rPr>
          <w:rFonts w:hAnsi="宋体" w:cs="宋体"/>
          <w:color w:val="000000" w:themeColor="text1"/>
          <w:sz w:val="21"/>
          <w:highlight w:val="none"/>
          <w14:textFill>
            <w14:solidFill>
              <w14:schemeClr w14:val="tx1"/>
            </w14:solidFill>
          </w14:textFill>
        </w:rPr>
        <w:t>合计收费＝ 1.5</w:t>
      </w:r>
      <w:r>
        <w:rPr>
          <w:rFonts w:hint="eastAsia" w:hAnsi="宋体" w:cs="宋体"/>
          <w:color w:val="000000" w:themeColor="text1"/>
          <w:sz w:val="21"/>
          <w:highlight w:val="none"/>
          <w14:textFill>
            <w14:solidFill>
              <w14:schemeClr w14:val="tx1"/>
            </w14:solidFill>
          </w14:textFill>
        </w:rPr>
        <w:t>+</w:t>
      </w:r>
      <w:r>
        <w:rPr>
          <w:rFonts w:hAnsi="宋体" w:cs="宋体"/>
          <w:color w:val="000000" w:themeColor="text1"/>
          <w:sz w:val="21"/>
          <w:highlight w:val="none"/>
          <w14:textFill>
            <w14:solidFill>
              <w14:schemeClr w14:val="tx1"/>
            </w14:solidFill>
          </w14:textFill>
        </w:rPr>
        <w:t>1.1＝ 2.6 （万元）</w:t>
      </w:r>
    </w:p>
    <w:p w14:paraId="0EFC81D4">
      <w:pPr>
        <w:pStyle w:val="8"/>
        <w:keepNext w:val="0"/>
        <w:keepLines w:val="0"/>
        <w:spacing w:before="0" w:after="0" w:line="360" w:lineRule="auto"/>
        <w:rPr>
          <w:rFonts w:ascii="黑体" w:hAnsi="黑体" w:eastAsia="黑体"/>
          <w:color w:val="000000" w:themeColor="text1"/>
          <w:sz w:val="24"/>
          <w:highlight w:val="none"/>
          <w14:textFill>
            <w14:solidFill>
              <w14:schemeClr w14:val="tx1"/>
            </w14:solidFill>
          </w14:textFill>
        </w:rPr>
      </w:pPr>
      <w:r>
        <w:rPr>
          <w:rFonts w:ascii="黑体" w:hAnsi="黑体" w:eastAsia="黑体"/>
          <w:color w:val="000000" w:themeColor="text1"/>
          <w:sz w:val="24"/>
          <w:highlight w:val="none"/>
          <w14:textFill>
            <w14:solidFill>
              <w14:schemeClr w14:val="tx1"/>
            </w14:solidFill>
          </w14:textFill>
        </w:rPr>
        <w:t>40. 需要补充的其他内容</w:t>
      </w:r>
    </w:p>
    <w:p w14:paraId="2AFA978E">
      <w:pPr>
        <w:pStyle w:val="27"/>
        <w:spacing w:line="360" w:lineRule="auto"/>
        <w:ind w:firstLine="420" w:firstLineChars="200"/>
        <w:contextualSpacing/>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40.1本招标文件解释规则详见“投标人须知前附表”。</w:t>
      </w:r>
    </w:p>
    <w:p w14:paraId="54C6198C">
      <w:pPr>
        <w:pStyle w:val="27"/>
        <w:spacing w:line="360" w:lineRule="auto"/>
        <w:ind w:firstLine="420" w:firstLineChars="200"/>
        <w:contextualSpacing/>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40.2 其他事项详见“投标人须知前附表”。</w:t>
      </w:r>
    </w:p>
    <w:p w14:paraId="2FFDC458">
      <w:pPr>
        <w:pStyle w:val="27"/>
        <w:spacing w:line="360" w:lineRule="auto"/>
        <w:ind w:firstLine="420" w:firstLineChars="200"/>
        <w:contextualSpacing/>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40.3</w:t>
      </w:r>
      <w:bookmarkStart w:id="138" w:name="_Hlk65857140"/>
      <w:r>
        <w:rPr>
          <w:rFonts w:hint="eastAsia" w:hAnsi="宋体" w:cs="宋体"/>
          <w:color w:val="000000" w:themeColor="text1"/>
          <w:sz w:val="21"/>
          <w:highlight w:val="none"/>
          <w14:textFill>
            <w14:solidFill>
              <w14:schemeClr w14:val="tx1"/>
            </w14:solidFill>
          </w14:textFill>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45F2EAE2">
      <w:pPr>
        <w:pStyle w:val="27"/>
        <w:spacing w:line="360" w:lineRule="auto"/>
        <w:ind w:firstLine="420" w:firstLineChars="200"/>
        <w:contextualSpacing/>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（1）在货物采购项目中，货物由中小企业制造，即货物由中小企业生产且使用该中小企业商号或者注册商标，不对其中涉及的工程承建商和服务的承接商作出要求；</w:t>
      </w:r>
    </w:p>
    <w:p w14:paraId="12C7AADC">
      <w:pPr>
        <w:pStyle w:val="27"/>
        <w:spacing w:line="360" w:lineRule="auto"/>
        <w:ind w:firstLine="420" w:firstLineChars="200"/>
        <w:contextualSpacing/>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（2）在工程采购项目中，工程由中小企业承建，即工程施工单位为中小企业，不对其中涉及的货物的制造商和服务的承接商作出要求；</w:t>
      </w:r>
    </w:p>
    <w:p w14:paraId="1FB02F34">
      <w:pPr>
        <w:pStyle w:val="27"/>
        <w:spacing w:line="360" w:lineRule="auto"/>
        <w:ind w:firstLine="420" w:firstLineChars="200"/>
        <w:contextualSpacing/>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（3）在服务采购项目中，服务由中小企业承接，即提供服务的人员为中小企业依照《中华人民共和国劳动合同法》订立劳动合同的从业人员，不对其中涉及的货物的制造商和工程承建商作出要求。</w:t>
      </w:r>
    </w:p>
    <w:p w14:paraId="6607D2E5">
      <w:pPr>
        <w:pStyle w:val="27"/>
        <w:spacing w:line="360" w:lineRule="auto"/>
        <w:ind w:firstLine="420" w:firstLineChars="200"/>
        <w:contextualSpacing/>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2E3501C9">
      <w:pPr>
        <w:pStyle w:val="27"/>
        <w:spacing w:line="360" w:lineRule="auto"/>
        <w:ind w:firstLine="420" w:firstLineChars="200"/>
        <w:contextualSpacing/>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依据本招标文件规定享受扶持政策获得政府采购合同的，小微企业不得将合同分包给大中型企业，中型企业不得将合同分包给大型企业。</w:t>
      </w:r>
      <w:bookmarkEnd w:id="138"/>
    </w:p>
    <w:p w14:paraId="39C55867">
      <w:pPr>
        <w:pStyle w:val="21"/>
        <w:ind w:left="479" w:leftChars="114" w:hanging="240" w:hangingChars="100"/>
        <w:rPr>
          <w:rFonts w:hint="eastAsia" w:hAnsi="宋体"/>
          <w:color w:val="000000" w:themeColor="text1"/>
          <w:highlight w:val="none"/>
          <w14:textFill>
            <w14:solidFill>
              <w14:schemeClr w14:val="tx1"/>
            </w14:solidFill>
          </w14:textFill>
        </w:rPr>
      </w:pPr>
    </w:p>
    <w:p w14:paraId="46719463">
      <w:pPr>
        <w:pStyle w:val="27"/>
        <w:snapToGrid w:val="0"/>
        <w:spacing w:before="120" w:after="120"/>
        <w:rPr>
          <w:rFonts w:hint="eastAsia" w:hAnsi="宋体"/>
          <w:color w:val="000000" w:themeColor="text1"/>
          <w:highlight w:val="none"/>
          <w14:textFill>
            <w14:solidFill>
              <w14:schemeClr w14:val="tx1"/>
            </w14:solidFill>
          </w14:textFill>
        </w:rPr>
      </w:pPr>
    </w:p>
    <w:p w14:paraId="4F6B01FC">
      <w:pPr>
        <w:pStyle w:val="27"/>
        <w:snapToGrid w:val="0"/>
        <w:spacing w:before="120" w:after="120"/>
        <w:rPr>
          <w:rFonts w:hint="eastAsia" w:hAnsi="宋体"/>
          <w:color w:val="000000" w:themeColor="text1"/>
          <w:highlight w:val="none"/>
          <w14:textFill>
            <w14:solidFill>
              <w14:schemeClr w14:val="tx1"/>
            </w14:solidFill>
          </w14:textFill>
        </w:rPr>
      </w:pPr>
    </w:p>
    <w:p w14:paraId="1B1B8CA0">
      <w:pPr>
        <w:pStyle w:val="27"/>
        <w:snapToGrid w:val="0"/>
        <w:spacing w:before="120" w:after="120"/>
        <w:rPr>
          <w:rFonts w:hint="eastAsia" w:hAnsi="宋体"/>
          <w:color w:val="000000" w:themeColor="text1"/>
          <w:highlight w:val="none"/>
          <w14:textFill>
            <w14:solidFill>
              <w14:schemeClr w14:val="tx1"/>
            </w14:solidFill>
          </w14:textFill>
        </w:rPr>
      </w:pPr>
    </w:p>
    <w:p w14:paraId="2B33F338">
      <w:pPr>
        <w:pStyle w:val="27"/>
        <w:snapToGrid w:val="0"/>
        <w:spacing w:before="120" w:after="120"/>
        <w:rPr>
          <w:rFonts w:hint="eastAsia" w:hAnsi="宋体"/>
          <w:color w:val="000000" w:themeColor="text1"/>
          <w:highlight w:val="none"/>
          <w14:textFill>
            <w14:solidFill>
              <w14:schemeClr w14:val="tx1"/>
            </w14:solidFill>
          </w14:textFill>
        </w:rPr>
      </w:pPr>
    </w:p>
    <w:p w14:paraId="09964017">
      <w:pPr>
        <w:pStyle w:val="27"/>
        <w:snapToGrid w:val="0"/>
        <w:spacing w:before="120" w:after="120"/>
        <w:rPr>
          <w:rFonts w:hint="eastAsia" w:hAnsi="宋体"/>
          <w:color w:val="000000" w:themeColor="text1"/>
          <w:highlight w:val="none"/>
          <w14:textFill>
            <w14:solidFill>
              <w14:schemeClr w14:val="tx1"/>
            </w14:solidFill>
          </w14:textFill>
        </w:rPr>
      </w:pPr>
    </w:p>
    <w:p w14:paraId="437D3FC0">
      <w:pPr>
        <w:pStyle w:val="27"/>
        <w:snapToGrid w:val="0"/>
        <w:spacing w:before="120" w:after="120"/>
        <w:rPr>
          <w:rFonts w:hint="eastAsia" w:hAnsi="宋体"/>
          <w:color w:val="000000" w:themeColor="text1"/>
          <w:highlight w:val="none"/>
          <w14:textFill>
            <w14:solidFill>
              <w14:schemeClr w14:val="tx1"/>
            </w14:solidFill>
          </w14:textFill>
        </w:rPr>
      </w:pPr>
    </w:p>
    <w:p w14:paraId="4A8B2811">
      <w:pPr>
        <w:pStyle w:val="27"/>
        <w:snapToGrid w:val="0"/>
        <w:spacing w:before="120" w:after="120"/>
        <w:rPr>
          <w:rFonts w:hint="eastAsia" w:hAnsi="宋体"/>
          <w:color w:val="000000" w:themeColor="text1"/>
          <w:highlight w:val="none"/>
          <w14:textFill>
            <w14:solidFill>
              <w14:schemeClr w14:val="tx1"/>
            </w14:solidFill>
          </w14:textFill>
        </w:rPr>
      </w:pPr>
    </w:p>
    <w:p w14:paraId="7173A428">
      <w:pPr>
        <w:pStyle w:val="27"/>
        <w:snapToGrid w:val="0"/>
        <w:spacing w:before="120" w:after="120"/>
        <w:rPr>
          <w:rFonts w:hint="eastAsia" w:hAnsi="宋体"/>
          <w:color w:val="000000" w:themeColor="text1"/>
          <w:highlight w:val="none"/>
          <w14:textFill>
            <w14:solidFill>
              <w14:schemeClr w14:val="tx1"/>
            </w14:solidFill>
          </w14:textFill>
        </w:rPr>
      </w:pPr>
    </w:p>
    <w:p w14:paraId="4870369F">
      <w:pPr>
        <w:pStyle w:val="27"/>
        <w:snapToGrid w:val="0"/>
        <w:spacing w:before="120" w:after="120"/>
        <w:rPr>
          <w:rFonts w:hint="eastAsia" w:hAnsi="宋体"/>
          <w:color w:val="000000" w:themeColor="text1"/>
          <w:highlight w:val="none"/>
          <w14:textFill>
            <w14:solidFill>
              <w14:schemeClr w14:val="tx1"/>
            </w14:solidFill>
          </w14:textFill>
        </w:rPr>
      </w:pPr>
    </w:p>
    <w:p w14:paraId="45E13913">
      <w:pPr>
        <w:pStyle w:val="27"/>
        <w:snapToGrid w:val="0"/>
        <w:spacing w:before="120" w:after="120"/>
        <w:rPr>
          <w:rFonts w:hint="eastAsia" w:hAnsi="宋体"/>
          <w:color w:val="000000" w:themeColor="text1"/>
          <w:highlight w:val="none"/>
          <w14:textFill>
            <w14:solidFill>
              <w14:schemeClr w14:val="tx1"/>
            </w14:solidFill>
          </w14:textFill>
        </w:rPr>
      </w:pPr>
    </w:p>
    <w:p w14:paraId="7F3549F8">
      <w:pPr>
        <w:pStyle w:val="27"/>
        <w:snapToGrid w:val="0"/>
        <w:spacing w:before="120" w:after="120"/>
        <w:rPr>
          <w:rFonts w:hint="eastAsia" w:hAnsi="宋体"/>
          <w:color w:val="000000" w:themeColor="text1"/>
          <w:highlight w:val="none"/>
          <w14:textFill>
            <w14:solidFill>
              <w14:schemeClr w14:val="tx1"/>
            </w14:solidFill>
          </w14:textFill>
        </w:rPr>
      </w:pPr>
    </w:p>
    <w:p w14:paraId="1A7F8122">
      <w:pPr>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br w:type="page"/>
      </w:r>
    </w:p>
    <w:p w14:paraId="006A6C2B">
      <w:pPr>
        <w:pStyle w:val="27"/>
        <w:snapToGrid w:val="0"/>
        <w:spacing w:before="120" w:after="120"/>
        <w:rPr>
          <w:rFonts w:hint="eastAsia" w:hAnsi="宋体"/>
          <w:color w:val="000000" w:themeColor="text1"/>
          <w:highlight w:val="none"/>
          <w14:textFill>
            <w14:solidFill>
              <w14:schemeClr w14:val="tx1"/>
            </w14:solidFill>
          </w14:textFill>
        </w:rPr>
      </w:pPr>
    </w:p>
    <w:p w14:paraId="79D2A3AE">
      <w:pPr>
        <w:pStyle w:val="27"/>
        <w:snapToGrid w:val="0"/>
        <w:spacing w:before="120" w:after="120"/>
        <w:rPr>
          <w:rFonts w:hint="eastAsia" w:hAnsi="宋体"/>
          <w:color w:val="000000" w:themeColor="text1"/>
          <w:highlight w:val="none"/>
          <w14:textFill>
            <w14:solidFill>
              <w14:schemeClr w14:val="tx1"/>
            </w14:solidFill>
          </w14:textFill>
        </w:rPr>
      </w:pPr>
    </w:p>
    <w:p w14:paraId="7D7F9A99">
      <w:pPr>
        <w:pStyle w:val="27"/>
        <w:snapToGrid w:val="0"/>
        <w:spacing w:before="120" w:after="120"/>
        <w:rPr>
          <w:rFonts w:hint="eastAsia" w:hAnsi="宋体"/>
          <w:color w:val="000000" w:themeColor="text1"/>
          <w:highlight w:val="none"/>
          <w14:textFill>
            <w14:solidFill>
              <w14:schemeClr w14:val="tx1"/>
            </w14:solidFill>
          </w14:textFill>
        </w:rPr>
      </w:pPr>
    </w:p>
    <w:p w14:paraId="532E1273">
      <w:pPr>
        <w:pStyle w:val="27"/>
        <w:snapToGrid w:val="0"/>
        <w:spacing w:before="120" w:after="120"/>
        <w:rPr>
          <w:rFonts w:hint="eastAsia" w:hAnsi="宋体"/>
          <w:color w:val="000000" w:themeColor="text1"/>
          <w:highlight w:val="none"/>
          <w14:textFill>
            <w14:solidFill>
              <w14:schemeClr w14:val="tx1"/>
            </w14:solidFill>
          </w14:textFill>
        </w:rPr>
      </w:pPr>
    </w:p>
    <w:p w14:paraId="64F9F5E7">
      <w:pPr>
        <w:pStyle w:val="27"/>
        <w:snapToGrid w:val="0"/>
        <w:spacing w:before="120" w:after="120"/>
        <w:rPr>
          <w:rFonts w:hint="eastAsia" w:hAnsi="宋体"/>
          <w:color w:val="000000" w:themeColor="text1"/>
          <w:highlight w:val="none"/>
          <w14:textFill>
            <w14:solidFill>
              <w14:schemeClr w14:val="tx1"/>
            </w14:solidFill>
          </w14:textFill>
        </w:rPr>
      </w:pPr>
    </w:p>
    <w:p w14:paraId="0D06A76D">
      <w:pPr>
        <w:pStyle w:val="27"/>
        <w:snapToGrid w:val="0"/>
        <w:spacing w:before="120" w:after="120"/>
        <w:rPr>
          <w:rFonts w:hint="eastAsia" w:hAnsi="宋体"/>
          <w:color w:val="000000" w:themeColor="text1"/>
          <w:highlight w:val="none"/>
          <w14:textFill>
            <w14:solidFill>
              <w14:schemeClr w14:val="tx1"/>
            </w14:solidFill>
          </w14:textFill>
        </w:rPr>
      </w:pPr>
    </w:p>
    <w:p w14:paraId="71129D48">
      <w:pPr>
        <w:pStyle w:val="27"/>
        <w:snapToGrid w:val="0"/>
        <w:spacing w:before="120" w:after="120"/>
        <w:rPr>
          <w:rFonts w:hint="eastAsia" w:hAnsi="宋体"/>
          <w:color w:val="000000" w:themeColor="text1"/>
          <w:highlight w:val="none"/>
          <w14:textFill>
            <w14:solidFill>
              <w14:schemeClr w14:val="tx1"/>
            </w14:solidFill>
          </w14:textFill>
        </w:rPr>
      </w:pPr>
    </w:p>
    <w:p w14:paraId="33CBDEA9">
      <w:pPr>
        <w:pStyle w:val="27"/>
        <w:snapToGrid w:val="0"/>
        <w:spacing w:before="120" w:after="120"/>
        <w:rPr>
          <w:rFonts w:hint="eastAsia" w:hAnsi="宋体"/>
          <w:color w:val="000000" w:themeColor="text1"/>
          <w:highlight w:val="none"/>
          <w14:textFill>
            <w14:solidFill>
              <w14:schemeClr w14:val="tx1"/>
            </w14:solidFill>
          </w14:textFill>
        </w:rPr>
      </w:pPr>
    </w:p>
    <w:p w14:paraId="114DD7C5">
      <w:pPr>
        <w:pStyle w:val="27"/>
        <w:snapToGrid w:val="0"/>
        <w:spacing w:before="120" w:after="120"/>
        <w:rPr>
          <w:rFonts w:hint="eastAsia" w:hAnsi="宋体"/>
          <w:color w:val="000000" w:themeColor="text1"/>
          <w:highlight w:val="none"/>
          <w14:textFill>
            <w14:solidFill>
              <w14:schemeClr w14:val="tx1"/>
            </w14:solidFill>
          </w14:textFill>
        </w:rPr>
      </w:pPr>
    </w:p>
    <w:p w14:paraId="36EA416C">
      <w:pPr>
        <w:pStyle w:val="27"/>
        <w:snapToGrid w:val="0"/>
        <w:spacing w:before="120" w:after="120"/>
        <w:rPr>
          <w:rFonts w:hint="eastAsia" w:hAnsi="宋体"/>
          <w:color w:val="000000" w:themeColor="text1"/>
          <w:highlight w:val="none"/>
          <w14:textFill>
            <w14:solidFill>
              <w14:schemeClr w14:val="tx1"/>
            </w14:solidFill>
          </w14:textFill>
        </w:rPr>
      </w:pPr>
    </w:p>
    <w:p w14:paraId="581A3F05">
      <w:pPr>
        <w:pStyle w:val="4"/>
        <w:jc w:val="center"/>
        <w:rPr>
          <w:rFonts w:hint="eastAsia"/>
          <w:color w:val="000000" w:themeColor="text1"/>
          <w:highlight w:val="none"/>
          <w14:textFill>
            <w14:solidFill>
              <w14:schemeClr w14:val="tx1"/>
            </w14:solidFill>
          </w14:textFill>
        </w:rPr>
      </w:pPr>
      <w:bookmarkStart w:id="139" w:name="_Toc254970689"/>
      <w:bookmarkStart w:id="140" w:name="_Toc330456896"/>
      <w:bookmarkStart w:id="141" w:name="_Toc254970548"/>
      <w:bookmarkStart w:id="142" w:name="_Toc74320803"/>
      <w:r>
        <w:rPr>
          <w:rFonts w:hint="eastAsia"/>
          <w:color w:val="000000" w:themeColor="text1"/>
          <w:highlight w:val="none"/>
          <w14:textFill>
            <w14:solidFill>
              <w14:schemeClr w14:val="tx1"/>
            </w14:solidFill>
          </w14:textFill>
        </w:rPr>
        <w:t>第四章  评标方法及评标标准</w:t>
      </w:r>
      <w:bookmarkEnd w:id="139"/>
      <w:bookmarkEnd w:id="140"/>
      <w:bookmarkEnd w:id="141"/>
      <w:bookmarkEnd w:id="142"/>
    </w:p>
    <w:p w14:paraId="0C0ED16E">
      <w:pPr>
        <w:pStyle w:val="27"/>
        <w:spacing w:before="120" w:after="120"/>
        <w:outlineLvl w:val="0"/>
        <w:rPr>
          <w:rFonts w:hint="eastAsia" w:hAnsi="宋体"/>
          <w:b/>
          <w:color w:val="000000" w:themeColor="text1"/>
          <w:highlight w:val="none"/>
          <w14:textFill>
            <w14:solidFill>
              <w14:schemeClr w14:val="tx1"/>
            </w14:solidFill>
          </w14:textFill>
        </w:rPr>
      </w:pPr>
      <w:bookmarkStart w:id="143" w:name="_Toc254970549"/>
      <w:bookmarkStart w:id="144" w:name="_Toc254970690"/>
    </w:p>
    <w:bookmarkEnd w:id="143"/>
    <w:bookmarkEnd w:id="144"/>
    <w:p w14:paraId="35B1187A">
      <w:pPr>
        <w:pStyle w:val="27"/>
        <w:spacing w:before="120" w:after="120"/>
        <w:outlineLvl w:val="0"/>
        <w:rPr>
          <w:rFonts w:hint="eastAsia" w:hAnsi="宋体"/>
          <w:bCs/>
          <w:color w:val="000000" w:themeColor="text1"/>
          <w:sz w:val="32"/>
          <w:szCs w:val="32"/>
          <w:highlight w:val="none"/>
          <w14:textFill>
            <w14:solidFill>
              <w14:schemeClr w14:val="tx1"/>
            </w14:solidFill>
          </w14:textFill>
        </w:rPr>
      </w:pPr>
    </w:p>
    <w:p w14:paraId="65BC8C3C">
      <w:pPr>
        <w:pStyle w:val="27"/>
        <w:spacing w:before="120" w:after="120"/>
        <w:outlineLvl w:val="0"/>
        <w:rPr>
          <w:rFonts w:hint="eastAsia" w:hAnsi="宋体"/>
          <w:bCs/>
          <w:color w:val="000000" w:themeColor="text1"/>
          <w:sz w:val="32"/>
          <w:szCs w:val="32"/>
          <w:highlight w:val="none"/>
          <w14:textFill>
            <w14:solidFill>
              <w14:schemeClr w14:val="tx1"/>
            </w14:solidFill>
          </w14:textFill>
        </w:rPr>
      </w:pPr>
    </w:p>
    <w:p w14:paraId="447497DD">
      <w:pPr>
        <w:pStyle w:val="27"/>
        <w:spacing w:before="120" w:after="120"/>
        <w:outlineLvl w:val="0"/>
        <w:rPr>
          <w:rFonts w:hint="eastAsia" w:hAnsi="宋体"/>
          <w:bCs/>
          <w:color w:val="000000" w:themeColor="text1"/>
          <w:sz w:val="32"/>
          <w:szCs w:val="32"/>
          <w:highlight w:val="none"/>
          <w14:textFill>
            <w14:solidFill>
              <w14:schemeClr w14:val="tx1"/>
            </w14:solidFill>
          </w14:textFill>
        </w:rPr>
      </w:pPr>
    </w:p>
    <w:p w14:paraId="0E87FFAD">
      <w:pPr>
        <w:spacing w:before="120" w:beforeLines="50" w:after="120" w:afterLines="50" w:line="400" w:lineRule="exact"/>
        <w:rPr>
          <w:rFonts w:hint="eastAsia" w:ascii="宋体" w:hAnsi="宋体"/>
          <w:b/>
          <w:color w:val="000000" w:themeColor="text1"/>
          <w:sz w:val="24"/>
          <w:highlight w:val="none"/>
          <w14:textFill>
            <w14:solidFill>
              <w14:schemeClr w14:val="tx1"/>
            </w14:solidFill>
          </w14:textFill>
        </w:rPr>
      </w:pPr>
    </w:p>
    <w:p w14:paraId="281606F5">
      <w:pPr>
        <w:spacing w:before="120" w:beforeLines="50" w:after="120" w:afterLines="50" w:line="400" w:lineRule="exact"/>
        <w:rPr>
          <w:rFonts w:hint="eastAsia" w:ascii="宋体" w:hAnsi="宋体"/>
          <w:b/>
          <w:color w:val="000000" w:themeColor="text1"/>
          <w:sz w:val="24"/>
          <w:highlight w:val="none"/>
          <w14:textFill>
            <w14:solidFill>
              <w14:schemeClr w14:val="tx1"/>
            </w14:solidFill>
          </w14:textFill>
        </w:rPr>
      </w:pPr>
    </w:p>
    <w:p w14:paraId="6E8A1BC2">
      <w:pPr>
        <w:spacing w:before="120" w:beforeLines="50" w:after="120" w:afterLines="50" w:line="400" w:lineRule="exact"/>
        <w:rPr>
          <w:rFonts w:hint="eastAsia" w:ascii="宋体" w:hAnsi="宋体"/>
          <w:b/>
          <w:color w:val="000000" w:themeColor="text1"/>
          <w:sz w:val="24"/>
          <w:highlight w:val="none"/>
          <w14:textFill>
            <w14:solidFill>
              <w14:schemeClr w14:val="tx1"/>
            </w14:solidFill>
          </w14:textFill>
        </w:rPr>
      </w:pPr>
    </w:p>
    <w:p w14:paraId="48BC56E9">
      <w:pPr>
        <w:spacing w:before="120" w:beforeLines="50" w:after="120" w:afterLines="50" w:line="400" w:lineRule="exact"/>
        <w:rPr>
          <w:rFonts w:hint="eastAsia" w:ascii="宋体" w:hAnsi="宋体"/>
          <w:b/>
          <w:color w:val="000000" w:themeColor="text1"/>
          <w:sz w:val="24"/>
          <w:highlight w:val="none"/>
          <w14:textFill>
            <w14:solidFill>
              <w14:schemeClr w14:val="tx1"/>
            </w14:solidFill>
          </w14:textFill>
        </w:rPr>
      </w:pPr>
    </w:p>
    <w:p w14:paraId="103FC954">
      <w:pPr>
        <w:spacing w:before="120" w:beforeLines="50" w:after="120" w:afterLines="50" w:line="400" w:lineRule="exact"/>
        <w:rPr>
          <w:rFonts w:hint="eastAsia" w:ascii="宋体" w:hAnsi="宋体"/>
          <w:b/>
          <w:color w:val="000000" w:themeColor="text1"/>
          <w:sz w:val="24"/>
          <w:highlight w:val="none"/>
          <w14:textFill>
            <w14:solidFill>
              <w14:schemeClr w14:val="tx1"/>
            </w14:solidFill>
          </w14:textFill>
        </w:rPr>
      </w:pPr>
    </w:p>
    <w:p w14:paraId="08E1EC23">
      <w:pPr>
        <w:spacing w:before="120" w:beforeLines="50" w:after="120" w:afterLines="50" w:line="400" w:lineRule="exact"/>
        <w:rPr>
          <w:rFonts w:hint="eastAsia" w:ascii="宋体" w:hAnsi="宋体"/>
          <w:b/>
          <w:color w:val="000000" w:themeColor="text1"/>
          <w:sz w:val="24"/>
          <w:highlight w:val="none"/>
          <w14:textFill>
            <w14:solidFill>
              <w14:schemeClr w14:val="tx1"/>
            </w14:solidFill>
          </w14:textFill>
        </w:rPr>
      </w:pPr>
    </w:p>
    <w:p w14:paraId="447781ED">
      <w:pPr>
        <w:spacing w:before="120" w:beforeLines="50" w:after="120" w:afterLines="50" w:line="400" w:lineRule="exact"/>
        <w:rPr>
          <w:rFonts w:hint="eastAsia" w:ascii="宋体" w:hAnsi="宋体"/>
          <w:b/>
          <w:color w:val="000000" w:themeColor="text1"/>
          <w:sz w:val="24"/>
          <w:highlight w:val="none"/>
          <w14:textFill>
            <w14:solidFill>
              <w14:schemeClr w14:val="tx1"/>
            </w14:solidFill>
          </w14:textFill>
        </w:rPr>
      </w:pPr>
    </w:p>
    <w:p w14:paraId="5D0B625E">
      <w:pPr>
        <w:pStyle w:val="27"/>
        <w:spacing w:line="360" w:lineRule="exact"/>
        <w:rPr>
          <w:rFonts w:hint="eastAsia" w:hAnsi="宋体"/>
          <w:b/>
          <w:color w:val="000000" w:themeColor="text1"/>
          <w:sz w:val="24"/>
          <w:highlight w:val="none"/>
          <w14:textFill>
            <w14:solidFill>
              <w14:schemeClr w14:val="tx1"/>
            </w14:solidFill>
          </w14:textFill>
        </w:rPr>
      </w:pPr>
      <w:r>
        <w:rPr>
          <w:rFonts w:hAnsi="宋体"/>
          <w:b/>
          <w:color w:val="000000" w:themeColor="text1"/>
          <w:sz w:val="24"/>
          <w:highlight w:val="none"/>
          <w14:textFill>
            <w14:solidFill>
              <w14:schemeClr w14:val="tx1"/>
            </w14:solidFill>
          </w14:textFill>
        </w:rPr>
        <w:br w:type="page"/>
      </w:r>
    </w:p>
    <w:p w14:paraId="6335C9E0">
      <w:pPr>
        <w:pStyle w:val="6"/>
        <w:keepNext w:val="0"/>
        <w:keepLines w:val="0"/>
        <w:jc w:val="center"/>
        <w:rPr>
          <w:color w:val="000000" w:themeColor="text1"/>
          <w:sz w:val="30"/>
          <w:szCs w:val="30"/>
          <w:highlight w:val="none"/>
          <w14:textFill>
            <w14:solidFill>
              <w14:schemeClr w14:val="tx1"/>
            </w14:solidFill>
          </w14:textFill>
        </w:rPr>
      </w:pPr>
      <w:r>
        <w:rPr>
          <w:rFonts w:hint="eastAsia"/>
          <w:color w:val="000000" w:themeColor="text1"/>
          <w:sz w:val="30"/>
          <w:szCs w:val="30"/>
          <w:highlight w:val="none"/>
          <w14:textFill>
            <w14:solidFill>
              <w14:schemeClr w14:val="tx1"/>
            </w14:solidFill>
          </w14:textFill>
        </w:rPr>
        <w:t>一、评标方法</w:t>
      </w:r>
    </w:p>
    <w:p w14:paraId="00E858D2">
      <w:pPr>
        <w:pStyle w:val="27"/>
        <w:spacing w:line="360" w:lineRule="auto"/>
        <w:ind w:firstLine="42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综合评分法，是指投标文件满足招标文件全部实质性要求，且按照评审因素的量化指标评审得分最高的投标人为中标候选人的评标方法。</w:t>
      </w:r>
    </w:p>
    <w:p w14:paraId="1D24899E">
      <w:pPr>
        <w:pStyle w:val="6"/>
        <w:keepNext w:val="0"/>
        <w:keepLines w:val="0"/>
        <w:jc w:val="center"/>
        <w:rPr>
          <w:rFonts w:hint="eastAsia"/>
          <w:color w:val="000000" w:themeColor="text1"/>
          <w:sz w:val="30"/>
          <w:szCs w:val="30"/>
          <w:highlight w:val="none"/>
          <w14:textFill>
            <w14:solidFill>
              <w14:schemeClr w14:val="tx1"/>
            </w14:solidFill>
          </w14:textFill>
        </w:rPr>
      </w:pPr>
      <w:r>
        <w:rPr>
          <w:rFonts w:hint="eastAsia"/>
          <w:color w:val="000000" w:themeColor="text1"/>
          <w:sz w:val="30"/>
          <w:szCs w:val="30"/>
          <w:highlight w:val="none"/>
          <w14:textFill>
            <w14:solidFill>
              <w14:schemeClr w14:val="tx1"/>
            </w14:solidFill>
          </w14:textFill>
        </w:rPr>
        <w:t>二、评标程序</w:t>
      </w:r>
    </w:p>
    <w:p w14:paraId="4C25478B">
      <w:pPr>
        <w:pStyle w:val="8"/>
        <w:keepNext w:val="0"/>
        <w:keepLines w:val="0"/>
        <w:spacing w:before="0" w:after="0" w:line="360" w:lineRule="auto"/>
        <w:ind w:left="420" w:leftChars="200"/>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1.符合性审查</w:t>
      </w:r>
    </w:p>
    <w:p w14:paraId="65E35F6D">
      <w:pPr>
        <w:pStyle w:val="27"/>
        <w:snapToGrid w:val="0"/>
        <w:spacing w:line="360" w:lineRule="auto"/>
        <w:ind w:left="1" w:firstLine="420"/>
        <w:rPr>
          <w:rFonts w:hint="eastAsia" w:hAnsi="宋体"/>
          <w:b/>
          <w:color w:val="000000" w:themeColor="text1"/>
          <w:kern w:val="2"/>
          <w:sz w:val="21"/>
          <w:highlight w:val="none"/>
          <w14:textFill>
            <w14:solidFill>
              <w14:schemeClr w14:val="tx1"/>
            </w14:solidFill>
          </w14:textFill>
        </w:rPr>
      </w:pPr>
      <w:r>
        <w:rPr>
          <w:rFonts w:hint="eastAsia" w:hAnsi="宋体"/>
          <w:b/>
          <w:color w:val="000000" w:themeColor="text1"/>
          <w:kern w:val="2"/>
          <w:sz w:val="21"/>
          <w:highlight w:val="none"/>
          <w14:textFill>
            <w14:solidFill>
              <w14:schemeClr w14:val="tx1"/>
            </w14:solidFill>
          </w14:textFill>
        </w:rPr>
        <w:t>评标委员会应当对符合资格的投标人的投标文件进行投标报价、商务、技术等实质性内容符合性审查，以确定其是否满足招标文件的实质性要求。</w:t>
      </w:r>
    </w:p>
    <w:p w14:paraId="372A56F3">
      <w:pPr>
        <w:pStyle w:val="8"/>
        <w:keepNext w:val="0"/>
        <w:keepLines w:val="0"/>
        <w:spacing w:before="0" w:after="0" w:line="360" w:lineRule="auto"/>
        <w:ind w:left="420" w:leftChars="200"/>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2</w:t>
      </w:r>
      <w:r>
        <w:rPr>
          <w:rFonts w:ascii="宋体" w:hAnsi="宋体"/>
          <w:color w:val="000000" w:themeColor="text1"/>
          <w:sz w:val="21"/>
          <w:szCs w:val="21"/>
          <w:highlight w:val="none"/>
          <w14:textFill>
            <w14:solidFill>
              <w14:schemeClr w14:val="tx1"/>
            </w14:solidFill>
          </w14:textFill>
        </w:rPr>
        <w:t>.</w:t>
      </w:r>
      <w:r>
        <w:rPr>
          <w:rFonts w:hint="eastAsia" w:ascii="宋体" w:hAnsi="宋体"/>
          <w:color w:val="000000" w:themeColor="text1"/>
          <w:sz w:val="21"/>
          <w:szCs w:val="21"/>
          <w:highlight w:val="none"/>
          <w14:textFill>
            <w14:solidFill>
              <w14:schemeClr w14:val="tx1"/>
            </w14:solidFill>
          </w14:textFill>
        </w:rPr>
        <w:t>符合性审查不通过而导致投标无效的情形</w:t>
      </w:r>
    </w:p>
    <w:p w14:paraId="5301E967">
      <w:pPr>
        <w:snapToGrid w:val="0"/>
        <w:spacing w:line="360" w:lineRule="auto"/>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投标人的投标文件中存在对招标文件的任何实质性要求和条件的负偏离，将被视为投标无效。</w:t>
      </w:r>
    </w:p>
    <w:p w14:paraId="2E34C8F5">
      <w:pPr>
        <w:pStyle w:val="8"/>
        <w:keepNext w:val="0"/>
        <w:keepLines w:val="0"/>
        <w:spacing w:before="0" w:after="0" w:line="360" w:lineRule="auto"/>
        <w:ind w:left="420" w:leftChars="200"/>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2.1在报价评审时，如发现下列情形之一的，将被视为投标无效：</w:t>
      </w:r>
    </w:p>
    <w:p w14:paraId="67C881D3">
      <w:pPr>
        <w:pStyle w:val="9"/>
        <w:numPr>
          <w:ilvl w:val="0"/>
          <w:numId w:val="13"/>
        </w:numPr>
        <w:spacing w:line="360" w:lineRule="auto"/>
        <w:ind w:firstLine="422"/>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pacing w:val="-6"/>
          <w:szCs w:val="21"/>
          <w:highlight w:val="none"/>
          <w14:textFill>
            <w14:solidFill>
              <w14:schemeClr w14:val="tx1"/>
            </w14:solidFill>
          </w14:textFill>
        </w:rPr>
        <w:t>报价文件</w:t>
      </w:r>
      <w:r>
        <w:rPr>
          <w:rFonts w:hint="eastAsia" w:ascii="宋体" w:hAnsi="宋体"/>
          <w:b/>
          <w:color w:val="000000" w:themeColor="text1"/>
          <w:szCs w:val="21"/>
          <w:highlight w:val="none"/>
          <w14:textFill>
            <w14:solidFill>
              <w14:schemeClr w14:val="tx1"/>
            </w14:solidFill>
          </w14:textFill>
        </w:rPr>
        <w:t>未提供“投标人须知前附表”第13条“报价文件”规定中“必须提供”的文件资料的；</w:t>
      </w:r>
    </w:p>
    <w:p w14:paraId="5C13A9FE">
      <w:pPr>
        <w:pStyle w:val="9"/>
        <w:numPr>
          <w:ilvl w:val="0"/>
          <w:numId w:val="13"/>
        </w:numPr>
        <w:spacing w:line="360" w:lineRule="auto"/>
        <w:ind w:firstLine="422"/>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未采用人民币报价或者未按照招标文件标明的币种报价的；</w:t>
      </w:r>
    </w:p>
    <w:p w14:paraId="0C5667BD">
      <w:pPr>
        <w:pStyle w:val="9"/>
        <w:numPr>
          <w:ilvl w:val="0"/>
          <w:numId w:val="13"/>
        </w:numPr>
        <w:spacing w:line="360" w:lineRule="auto"/>
        <w:ind w:firstLine="422"/>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各分标报价超出招标文件相应分标规定最高限价，或者超出相应分标采购预算金额的；</w:t>
      </w:r>
    </w:p>
    <w:p w14:paraId="7B8008B3">
      <w:pPr>
        <w:pStyle w:val="9"/>
        <w:numPr>
          <w:ilvl w:val="0"/>
          <w:numId w:val="13"/>
        </w:numPr>
        <w:spacing w:line="360" w:lineRule="auto"/>
        <w:ind w:firstLine="422"/>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52C68EB6">
      <w:pPr>
        <w:pStyle w:val="9"/>
        <w:numPr>
          <w:ilvl w:val="0"/>
          <w:numId w:val="13"/>
        </w:numPr>
        <w:spacing w:line="360" w:lineRule="auto"/>
        <w:ind w:firstLine="422"/>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修正后的报价，投标人不确认的；</w:t>
      </w:r>
    </w:p>
    <w:p w14:paraId="61E0684F">
      <w:pPr>
        <w:pStyle w:val="9"/>
        <w:numPr>
          <w:ilvl w:val="0"/>
          <w:numId w:val="13"/>
        </w:numPr>
        <w:spacing w:line="360" w:lineRule="auto"/>
        <w:ind w:firstLine="422"/>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投标人属于本章第</w:t>
      </w:r>
      <w:r>
        <w:rPr>
          <w:rFonts w:ascii="宋体" w:hAnsi="宋体"/>
          <w:b/>
          <w:color w:val="000000" w:themeColor="text1"/>
          <w:szCs w:val="21"/>
          <w:highlight w:val="none"/>
          <w14:textFill>
            <w14:solidFill>
              <w14:schemeClr w14:val="tx1"/>
            </w14:solidFill>
          </w14:textFill>
        </w:rPr>
        <w:t>5.1</w:t>
      </w:r>
      <w:r>
        <w:rPr>
          <w:rFonts w:hint="eastAsia" w:ascii="宋体" w:hAnsi="宋体"/>
          <w:b/>
          <w:color w:val="000000" w:themeColor="text1"/>
          <w:szCs w:val="21"/>
          <w:highlight w:val="none"/>
          <w14:textFill>
            <w14:solidFill>
              <w14:schemeClr w14:val="tx1"/>
            </w14:solidFill>
          </w14:textFill>
        </w:rPr>
        <w:t>条（2）或者第5</w:t>
      </w:r>
      <w:r>
        <w:rPr>
          <w:rFonts w:ascii="宋体" w:hAnsi="宋体"/>
          <w:b/>
          <w:color w:val="000000" w:themeColor="text1"/>
          <w:szCs w:val="21"/>
          <w:highlight w:val="none"/>
          <w14:textFill>
            <w14:solidFill>
              <w14:schemeClr w14:val="tx1"/>
            </w14:solidFill>
          </w14:textFill>
        </w:rPr>
        <w:t>.2条</w:t>
      </w:r>
      <w:r>
        <w:rPr>
          <w:rFonts w:hint="eastAsia" w:ascii="宋体" w:hAnsi="宋体"/>
          <w:b/>
          <w:color w:val="000000" w:themeColor="text1"/>
          <w:szCs w:val="21"/>
          <w:highlight w:val="none"/>
          <w14:textFill>
            <w14:solidFill>
              <w14:schemeClr w14:val="tx1"/>
            </w14:solidFill>
          </w14:textFill>
        </w:rPr>
        <w:t>（2）项情形的；</w:t>
      </w:r>
    </w:p>
    <w:p w14:paraId="3C727B86">
      <w:pPr>
        <w:pStyle w:val="9"/>
        <w:numPr>
          <w:ilvl w:val="0"/>
          <w:numId w:val="13"/>
        </w:numPr>
        <w:spacing w:line="360" w:lineRule="auto"/>
        <w:ind w:firstLine="422"/>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pacing w:val="-6"/>
          <w:szCs w:val="21"/>
          <w:highlight w:val="none"/>
          <w14:textFill>
            <w14:solidFill>
              <w14:schemeClr w14:val="tx1"/>
            </w14:solidFill>
          </w14:textFill>
        </w:rPr>
        <w:t>报价文件</w:t>
      </w:r>
      <w:r>
        <w:rPr>
          <w:rFonts w:hint="eastAsia" w:ascii="宋体" w:hAnsi="宋体"/>
          <w:b/>
          <w:color w:val="000000" w:themeColor="text1"/>
          <w:szCs w:val="21"/>
          <w:highlight w:val="none"/>
          <w14:textFill>
            <w14:solidFill>
              <w14:schemeClr w14:val="tx1"/>
            </w14:solidFill>
          </w14:textFill>
        </w:rPr>
        <w:t>响应的标的数量及单位与招标文件要求实质性不一致的。</w:t>
      </w:r>
    </w:p>
    <w:p w14:paraId="59AAB315">
      <w:pPr>
        <w:pStyle w:val="8"/>
        <w:keepNext w:val="0"/>
        <w:keepLines w:val="0"/>
        <w:spacing w:before="0" w:after="0" w:line="360" w:lineRule="auto"/>
        <w:ind w:left="420" w:leftChars="200"/>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2.2在商务及技术评审时，如发现下列情形之一的，将被视为投标无效：</w:t>
      </w:r>
    </w:p>
    <w:p w14:paraId="7889AC02">
      <w:pPr>
        <w:numPr>
          <w:ilvl w:val="0"/>
          <w:numId w:val="14"/>
        </w:numPr>
        <w:snapToGrid w:val="0"/>
        <w:spacing w:line="360" w:lineRule="auto"/>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投标文件未按招标文件要求签署、盖章的；</w:t>
      </w:r>
    </w:p>
    <w:p w14:paraId="018FBDA4">
      <w:pPr>
        <w:numPr>
          <w:ilvl w:val="0"/>
          <w:numId w:val="14"/>
        </w:numPr>
        <w:snapToGrid w:val="0"/>
        <w:spacing w:line="360" w:lineRule="auto"/>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委托代理人未能出具有效身份证或者出具的身份证与授权委托书中的信息不符的；</w:t>
      </w:r>
    </w:p>
    <w:p w14:paraId="111B2C11">
      <w:pPr>
        <w:numPr>
          <w:ilvl w:val="0"/>
          <w:numId w:val="14"/>
        </w:numPr>
        <w:snapToGrid w:val="0"/>
        <w:spacing w:line="360" w:lineRule="auto"/>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为无效投标保证金的或者未按照招标文件的规定提交投标保证金的；</w:t>
      </w:r>
    </w:p>
    <w:p w14:paraId="26E58679">
      <w:pPr>
        <w:numPr>
          <w:ilvl w:val="0"/>
          <w:numId w:val="14"/>
        </w:numPr>
        <w:snapToGrid w:val="0"/>
        <w:spacing w:line="360" w:lineRule="auto"/>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投标文件未提供“投标人须知前附表”第13条“商务及技术文件”规定中“必须提供”或者“委托时必须提供”的文件资料的；</w:t>
      </w:r>
    </w:p>
    <w:p w14:paraId="019F26FF">
      <w:pPr>
        <w:numPr>
          <w:ilvl w:val="0"/>
          <w:numId w:val="14"/>
        </w:numPr>
        <w:snapToGrid w:val="0"/>
        <w:spacing w:line="360" w:lineRule="auto"/>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允许负偏离的条款数超过“投标人须知前附表”规定项数的；</w:t>
      </w:r>
    </w:p>
    <w:p w14:paraId="6058F1A5">
      <w:pPr>
        <w:numPr>
          <w:ilvl w:val="0"/>
          <w:numId w:val="14"/>
        </w:numPr>
        <w:snapToGrid w:val="0"/>
        <w:spacing w:line="360" w:lineRule="auto"/>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投标文件的实质性内容未使用中文表述、使用计量单位不符合招标文件要求的；</w:t>
      </w:r>
    </w:p>
    <w:p w14:paraId="5B95CC65">
      <w:pPr>
        <w:numPr>
          <w:ilvl w:val="0"/>
          <w:numId w:val="14"/>
        </w:numPr>
        <w:snapToGrid w:val="0"/>
        <w:spacing w:line="360" w:lineRule="auto"/>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投标文件中的文件资料因填写不齐全或者内容虚假或者出现其他情形而导致被评标委员会认定无效的；</w:t>
      </w:r>
    </w:p>
    <w:p w14:paraId="522DCC33">
      <w:pPr>
        <w:numPr>
          <w:ilvl w:val="0"/>
          <w:numId w:val="14"/>
        </w:numPr>
        <w:snapToGrid w:val="0"/>
        <w:spacing w:line="360" w:lineRule="auto"/>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投标文件含有采购人不能接受的附加条件的；</w:t>
      </w:r>
    </w:p>
    <w:p w14:paraId="79235D2F">
      <w:pPr>
        <w:numPr>
          <w:ilvl w:val="0"/>
          <w:numId w:val="14"/>
        </w:numPr>
        <w:snapToGrid w:val="0"/>
        <w:spacing w:line="360" w:lineRule="auto"/>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属于投标人须知正文第</w:t>
      </w:r>
      <w:r>
        <w:rPr>
          <w:rFonts w:ascii="宋体" w:hAnsi="宋体"/>
          <w:b/>
          <w:color w:val="000000" w:themeColor="text1"/>
          <w:szCs w:val="21"/>
          <w:highlight w:val="none"/>
          <w14:textFill>
            <w14:solidFill>
              <w14:schemeClr w14:val="tx1"/>
            </w14:solidFill>
          </w14:textFill>
        </w:rPr>
        <w:t>9.2</w:t>
      </w:r>
      <w:r>
        <w:rPr>
          <w:rFonts w:hint="eastAsia" w:ascii="宋体" w:hAnsi="宋体"/>
          <w:b/>
          <w:color w:val="000000" w:themeColor="text1"/>
          <w:szCs w:val="21"/>
          <w:highlight w:val="none"/>
          <w14:textFill>
            <w14:solidFill>
              <w14:schemeClr w14:val="tx1"/>
            </w14:solidFill>
          </w14:textFill>
        </w:rPr>
        <w:t>条情形的；</w:t>
      </w:r>
    </w:p>
    <w:p w14:paraId="3D5CA4B2">
      <w:pPr>
        <w:numPr>
          <w:ilvl w:val="0"/>
          <w:numId w:val="14"/>
        </w:numPr>
        <w:snapToGrid w:val="0"/>
        <w:spacing w:line="360" w:lineRule="auto"/>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投标文件标注的项目名称或者项目编号与招标文件标注的项目名称或者项目编号不一致的；</w:t>
      </w:r>
    </w:p>
    <w:p w14:paraId="54394BDA">
      <w:pPr>
        <w:numPr>
          <w:ilvl w:val="0"/>
          <w:numId w:val="14"/>
        </w:numPr>
        <w:snapToGrid w:val="0"/>
        <w:spacing w:line="360" w:lineRule="auto"/>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投标文件中承诺的投标有效期低于招标文件要求的期限的；</w:t>
      </w:r>
    </w:p>
    <w:p w14:paraId="630F7BB2">
      <w:pPr>
        <w:numPr>
          <w:ilvl w:val="0"/>
          <w:numId w:val="14"/>
        </w:numPr>
        <w:snapToGrid w:val="0"/>
        <w:spacing w:line="360" w:lineRule="auto"/>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招标文件明确不允许分包，投标文件拟分包的；</w:t>
      </w:r>
    </w:p>
    <w:p w14:paraId="5F7F5D21">
      <w:pPr>
        <w:pStyle w:val="22"/>
        <w:numPr>
          <w:ilvl w:val="0"/>
          <w:numId w:val="14"/>
        </w:numPr>
        <w:snapToGrid w:val="0"/>
        <w:spacing w:line="360" w:lineRule="auto"/>
        <w:ind w:firstLine="413" w:firstLineChars="0"/>
        <w:rPr>
          <w:rFonts w:hint="eastAsia" w:ascii="宋体" w:hAnsi="宋体" w:eastAsia="宋体"/>
          <w:b/>
          <w:color w:val="000000" w:themeColor="text1"/>
          <w:kern w:val="2"/>
          <w:sz w:val="21"/>
          <w:szCs w:val="21"/>
          <w:highlight w:val="none"/>
          <w14:textFill>
            <w14:solidFill>
              <w14:schemeClr w14:val="tx1"/>
            </w14:solidFill>
          </w14:textFill>
        </w:rPr>
      </w:pPr>
      <w:r>
        <w:rPr>
          <w:rFonts w:hint="eastAsia" w:ascii="宋体" w:hAnsi="宋体" w:eastAsia="宋体"/>
          <w:b/>
          <w:color w:val="000000" w:themeColor="text1"/>
          <w:kern w:val="2"/>
          <w:sz w:val="21"/>
          <w:szCs w:val="21"/>
          <w:highlight w:val="none"/>
          <w14:textFill>
            <w14:solidFill>
              <w14:schemeClr w14:val="tx1"/>
            </w14:solidFill>
          </w14:textFill>
        </w:rPr>
        <w:t>虚假投标，或者出现其他情形而导致被评标委员会认定无效的；</w:t>
      </w:r>
    </w:p>
    <w:p w14:paraId="1258E16C">
      <w:pPr>
        <w:pStyle w:val="22"/>
        <w:numPr>
          <w:ilvl w:val="0"/>
          <w:numId w:val="14"/>
        </w:numPr>
        <w:snapToGrid w:val="0"/>
        <w:spacing w:line="360" w:lineRule="auto"/>
        <w:ind w:firstLine="413" w:firstLineChars="0"/>
        <w:rPr>
          <w:rFonts w:ascii="宋体" w:hAnsi="宋体" w:eastAsia="宋体"/>
          <w:b/>
          <w:color w:val="000000" w:themeColor="text1"/>
          <w:kern w:val="2"/>
          <w:sz w:val="21"/>
          <w:szCs w:val="21"/>
          <w:highlight w:val="none"/>
          <w14:textFill>
            <w14:solidFill>
              <w14:schemeClr w14:val="tx1"/>
            </w14:solidFill>
          </w14:textFill>
        </w:rPr>
      </w:pPr>
      <w:r>
        <w:rPr>
          <w:rFonts w:hint="eastAsia" w:ascii="宋体" w:hAnsi="宋体" w:eastAsia="宋体"/>
          <w:b/>
          <w:color w:val="000000" w:themeColor="text1"/>
          <w:kern w:val="2"/>
          <w:sz w:val="21"/>
          <w:szCs w:val="21"/>
          <w:highlight w:val="none"/>
          <w14:textFill>
            <w14:solidFill>
              <w14:schemeClr w14:val="tx1"/>
            </w14:solidFill>
          </w14:textFill>
        </w:rPr>
        <w:t>招标文件未载明允许提供备选（替代）投标方案或明确不允许提供备选（替代）投标方案时，投标人提供了备选（替代）投标方案的；</w:t>
      </w:r>
    </w:p>
    <w:p w14:paraId="2227D884">
      <w:pPr>
        <w:pStyle w:val="22"/>
        <w:numPr>
          <w:ilvl w:val="0"/>
          <w:numId w:val="14"/>
        </w:numPr>
        <w:snapToGrid w:val="0"/>
        <w:spacing w:line="360" w:lineRule="auto"/>
        <w:ind w:firstLine="413" w:firstLineChars="0"/>
        <w:rPr>
          <w:rFonts w:hint="eastAsia" w:ascii="宋体" w:hAnsi="宋体" w:eastAsia="宋体"/>
          <w:b/>
          <w:color w:val="000000" w:themeColor="text1"/>
          <w:kern w:val="2"/>
          <w:sz w:val="21"/>
          <w:szCs w:val="21"/>
          <w:highlight w:val="none"/>
          <w14:textFill>
            <w14:solidFill>
              <w14:schemeClr w14:val="tx1"/>
            </w14:solidFill>
          </w14:textFill>
        </w:rPr>
      </w:pPr>
      <w:r>
        <w:rPr>
          <w:rFonts w:hint="eastAsia" w:ascii="宋体" w:hAnsi="宋体" w:eastAsia="宋体"/>
          <w:b/>
          <w:color w:val="000000" w:themeColor="text1"/>
          <w:kern w:val="2"/>
          <w:sz w:val="21"/>
          <w:szCs w:val="21"/>
          <w:highlight w:val="none"/>
          <w14:textFill>
            <w14:solidFill>
              <w14:schemeClr w14:val="tx1"/>
            </w14:solidFill>
          </w14:textFill>
        </w:rPr>
        <w:t>未响应招标文件实质性要求的。</w:t>
      </w:r>
    </w:p>
    <w:p w14:paraId="68C4BC48">
      <w:pPr>
        <w:numPr>
          <w:ilvl w:val="0"/>
          <w:numId w:val="14"/>
        </w:numPr>
        <w:snapToGrid w:val="0"/>
        <w:spacing w:line="360" w:lineRule="auto"/>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法律、法规和招标文件规定的其他无效情形。</w:t>
      </w:r>
    </w:p>
    <w:p w14:paraId="645DFBF6">
      <w:pPr>
        <w:pStyle w:val="8"/>
        <w:keepNext w:val="0"/>
        <w:keepLines w:val="0"/>
        <w:spacing w:before="0" w:after="0" w:line="360" w:lineRule="auto"/>
        <w:ind w:left="420" w:leftChars="200"/>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3</w:t>
      </w:r>
      <w:r>
        <w:rPr>
          <w:rFonts w:ascii="宋体" w:hAnsi="宋体"/>
          <w:color w:val="000000" w:themeColor="text1"/>
          <w:sz w:val="21"/>
          <w:szCs w:val="21"/>
          <w:highlight w:val="none"/>
          <w14:textFill>
            <w14:solidFill>
              <w14:schemeClr w14:val="tx1"/>
            </w14:solidFill>
          </w14:textFill>
        </w:rPr>
        <w:t>.</w:t>
      </w:r>
      <w:r>
        <w:rPr>
          <w:rFonts w:hint="eastAsia" w:ascii="宋体" w:hAnsi="宋体"/>
          <w:color w:val="000000" w:themeColor="text1"/>
          <w:sz w:val="21"/>
          <w:szCs w:val="21"/>
          <w:highlight w:val="none"/>
          <w14:textFill>
            <w14:solidFill>
              <w14:schemeClr w14:val="tx1"/>
            </w14:solidFill>
          </w14:textFill>
        </w:rPr>
        <w:t>澄清补正</w:t>
      </w:r>
    </w:p>
    <w:p w14:paraId="04EC30A2">
      <w:pPr>
        <w:spacing w:line="360" w:lineRule="auto"/>
        <w:ind w:firstLine="420" w:firstLineChars="200"/>
        <w:rPr>
          <w:rFonts w:hint="eastAsia" w:ascii="宋体" w:hAnsi="宋体" w:cs="Courier New"/>
          <w:b/>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4A2E2BE7">
      <w:pPr>
        <w:spacing w:line="360" w:lineRule="auto"/>
        <w:ind w:firstLine="420" w:firstLineChars="200"/>
        <w:rPr>
          <w:rFonts w:hint="eastAsia"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4A6884C9">
      <w:pPr>
        <w:spacing w:line="360" w:lineRule="auto"/>
        <w:ind w:firstLine="420" w:firstLineChars="200"/>
        <w:rPr>
          <w:rFonts w:hint="eastAsia"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未按评标委员会的要求作出明确澄清、说明或者更正的投标人的投标文件将按照有利于采购人的原则由评标委员会进行判定。</w:t>
      </w:r>
    </w:p>
    <w:p w14:paraId="74CF3685">
      <w:pPr>
        <w:pStyle w:val="8"/>
        <w:keepNext w:val="0"/>
        <w:keepLines w:val="0"/>
        <w:spacing w:before="0" w:after="0" w:line="360" w:lineRule="auto"/>
        <w:ind w:left="420" w:leftChars="200"/>
        <w:rPr>
          <w:rFonts w:hint="eastAsia"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4.</w:t>
      </w:r>
      <w:r>
        <w:rPr>
          <w:rFonts w:hint="eastAsia" w:ascii="宋体" w:hAnsi="宋体"/>
          <w:color w:val="000000" w:themeColor="text1"/>
          <w:sz w:val="21"/>
          <w:szCs w:val="21"/>
          <w:highlight w:val="none"/>
          <w14:textFill>
            <w14:solidFill>
              <w14:schemeClr w14:val="tx1"/>
            </w14:solidFill>
          </w14:textFill>
        </w:rPr>
        <w:t>投标文件修正</w:t>
      </w:r>
    </w:p>
    <w:p w14:paraId="3182B3B3">
      <w:pPr>
        <w:pStyle w:val="8"/>
        <w:keepNext w:val="0"/>
        <w:keepLines w:val="0"/>
        <w:spacing w:before="0" w:after="0" w:line="360" w:lineRule="auto"/>
        <w:ind w:left="420" w:leftChars="200"/>
        <w:rPr>
          <w:rFonts w:hint="eastAsia" w:ascii="宋体" w:hAnsi="宋体"/>
          <w:b w:val="0"/>
          <w:color w:val="000000" w:themeColor="text1"/>
          <w:sz w:val="21"/>
          <w:szCs w:val="21"/>
          <w:highlight w:val="none"/>
          <w14:textFill>
            <w14:solidFill>
              <w14:schemeClr w14:val="tx1"/>
            </w14:solidFill>
          </w14:textFill>
        </w:rPr>
      </w:pPr>
      <w:r>
        <w:rPr>
          <w:rFonts w:ascii="宋体" w:hAnsi="宋体"/>
          <w:b w:val="0"/>
          <w:color w:val="000000" w:themeColor="text1"/>
          <w:sz w:val="21"/>
          <w:szCs w:val="21"/>
          <w:highlight w:val="none"/>
          <w14:textFill>
            <w14:solidFill>
              <w14:schemeClr w14:val="tx1"/>
            </w14:solidFill>
          </w14:textFill>
        </w:rPr>
        <w:t>4</w:t>
      </w:r>
      <w:r>
        <w:rPr>
          <w:rFonts w:hint="eastAsia" w:ascii="宋体" w:hAnsi="宋体"/>
          <w:b w:val="0"/>
          <w:color w:val="000000" w:themeColor="text1"/>
          <w:sz w:val="21"/>
          <w:szCs w:val="21"/>
          <w:highlight w:val="none"/>
          <w14:textFill>
            <w14:solidFill>
              <w14:schemeClr w14:val="tx1"/>
            </w14:solidFill>
          </w14:textFill>
        </w:rPr>
        <w:t>.1投标文件报价出现前后不一致的，</w:t>
      </w:r>
      <w:r>
        <w:rPr>
          <w:rFonts w:hint="eastAsia" w:hAnsi="宋体"/>
          <w:color w:val="000000" w:themeColor="text1"/>
          <w:sz w:val="21"/>
          <w:highlight w:val="none"/>
          <w14:textFill>
            <w14:solidFill>
              <w14:schemeClr w14:val="tx1"/>
            </w14:solidFill>
          </w14:textFill>
        </w:rPr>
        <w:t>除“投标文件前附表”另有规定的情形</w:t>
      </w:r>
      <w:r>
        <w:rPr>
          <w:rFonts w:hint="eastAsia" w:hAnsi="宋体"/>
          <w:color w:val="000000" w:themeColor="text1"/>
          <w:sz w:val="21"/>
          <w:highlight w:val="none"/>
          <w:lang w:eastAsia="zh-CN"/>
          <w14:textFill>
            <w14:solidFill>
              <w14:schemeClr w14:val="tx1"/>
            </w14:solidFill>
          </w14:textFill>
        </w:rPr>
        <w:t>，</w:t>
      </w:r>
      <w:r>
        <w:rPr>
          <w:rFonts w:hint="eastAsia" w:ascii="宋体" w:hAnsi="宋体"/>
          <w:b w:val="0"/>
          <w:color w:val="000000" w:themeColor="text1"/>
          <w:sz w:val="21"/>
          <w:szCs w:val="21"/>
          <w:highlight w:val="none"/>
          <w14:textFill>
            <w14:solidFill>
              <w14:schemeClr w14:val="tx1"/>
            </w14:solidFill>
          </w14:textFill>
        </w:rPr>
        <w:t xml:space="preserve">按照下列规定修正： </w:t>
      </w:r>
    </w:p>
    <w:p w14:paraId="5832D218">
      <w:pPr>
        <w:pStyle w:val="27"/>
        <w:snapToGrid w:val="0"/>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（1）投标文件中开标一览表（报价表）内容与投标文件中相应内容不一致的，以开标一览表（报价表）为准；</w:t>
      </w:r>
    </w:p>
    <w:p w14:paraId="50DB218A">
      <w:pPr>
        <w:pStyle w:val="27"/>
        <w:snapToGrid w:val="0"/>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（2）大写金额和小写金额不一致的，以大写金额为准；</w:t>
      </w:r>
    </w:p>
    <w:p w14:paraId="264D8DF7">
      <w:pPr>
        <w:pStyle w:val="27"/>
        <w:snapToGrid w:val="0"/>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（3）单价金额小数点或者百分比有明显错位的，以开标一览表的总价为准，并修改单价；</w:t>
      </w:r>
    </w:p>
    <w:p w14:paraId="04AA4C40">
      <w:pPr>
        <w:pStyle w:val="27"/>
        <w:snapToGrid w:val="0"/>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（4）总价金额与按单价汇总金额不一致的，以单价金额计算结果为准。</w:t>
      </w:r>
    </w:p>
    <w:p w14:paraId="36AC51F9">
      <w:pPr>
        <w:pStyle w:val="27"/>
        <w:snapToGrid w:val="0"/>
        <w:spacing w:line="360" w:lineRule="auto"/>
        <w:ind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同时出现两种以上不一致的，按照以上（1）-（4）规定的顺序修正。修正后的报价经投标人确认后产生约束力，投标人不确认的，</w:t>
      </w:r>
      <w:r>
        <w:rPr>
          <w:rFonts w:hint="eastAsia" w:hAnsi="宋体"/>
          <w:b/>
          <w:color w:val="000000" w:themeColor="text1"/>
          <w:kern w:val="2"/>
          <w:sz w:val="21"/>
          <w:highlight w:val="none"/>
          <w14:textFill>
            <w14:solidFill>
              <w14:schemeClr w14:val="tx1"/>
            </w14:solidFill>
          </w14:textFill>
        </w:rPr>
        <w:t>其投标无效</w:t>
      </w:r>
      <w:r>
        <w:rPr>
          <w:rFonts w:hint="eastAsia" w:hAnsi="宋体"/>
          <w:color w:val="000000" w:themeColor="text1"/>
          <w:sz w:val="21"/>
          <w:highlight w:val="none"/>
          <w14:textFill>
            <w14:solidFill>
              <w14:schemeClr w14:val="tx1"/>
            </w14:solidFill>
          </w14:textFill>
        </w:rPr>
        <w:t>。</w:t>
      </w:r>
    </w:p>
    <w:p w14:paraId="40EBE3B4">
      <w:pPr>
        <w:pStyle w:val="8"/>
        <w:keepNext w:val="0"/>
        <w:keepLines w:val="0"/>
        <w:spacing w:before="0" w:after="0" w:line="360" w:lineRule="auto"/>
        <w:rPr>
          <w:rFonts w:hint="eastAsia" w:ascii="宋体" w:hAnsi="宋体"/>
          <w:b w:val="0"/>
          <w:color w:val="000000" w:themeColor="text1"/>
          <w:sz w:val="21"/>
          <w:szCs w:val="21"/>
          <w:highlight w:val="none"/>
          <w14:textFill>
            <w14:solidFill>
              <w14:schemeClr w14:val="tx1"/>
            </w14:solidFill>
          </w14:textFill>
        </w:rPr>
      </w:pPr>
      <w:r>
        <w:rPr>
          <w:rFonts w:ascii="宋体" w:hAnsi="宋体"/>
          <w:b w:val="0"/>
          <w:color w:val="000000" w:themeColor="text1"/>
          <w:sz w:val="21"/>
          <w:szCs w:val="21"/>
          <w:highlight w:val="none"/>
          <w14:textFill>
            <w14:solidFill>
              <w14:schemeClr w14:val="tx1"/>
            </w14:solidFill>
          </w14:textFill>
        </w:rPr>
        <w:t xml:space="preserve">    4</w:t>
      </w:r>
      <w:r>
        <w:rPr>
          <w:rFonts w:hint="eastAsia" w:ascii="宋体" w:hAnsi="宋体"/>
          <w:b w:val="0"/>
          <w:color w:val="000000" w:themeColor="text1"/>
          <w:sz w:val="21"/>
          <w:szCs w:val="21"/>
          <w:highlight w:val="none"/>
          <w14:textFill>
            <w14:solidFill>
              <w14:schemeClr w14:val="tx1"/>
            </w14:solidFill>
          </w14:textFill>
        </w:rPr>
        <w:t>.2经投标人确认修正后的报价若超过采购预算金额或者最高限价</w:t>
      </w:r>
      <w:r>
        <w:rPr>
          <w:rFonts w:hint="eastAsia" w:ascii="宋体" w:hAnsi="宋体"/>
          <w:b w:val="0"/>
          <w:color w:val="000000" w:themeColor="text1"/>
          <w:sz w:val="21"/>
          <w:szCs w:val="21"/>
          <w:highlight w:val="none"/>
          <w:lang w:val="en-US" w:eastAsia="zh-CN"/>
          <w14:textFill>
            <w14:solidFill>
              <w14:schemeClr w14:val="tx1"/>
            </w14:solidFill>
          </w14:textFill>
        </w:rPr>
        <w:t>或者最高单价限价</w:t>
      </w:r>
      <w:r>
        <w:rPr>
          <w:rFonts w:hint="eastAsia" w:ascii="宋体" w:hAnsi="宋体"/>
          <w:b w:val="0"/>
          <w:color w:val="000000" w:themeColor="text1"/>
          <w:sz w:val="21"/>
          <w:szCs w:val="21"/>
          <w:highlight w:val="none"/>
          <w14:textFill>
            <w14:solidFill>
              <w14:schemeClr w14:val="tx1"/>
            </w14:solidFill>
          </w14:textFill>
        </w:rPr>
        <w:t>，</w:t>
      </w:r>
      <w:r>
        <w:rPr>
          <w:rFonts w:hint="eastAsia" w:ascii="宋体" w:hAnsi="宋体"/>
          <w:color w:val="000000" w:themeColor="text1"/>
          <w:sz w:val="21"/>
          <w:szCs w:val="21"/>
          <w:highlight w:val="none"/>
          <w14:textFill>
            <w14:solidFill>
              <w14:schemeClr w14:val="tx1"/>
            </w14:solidFill>
          </w14:textFill>
        </w:rPr>
        <w:t>投标人的投标文件作无效投标处理</w:t>
      </w:r>
      <w:r>
        <w:rPr>
          <w:rFonts w:hint="eastAsia" w:ascii="宋体" w:hAnsi="宋体"/>
          <w:b w:val="0"/>
          <w:color w:val="000000" w:themeColor="text1"/>
          <w:sz w:val="21"/>
          <w:szCs w:val="21"/>
          <w:highlight w:val="none"/>
          <w14:textFill>
            <w14:solidFill>
              <w14:schemeClr w14:val="tx1"/>
            </w14:solidFill>
          </w14:textFill>
        </w:rPr>
        <w:t>。</w:t>
      </w:r>
    </w:p>
    <w:p w14:paraId="3954180E">
      <w:pPr>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.3经投标人确认修正后的报价作为签订合同的依据，并以此报价计算价格分。</w:t>
      </w:r>
    </w:p>
    <w:p w14:paraId="69A796BF">
      <w:pPr>
        <w:pStyle w:val="8"/>
        <w:keepNext w:val="0"/>
        <w:keepLines w:val="0"/>
        <w:spacing w:before="0" w:after="0" w:line="360" w:lineRule="auto"/>
        <w:ind w:left="420" w:leftChars="200"/>
        <w:rPr>
          <w:rFonts w:hint="eastAsia"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5.</w:t>
      </w:r>
      <w:r>
        <w:rPr>
          <w:rFonts w:hint="eastAsia" w:ascii="宋体" w:hAnsi="宋体"/>
          <w:color w:val="000000" w:themeColor="text1"/>
          <w:sz w:val="21"/>
          <w:szCs w:val="21"/>
          <w:highlight w:val="none"/>
          <w14:textFill>
            <w14:solidFill>
              <w14:schemeClr w14:val="tx1"/>
            </w14:solidFill>
          </w14:textFill>
        </w:rPr>
        <w:t>比较与评价</w:t>
      </w:r>
    </w:p>
    <w:p w14:paraId="2859009B">
      <w:pPr>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5.1采用综合评分法的</w:t>
      </w:r>
    </w:p>
    <w:p w14:paraId="06E6C485">
      <w:pPr>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（1）评标委员会按照招标文件中规定的评标方法及评标标准，对符合性审查合格的投标文件进行商务和技术评估，综合比较与评价。</w:t>
      </w:r>
    </w:p>
    <w:p w14:paraId="679514F9">
      <w:pPr>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（2）评标委员会独立对每个投标人的投标文件进行评价，并汇总每个投标人的得分。</w:t>
      </w:r>
    </w:p>
    <w:p w14:paraId="0E7A1D46">
      <w:pPr>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1）评标委员会在评审中发现下列情形之一的，应当启动异常低价投标审查程序：</w:t>
      </w:r>
    </w:p>
    <w:p w14:paraId="36BE1890">
      <w:pPr>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①投标报价低于全部通过符合性审查供应商投标报价平均值</w:t>
      </w:r>
      <w:r>
        <w:rPr>
          <w:rFonts w:hint="eastAsia" w:ascii="宋体" w:hAnsi="宋体"/>
          <w:color w:val="000000" w:themeColor="text1"/>
          <w:szCs w:val="21"/>
          <w:highlight w:val="none"/>
          <w:u w:val="single"/>
          <w14:textFill>
            <w14:solidFill>
              <w14:schemeClr w14:val="tx1"/>
            </w14:solidFill>
          </w14:textFill>
        </w:rPr>
        <w:t>65%</w:t>
      </w:r>
      <w:r>
        <w:rPr>
          <w:rFonts w:hint="eastAsia" w:ascii="宋体" w:hAnsi="宋体"/>
          <w:color w:val="000000" w:themeColor="text1"/>
          <w:szCs w:val="21"/>
          <w:highlight w:val="none"/>
          <w14:textFill>
            <w14:solidFill>
              <w14:schemeClr w14:val="tx1"/>
            </w14:solidFill>
          </w14:textFill>
        </w:rPr>
        <w:t>的，即投标报价＜全部通过符合性审查供应商投标报价平均值×</w:t>
      </w:r>
      <w:r>
        <w:rPr>
          <w:rFonts w:hint="eastAsia" w:ascii="宋体" w:hAnsi="宋体"/>
          <w:color w:val="000000" w:themeColor="text1"/>
          <w:szCs w:val="21"/>
          <w:highlight w:val="none"/>
          <w:u w:val="single"/>
          <w14:textFill>
            <w14:solidFill>
              <w14:schemeClr w14:val="tx1"/>
            </w14:solidFill>
          </w14:textFill>
        </w:rPr>
        <w:t xml:space="preserve"> 65%</w:t>
      </w:r>
      <w:r>
        <w:rPr>
          <w:rFonts w:hint="eastAsia" w:ascii="宋体" w:hAnsi="宋体"/>
          <w:color w:val="000000" w:themeColor="text1"/>
          <w:szCs w:val="21"/>
          <w:highlight w:val="none"/>
          <w14:textFill>
            <w14:solidFill>
              <w14:schemeClr w14:val="tx1"/>
            </w14:solidFill>
          </w14:textFill>
        </w:rPr>
        <w:t>；</w:t>
      </w:r>
      <w:r>
        <w:rPr>
          <w:rFonts w:ascii="宋体" w:hAnsi="宋体"/>
          <w:i/>
          <w:color w:val="000000" w:themeColor="text1"/>
          <w:szCs w:val="21"/>
          <w:highlight w:val="none"/>
          <w14:textFill>
            <w14:solidFill>
              <w14:schemeClr w14:val="tx1"/>
            </w14:solidFill>
          </w14:textFill>
        </w:rPr>
        <w:t>（范围为</w:t>
      </w:r>
      <w:r>
        <w:rPr>
          <w:rFonts w:hint="eastAsia" w:ascii="宋体" w:hAnsi="宋体"/>
          <w:i/>
          <w:color w:val="000000" w:themeColor="text1"/>
          <w:szCs w:val="21"/>
          <w:highlight w:val="none"/>
          <w14:textFill>
            <w14:solidFill>
              <w14:schemeClr w14:val="tx1"/>
            </w14:solidFill>
          </w14:textFill>
        </w:rPr>
        <w:t>5</w:t>
      </w:r>
      <w:r>
        <w:rPr>
          <w:rFonts w:ascii="宋体" w:hAnsi="宋体"/>
          <w:i/>
          <w:color w:val="000000" w:themeColor="text1"/>
          <w:szCs w:val="21"/>
          <w:highlight w:val="none"/>
          <w14:textFill>
            <w14:solidFill>
              <w14:schemeClr w14:val="tx1"/>
            </w14:solidFill>
          </w14:textFill>
        </w:rPr>
        <w:t>0%-65%）</w:t>
      </w:r>
    </w:p>
    <w:p w14:paraId="4E8C7F34">
      <w:pPr>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②投标报价低于通过符合性审查的次低报价供应商投标报价</w:t>
      </w:r>
      <w:r>
        <w:rPr>
          <w:rFonts w:hint="eastAsia" w:ascii="宋体" w:hAnsi="宋体"/>
          <w:color w:val="000000" w:themeColor="text1"/>
          <w:szCs w:val="21"/>
          <w:highlight w:val="none"/>
          <w:u w:val="single"/>
          <w14:textFill>
            <w14:solidFill>
              <w14:schemeClr w14:val="tx1"/>
            </w14:solidFill>
          </w14:textFill>
        </w:rPr>
        <w:t xml:space="preserve"> 65%</w:t>
      </w:r>
      <w:r>
        <w:rPr>
          <w:rFonts w:hint="eastAsia" w:ascii="宋体" w:hAnsi="宋体"/>
          <w:color w:val="000000" w:themeColor="text1"/>
          <w:szCs w:val="21"/>
          <w:highlight w:val="none"/>
          <w14:textFill>
            <w14:solidFill>
              <w14:schemeClr w14:val="tx1"/>
            </w14:solidFill>
          </w14:textFill>
        </w:rPr>
        <w:t>的，即投标报价＜通过符合性审查的次低报价供应商投标报价×</w:t>
      </w:r>
      <w:r>
        <w:rPr>
          <w:rFonts w:hint="eastAsia" w:ascii="宋体" w:hAnsi="宋体"/>
          <w:color w:val="000000" w:themeColor="text1"/>
          <w:szCs w:val="21"/>
          <w:highlight w:val="none"/>
          <w:u w:val="single"/>
          <w14:textFill>
            <w14:solidFill>
              <w14:schemeClr w14:val="tx1"/>
            </w14:solidFill>
          </w14:textFill>
        </w:rPr>
        <w:t xml:space="preserve"> 65% </w:t>
      </w:r>
      <w:r>
        <w:rPr>
          <w:rFonts w:hint="eastAsia" w:ascii="宋体" w:hAnsi="宋体"/>
          <w:color w:val="000000" w:themeColor="text1"/>
          <w:szCs w:val="21"/>
          <w:highlight w:val="none"/>
          <w14:textFill>
            <w14:solidFill>
              <w14:schemeClr w14:val="tx1"/>
            </w14:solidFill>
          </w14:textFill>
        </w:rPr>
        <w:t>；</w:t>
      </w:r>
      <w:r>
        <w:rPr>
          <w:rFonts w:ascii="宋体" w:hAnsi="宋体"/>
          <w:i/>
          <w:color w:val="000000" w:themeColor="text1"/>
          <w:szCs w:val="21"/>
          <w:highlight w:val="none"/>
          <w14:textFill>
            <w14:solidFill>
              <w14:schemeClr w14:val="tx1"/>
            </w14:solidFill>
          </w14:textFill>
        </w:rPr>
        <w:t>（范围为</w:t>
      </w:r>
      <w:r>
        <w:rPr>
          <w:rFonts w:hint="eastAsia" w:ascii="宋体" w:hAnsi="宋体"/>
          <w:i/>
          <w:color w:val="000000" w:themeColor="text1"/>
          <w:szCs w:val="21"/>
          <w:highlight w:val="none"/>
          <w14:textFill>
            <w14:solidFill>
              <w14:schemeClr w14:val="tx1"/>
            </w14:solidFill>
          </w14:textFill>
        </w:rPr>
        <w:t>5</w:t>
      </w:r>
      <w:r>
        <w:rPr>
          <w:rFonts w:ascii="宋体" w:hAnsi="宋体"/>
          <w:i/>
          <w:color w:val="000000" w:themeColor="text1"/>
          <w:szCs w:val="21"/>
          <w:highlight w:val="none"/>
          <w14:textFill>
            <w14:solidFill>
              <w14:schemeClr w14:val="tx1"/>
            </w14:solidFill>
          </w14:textFill>
        </w:rPr>
        <w:t>0%-65%）</w:t>
      </w:r>
    </w:p>
    <w:p w14:paraId="79C06E03">
      <w:pPr>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③投标报价低于采购项目最高限价</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65%</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的，即投标报价＜采购项目最高限价×</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65%</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r>
        <w:rPr>
          <w:rFonts w:ascii="宋体" w:hAnsi="宋体"/>
          <w:i/>
          <w:color w:val="000000" w:themeColor="text1"/>
          <w:szCs w:val="21"/>
          <w:highlight w:val="none"/>
          <w14:textFill>
            <w14:solidFill>
              <w14:schemeClr w14:val="tx1"/>
            </w14:solidFill>
          </w14:textFill>
        </w:rPr>
        <w:t>（范围为45%-65%）</w:t>
      </w:r>
    </w:p>
    <w:p w14:paraId="05E6726C">
      <w:pPr>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④评标委员会基于专业判断，认为供应商报价过低，有可能影响产品质量或者不能诚信履约的其他情形。</w:t>
      </w:r>
    </w:p>
    <w:p w14:paraId="15366A70">
      <w:pPr>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评标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③项情形，供应商已随投标文件一并提交相关书面说明及必要的证明材料的，可不再重复提交。</w:t>
      </w:r>
    </w:p>
    <w:p w14:paraId="4EA6C27E">
      <w:pPr>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评标委员会依据专业经验，参考同类项目中标（成交）价格、类似产品市场价格水平、行业人工费用标准、国家有关部门指导行业协会发布的行业平均成本等情况，对报价合理性进行判断。</w:t>
      </w:r>
      <w:r>
        <w:rPr>
          <w:rFonts w:hint="eastAsia" w:ascii="宋体" w:hAnsi="宋体"/>
          <w:b/>
          <w:color w:val="000000" w:themeColor="text1"/>
          <w:szCs w:val="21"/>
          <w:highlight w:val="none"/>
          <w14:textFill>
            <w14:solidFill>
              <w14:schemeClr w14:val="tx1"/>
            </w14:solidFill>
          </w14:textFill>
        </w:rPr>
        <w:t>投标供应商不能提供书面说明、证明材料，或者提供的书面说明、证明材料不能证明其报价合理性的，评标委员会应当将其作为无效投标处理。</w:t>
      </w:r>
    </w:p>
    <w:p w14:paraId="072F8645">
      <w:pPr>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1B97DA09">
      <w:pPr>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异常低价投标审查的启动原因、审查意见和审查结果应当在评审报告中记录，并随供应商提供的相关书面说明及证明材料，以及评标委员会有关互联网浏览、查询历史一并归档。</w:t>
      </w:r>
    </w:p>
    <w:p w14:paraId="72E63D56">
      <w:pPr>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（3）评标委员会按照招标文件中规定的评标方法和标准计算各投标人的报价得分。在计算过程中，不得去掉最高报价或者最低报价。</w:t>
      </w:r>
    </w:p>
    <w:p w14:paraId="6639ECC5">
      <w:pPr>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（4）各投标人的得分为所有评委的有效评分的算术平均数。</w:t>
      </w:r>
    </w:p>
    <w:p w14:paraId="331C901B">
      <w:pPr>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（5）评标委员会按照招标文件中的规定推荐中标候选人。</w:t>
      </w:r>
    </w:p>
    <w:p w14:paraId="2F34C9F8">
      <w:pPr>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3E833564">
      <w:pPr>
        <w:snapToGrid w:val="0"/>
        <w:spacing w:line="360" w:lineRule="auto"/>
        <w:ind w:firstLine="424" w:firstLineChars="202"/>
        <w:jc w:val="center"/>
        <w:rPr>
          <w:rFonts w:hint="eastAsia"/>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br w:type="page"/>
      </w:r>
      <w:r>
        <w:rPr>
          <w:rFonts w:ascii="宋体" w:hAnsi="宋体" w:cs="宋体"/>
          <w:b/>
          <w:bCs/>
          <w:color w:val="000000" w:themeColor="text1"/>
          <w:sz w:val="32"/>
          <w:szCs w:val="32"/>
          <w:highlight w:val="none"/>
          <w14:textFill>
            <w14:solidFill>
              <w14:schemeClr w14:val="tx1"/>
            </w14:solidFill>
          </w14:textFill>
        </w:rPr>
        <w:t>三</w:t>
      </w:r>
      <w:r>
        <w:rPr>
          <w:rFonts w:hint="eastAsia" w:ascii="宋体" w:hAnsi="宋体" w:cs="宋体"/>
          <w:b/>
          <w:bCs/>
          <w:color w:val="000000" w:themeColor="text1"/>
          <w:sz w:val="32"/>
          <w:szCs w:val="32"/>
          <w:highlight w:val="none"/>
          <w14:textFill>
            <w14:solidFill>
              <w14:schemeClr w14:val="tx1"/>
            </w14:solidFill>
          </w14:textFill>
        </w:rPr>
        <w:t>、评标标准</w:t>
      </w:r>
    </w:p>
    <w:p w14:paraId="6BFD164B">
      <w:pPr>
        <w:pStyle w:val="6"/>
        <w:keepNext w:val="0"/>
        <w:keepLines w:val="0"/>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综合评分法</w:t>
      </w:r>
    </w:p>
    <w:p w14:paraId="04DBA827">
      <w:pPr>
        <w:rPr>
          <w:rFonts w:hint="eastAsia"/>
          <w:color w:val="000000" w:themeColor="text1"/>
          <w:highlight w:val="none"/>
          <w14:textFill>
            <w14:solidFill>
              <w14:schemeClr w14:val="tx1"/>
            </w14:solidFill>
          </w14:textFill>
        </w:rPr>
      </w:pPr>
    </w:p>
    <w:p w14:paraId="0088AC67">
      <w:pPr>
        <w:rPr>
          <w:rFonts w:ascii="宋体" w:hAnsi="宋体" w:cs="宋体"/>
          <w:b/>
          <w:color w:val="000000" w:themeColor="text1"/>
          <w:sz w:val="30"/>
          <w:szCs w:val="30"/>
          <w:highlight w:val="none"/>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1、2</w:t>
      </w:r>
      <w:r>
        <w:rPr>
          <w:rFonts w:hint="eastAsia"/>
          <w:color w:val="000000" w:themeColor="text1"/>
          <w:sz w:val="28"/>
          <w:szCs w:val="28"/>
          <w:highlight w:val="none"/>
          <w14:textFill>
            <w14:solidFill>
              <w14:schemeClr w14:val="tx1"/>
            </w14:solidFill>
          </w14:textFill>
        </w:rPr>
        <w:t>分标通用</w:t>
      </w:r>
    </w:p>
    <w:tbl>
      <w:tblPr>
        <w:tblStyle w:val="48"/>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346"/>
        <w:gridCol w:w="1253"/>
        <w:gridCol w:w="6326"/>
      </w:tblGrid>
      <w:tr w14:paraId="57A0D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1" w:type="dxa"/>
            <w:gridSpan w:val="2"/>
            <w:tcBorders>
              <w:top w:val="single" w:color="auto" w:sz="4" w:space="0"/>
              <w:left w:val="single" w:color="auto" w:sz="4" w:space="0"/>
              <w:bottom w:val="single" w:color="auto" w:sz="4" w:space="0"/>
              <w:right w:val="single" w:color="auto" w:sz="4" w:space="0"/>
            </w:tcBorders>
            <w:noWrap/>
            <w:vAlign w:val="center"/>
          </w:tcPr>
          <w:p w14:paraId="216F673E">
            <w:pPr>
              <w:adjustRightInd w:val="0"/>
              <w:spacing w:line="410" w:lineRule="exact"/>
              <w:jc w:val="center"/>
              <w:textAlignment w:val="baseline"/>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1253" w:type="dxa"/>
            <w:tcBorders>
              <w:top w:val="single" w:color="auto" w:sz="4" w:space="0"/>
              <w:left w:val="single" w:color="auto" w:sz="4" w:space="0"/>
              <w:bottom w:val="single" w:color="auto" w:sz="4" w:space="0"/>
              <w:right w:val="single" w:color="auto" w:sz="4" w:space="0"/>
            </w:tcBorders>
            <w:noWrap/>
            <w:vAlign w:val="center"/>
          </w:tcPr>
          <w:p w14:paraId="079A7D14">
            <w:pPr>
              <w:adjustRightInd w:val="0"/>
              <w:spacing w:line="410" w:lineRule="exact"/>
              <w:jc w:val="center"/>
              <w:textAlignment w:val="baseline"/>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评审因素</w:t>
            </w:r>
          </w:p>
        </w:tc>
        <w:tc>
          <w:tcPr>
            <w:tcW w:w="6326" w:type="dxa"/>
            <w:tcBorders>
              <w:top w:val="single" w:color="auto" w:sz="4" w:space="0"/>
              <w:left w:val="single" w:color="auto" w:sz="4" w:space="0"/>
              <w:bottom w:val="single" w:color="auto" w:sz="4" w:space="0"/>
              <w:right w:val="single" w:color="auto" w:sz="4" w:space="0"/>
            </w:tcBorders>
            <w:noWrap/>
            <w:vAlign w:val="center"/>
          </w:tcPr>
          <w:p w14:paraId="52F48056">
            <w:pPr>
              <w:adjustRightInd w:val="0"/>
              <w:spacing w:line="410" w:lineRule="exact"/>
              <w:jc w:val="center"/>
              <w:textAlignment w:val="baseline"/>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评标标准</w:t>
            </w:r>
          </w:p>
        </w:tc>
      </w:tr>
      <w:tr w14:paraId="6138D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noWrap/>
            <w:vAlign w:val="center"/>
          </w:tcPr>
          <w:p w14:paraId="597F1EFB">
            <w:pPr>
              <w:adjustRightInd w:val="0"/>
              <w:spacing w:line="360" w:lineRule="auto"/>
              <w:jc w:val="center"/>
              <w:textAlignment w:val="baseline"/>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346" w:type="dxa"/>
            <w:noWrap/>
            <w:vAlign w:val="center"/>
          </w:tcPr>
          <w:p w14:paraId="474A7AA9">
            <w:pPr>
              <w:adjustRightInd w:val="0"/>
              <w:spacing w:line="360" w:lineRule="auto"/>
              <w:jc w:val="center"/>
              <w:textAlignment w:val="baseline"/>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价格分</w:t>
            </w:r>
          </w:p>
          <w:p w14:paraId="66F1043D">
            <w:pPr>
              <w:adjustRightInd w:val="0"/>
              <w:spacing w:line="360" w:lineRule="auto"/>
              <w:jc w:val="center"/>
              <w:textAlignment w:val="baseline"/>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（满分</w:t>
            </w:r>
            <w:r>
              <w:rPr>
                <w:rFonts w:hint="eastAsia"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lang w:val="en-US" w:eastAsia="zh-CN"/>
                <w14:textFill>
                  <w14:solidFill>
                    <w14:schemeClr w14:val="tx1"/>
                  </w14:solidFill>
                </w14:textFill>
              </w:rPr>
              <w:t>5</w:t>
            </w:r>
            <w:r>
              <w:rPr>
                <w:rFonts w:ascii="宋体" w:hAnsi="宋体"/>
                <w:color w:val="000000" w:themeColor="text1"/>
                <w:szCs w:val="21"/>
                <w:highlight w:val="none"/>
                <w14:textFill>
                  <w14:solidFill>
                    <w14:schemeClr w14:val="tx1"/>
                  </w14:solidFill>
                </w14:textFill>
              </w:rPr>
              <w:t>分）</w:t>
            </w:r>
          </w:p>
        </w:tc>
        <w:tc>
          <w:tcPr>
            <w:tcW w:w="1253" w:type="dxa"/>
            <w:noWrap/>
            <w:vAlign w:val="center"/>
          </w:tcPr>
          <w:p w14:paraId="3C386CF1">
            <w:pPr>
              <w:adjustRightInd w:val="0"/>
              <w:spacing w:line="360" w:lineRule="auto"/>
              <w:jc w:val="center"/>
              <w:textAlignment w:val="baseline"/>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投标报价</w:t>
            </w:r>
          </w:p>
        </w:tc>
        <w:tc>
          <w:tcPr>
            <w:tcW w:w="6326" w:type="dxa"/>
            <w:noWrap/>
            <w:vAlign w:val="center"/>
          </w:tcPr>
          <w:p w14:paraId="0C67202F">
            <w:pPr>
              <w:snapToGrid w:val="0"/>
              <w:spacing w:line="360" w:lineRule="auto"/>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（1）评标报价为投标人的投标报价进行政策性扣除后的价格，评标报价只是作为评标时使用。最终中标人的中标金额等于投标报价。</w:t>
            </w:r>
          </w:p>
          <w:p w14:paraId="43693CDA">
            <w:pPr>
              <w:snapToGrid w:val="0"/>
              <w:spacing w:line="360" w:lineRule="auto"/>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w:t>
            </w:r>
            <w:r>
              <w:rPr>
                <w:rFonts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）中小企业政策性扣除计算方法</w:t>
            </w:r>
          </w:p>
          <w:p w14:paraId="044625C2">
            <w:pPr>
              <w:snapToGrid w:val="0"/>
              <w:spacing w:line="360" w:lineRule="auto"/>
              <w:ind w:firstLine="443" w:firstLineChars="211"/>
              <w:rPr>
                <w:rFonts w:ascii="宋体" w:hAnsi="宋体"/>
                <w:color w:val="000000" w:themeColor="text1"/>
                <w:szCs w:val="21"/>
                <w:highlight w:val="none"/>
                <w14:textFill>
                  <w14:solidFill>
                    <w14:schemeClr w14:val="tx1"/>
                  </w14:solidFill>
                </w14:textFill>
              </w:rPr>
            </w:pPr>
            <w:bookmarkStart w:id="145" w:name="_Hlk65858438"/>
            <w:r>
              <w:rPr>
                <w:rFonts w:hint="eastAsia" w:ascii="宋体" w:hAnsi="宋体"/>
                <w:bCs/>
                <w:color w:val="000000" w:themeColor="text1"/>
                <w:szCs w:val="21"/>
                <w:highlight w:val="none"/>
                <w14:textFill>
                  <w14:solidFill>
                    <w14:schemeClr w14:val="tx1"/>
                  </w14:solidFill>
                </w14:textFill>
              </w:rPr>
              <w:t>根据《政府采购促进中小企业发展管理办法》（财库〔2020〕46号）及《广西壮族自治区财政厅关于持续优化政府采购营商环境推动高质量发展的通知》（桂财采〔2024〕55号）的规定，投标人在其投标文件中提供《中小企业声明函》，且其投标全部货物由小微企业制造的，对其投标报价给予</w:t>
            </w:r>
            <w:r>
              <w:rPr>
                <w:rFonts w:hint="eastAsia" w:ascii="宋体" w:hAnsi="宋体"/>
                <w:bCs/>
                <w:color w:val="000000" w:themeColor="text1"/>
                <w:szCs w:val="21"/>
                <w:highlight w:val="none"/>
                <w:u w:val="single"/>
                <w:lang w:val="en-US" w:eastAsia="zh-CN"/>
                <w14:textFill>
                  <w14:solidFill>
                    <w14:schemeClr w14:val="tx1"/>
                  </w14:solidFill>
                </w14:textFill>
              </w:rPr>
              <w:t>10</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（范围为10%-20%）的扣除，</w:t>
            </w:r>
            <w:r>
              <w:rPr>
                <w:rFonts w:hint="eastAsia" w:hAnsi="宋体" w:cs="Courier New"/>
                <w:bCs/>
                <w:color w:val="000000" w:themeColor="text1"/>
                <w:highlight w:val="none"/>
                <w14:textFill>
                  <w14:solidFill>
                    <w14:schemeClr w14:val="tx1"/>
                  </w14:solidFill>
                </w14:textFill>
              </w:rPr>
              <w:t>即中小企业折扣=投标报价×</w:t>
            </w:r>
            <w:r>
              <w:rPr>
                <w:rFonts w:hAnsi="宋体" w:cs="Courier New"/>
                <w:bCs/>
                <w:color w:val="000000" w:themeColor="text1"/>
                <w:highlight w:val="none"/>
                <w:u w:val="single"/>
                <w14:textFill>
                  <w14:solidFill>
                    <w14:schemeClr w14:val="tx1"/>
                  </w14:solidFill>
                </w14:textFill>
              </w:rPr>
              <w:t xml:space="preserve"> </w:t>
            </w:r>
            <w:r>
              <w:rPr>
                <w:rFonts w:hint="eastAsia" w:hAnsi="宋体" w:cs="Courier New"/>
                <w:bCs/>
                <w:color w:val="000000" w:themeColor="text1"/>
                <w:highlight w:val="none"/>
                <w:u w:val="single"/>
                <w:lang w:val="en-US" w:eastAsia="zh-CN"/>
                <w14:textFill>
                  <w14:solidFill>
                    <w14:schemeClr w14:val="tx1"/>
                  </w14:solidFill>
                </w14:textFill>
              </w:rPr>
              <w:t>10</w:t>
            </w:r>
            <w:r>
              <w:rPr>
                <w:rFonts w:hAnsi="宋体" w:cs="Courier New"/>
                <w:bCs/>
                <w:color w:val="000000" w:themeColor="text1"/>
                <w:highlight w:val="none"/>
                <w:u w:val="single"/>
                <w14:textFill>
                  <w14:solidFill>
                    <w14:schemeClr w14:val="tx1"/>
                  </w14:solidFill>
                </w14:textFill>
              </w:rPr>
              <w:t xml:space="preserve">  </w:t>
            </w:r>
            <w:r>
              <w:rPr>
                <w:rFonts w:hint="eastAsia" w:hAnsi="宋体" w:cs="Courier New"/>
                <w:bCs/>
                <w:color w:val="000000" w:themeColor="text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w:t>
            </w:r>
          </w:p>
          <w:bookmarkEnd w:id="145"/>
          <w:p w14:paraId="711E7B4C">
            <w:pPr>
              <w:snapToGrid w:val="0"/>
              <w:spacing w:line="360" w:lineRule="auto"/>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color w:val="000000" w:themeColor="text1"/>
                <w:szCs w:val="21"/>
                <w:highlight w:val="none"/>
                <w14:textFill>
                  <w14:solidFill>
                    <w14:schemeClr w14:val="tx1"/>
                  </w14:solidFill>
                </w14:textFill>
              </w:rPr>
              <w:t>监狱企业参加政府采购活动时，应当提供由省级以上监狱管理局、戒毒管理局（含新疆生产建设兵团）出具的属于监狱企业的证明文件。</w:t>
            </w:r>
            <w:r>
              <w:rPr>
                <w:rFonts w:hint="eastAsia" w:ascii="宋体" w:hAnsi="宋体"/>
                <w:bCs/>
                <w:color w:val="000000" w:themeColor="text1"/>
                <w:szCs w:val="21"/>
                <w:highlight w:val="none"/>
                <w14:textFill>
                  <w14:solidFill>
                    <w14:schemeClr w14:val="tx1"/>
                  </w14:solidFill>
                </w14:textFill>
              </w:rPr>
              <w:t>监狱企业属于小型、微型企业的，不重复享受政策。</w:t>
            </w:r>
          </w:p>
          <w:p w14:paraId="747FCAC5">
            <w:pPr>
              <w:snapToGrid w:val="0"/>
              <w:spacing w:line="360" w:lineRule="auto"/>
              <w:rPr>
                <w:rFonts w:hint="eastAsia"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（4）按照</w:t>
            </w:r>
            <w:r>
              <w:rPr>
                <w:rFonts w:hint="eastAsia" w:ascii="宋体" w:hAnsi="宋体"/>
                <w:bCs/>
                <w:color w:val="000000" w:themeColor="text1"/>
                <w:szCs w:val="21"/>
                <w:highlight w:val="none"/>
                <w14:textFill>
                  <w14:solidFill>
                    <w14:schemeClr w14:val="tx1"/>
                  </w14:solidFill>
                </w14:textFill>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color w:val="000000" w:themeColor="text1"/>
                <w:szCs w:val="21"/>
                <w:highlight w:val="none"/>
                <w14:textFill>
                  <w14:solidFill>
                    <w14:schemeClr w14:val="tx1"/>
                  </w14:solidFill>
                </w14:textFill>
              </w:rPr>
              <w:t>残疾人福利性单位参加政府采购活动时，应当提供该通知规定的《残疾人福利性单位声明函》，并对声明的真实性负责。</w:t>
            </w:r>
            <w:r>
              <w:rPr>
                <w:rFonts w:hint="eastAsia" w:ascii="宋体" w:hAnsi="宋体"/>
                <w:bCs/>
                <w:color w:val="000000" w:themeColor="text1"/>
                <w:szCs w:val="21"/>
                <w:highlight w:val="none"/>
                <w14:textFill>
                  <w14:solidFill>
                    <w14:schemeClr w14:val="tx1"/>
                  </w14:solidFill>
                </w14:textFill>
              </w:rPr>
              <w:t>残疾人福利性单位属于小型、微型企业的，不重复享受政策。</w:t>
            </w:r>
          </w:p>
          <w:p w14:paraId="19FE7AC5">
            <w:pPr>
              <w:pStyle w:val="27"/>
              <w:spacing w:line="360" w:lineRule="auto"/>
              <w:rPr>
                <w:rFonts w:hAnsi="宋体"/>
                <w:color w:val="000000" w:themeColor="text1"/>
                <w:kern w:val="2"/>
                <w:sz w:val="21"/>
                <w:highlight w:val="none"/>
                <w:lang w:val="en-US" w:eastAsia="zh-CN"/>
                <w14:textFill>
                  <w14:solidFill>
                    <w14:schemeClr w14:val="tx1"/>
                  </w14:solidFill>
                </w14:textFill>
              </w:rPr>
            </w:pPr>
            <w:r>
              <w:rPr>
                <w:rFonts w:hint="eastAsia" w:hAnsi="宋体"/>
                <w:color w:val="000000" w:themeColor="text1"/>
                <w:kern w:val="2"/>
                <w:sz w:val="21"/>
                <w:highlight w:val="none"/>
                <w:lang w:val="en-US" w:eastAsia="zh-CN"/>
                <w14:textFill>
                  <w14:solidFill>
                    <w14:schemeClr w14:val="tx1"/>
                  </w14:solidFill>
                </w14:textFill>
              </w:rPr>
              <w:t>（</w:t>
            </w:r>
            <w:r>
              <w:rPr>
                <w:rFonts w:hAnsi="宋体"/>
                <w:color w:val="000000" w:themeColor="text1"/>
                <w:kern w:val="2"/>
                <w:sz w:val="21"/>
                <w:highlight w:val="none"/>
                <w:lang w:val="en-US" w:eastAsia="zh-CN"/>
                <w14:textFill>
                  <w14:solidFill>
                    <w14:schemeClr w14:val="tx1"/>
                  </w14:solidFill>
                </w14:textFill>
              </w:rPr>
              <w:t>5</w:t>
            </w:r>
            <w:r>
              <w:rPr>
                <w:rFonts w:hint="eastAsia" w:hAnsi="宋体"/>
                <w:color w:val="000000" w:themeColor="text1"/>
                <w:kern w:val="2"/>
                <w:sz w:val="21"/>
                <w:highlight w:val="none"/>
                <w:lang w:val="en-US" w:eastAsia="zh-CN"/>
                <w14:textFill>
                  <w14:solidFill>
                    <w14:schemeClr w14:val="tx1"/>
                  </w14:solidFill>
                </w14:textFill>
              </w:rPr>
              <w:t>）本国产品政策性扣除计算方法。</w:t>
            </w:r>
          </w:p>
          <w:p w14:paraId="517F29F8">
            <w:pPr>
              <w:pStyle w:val="27"/>
              <w:spacing w:line="360" w:lineRule="auto"/>
              <w:ind w:firstLine="420" w:firstLineChars="200"/>
              <w:rPr>
                <w:rFonts w:hint="eastAsia" w:hAnsi="宋体"/>
                <w:color w:val="000000" w:themeColor="text1"/>
                <w:kern w:val="2"/>
                <w:sz w:val="21"/>
                <w:highlight w:val="none"/>
                <w:lang w:val="en-US" w:eastAsia="zh-CN"/>
                <w14:textFill>
                  <w14:solidFill>
                    <w14:schemeClr w14:val="tx1"/>
                  </w14:solidFill>
                </w14:textFill>
              </w:rPr>
            </w:pPr>
            <w:r>
              <w:rPr>
                <w:rFonts w:hint="eastAsia" w:hAnsi="宋体"/>
                <w:color w:val="000000" w:themeColor="text1"/>
                <w:kern w:val="2"/>
                <w:sz w:val="21"/>
                <w:highlight w:val="none"/>
                <w:lang w:val="en-US" w:eastAsia="zh-CN"/>
                <w14:textFill>
                  <w14:solidFill>
                    <w14:schemeClr w14:val="tx1"/>
                  </w14:solidFill>
                </w14:textFill>
              </w:rPr>
              <w:t>根据《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w:t>
            </w:r>
          </w:p>
          <w:p w14:paraId="09826668">
            <w:pPr>
              <w:pStyle w:val="27"/>
              <w:spacing w:line="360" w:lineRule="auto"/>
              <w:ind w:firstLine="420" w:firstLineChars="200"/>
              <w:rPr>
                <w:rFonts w:hAnsi="宋体"/>
                <w:color w:val="000000" w:themeColor="text1"/>
                <w:kern w:val="2"/>
                <w:sz w:val="21"/>
                <w:highlight w:val="none"/>
                <w:lang w:val="en-US" w:eastAsia="zh-CN"/>
                <w14:textFill>
                  <w14:solidFill>
                    <w14:schemeClr w14:val="tx1"/>
                  </w14:solidFill>
                </w14:textFill>
              </w:rPr>
            </w:pPr>
            <w:r>
              <w:rPr>
                <w:rFonts w:hint="eastAsia" w:hAnsi="宋体"/>
                <w:color w:val="000000" w:themeColor="text1"/>
                <w:kern w:val="2"/>
                <w:sz w:val="21"/>
                <w:highlight w:val="none"/>
                <w:lang w:val="en-US" w:eastAsia="zh-CN"/>
                <w14:textFill>
                  <w14:solidFill>
                    <w14:schemeClr w14:val="tx1"/>
                  </w14:solidFill>
                </w14:textFill>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w:t>
            </w:r>
          </w:p>
          <w:p w14:paraId="1A6D2126">
            <w:pPr>
              <w:pStyle w:val="27"/>
              <w:spacing w:line="360" w:lineRule="auto"/>
              <w:ind w:firstLine="420" w:firstLineChars="200"/>
              <w:rPr>
                <w:rFonts w:hint="eastAsia" w:hAnsi="宋体"/>
                <w:color w:val="000000" w:themeColor="text1"/>
                <w:kern w:val="2"/>
                <w:sz w:val="21"/>
                <w:highlight w:val="none"/>
                <w:lang w:val="en-US" w:eastAsia="zh-CN"/>
                <w14:textFill>
                  <w14:solidFill>
                    <w14:schemeClr w14:val="tx1"/>
                  </w14:solidFill>
                </w14:textFill>
              </w:rPr>
            </w:pPr>
            <w:r>
              <w:rPr>
                <w:rFonts w:hint="eastAsia" w:hAnsi="宋体"/>
                <w:color w:val="000000" w:themeColor="text1"/>
                <w:kern w:val="2"/>
                <w:sz w:val="21"/>
                <w:highlight w:val="none"/>
                <w:lang w:val="en-US" w:eastAsia="zh-CN"/>
                <w14:textFill>
                  <w14:solidFill>
                    <w14:schemeClr w14:val="tx1"/>
                  </w14:solidFill>
                </w14:textFill>
              </w:rPr>
              <w:t>供应商在其投标文件中提供《关于符合本国产品标准的声明函》或财政部会同有关部门规定的有关证明文件，出具符合要求的《声明函》或有关证明文件的，该产品视为本国产品。</w:t>
            </w:r>
          </w:p>
          <w:p w14:paraId="74E37978">
            <w:pPr>
              <w:pStyle w:val="27"/>
              <w:spacing w:line="360" w:lineRule="auto"/>
              <w:ind w:firstLine="420" w:firstLineChars="200"/>
              <w:rPr>
                <w:rFonts w:hint="eastAsia" w:hAnsi="宋体"/>
                <w:color w:val="000000" w:themeColor="text1"/>
                <w:kern w:val="2"/>
                <w:sz w:val="21"/>
                <w:highlight w:val="none"/>
                <w:lang w:val="en-US" w:eastAsia="zh-CN"/>
                <w14:textFill>
                  <w14:solidFill>
                    <w14:schemeClr w14:val="tx1"/>
                  </w14:solidFill>
                </w14:textFill>
              </w:rPr>
            </w:pPr>
            <w:r>
              <w:rPr>
                <w:rFonts w:hint="eastAsia" w:hAnsi="宋体"/>
                <w:color w:val="000000" w:themeColor="text1"/>
                <w:kern w:val="2"/>
                <w:sz w:val="21"/>
                <w:highlight w:val="none"/>
                <w:lang w:val="en-US" w:eastAsia="zh-CN"/>
                <w14:textFill>
                  <w14:solidFill>
                    <w14:schemeClr w14:val="tx1"/>
                  </w14:solidFill>
                </w14:textFill>
              </w:rPr>
              <w:t>如果所有参与竞争的投标人均可享受本国产品价格评审优惠，则统一不进行价格扣除。</w:t>
            </w:r>
          </w:p>
          <w:p w14:paraId="1B6B5D44">
            <w:pPr>
              <w:pStyle w:val="27"/>
              <w:spacing w:line="360" w:lineRule="auto"/>
              <w:rPr>
                <w:rFonts w:hAnsi="宋体"/>
                <w:color w:val="000000" w:themeColor="text1"/>
                <w:kern w:val="2"/>
                <w:sz w:val="21"/>
                <w:highlight w:val="none"/>
                <w:lang w:val="en-US" w:eastAsia="zh-CN"/>
                <w14:textFill>
                  <w14:solidFill>
                    <w14:schemeClr w14:val="tx1"/>
                  </w14:solidFill>
                </w14:textFill>
              </w:rPr>
            </w:pPr>
            <w:r>
              <w:rPr>
                <w:rFonts w:hint="eastAsia" w:hAnsi="宋体"/>
                <w:color w:val="000000" w:themeColor="text1"/>
                <w:kern w:val="2"/>
                <w:sz w:val="21"/>
                <w:highlight w:val="none"/>
                <w:lang w:val="en-US" w:eastAsia="zh-CN"/>
                <w14:textFill>
                  <w14:solidFill>
                    <w14:schemeClr w14:val="tx1"/>
                  </w14:solidFill>
                </w14:textFill>
              </w:rPr>
              <w:t>（6）中小企业折扣与本国产品折扣进行叠加计算，用扣除后的价格参加评审。即评标报价 =投标报价-中小企业折扣-本国产品折扣，除上述情况外，评标报价 =投标报价。</w:t>
            </w:r>
          </w:p>
          <w:p w14:paraId="3E61ADA1">
            <w:pPr>
              <w:snapToGrid w:val="0"/>
              <w:spacing w:line="360" w:lineRule="auto"/>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w:t>
            </w:r>
            <w:r>
              <w:rPr>
                <w:rFonts w:ascii="宋体" w:hAnsi="宋体"/>
                <w:bCs/>
                <w:color w:val="000000" w:themeColor="text1"/>
                <w:szCs w:val="21"/>
                <w:highlight w:val="none"/>
                <w14:textFill>
                  <w14:solidFill>
                    <w14:schemeClr w14:val="tx1"/>
                  </w14:solidFill>
                </w14:textFill>
              </w:rPr>
              <w:t>7</w:t>
            </w:r>
            <w:r>
              <w:rPr>
                <w:rFonts w:hint="eastAsia" w:ascii="宋体" w:hAnsi="宋体"/>
                <w:bCs/>
                <w:color w:val="000000" w:themeColor="text1"/>
                <w:szCs w:val="21"/>
                <w:highlight w:val="none"/>
                <w14:textFill>
                  <w14:solidFill>
                    <w14:schemeClr w14:val="tx1"/>
                  </w14:solidFill>
                </w14:textFill>
              </w:rPr>
              <w:t>）满足招标文件要求且最低的评标报价为评标基准价，其价格分为满分。</w:t>
            </w:r>
          </w:p>
          <w:p w14:paraId="52A77FE4">
            <w:pPr>
              <w:spacing w:line="360" w:lineRule="auto"/>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w:t>
            </w:r>
            <w:r>
              <w:rPr>
                <w:rFonts w:ascii="宋体" w:hAnsi="宋体"/>
                <w:bCs/>
                <w:color w:val="000000" w:themeColor="text1"/>
                <w:szCs w:val="21"/>
                <w:highlight w:val="none"/>
                <w14:textFill>
                  <w14:solidFill>
                    <w14:schemeClr w14:val="tx1"/>
                  </w14:solidFill>
                </w14:textFill>
              </w:rPr>
              <w:t>8</w:t>
            </w:r>
            <w:r>
              <w:rPr>
                <w:rFonts w:hint="eastAsia" w:ascii="宋体" w:hAnsi="宋体"/>
                <w:bCs/>
                <w:color w:val="000000" w:themeColor="text1"/>
                <w:szCs w:val="21"/>
                <w:highlight w:val="none"/>
                <w14:textFill>
                  <w14:solidFill>
                    <w14:schemeClr w14:val="tx1"/>
                  </w14:solidFill>
                </w14:textFill>
              </w:rPr>
              <w:t xml:space="preserve">）价格分计算公式：        </w:t>
            </w:r>
          </w:p>
          <w:p w14:paraId="37006EE6">
            <w:pPr>
              <w:rPr>
                <w:rFonts w:ascii="宋体" w:hAnsi="宋体" w:cs="Courier New"/>
                <w:bCs/>
                <w:color w:val="000000" w:themeColor="text1"/>
                <w:szCs w:val="21"/>
                <w:highlight w:val="none"/>
                <w14:textFill>
                  <w14:solidFill>
                    <w14:schemeClr w14:val="tx1"/>
                  </w14:solidFill>
                </w14:textFill>
              </w:rPr>
            </w:pPr>
            <w:r>
              <w:rPr>
                <w:rFonts w:hint="eastAsia" w:hAnsi="宋体"/>
                <w:bCs/>
                <w:color w:val="000000" w:themeColor="text1"/>
                <w:sz w:val="21"/>
                <w:highlight w:val="none"/>
                <w:lang w:val="en-US" w:eastAsia="zh-CN"/>
                <w14:textFill>
                  <w14:solidFill>
                    <w14:schemeClr w14:val="tx1"/>
                  </w14:solidFill>
                </w14:textFill>
              </w:rPr>
              <w:t>价格分</w:t>
            </w:r>
            <w:r>
              <w:rPr>
                <w:rFonts w:hint="eastAsia" w:hAnsi="宋体" w:cs="Courier New"/>
                <w:bCs/>
                <w:color w:val="000000" w:themeColor="text1"/>
                <w:kern w:val="2"/>
                <w:sz w:val="21"/>
                <w:highlight w:val="none"/>
                <w:lang w:val="en-US" w:eastAsia="zh-CN"/>
                <w14:textFill>
                  <w14:solidFill>
                    <w14:schemeClr w14:val="tx1"/>
                  </w14:solidFill>
                </w14:textFill>
              </w:rPr>
              <w:t>=（评标基准价／评标报价）×</w:t>
            </w:r>
            <w:r>
              <w:rPr>
                <w:rFonts w:hint="eastAsia" w:hAnsi="宋体"/>
                <w:bCs/>
                <w:color w:val="000000" w:themeColor="text1"/>
                <w:sz w:val="21"/>
                <w:highlight w:val="none"/>
                <w:u w:val="single"/>
                <w:lang w:val="en-US" w:eastAsia="zh-CN"/>
                <w14:textFill>
                  <w14:solidFill>
                    <w14:schemeClr w14:val="tx1"/>
                  </w14:solidFill>
                </w14:textFill>
              </w:rPr>
              <w:t xml:space="preserve"> 35</w:t>
            </w:r>
            <w:r>
              <w:rPr>
                <w:rFonts w:hint="eastAsia" w:hAnsi="宋体" w:cs="Courier New"/>
                <w:bCs/>
                <w:color w:val="000000" w:themeColor="text1"/>
                <w:kern w:val="2"/>
                <w:sz w:val="21"/>
                <w:highlight w:val="none"/>
                <w:lang w:val="en-US" w:eastAsia="zh-CN"/>
                <w14:textFill>
                  <w14:solidFill>
                    <w14:schemeClr w14:val="tx1"/>
                  </w14:solidFill>
                </w14:textFill>
              </w:rPr>
              <w:t>分</w:t>
            </w:r>
          </w:p>
        </w:tc>
      </w:tr>
      <w:tr w14:paraId="0DA5C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5" w:type="dxa"/>
            <w:vMerge w:val="restart"/>
            <w:noWrap/>
            <w:vAlign w:val="center"/>
          </w:tcPr>
          <w:p w14:paraId="42ADB6CB">
            <w:pPr>
              <w:adjustRightInd w:val="0"/>
              <w:spacing w:line="360" w:lineRule="auto"/>
              <w:jc w:val="center"/>
              <w:textAlignment w:val="baseline"/>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1346" w:type="dxa"/>
            <w:vMerge w:val="restart"/>
            <w:noWrap/>
            <w:vAlign w:val="center"/>
          </w:tcPr>
          <w:p w14:paraId="4F5E1B6D">
            <w:pPr>
              <w:adjustRightInd w:val="0"/>
              <w:spacing w:line="360" w:lineRule="auto"/>
              <w:jc w:val="left"/>
              <w:textAlignment w:val="baseline"/>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技术分</w:t>
            </w:r>
          </w:p>
          <w:p w14:paraId="188A7438">
            <w:pPr>
              <w:adjustRightInd w:val="0"/>
              <w:spacing w:line="360" w:lineRule="auto"/>
              <w:jc w:val="left"/>
              <w:textAlignment w:val="baseline"/>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（满分</w:t>
            </w:r>
            <w:r>
              <w:rPr>
                <w:rFonts w:hint="eastAsia" w:ascii="宋体" w:hAnsi="宋体"/>
                <w:b/>
                <w:bCs/>
                <w:color w:val="000000" w:themeColor="text1"/>
                <w:szCs w:val="21"/>
                <w:highlight w:val="none"/>
                <w:lang w:val="en-US" w:eastAsia="zh-CN"/>
                <w14:textFill>
                  <w14:solidFill>
                    <w14:schemeClr w14:val="tx1"/>
                  </w14:solidFill>
                </w14:textFill>
              </w:rPr>
              <w:t>40</w:t>
            </w:r>
            <w:r>
              <w:rPr>
                <w:rFonts w:hint="eastAsia" w:ascii="宋体" w:hAnsi="宋体"/>
                <w:b/>
                <w:bCs/>
                <w:color w:val="000000" w:themeColor="text1"/>
                <w:szCs w:val="21"/>
                <w:highlight w:val="none"/>
                <w14:textFill>
                  <w14:solidFill>
                    <w14:schemeClr w14:val="tx1"/>
                  </w14:solidFill>
                </w14:textFill>
              </w:rPr>
              <w:t>分）</w:t>
            </w:r>
          </w:p>
        </w:tc>
        <w:tc>
          <w:tcPr>
            <w:tcW w:w="1253" w:type="dxa"/>
            <w:noWrap/>
            <w:vAlign w:val="center"/>
          </w:tcPr>
          <w:p w14:paraId="7CBBD347">
            <w:pPr>
              <w:spacing w:line="380" w:lineRule="exact"/>
              <w:jc w:val="lef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货物设备性能分（满分</w:t>
            </w:r>
            <w:r>
              <w:rPr>
                <w:rFonts w:hint="eastAsia" w:ascii="宋体" w:hAnsi="宋体"/>
                <w:b/>
                <w:bCs/>
                <w:color w:val="000000" w:themeColor="text1"/>
                <w:szCs w:val="21"/>
                <w:highlight w:val="none"/>
                <w:lang w:val="en-US" w:eastAsia="zh-CN"/>
                <w14:textFill>
                  <w14:solidFill>
                    <w14:schemeClr w14:val="tx1"/>
                  </w14:solidFill>
                </w14:textFill>
              </w:rPr>
              <w:t>5</w:t>
            </w:r>
            <w:r>
              <w:rPr>
                <w:rFonts w:hint="eastAsia" w:ascii="宋体" w:hAnsi="宋体"/>
                <w:b/>
                <w:bCs/>
                <w:color w:val="000000" w:themeColor="text1"/>
                <w:szCs w:val="21"/>
                <w:highlight w:val="none"/>
                <w14:textFill>
                  <w14:solidFill>
                    <w14:schemeClr w14:val="tx1"/>
                  </w14:solidFill>
                </w14:textFill>
              </w:rPr>
              <w:t>分）</w:t>
            </w:r>
          </w:p>
        </w:tc>
        <w:tc>
          <w:tcPr>
            <w:tcW w:w="6326" w:type="dxa"/>
            <w:noWrap/>
            <w:vAlign w:val="center"/>
          </w:tcPr>
          <w:p w14:paraId="21F1CC38">
            <w:pPr>
              <w:spacing w:line="360" w:lineRule="auto"/>
              <w:rPr>
                <w:rFonts w:ascii="宋体" w:hAnsi="宋体"/>
                <w:bCs/>
                <w:color w:val="000000" w:themeColor="text1"/>
                <w:spacing w:val="-2"/>
                <w:kern w:val="0"/>
                <w:szCs w:val="21"/>
                <w:highlight w:val="none"/>
                <w:shd w:val="clear" w:color="auto" w:fill="FFFFFF"/>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投标文件的非标注</w:t>
            </w:r>
            <w:r>
              <w:rPr>
                <w:rFonts w:hint="eastAsia" w:ascii="宋体" w:hAnsi="宋体" w:cs="宋体"/>
                <w:color w:val="000000" w:themeColor="text1"/>
                <w:szCs w:val="21"/>
                <w:highlight w:val="none"/>
                <w14:textFill>
                  <w14:solidFill>
                    <w14:schemeClr w14:val="tx1"/>
                  </w14:solidFill>
                </w14:textFill>
              </w:rPr>
              <w:t>“▲”的</w:t>
            </w:r>
            <w:r>
              <w:rPr>
                <w:rFonts w:hint="eastAsia" w:ascii="宋体" w:hAnsi="宋体" w:cs="宋体"/>
                <w:color w:val="000000" w:themeColor="text1"/>
                <w:kern w:val="0"/>
                <w:szCs w:val="21"/>
                <w:highlight w:val="none"/>
                <w14:textFill>
                  <w14:solidFill>
                    <w14:schemeClr w14:val="tx1"/>
                  </w14:solidFill>
                </w14:textFill>
              </w:rPr>
              <w:t>技术要求中无负偏离的得</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分，满分</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分 。</w:t>
            </w:r>
          </w:p>
        </w:tc>
      </w:tr>
      <w:tr w14:paraId="49670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5" w:type="dxa"/>
            <w:vMerge w:val="continue"/>
            <w:noWrap/>
            <w:vAlign w:val="center"/>
          </w:tcPr>
          <w:p w14:paraId="69090A0E">
            <w:pPr>
              <w:adjustRightInd w:val="0"/>
              <w:spacing w:line="360" w:lineRule="auto"/>
              <w:jc w:val="center"/>
              <w:textAlignment w:val="baseline"/>
              <w:rPr>
                <w:rFonts w:ascii="宋体" w:hAnsi="宋体"/>
                <w:b/>
                <w:color w:val="000000" w:themeColor="text1"/>
                <w:szCs w:val="21"/>
                <w:highlight w:val="none"/>
                <w14:textFill>
                  <w14:solidFill>
                    <w14:schemeClr w14:val="tx1"/>
                  </w14:solidFill>
                </w14:textFill>
              </w:rPr>
            </w:pPr>
          </w:p>
        </w:tc>
        <w:tc>
          <w:tcPr>
            <w:tcW w:w="1346" w:type="dxa"/>
            <w:vMerge w:val="continue"/>
            <w:noWrap/>
            <w:vAlign w:val="center"/>
          </w:tcPr>
          <w:p w14:paraId="55CE6EAF">
            <w:pPr>
              <w:adjustRightInd w:val="0"/>
              <w:spacing w:line="360" w:lineRule="auto"/>
              <w:ind w:left="-105" w:leftChars="-50" w:right="-105" w:rightChars="-50"/>
              <w:jc w:val="center"/>
              <w:textAlignment w:val="baseline"/>
              <w:rPr>
                <w:rFonts w:ascii="宋体" w:hAnsi="宋体"/>
                <w:b/>
                <w:bCs/>
                <w:color w:val="000000" w:themeColor="text1"/>
                <w:szCs w:val="21"/>
                <w:highlight w:val="none"/>
                <w14:textFill>
                  <w14:solidFill>
                    <w14:schemeClr w14:val="tx1"/>
                  </w14:solidFill>
                </w14:textFill>
              </w:rPr>
            </w:pPr>
          </w:p>
        </w:tc>
        <w:tc>
          <w:tcPr>
            <w:tcW w:w="1253" w:type="dxa"/>
            <w:noWrap/>
            <w:vAlign w:val="center"/>
          </w:tcPr>
          <w:p w14:paraId="48ECFCB4">
            <w:pPr>
              <w:spacing w:line="360" w:lineRule="atLeast"/>
              <w:jc w:val="center"/>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项目实施方案</w:t>
            </w:r>
          </w:p>
          <w:p w14:paraId="4D9009A1">
            <w:pPr>
              <w:adjustRightInd w:val="0"/>
              <w:spacing w:line="360" w:lineRule="auto"/>
              <w:jc w:val="left"/>
              <w:textAlignment w:val="baseline"/>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（满分20分）</w:t>
            </w:r>
          </w:p>
          <w:p w14:paraId="26B809E4">
            <w:pPr>
              <w:spacing w:line="380" w:lineRule="exact"/>
              <w:rPr>
                <w:color w:val="000000" w:themeColor="text1"/>
                <w:kern w:val="0"/>
                <w:szCs w:val="21"/>
                <w:highlight w:val="none"/>
                <w14:textFill>
                  <w14:solidFill>
                    <w14:schemeClr w14:val="tx1"/>
                  </w14:solidFill>
                </w14:textFill>
              </w:rPr>
            </w:pPr>
          </w:p>
        </w:tc>
        <w:tc>
          <w:tcPr>
            <w:tcW w:w="6326" w:type="dxa"/>
            <w:noWrap/>
            <w:vAlign w:val="center"/>
          </w:tcPr>
          <w:p w14:paraId="44B28804">
            <w:pPr>
              <w:pStyle w:val="1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一档（6分）：实施方案中对交付计划、技术保证措施有描述</w:t>
            </w:r>
            <w:r>
              <w:rPr>
                <w:rFonts w:hint="eastAsia" w:ascii="宋体" w:hAnsi="宋体"/>
                <w:bCs/>
                <w:color w:val="000000" w:themeColor="text1"/>
                <w:szCs w:val="21"/>
                <w:highlight w:val="none"/>
                <w:lang w:eastAsia="zh-CN"/>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对</w:t>
            </w:r>
            <w:r>
              <w:rPr>
                <w:rFonts w:hint="eastAsia" w:ascii="宋体" w:hAnsi="宋体"/>
                <w:bCs/>
                <w:color w:val="000000" w:themeColor="text1"/>
                <w:szCs w:val="21"/>
                <w:highlight w:val="none"/>
                <w14:textFill>
                  <w14:solidFill>
                    <w14:schemeClr w14:val="tx1"/>
                  </w14:solidFill>
                </w14:textFill>
              </w:rPr>
              <w:t>项目管理组织机构及人员职能</w:t>
            </w:r>
            <w:r>
              <w:rPr>
                <w:rFonts w:hint="eastAsia" w:ascii="宋体" w:hAnsi="宋体"/>
                <w:bCs/>
                <w:color w:val="000000" w:themeColor="text1"/>
                <w:szCs w:val="21"/>
                <w:highlight w:val="none"/>
                <w:lang w:val="en-US" w:eastAsia="zh-CN"/>
                <w14:textFill>
                  <w14:solidFill>
                    <w14:schemeClr w14:val="tx1"/>
                  </w14:solidFill>
                </w14:textFill>
              </w:rPr>
              <w:t>描述</w:t>
            </w:r>
            <w:r>
              <w:rPr>
                <w:rFonts w:hint="eastAsia" w:ascii="宋体" w:hAnsi="宋体"/>
                <w:bCs/>
                <w:color w:val="000000" w:themeColor="text1"/>
                <w:szCs w:val="21"/>
                <w:highlight w:val="none"/>
                <w14:textFill>
                  <w14:solidFill>
                    <w14:schemeClr w14:val="tx1"/>
                  </w14:solidFill>
                </w14:textFill>
              </w:rPr>
              <w:t>清晰。</w:t>
            </w:r>
          </w:p>
          <w:p w14:paraId="0D63378E">
            <w:pPr>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二档（13分）：实施方案包括有交付计划、人员投入、安全保证措施和技术保证措施。实施方案完整清晰，实施计划详细，项目管理组织机构及人员职能清晰。</w:t>
            </w:r>
          </w:p>
          <w:p w14:paraId="754E48A9">
            <w:pPr>
              <w:pStyle w:val="1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三档（20分）：实施方案包括有交付计划、人员投入、安全保证措施和技术保证措施及验收方案内容详细，</w:t>
            </w:r>
            <w:r>
              <w:rPr>
                <w:rFonts w:hint="eastAsia"/>
                <w:color w:val="000000" w:themeColor="text1"/>
                <w:highlight w:val="none"/>
                <w:lang w:val="en-US" w:eastAsia="zh-CN"/>
                <w14:textFill>
                  <w14:solidFill>
                    <w14:schemeClr w14:val="tx1"/>
                  </w14:solidFill>
                </w14:textFill>
              </w:rPr>
              <w:t>切合项目实际</w:t>
            </w:r>
            <w:r>
              <w:rPr>
                <w:rFonts w:hint="eastAsia" w:ascii="宋体" w:hAnsi="宋体"/>
                <w:bCs/>
                <w:color w:val="000000" w:themeColor="text1"/>
                <w:szCs w:val="21"/>
                <w:highlight w:val="none"/>
                <w14:textFill>
                  <w14:solidFill>
                    <w14:schemeClr w14:val="tx1"/>
                  </w14:solidFill>
                </w14:textFill>
              </w:rPr>
              <w:t>，有交付保证措施、实施安全保障措施、风险管理体系，项目管理组织机构及人员职能清晰。</w:t>
            </w:r>
          </w:p>
          <w:p w14:paraId="5B3AC2A5">
            <w:pPr>
              <w:pStyle w:val="2"/>
              <w:rPr>
                <w:rFonts w:ascii="Calibri" w:hAnsi="Calibri"/>
                <w:color w:val="000000" w:themeColor="text1"/>
                <w:highlight w:val="none"/>
                <w:lang w:val="en-US" w:eastAsia="zh-CN"/>
                <w14:textFill>
                  <w14:solidFill>
                    <w14:schemeClr w14:val="tx1"/>
                  </w14:solidFill>
                </w14:textFill>
              </w:rPr>
            </w:pPr>
            <w:r>
              <w:rPr>
                <w:rFonts w:hint="eastAsia" w:ascii="宋体" w:hAnsi="宋体" w:eastAsia="宋体" w:cs="Times New Roman"/>
                <w:b w:val="0"/>
                <w:bCs w:val="0"/>
                <w:color w:val="000000" w:themeColor="text1"/>
                <w:spacing w:val="0"/>
                <w:kern w:val="2"/>
                <w:sz w:val="21"/>
                <w:szCs w:val="21"/>
                <w:highlight w:val="none"/>
                <w:shd w:val="clear" w:color="auto" w:fill="FFFFFF"/>
                <w:lang w:val="en-US" w:eastAsia="zh-CN" w:bidi="ar-SA"/>
                <w14:textFill>
                  <w14:solidFill>
                    <w14:schemeClr w14:val="tx1"/>
                  </w14:solidFill>
                </w14:textFill>
              </w:rPr>
              <w:t>注：</w:t>
            </w:r>
            <w:r>
              <w:rPr>
                <w:rFonts w:hint="eastAsia" w:ascii="宋体" w:hAnsi="宋体" w:cs="Times New Roman"/>
                <w:b w:val="0"/>
                <w:bCs w:val="0"/>
                <w:color w:val="000000" w:themeColor="text1"/>
                <w:spacing w:val="0"/>
                <w:kern w:val="2"/>
                <w:sz w:val="21"/>
                <w:szCs w:val="21"/>
                <w:highlight w:val="none"/>
                <w:shd w:val="clear" w:color="auto" w:fill="FFFFFF"/>
                <w:lang w:val="en-US" w:eastAsia="zh-CN" w:bidi="ar-SA"/>
                <w14:textFill>
                  <w14:solidFill>
                    <w14:schemeClr w14:val="tx1"/>
                  </w14:solidFill>
                </w14:textFill>
              </w:rPr>
              <w:t>未达到一档要求的不得分。</w:t>
            </w:r>
          </w:p>
        </w:tc>
      </w:tr>
      <w:tr w14:paraId="4D240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continue"/>
            <w:noWrap/>
          </w:tcPr>
          <w:p w14:paraId="1D956980">
            <w:pPr>
              <w:adjustRightInd w:val="0"/>
              <w:spacing w:line="360" w:lineRule="auto"/>
              <w:jc w:val="center"/>
              <w:textAlignment w:val="baseline"/>
              <w:rPr>
                <w:rFonts w:ascii="宋体" w:hAnsi="宋体"/>
                <w:b/>
                <w:color w:val="000000" w:themeColor="text1"/>
                <w:szCs w:val="21"/>
                <w:highlight w:val="none"/>
                <w14:textFill>
                  <w14:solidFill>
                    <w14:schemeClr w14:val="tx1"/>
                  </w14:solidFill>
                </w14:textFill>
              </w:rPr>
            </w:pPr>
          </w:p>
        </w:tc>
        <w:tc>
          <w:tcPr>
            <w:tcW w:w="1346" w:type="dxa"/>
            <w:vMerge w:val="continue"/>
            <w:noWrap/>
          </w:tcPr>
          <w:p w14:paraId="53FF0BB9">
            <w:pPr>
              <w:adjustRightInd w:val="0"/>
              <w:spacing w:line="360" w:lineRule="auto"/>
              <w:jc w:val="center"/>
              <w:textAlignment w:val="baseline"/>
              <w:rPr>
                <w:rFonts w:ascii="宋体" w:hAnsi="宋体"/>
                <w:color w:val="000000" w:themeColor="text1"/>
                <w:szCs w:val="21"/>
                <w:highlight w:val="none"/>
                <w14:textFill>
                  <w14:solidFill>
                    <w14:schemeClr w14:val="tx1"/>
                  </w14:solidFill>
                </w14:textFill>
              </w:rPr>
            </w:pPr>
          </w:p>
        </w:tc>
        <w:tc>
          <w:tcPr>
            <w:tcW w:w="1253" w:type="dxa"/>
            <w:noWrap/>
            <w:tcMar>
              <w:left w:w="57" w:type="dxa"/>
              <w:right w:w="57" w:type="dxa"/>
            </w:tcMar>
            <w:vAlign w:val="center"/>
          </w:tcPr>
          <w:p w14:paraId="393C019D">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质量保证措施</w:t>
            </w:r>
            <w:r>
              <w:rPr>
                <w:rFonts w:hint="eastAsia" w:ascii="宋体" w:hAnsi="宋体"/>
                <w:b/>
                <w:bCs/>
                <w:color w:val="000000" w:themeColor="text1"/>
                <w:szCs w:val="21"/>
                <w:highlight w:val="none"/>
                <w14:textFill>
                  <w14:solidFill>
                    <w14:schemeClr w14:val="tx1"/>
                  </w14:solidFill>
                </w14:textFill>
              </w:rPr>
              <w:t>（满分15分）</w:t>
            </w:r>
          </w:p>
        </w:tc>
        <w:tc>
          <w:tcPr>
            <w:tcW w:w="6326" w:type="dxa"/>
            <w:noWrap/>
          </w:tcPr>
          <w:p w14:paraId="7A026E50">
            <w:pPr>
              <w:spacing w:line="440" w:lineRule="exact"/>
              <w:rPr>
                <w:rFonts w:ascii="宋体" w:hAnsi="宋体"/>
                <w:b w:val="0"/>
                <w:bCs w:val="0"/>
                <w:color w:val="000000" w:themeColor="text1"/>
                <w:szCs w:val="21"/>
                <w:highlight w:val="none"/>
                <w:shd w:val="clear" w:color="auto" w:fill="FFFFFF"/>
                <w14:textFill>
                  <w14:solidFill>
                    <w14:schemeClr w14:val="tx1"/>
                  </w14:solidFill>
                </w14:textFill>
              </w:rPr>
            </w:pPr>
            <w:r>
              <w:rPr>
                <w:rFonts w:hint="eastAsia" w:ascii="宋体" w:hAnsi="宋体"/>
                <w:b w:val="0"/>
                <w:bCs w:val="0"/>
                <w:color w:val="000000" w:themeColor="text1"/>
                <w:szCs w:val="21"/>
                <w:highlight w:val="none"/>
                <w:shd w:val="clear" w:color="auto" w:fill="FFFFFF"/>
                <w14:textFill>
                  <w14:solidFill>
                    <w14:schemeClr w14:val="tx1"/>
                  </w14:solidFill>
                </w14:textFill>
              </w:rPr>
              <w:t>一档（5分）：对本项目提出的质量控制措施内容不完整、不详细，</w:t>
            </w:r>
            <w:r>
              <w:rPr>
                <w:rFonts w:hint="eastAsia" w:ascii="宋体" w:hAnsi="宋体"/>
                <w:b w:val="0"/>
                <w:bCs w:val="0"/>
                <w:color w:val="000000" w:themeColor="text1"/>
                <w:highlight w:val="none"/>
                <w14:textFill>
                  <w14:solidFill>
                    <w14:schemeClr w14:val="tx1"/>
                  </w14:solidFill>
                </w14:textFill>
              </w:rPr>
              <w:t>质量保证</w:t>
            </w:r>
            <w:r>
              <w:rPr>
                <w:rFonts w:hint="eastAsia" w:ascii="宋体" w:hAnsi="宋体"/>
                <w:b w:val="0"/>
                <w:bCs w:val="0"/>
                <w:color w:val="000000" w:themeColor="text1"/>
                <w:szCs w:val="21"/>
                <w:highlight w:val="none"/>
                <w:shd w:val="clear" w:color="auto" w:fill="FFFFFF"/>
                <w14:textFill>
                  <w14:solidFill>
                    <w14:schemeClr w14:val="tx1"/>
                  </w14:solidFill>
                </w14:textFill>
              </w:rPr>
              <w:t>措施不够明确，但基本能够保证货物质量。</w:t>
            </w:r>
          </w:p>
          <w:p w14:paraId="02A9F268">
            <w:pPr>
              <w:spacing w:line="440" w:lineRule="exact"/>
              <w:rPr>
                <w:rFonts w:ascii="宋体" w:hAnsi="宋体"/>
                <w:b w:val="0"/>
                <w:bCs w:val="0"/>
                <w:color w:val="000000" w:themeColor="text1"/>
                <w:szCs w:val="21"/>
                <w:highlight w:val="none"/>
                <w:shd w:val="clear" w:color="auto" w:fill="FFFFFF"/>
                <w14:textFill>
                  <w14:solidFill>
                    <w14:schemeClr w14:val="tx1"/>
                  </w14:solidFill>
                </w14:textFill>
              </w:rPr>
            </w:pPr>
            <w:r>
              <w:rPr>
                <w:rFonts w:hint="eastAsia" w:ascii="宋体" w:hAnsi="宋体"/>
                <w:b w:val="0"/>
                <w:bCs w:val="0"/>
                <w:color w:val="000000" w:themeColor="text1"/>
                <w:szCs w:val="21"/>
                <w:highlight w:val="none"/>
                <w:shd w:val="clear" w:color="auto" w:fill="FFFFFF"/>
                <w14:textFill>
                  <w14:solidFill>
                    <w14:schemeClr w14:val="tx1"/>
                  </w14:solidFill>
                </w14:textFill>
              </w:rPr>
              <w:t>二档（10分）：对本项目提出的质量控制措施内容完整、详细，能针对项目情况提出较为明确的</w:t>
            </w:r>
            <w:r>
              <w:rPr>
                <w:rFonts w:hint="eastAsia" w:ascii="宋体" w:hAnsi="宋体"/>
                <w:b w:val="0"/>
                <w:bCs w:val="0"/>
                <w:color w:val="000000" w:themeColor="text1"/>
                <w:highlight w:val="none"/>
                <w14:textFill>
                  <w14:solidFill>
                    <w14:schemeClr w14:val="tx1"/>
                  </w14:solidFill>
                </w14:textFill>
              </w:rPr>
              <w:t>质量保证</w:t>
            </w:r>
            <w:r>
              <w:rPr>
                <w:rFonts w:hint="eastAsia" w:ascii="宋体" w:hAnsi="宋体"/>
                <w:b w:val="0"/>
                <w:bCs w:val="0"/>
                <w:color w:val="000000" w:themeColor="text1"/>
                <w:szCs w:val="21"/>
                <w:highlight w:val="none"/>
                <w:shd w:val="clear" w:color="auto" w:fill="FFFFFF"/>
                <w14:textFill>
                  <w14:solidFill>
                    <w14:schemeClr w14:val="tx1"/>
                  </w14:solidFill>
                </w14:textFill>
              </w:rPr>
              <w:t>措施，能够控制货物的质量。</w:t>
            </w:r>
          </w:p>
          <w:p w14:paraId="02215AD0">
            <w:pPr>
              <w:spacing w:line="440" w:lineRule="exact"/>
              <w:rPr>
                <w:rFonts w:ascii="宋体" w:hAnsi="宋体"/>
                <w:b w:val="0"/>
                <w:bCs w:val="0"/>
                <w:color w:val="000000" w:themeColor="text1"/>
                <w:szCs w:val="21"/>
                <w:highlight w:val="none"/>
                <w:shd w:val="clear" w:color="auto" w:fill="FFFFFF"/>
                <w14:textFill>
                  <w14:solidFill>
                    <w14:schemeClr w14:val="tx1"/>
                  </w14:solidFill>
                </w14:textFill>
              </w:rPr>
            </w:pPr>
            <w:r>
              <w:rPr>
                <w:rFonts w:hint="eastAsia" w:ascii="宋体" w:hAnsi="宋体"/>
                <w:b w:val="0"/>
                <w:bCs w:val="0"/>
                <w:color w:val="000000" w:themeColor="text1"/>
                <w:szCs w:val="21"/>
                <w:highlight w:val="none"/>
                <w:shd w:val="clear" w:color="auto" w:fill="FFFFFF"/>
                <w14:textFill>
                  <w14:solidFill>
                    <w14:schemeClr w14:val="tx1"/>
                  </w14:solidFill>
                </w14:textFill>
              </w:rPr>
              <w:t xml:space="preserve"> 三档（15分）：针对本项目提出的质量控制措施详细，分析到位，</w:t>
            </w:r>
            <w:r>
              <w:rPr>
                <w:rFonts w:hint="eastAsia" w:ascii="宋体" w:hAnsi="宋体"/>
                <w:b w:val="0"/>
                <w:bCs w:val="0"/>
                <w:color w:val="000000" w:themeColor="text1"/>
                <w:highlight w:val="none"/>
                <w14:textFill>
                  <w14:solidFill>
                    <w14:schemeClr w14:val="tx1"/>
                  </w14:solidFill>
                </w14:textFill>
              </w:rPr>
              <w:t>质量保证</w:t>
            </w:r>
            <w:r>
              <w:rPr>
                <w:rFonts w:hint="eastAsia" w:ascii="宋体" w:hAnsi="宋体"/>
                <w:b w:val="0"/>
                <w:bCs w:val="0"/>
                <w:color w:val="000000" w:themeColor="text1"/>
                <w:szCs w:val="21"/>
                <w:highlight w:val="none"/>
                <w:shd w:val="clear" w:color="auto" w:fill="FFFFFF"/>
                <w14:textFill>
                  <w14:solidFill>
                    <w14:schemeClr w14:val="tx1"/>
                  </w14:solidFill>
                </w14:textFill>
              </w:rPr>
              <w:t>措施科学合理，能够严格控制货物的质量，并向采购人提出相应的质量保证承诺。</w:t>
            </w:r>
          </w:p>
          <w:p w14:paraId="13EB6624">
            <w:pPr>
              <w:spacing w:line="440" w:lineRule="exact"/>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注：</w:t>
            </w:r>
            <w:r>
              <w:rPr>
                <w:rFonts w:hint="eastAsia"/>
                <w:color w:val="000000" w:themeColor="text1"/>
                <w:highlight w:val="none"/>
                <w:lang w:eastAsia="zh-CN"/>
                <w14:textFill>
                  <w14:solidFill>
                    <w14:schemeClr w14:val="tx1"/>
                  </w14:solidFill>
                </w14:textFill>
              </w:rPr>
              <w:t>未达到一档要求的不得分。</w:t>
            </w:r>
          </w:p>
        </w:tc>
      </w:tr>
      <w:tr w14:paraId="6FF2C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525" w:type="dxa"/>
            <w:vMerge w:val="restart"/>
            <w:noWrap/>
            <w:vAlign w:val="center"/>
          </w:tcPr>
          <w:p w14:paraId="5DD22193">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346" w:type="dxa"/>
            <w:vMerge w:val="restart"/>
            <w:noWrap/>
            <w:vAlign w:val="center"/>
          </w:tcPr>
          <w:p w14:paraId="3AC8EEDA">
            <w:pPr>
              <w:adjustRightInd w:val="0"/>
              <w:spacing w:line="360" w:lineRule="auto"/>
              <w:jc w:val="center"/>
              <w:textAlignment w:val="baseline"/>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商务分</w:t>
            </w:r>
            <w:r>
              <w:rPr>
                <w:rFonts w:hint="eastAsia" w:ascii="宋体" w:hAnsi="宋体"/>
                <w:b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满分</w:t>
            </w:r>
            <w:r>
              <w:rPr>
                <w:rFonts w:hint="eastAsia" w:ascii="宋体" w:hAnsi="宋体"/>
                <w:color w:val="000000" w:themeColor="text1"/>
                <w:szCs w:val="21"/>
                <w:highlight w:val="none"/>
                <w:u w:val="single"/>
                <w14:textFill>
                  <w14:solidFill>
                    <w14:schemeClr w14:val="tx1"/>
                  </w14:solidFill>
                </w14:textFill>
              </w:rPr>
              <w:t>2</w:t>
            </w:r>
            <w:r>
              <w:rPr>
                <w:rFonts w:hint="eastAsia" w:ascii="宋体" w:hAnsi="宋体"/>
                <w:color w:val="000000" w:themeColor="text1"/>
                <w:szCs w:val="21"/>
                <w:highlight w:val="none"/>
                <w:u w:val="single"/>
                <w:lang w:val="en-US" w:eastAsia="zh-CN"/>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分）</w:t>
            </w:r>
          </w:p>
        </w:tc>
        <w:tc>
          <w:tcPr>
            <w:tcW w:w="1253" w:type="dxa"/>
            <w:noWrap/>
            <w:vAlign w:val="center"/>
          </w:tcPr>
          <w:p w14:paraId="3F27A2BF">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售后服务承诺方案（满分15分）</w:t>
            </w:r>
          </w:p>
        </w:tc>
        <w:tc>
          <w:tcPr>
            <w:tcW w:w="6326" w:type="dxa"/>
            <w:noWrap/>
            <w:vAlign w:val="center"/>
          </w:tcPr>
          <w:p w14:paraId="1C7BB8EF">
            <w:pPr>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一档（5分)：售后服务方案包括售后服务人员、接故障通知到达现场的时间、出现质量问题承诺更换时间、应急处理方案达到招标文件的要求。 </w:t>
            </w:r>
          </w:p>
          <w:p w14:paraId="1FBAFE64">
            <w:pPr>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二档（10分)：有项目详细的系统建设的售后服务方案及培训计划，售后服务流程、应急预案、质量保障</w:t>
            </w:r>
            <w:r>
              <w:rPr>
                <w:rFonts w:hint="eastAsia" w:ascii="宋体" w:hAnsi="宋体"/>
                <w:bCs/>
                <w:color w:val="000000" w:themeColor="text1"/>
                <w:szCs w:val="21"/>
                <w:highlight w:val="none"/>
                <w:lang w:val="en-US" w:eastAsia="zh-CN"/>
                <w14:textFill>
                  <w14:solidFill>
                    <w14:schemeClr w14:val="tx1"/>
                  </w14:solidFill>
                </w14:textFill>
              </w:rPr>
              <w:t>切合项目实际</w:t>
            </w:r>
            <w:r>
              <w:rPr>
                <w:rFonts w:hint="eastAsia" w:ascii="宋体" w:hAnsi="宋体"/>
                <w:bCs/>
                <w:color w:val="000000" w:themeColor="text1"/>
                <w:szCs w:val="21"/>
                <w:highlight w:val="none"/>
                <w14:textFill>
                  <w14:solidFill>
                    <w14:schemeClr w14:val="tx1"/>
                  </w14:solidFill>
                </w14:textFill>
              </w:rPr>
              <w:t xml:space="preserve">，且配置售后服务人员，针对本项目能满足采购人的售后服务需求。 </w:t>
            </w:r>
          </w:p>
          <w:p w14:paraId="677616DB">
            <w:pPr>
              <w:spacing w:line="440" w:lineRule="exact"/>
              <w:rPr>
                <w:rFonts w:ascii="宋体" w:hAnsi="宋体" w:cs="宋体"/>
                <w:color w:val="000000" w:themeColor="text1"/>
                <w:sz w:val="22"/>
                <w:szCs w:val="22"/>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三档(15分)：</w:t>
            </w:r>
            <w:r>
              <w:rPr>
                <w:rFonts w:hint="eastAsia" w:ascii="宋体" w:hAnsi="宋体" w:cs="宋体"/>
                <w:color w:val="000000" w:themeColor="text1"/>
                <w:sz w:val="22"/>
                <w:szCs w:val="22"/>
                <w:highlight w:val="none"/>
                <w14:textFill>
                  <w14:solidFill>
                    <w14:schemeClr w14:val="tx1"/>
                  </w14:solidFill>
                </w14:textFill>
              </w:rPr>
              <w:t>提供的售后服务方案完全满足并优于招标文件要求，方案包含有详细的项目维护服务、回访、应急保障方案等内容，售后服务承诺明确质量保证期、到达故障现场时间、故障出现解决方案、定期维护（注明时间），软件升级，有</w:t>
            </w:r>
            <w:r>
              <w:rPr>
                <w:rFonts w:hint="eastAsia" w:ascii="宋体" w:hAnsi="宋体" w:cs="宋体"/>
                <w:color w:val="000000" w:themeColor="text1"/>
                <w:sz w:val="22"/>
                <w:szCs w:val="22"/>
                <w:highlight w:val="none"/>
                <w:lang w:eastAsia="zh-CN"/>
                <w14:textFill>
                  <w14:solidFill>
                    <w14:schemeClr w14:val="tx1"/>
                  </w14:solidFill>
                </w14:textFill>
              </w:rPr>
              <w:t>质保期</w:t>
            </w:r>
            <w:r>
              <w:rPr>
                <w:rFonts w:hint="eastAsia" w:ascii="宋体" w:hAnsi="宋体" w:cs="宋体"/>
                <w:color w:val="000000" w:themeColor="text1"/>
                <w:sz w:val="22"/>
                <w:szCs w:val="22"/>
                <w:highlight w:val="none"/>
                <w14:textFill>
                  <w14:solidFill>
                    <w14:schemeClr w14:val="tx1"/>
                  </w14:solidFill>
                </w14:textFill>
              </w:rPr>
              <w:t>外维修方案、备品备件等其他优惠措施、安装要求及方案等内容，售后服务有保障，服务内容及保障措施完整详细。</w:t>
            </w:r>
          </w:p>
          <w:p w14:paraId="3A51BD22">
            <w:pPr>
              <w:pStyle w:val="2"/>
              <w:rPr>
                <w:rFonts w:ascii="Calibri" w:hAnsi="Calibri"/>
                <w:color w:val="000000" w:themeColor="text1"/>
                <w:highlight w:val="none"/>
                <w:lang w:val="en-US" w:eastAsia="zh-CN"/>
                <w14:textFill>
                  <w14:solidFill>
                    <w14:schemeClr w14:val="tx1"/>
                  </w14:solidFill>
                </w14:textFill>
              </w:rPr>
            </w:pPr>
            <w:r>
              <w:rPr>
                <w:rFonts w:hint="eastAsia" w:ascii="宋体" w:hAnsi="宋体" w:eastAsia="宋体" w:cs="宋体"/>
                <w:bCs w:val="0"/>
                <w:color w:val="000000" w:themeColor="text1"/>
                <w:spacing w:val="0"/>
                <w:kern w:val="2"/>
                <w:sz w:val="22"/>
                <w:szCs w:val="22"/>
                <w:highlight w:val="none"/>
                <w:lang w:val="en-US" w:eastAsia="zh-CN" w:bidi="ar-SA"/>
                <w14:textFill>
                  <w14:solidFill>
                    <w14:schemeClr w14:val="tx1"/>
                  </w14:solidFill>
                </w14:textFill>
              </w:rPr>
              <w:t>注：</w:t>
            </w:r>
            <w:r>
              <w:rPr>
                <w:rFonts w:hint="eastAsia" w:ascii="宋体" w:hAnsi="宋体" w:cs="宋体"/>
                <w:bCs w:val="0"/>
                <w:color w:val="000000" w:themeColor="text1"/>
                <w:spacing w:val="0"/>
                <w:kern w:val="2"/>
                <w:sz w:val="22"/>
                <w:szCs w:val="22"/>
                <w:highlight w:val="none"/>
                <w:lang w:val="en-US" w:eastAsia="zh-CN" w:bidi="ar-SA"/>
                <w14:textFill>
                  <w14:solidFill>
                    <w14:schemeClr w14:val="tx1"/>
                  </w14:solidFill>
                </w14:textFill>
              </w:rPr>
              <w:t>未达到一档要求的不得分。</w:t>
            </w:r>
          </w:p>
        </w:tc>
      </w:tr>
      <w:tr w14:paraId="611C6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continue"/>
            <w:noWrap/>
            <w:vAlign w:val="center"/>
          </w:tcPr>
          <w:p w14:paraId="28A59AC7">
            <w:pPr>
              <w:spacing w:line="360" w:lineRule="auto"/>
              <w:jc w:val="center"/>
              <w:rPr>
                <w:rFonts w:ascii="宋体" w:hAnsi="宋体"/>
                <w:b/>
                <w:color w:val="000000" w:themeColor="text1"/>
                <w:szCs w:val="21"/>
                <w:highlight w:val="none"/>
                <w14:textFill>
                  <w14:solidFill>
                    <w14:schemeClr w14:val="tx1"/>
                  </w14:solidFill>
                </w14:textFill>
              </w:rPr>
            </w:pPr>
          </w:p>
        </w:tc>
        <w:tc>
          <w:tcPr>
            <w:tcW w:w="1346" w:type="dxa"/>
            <w:vMerge w:val="continue"/>
            <w:noWrap/>
            <w:vAlign w:val="center"/>
          </w:tcPr>
          <w:p w14:paraId="7FD40C44">
            <w:pPr>
              <w:spacing w:line="360" w:lineRule="auto"/>
              <w:jc w:val="center"/>
              <w:rPr>
                <w:rFonts w:ascii="宋体" w:hAnsi="宋体"/>
                <w:b/>
                <w:color w:val="000000" w:themeColor="text1"/>
                <w:szCs w:val="21"/>
                <w:highlight w:val="none"/>
                <w14:textFill>
                  <w14:solidFill>
                    <w14:schemeClr w14:val="tx1"/>
                  </w14:solidFill>
                </w14:textFill>
              </w:rPr>
            </w:pPr>
          </w:p>
        </w:tc>
        <w:tc>
          <w:tcPr>
            <w:tcW w:w="1253" w:type="dxa"/>
            <w:noWrap/>
            <w:vAlign w:val="center"/>
          </w:tcPr>
          <w:p w14:paraId="52FBDAAE">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业绩分       （满分</w:t>
            </w:r>
            <w:r>
              <w:rPr>
                <w:rFonts w:hint="eastAsia" w:ascii="宋体" w:hAnsi="宋体"/>
                <w:b/>
                <w:bCs/>
                <w:color w:val="000000" w:themeColor="text1"/>
                <w:szCs w:val="21"/>
                <w:highlight w:val="none"/>
                <w:lang w:val="en-US" w:eastAsia="zh-CN"/>
                <w14:textFill>
                  <w14:solidFill>
                    <w14:schemeClr w14:val="tx1"/>
                  </w14:solidFill>
                </w14:textFill>
              </w:rPr>
              <w:t>8</w:t>
            </w:r>
            <w:r>
              <w:rPr>
                <w:rFonts w:hint="eastAsia" w:ascii="宋体" w:hAnsi="宋体"/>
                <w:b/>
                <w:bCs/>
                <w:color w:val="000000" w:themeColor="text1"/>
                <w:szCs w:val="21"/>
                <w:highlight w:val="none"/>
                <w14:textFill>
                  <w14:solidFill>
                    <w14:schemeClr w14:val="tx1"/>
                  </w14:solidFill>
                </w14:textFill>
              </w:rPr>
              <w:t>分）</w:t>
            </w:r>
          </w:p>
        </w:tc>
        <w:tc>
          <w:tcPr>
            <w:tcW w:w="6326" w:type="dxa"/>
            <w:noWrap/>
            <w:vAlign w:val="center"/>
          </w:tcPr>
          <w:p w14:paraId="64F78D72">
            <w:pPr>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2021年 1 月 1 日以来至投标截止日期止，投标人</w:t>
            </w:r>
            <w:r>
              <w:rPr>
                <w:rFonts w:hint="eastAsia" w:ascii="宋体" w:hAnsi="宋体"/>
                <w:color w:val="000000" w:themeColor="text1"/>
                <w:szCs w:val="21"/>
                <w:highlight w:val="none"/>
                <w:lang w:val="en-US" w:eastAsia="zh-CN"/>
                <w14:textFill>
                  <w14:solidFill>
                    <w14:schemeClr w14:val="tx1"/>
                  </w14:solidFill>
                </w14:textFill>
              </w:rPr>
              <w:t>或厂家</w:t>
            </w:r>
            <w:r>
              <w:rPr>
                <w:rFonts w:hint="eastAsia" w:ascii="宋体" w:hAnsi="宋体"/>
                <w:color w:val="000000" w:themeColor="text1"/>
                <w:szCs w:val="21"/>
                <w:highlight w:val="none"/>
                <w14:textFill>
                  <w14:solidFill>
                    <w14:schemeClr w14:val="tx1"/>
                  </w14:solidFill>
                </w14:textFill>
              </w:rPr>
              <w:t>同类产品销售业绩，每个得</w:t>
            </w: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分，满分</w:t>
            </w:r>
            <w:r>
              <w:rPr>
                <w:rFonts w:hint="eastAsia" w:ascii="宋体" w:hAnsi="宋体"/>
                <w:color w:val="000000" w:themeColor="text1"/>
                <w:szCs w:val="21"/>
                <w:highlight w:val="none"/>
                <w:lang w:val="en-US" w:eastAsia="zh-CN"/>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 xml:space="preserve">分。【投标文件中提供合同复印件或中标（成交）通知书复印件并加盖公章】 </w:t>
            </w:r>
          </w:p>
        </w:tc>
      </w:tr>
      <w:tr w14:paraId="67CAB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continue"/>
            <w:noWrap/>
            <w:vAlign w:val="center"/>
          </w:tcPr>
          <w:p w14:paraId="07821DAF">
            <w:pPr>
              <w:spacing w:line="360" w:lineRule="auto"/>
              <w:jc w:val="center"/>
              <w:rPr>
                <w:rFonts w:ascii="宋体" w:hAnsi="宋体"/>
                <w:b/>
                <w:color w:val="000000" w:themeColor="text1"/>
                <w:szCs w:val="21"/>
                <w:highlight w:val="none"/>
                <w14:textFill>
                  <w14:solidFill>
                    <w14:schemeClr w14:val="tx1"/>
                  </w14:solidFill>
                </w14:textFill>
              </w:rPr>
            </w:pPr>
          </w:p>
        </w:tc>
        <w:tc>
          <w:tcPr>
            <w:tcW w:w="1346" w:type="dxa"/>
            <w:vMerge w:val="continue"/>
            <w:noWrap/>
            <w:vAlign w:val="center"/>
          </w:tcPr>
          <w:p w14:paraId="7ACC6684">
            <w:pPr>
              <w:adjustRightInd w:val="0"/>
              <w:spacing w:line="360" w:lineRule="auto"/>
              <w:jc w:val="center"/>
              <w:textAlignment w:val="baseline"/>
              <w:rPr>
                <w:rFonts w:ascii="宋体" w:hAnsi="宋体"/>
                <w:b/>
                <w:color w:val="000000" w:themeColor="text1"/>
                <w:szCs w:val="21"/>
                <w:highlight w:val="none"/>
                <w14:textFill>
                  <w14:solidFill>
                    <w14:schemeClr w14:val="tx1"/>
                  </w14:solidFill>
                </w14:textFill>
              </w:rPr>
            </w:pPr>
          </w:p>
        </w:tc>
        <w:tc>
          <w:tcPr>
            <w:tcW w:w="1253" w:type="dxa"/>
            <w:noWrap/>
            <w:vAlign w:val="center"/>
          </w:tcPr>
          <w:p w14:paraId="13A714FB">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政策分</w:t>
            </w:r>
            <w:r>
              <w:rPr>
                <w:rFonts w:hint="eastAsia" w:ascii="宋体" w:hAnsi="宋体"/>
                <w:color w:val="000000" w:themeColor="text1"/>
                <w:szCs w:val="21"/>
                <w:highlight w:val="none"/>
                <w14:textFill>
                  <w14:solidFill>
                    <w14:schemeClr w14:val="tx1"/>
                  </w14:solidFill>
                </w14:textFill>
              </w:rPr>
              <w:t>（满分</w:t>
            </w:r>
          </w:p>
          <w:p w14:paraId="0FA8E420">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2 </w:t>
            </w:r>
            <w:r>
              <w:rPr>
                <w:rFonts w:hint="eastAsia" w:ascii="宋体" w:hAnsi="宋体"/>
                <w:color w:val="000000" w:themeColor="text1"/>
                <w:szCs w:val="21"/>
                <w:highlight w:val="none"/>
                <w14:textFill>
                  <w14:solidFill>
                    <w14:schemeClr w14:val="tx1"/>
                  </w14:solidFill>
                </w14:textFill>
              </w:rPr>
              <w:t>分）</w:t>
            </w:r>
          </w:p>
        </w:tc>
        <w:tc>
          <w:tcPr>
            <w:tcW w:w="6326" w:type="dxa"/>
            <w:noWrap/>
            <w:vAlign w:val="center"/>
          </w:tcPr>
          <w:p w14:paraId="59BE79CF">
            <w:pPr>
              <w:spacing w:line="360" w:lineRule="auto"/>
              <w:rPr>
                <w:rFonts w:ascii="宋体" w:hAnsi="宋体" w:cs="Courier New"/>
                <w:bCs/>
                <w:color w:val="000000" w:themeColor="text1"/>
                <w:szCs w:val="21"/>
                <w:highlight w:val="none"/>
                <w14:textFill>
                  <w14:solidFill>
                    <w14:schemeClr w14:val="tx1"/>
                  </w14:solidFill>
                </w14:textFill>
              </w:rPr>
            </w:pPr>
            <w:r>
              <w:rPr>
                <w:rFonts w:hint="eastAsia" w:ascii="宋体" w:hAnsi="宋体" w:cs="Courier New"/>
                <w:bCs/>
                <w:color w:val="000000" w:themeColor="text1"/>
                <w:szCs w:val="21"/>
                <w:highlight w:val="none"/>
                <w14:textFill>
                  <w14:solidFill>
                    <w14:schemeClr w14:val="tx1"/>
                  </w14:solidFill>
                </w14:textFill>
              </w:rPr>
              <w:t>（1）属于财政部《节能产品政府采购品目清单》内优先采购（清单内未标注“★”的品目）的产品[投标文件中提供有效的认证证书复印件及品目清单（标注出投标产品在品目清单中所属的品目），并加盖投标人电子签章]，根据其所占项目（或者分标）预算金额比例得</w:t>
            </w:r>
            <w:r>
              <w:rPr>
                <w:rFonts w:hint="eastAsia" w:ascii="宋体" w:hAnsi="宋体" w:cs="Courier New"/>
                <w:bCs/>
                <w:color w:val="000000" w:themeColor="text1"/>
                <w:szCs w:val="21"/>
                <w:highlight w:val="none"/>
                <w:u w:val="single"/>
                <w14:textFill>
                  <w14:solidFill>
                    <w14:schemeClr w14:val="tx1"/>
                  </w14:solidFill>
                </w14:textFill>
              </w:rPr>
              <w:t xml:space="preserve">  0 </w:t>
            </w:r>
            <w:r>
              <w:rPr>
                <w:rFonts w:hint="eastAsia" w:ascii="宋体" w:hAnsi="宋体" w:cs="Courier New"/>
                <w:bCs/>
                <w:color w:val="000000" w:themeColor="text1"/>
                <w:szCs w:val="21"/>
                <w:highlight w:val="none"/>
                <w14:textFill>
                  <w14:solidFill>
                    <w14:schemeClr w14:val="tx1"/>
                  </w14:solidFill>
                </w14:textFill>
              </w:rPr>
              <w:t>至</w:t>
            </w:r>
            <w:r>
              <w:rPr>
                <w:rFonts w:hint="eastAsia" w:ascii="宋体" w:hAnsi="宋体" w:cs="Courier New"/>
                <w:bCs/>
                <w:color w:val="000000" w:themeColor="text1"/>
                <w:szCs w:val="21"/>
                <w:highlight w:val="none"/>
                <w:u w:val="single"/>
                <w14:textFill>
                  <w14:solidFill>
                    <w14:schemeClr w14:val="tx1"/>
                  </w14:solidFill>
                </w14:textFill>
              </w:rPr>
              <w:t xml:space="preserve"> 1  </w:t>
            </w:r>
            <w:r>
              <w:rPr>
                <w:rFonts w:hint="eastAsia" w:ascii="宋体" w:hAnsi="宋体" w:cs="Courier New"/>
                <w:bCs/>
                <w:color w:val="000000" w:themeColor="text1"/>
                <w:szCs w:val="21"/>
                <w:highlight w:val="none"/>
                <w14:textFill>
                  <w14:solidFill>
                    <w14:schemeClr w14:val="tx1"/>
                  </w14:solidFill>
                </w14:textFill>
              </w:rPr>
              <w:t>分，满分</w:t>
            </w:r>
            <w:r>
              <w:rPr>
                <w:rFonts w:hint="eastAsia" w:ascii="宋体" w:hAnsi="宋体" w:cs="Courier New"/>
                <w:bCs/>
                <w:color w:val="000000" w:themeColor="text1"/>
                <w:szCs w:val="21"/>
                <w:highlight w:val="none"/>
                <w:u w:val="single"/>
                <w14:textFill>
                  <w14:solidFill>
                    <w14:schemeClr w14:val="tx1"/>
                  </w14:solidFill>
                </w14:textFill>
              </w:rPr>
              <w:t xml:space="preserve"> 1 </w:t>
            </w:r>
            <w:r>
              <w:rPr>
                <w:rFonts w:hint="eastAsia" w:ascii="宋体" w:hAnsi="宋体" w:cs="Courier New"/>
                <w:bCs/>
                <w:color w:val="000000" w:themeColor="text1"/>
                <w:szCs w:val="21"/>
                <w:highlight w:val="none"/>
                <w14:textFill>
                  <w14:solidFill>
                    <w14:schemeClr w14:val="tx1"/>
                  </w14:solidFill>
                </w14:textFill>
              </w:rPr>
              <w:t>分。</w:t>
            </w:r>
          </w:p>
          <w:p w14:paraId="539E223E">
            <w:pPr>
              <w:spacing w:line="360" w:lineRule="auto"/>
              <w:rPr>
                <w:rFonts w:ascii="宋体" w:hAnsi="宋体" w:cs="Courier New"/>
                <w:bCs/>
                <w:color w:val="000000" w:themeColor="text1"/>
                <w:szCs w:val="21"/>
                <w:highlight w:val="none"/>
                <w14:textFill>
                  <w14:solidFill>
                    <w14:schemeClr w14:val="tx1"/>
                  </w14:solidFill>
                </w14:textFill>
              </w:rPr>
            </w:pPr>
            <w:r>
              <w:rPr>
                <w:rFonts w:hint="eastAsia" w:ascii="宋体" w:hAnsi="宋体" w:cs="Courier New"/>
                <w:bCs/>
                <w:color w:val="000000" w:themeColor="text1"/>
                <w:szCs w:val="21"/>
                <w:highlight w:val="none"/>
                <w14:textFill>
                  <w14:solidFill>
                    <w14:schemeClr w14:val="tx1"/>
                  </w14:solidFill>
                </w14:textFill>
              </w:rPr>
              <w:t>（2）属于财政部《环境标志产品政府采购品目清单》内的产品[投标文件中提供有效的认证证书复印件及品目清单（标注出投标产品在品目清单中所属的品目）</w:t>
            </w:r>
            <w:r>
              <w:rPr>
                <w:rFonts w:hint="eastAsia"/>
                <w:color w:val="000000" w:themeColor="text1"/>
                <w:highlight w:val="none"/>
                <w14:textFill>
                  <w14:solidFill>
                    <w14:schemeClr w14:val="tx1"/>
                  </w14:solidFill>
                </w14:textFill>
              </w:rPr>
              <w:t>]</w:t>
            </w:r>
            <w:r>
              <w:rPr>
                <w:rFonts w:hint="eastAsia" w:ascii="宋体" w:hAnsi="宋体" w:cs="Courier New"/>
                <w:bCs/>
                <w:color w:val="000000" w:themeColor="text1"/>
                <w:szCs w:val="21"/>
                <w:highlight w:val="none"/>
                <w14:textFill>
                  <w14:solidFill>
                    <w14:schemeClr w14:val="tx1"/>
                  </w14:solidFill>
                </w14:textFill>
              </w:rPr>
              <w:t>，并加盖投标人电子签章，根据其所占项目（或者分标）预算金额比例得</w:t>
            </w:r>
            <w:r>
              <w:rPr>
                <w:rFonts w:hint="eastAsia" w:ascii="宋体" w:hAnsi="宋体" w:cs="Courier New"/>
                <w:bCs/>
                <w:color w:val="000000" w:themeColor="text1"/>
                <w:szCs w:val="21"/>
                <w:highlight w:val="none"/>
                <w:u w:val="single"/>
                <w14:textFill>
                  <w14:solidFill>
                    <w14:schemeClr w14:val="tx1"/>
                  </w14:solidFill>
                </w14:textFill>
              </w:rPr>
              <w:t xml:space="preserve"> 0 </w:t>
            </w:r>
            <w:r>
              <w:rPr>
                <w:rFonts w:hint="eastAsia" w:ascii="宋体" w:hAnsi="宋体" w:cs="Courier New"/>
                <w:bCs/>
                <w:color w:val="000000" w:themeColor="text1"/>
                <w:szCs w:val="21"/>
                <w:highlight w:val="none"/>
                <w14:textFill>
                  <w14:solidFill>
                    <w14:schemeClr w14:val="tx1"/>
                  </w14:solidFill>
                </w14:textFill>
              </w:rPr>
              <w:t>至</w:t>
            </w:r>
            <w:r>
              <w:rPr>
                <w:rFonts w:hint="eastAsia" w:ascii="宋体" w:hAnsi="宋体" w:cs="Courier New"/>
                <w:bCs/>
                <w:color w:val="000000" w:themeColor="text1"/>
                <w:szCs w:val="21"/>
                <w:highlight w:val="none"/>
                <w:u w:val="single"/>
                <w14:textFill>
                  <w14:solidFill>
                    <w14:schemeClr w14:val="tx1"/>
                  </w14:solidFill>
                </w14:textFill>
              </w:rPr>
              <w:t xml:space="preserve"> 1 </w:t>
            </w:r>
            <w:r>
              <w:rPr>
                <w:rFonts w:hint="eastAsia" w:ascii="宋体" w:hAnsi="宋体" w:cs="Courier New"/>
                <w:bCs/>
                <w:color w:val="000000" w:themeColor="text1"/>
                <w:szCs w:val="21"/>
                <w:highlight w:val="none"/>
                <w14:textFill>
                  <w14:solidFill>
                    <w14:schemeClr w14:val="tx1"/>
                  </w14:solidFill>
                </w14:textFill>
              </w:rPr>
              <w:t>分，满分</w:t>
            </w:r>
            <w:r>
              <w:rPr>
                <w:rFonts w:hint="eastAsia" w:ascii="宋体" w:hAnsi="宋体" w:cs="Courier New"/>
                <w:bCs/>
                <w:color w:val="000000" w:themeColor="text1"/>
                <w:szCs w:val="21"/>
                <w:highlight w:val="none"/>
                <w:u w:val="single"/>
                <w14:textFill>
                  <w14:solidFill>
                    <w14:schemeClr w14:val="tx1"/>
                  </w14:solidFill>
                </w14:textFill>
              </w:rPr>
              <w:t xml:space="preserve"> 1 </w:t>
            </w:r>
            <w:r>
              <w:rPr>
                <w:rFonts w:hint="eastAsia" w:ascii="宋体" w:hAnsi="宋体" w:cs="Courier New"/>
                <w:bCs/>
                <w:color w:val="000000" w:themeColor="text1"/>
                <w:szCs w:val="21"/>
                <w:highlight w:val="none"/>
                <w14:textFill>
                  <w14:solidFill>
                    <w14:schemeClr w14:val="tx1"/>
                  </w14:solidFill>
                </w14:textFill>
              </w:rPr>
              <w:t>分；</w:t>
            </w:r>
          </w:p>
          <w:p w14:paraId="2B978764">
            <w:pPr>
              <w:spacing w:line="360" w:lineRule="auto"/>
              <w:rPr>
                <w:rFonts w:ascii="宋体" w:hAnsi="宋体" w:cs="Courier New"/>
                <w:bCs/>
                <w:color w:val="000000" w:themeColor="text1"/>
                <w:szCs w:val="21"/>
                <w:highlight w:val="none"/>
                <w14:textFill>
                  <w14:solidFill>
                    <w14:schemeClr w14:val="tx1"/>
                  </w14:solidFill>
                </w14:textFill>
              </w:rPr>
            </w:pPr>
            <w:r>
              <w:rPr>
                <w:rFonts w:hint="eastAsia" w:ascii="宋体" w:hAnsi="宋体" w:cs="Courier New"/>
                <w:bCs/>
                <w:color w:val="000000" w:themeColor="text1"/>
                <w:szCs w:val="21"/>
                <w:highlight w:val="none"/>
                <w14:textFill>
                  <w14:solidFill>
                    <w14:schemeClr w14:val="tx1"/>
                  </w14:solidFill>
                </w14:textFill>
              </w:rPr>
              <w:t>（3）非节能、环境标志产品的不得分。</w:t>
            </w:r>
          </w:p>
        </w:tc>
      </w:tr>
      <w:tr w14:paraId="11060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0" w:type="dxa"/>
            <w:gridSpan w:val="4"/>
            <w:noWrap/>
            <w:vAlign w:val="center"/>
          </w:tcPr>
          <w:p w14:paraId="182B6948">
            <w:pPr>
              <w:spacing w:line="360" w:lineRule="auto"/>
              <w:ind w:firstLine="420"/>
              <w:rPr>
                <w:rFonts w:ascii="宋体" w:hAnsi="宋体" w:cs="Courier New"/>
                <w:bCs/>
                <w:color w:val="000000" w:themeColor="text1"/>
                <w:szCs w:val="21"/>
                <w:highlight w:val="none"/>
                <w14:textFill>
                  <w14:solidFill>
                    <w14:schemeClr w14:val="tx1"/>
                  </w14:solidFill>
                </w14:textFill>
              </w:rPr>
            </w:pPr>
            <w:r>
              <w:rPr>
                <w:rFonts w:hint="eastAsia" w:hAnsi="宋体" w:cs="Courier New"/>
                <w:b/>
                <w:bCs/>
                <w:color w:val="000000" w:themeColor="text1"/>
                <w:highlight w:val="none"/>
                <w14:textFill>
                  <w14:solidFill>
                    <w14:schemeClr w14:val="tx1"/>
                  </w14:solidFill>
                </w14:textFill>
              </w:rPr>
              <w:t>总得分为以上各项评审因素得分合计。</w:t>
            </w:r>
          </w:p>
        </w:tc>
      </w:tr>
    </w:tbl>
    <w:p w14:paraId="4E47DE06">
      <w:pPr>
        <w:rPr>
          <w:rFonts w:hint="eastAsia"/>
          <w:color w:val="000000" w:themeColor="text1"/>
          <w:highlight w:val="none"/>
          <w14:textFill>
            <w14:solidFill>
              <w14:schemeClr w14:val="tx1"/>
            </w14:solidFill>
          </w14:textFill>
        </w:rPr>
      </w:pPr>
    </w:p>
    <w:p w14:paraId="4B3E73D1">
      <w:pPr>
        <w:pStyle w:val="6"/>
        <w:keepNext w:val="0"/>
        <w:keepLines w:val="0"/>
        <w:jc w:val="center"/>
        <w:rPr>
          <w:color w:val="000000" w:themeColor="text1"/>
          <w:sz w:val="30"/>
          <w:szCs w:val="30"/>
          <w:highlight w:val="none"/>
          <w14:textFill>
            <w14:solidFill>
              <w14:schemeClr w14:val="tx1"/>
            </w14:solidFill>
          </w14:textFill>
        </w:rPr>
      </w:pPr>
      <w:r>
        <w:rPr>
          <w:rFonts w:hint="eastAsia"/>
          <w:color w:val="000000" w:themeColor="text1"/>
          <w:sz w:val="30"/>
          <w:szCs w:val="30"/>
          <w:highlight w:val="none"/>
          <w14:textFill>
            <w14:solidFill>
              <w14:schemeClr w14:val="tx1"/>
            </w14:solidFill>
          </w14:textFill>
        </w:rPr>
        <w:t>四、中标候选人推荐</w:t>
      </w:r>
    </w:p>
    <w:p w14:paraId="3702637F">
      <w:pPr>
        <w:pStyle w:val="27"/>
        <w:spacing w:line="360" w:lineRule="auto"/>
        <w:ind w:firstLine="420" w:firstLineChars="200"/>
        <w:contextualSpacing/>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1</w:t>
      </w:r>
      <w:r>
        <w:rPr>
          <w:rFonts w:hAnsi="宋体"/>
          <w:color w:val="000000" w:themeColor="text1"/>
          <w:sz w:val="21"/>
          <w:highlight w:val="none"/>
          <w14:textFill>
            <w14:solidFill>
              <w14:schemeClr w14:val="tx1"/>
            </w14:solidFill>
          </w14:textFill>
        </w:rPr>
        <w:t>.</w:t>
      </w:r>
      <w:r>
        <w:rPr>
          <w:rFonts w:hint="eastAsia" w:hAnsi="宋体"/>
          <w:color w:val="000000" w:themeColor="text1"/>
          <w:sz w:val="21"/>
          <w:highlight w:val="none"/>
          <w14:textFill>
            <w14:solidFill>
              <w14:schemeClr w14:val="tx1"/>
            </w14:solidFill>
          </w14:textFill>
        </w:rPr>
        <w:t>评标委员会根据原始评标记录和评标结果编写评标报告，并通过电子交易平台向采购人、采购代理机构提交。</w:t>
      </w:r>
    </w:p>
    <w:p w14:paraId="47406A09">
      <w:pPr>
        <w:pStyle w:val="27"/>
        <w:spacing w:line="360" w:lineRule="auto"/>
        <w:ind w:firstLine="420" w:firstLineChars="200"/>
        <w:contextualSpacing/>
        <w:rPr>
          <w:rFonts w:hint="eastAsia" w:ascii="宋体" w:hAnsi="宋体"/>
          <w:b/>
          <w:color w:val="000000" w:themeColor="text1"/>
          <w:sz w:val="24"/>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w:t>
      </w:r>
      <w:r>
        <w:rPr>
          <w:rFonts w:hAnsi="宋体"/>
          <w:color w:val="000000" w:themeColor="text1"/>
          <w:sz w:val="21"/>
          <w:highlight w:val="none"/>
          <w14:textFill>
            <w14:solidFill>
              <w14:schemeClr w14:val="tx1"/>
            </w14:solidFill>
          </w14:textFill>
        </w:rPr>
        <w:t>.</w:t>
      </w:r>
      <w:r>
        <w:rPr>
          <w:rFonts w:hint="eastAsia" w:hAnsi="宋体"/>
          <w:color w:val="000000" w:themeColor="text1"/>
          <w:sz w:val="21"/>
          <w:highlight w:val="none"/>
          <w14:textFill>
            <w14:solidFill>
              <w14:schemeClr w14:val="tx1"/>
            </w14:solidFill>
          </w14:textFill>
        </w:rPr>
        <w:t>评标委员会将根据总得分由高到低排列次序并推荐中标候选人。得分相同的，按投标报价由低到高顺序排列。得分相同且投标报价相同的并列。投标文件满足招标文件全部实质性要求，且按照评审因素的量化指标评审得分最高的投标人为排名第一的中标候选人。</w:t>
      </w:r>
    </w:p>
    <w:p w14:paraId="71401428">
      <w:pPr>
        <w:spacing w:before="120" w:beforeLines="50" w:after="120" w:afterLines="50" w:line="400" w:lineRule="exact"/>
        <w:rPr>
          <w:rFonts w:hint="eastAsia" w:ascii="宋体" w:hAnsi="宋体"/>
          <w:b/>
          <w:color w:val="000000" w:themeColor="text1"/>
          <w:sz w:val="24"/>
          <w:highlight w:val="none"/>
          <w14:textFill>
            <w14:solidFill>
              <w14:schemeClr w14:val="tx1"/>
            </w14:solidFill>
          </w14:textFill>
        </w:rPr>
      </w:pPr>
    </w:p>
    <w:p w14:paraId="0FED9168">
      <w:pPr>
        <w:pStyle w:val="5"/>
        <w:keepNext w:val="0"/>
        <w:keepLines w:val="0"/>
        <w:jc w:val="center"/>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61944C53">
      <w:pPr>
        <w:pStyle w:val="5"/>
        <w:keepNext w:val="0"/>
        <w:keepLines w:val="0"/>
        <w:jc w:val="center"/>
        <w:rPr>
          <w:rFonts w:hint="eastAsia"/>
          <w:color w:val="000000" w:themeColor="text1"/>
          <w:highlight w:val="none"/>
          <w14:textFill>
            <w14:solidFill>
              <w14:schemeClr w14:val="tx1"/>
            </w14:solidFill>
          </w14:textFill>
        </w:rPr>
      </w:pPr>
    </w:p>
    <w:p w14:paraId="459E9CB1">
      <w:pPr>
        <w:pStyle w:val="5"/>
        <w:keepNext w:val="0"/>
        <w:keepLines w:val="0"/>
        <w:jc w:val="center"/>
        <w:rPr>
          <w:rFonts w:hint="eastAsia"/>
          <w:color w:val="000000" w:themeColor="text1"/>
          <w:highlight w:val="none"/>
          <w14:textFill>
            <w14:solidFill>
              <w14:schemeClr w14:val="tx1"/>
            </w14:solidFill>
          </w14:textFill>
        </w:rPr>
      </w:pPr>
    </w:p>
    <w:p w14:paraId="0AF60D96">
      <w:pPr>
        <w:pStyle w:val="5"/>
        <w:keepNext w:val="0"/>
        <w:keepLines w:val="0"/>
        <w:jc w:val="center"/>
        <w:rPr>
          <w:rFonts w:hint="eastAsia"/>
          <w:color w:val="000000" w:themeColor="text1"/>
          <w:highlight w:val="none"/>
          <w14:textFill>
            <w14:solidFill>
              <w14:schemeClr w14:val="tx1"/>
            </w14:solidFill>
          </w14:textFill>
        </w:rPr>
      </w:pPr>
    </w:p>
    <w:p w14:paraId="6C62F2FA">
      <w:pPr>
        <w:pStyle w:val="5"/>
        <w:keepNext w:val="0"/>
        <w:keepLines w:val="0"/>
        <w:jc w:val="center"/>
        <w:rPr>
          <w:rFonts w:hint="eastAsia"/>
          <w:color w:val="000000" w:themeColor="text1"/>
          <w:highlight w:val="none"/>
          <w14:textFill>
            <w14:solidFill>
              <w14:schemeClr w14:val="tx1"/>
            </w14:solidFill>
          </w14:textFill>
        </w:rPr>
      </w:pPr>
    </w:p>
    <w:p w14:paraId="0A5BA3E4">
      <w:pPr>
        <w:pStyle w:val="5"/>
        <w:keepNext w:val="0"/>
        <w:keepLines w:val="0"/>
        <w:jc w:val="center"/>
        <w:rPr>
          <w:rFonts w:hint="eastAsia"/>
          <w:color w:val="000000" w:themeColor="text1"/>
          <w:highlight w:val="none"/>
          <w14:textFill>
            <w14:solidFill>
              <w14:schemeClr w14:val="tx1"/>
            </w14:solidFill>
          </w14:textFill>
        </w:rPr>
      </w:pPr>
    </w:p>
    <w:p w14:paraId="7804D53A">
      <w:pPr>
        <w:pStyle w:val="5"/>
        <w:keepNext w:val="0"/>
        <w:keepLines w:val="0"/>
        <w:jc w:val="center"/>
        <w:rPr>
          <w:rFonts w:hint="eastAsia"/>
          <w:color w:val="000000" w:themeColor="text1"/>
          <w:highlight w:val="none"/>
          <w14:textFill>
            <w14:solidFill>
              <w14:schemeClr w14:val="tx1"/>
            </w14:solidFill>
          </w14:textFill>
        </w:rPr>
      </w:pPr>
    </w:p>
    <w:p w14:paraId="779A5D87">
      <w:pPr>
        <w:pStyle w:val="4"/>
        <w:jc w:val="center"/>
        <w:rPr>
          <w:rFonts w:hint="eastAsia"/>
          <w:color w:val="000000" w:themeColor="text1"/>
          <w:highlight w:val="none"/>
          <w14:textFill>
            <w14:solidFill>
              <w14:schemeClr w14:val="tx1"/>
            </w14:solidFill>
          </w14:textFill>
        </w:rPr>
      </w:pPr>
      <w:bookmarkStart w:id="146" w:name="_Toc74320804"/>
      <w:r>
        <w:rPr>
          <w:rFonts w:hint="eastAsia"/>
          <w:color w:val="000000" w:themeColor="text1"/>
          <w:highlight w:val="none"/>
          <w14:textFill>
            <w14:solidFill>
              <w14:schemeClr w14:val="tx1"/>
            </w14:solidFill>
          </w14:textFill>
        </w:rPr>
        <w:t>第五章  拟签订的合同文本</w:t>
      </w:r>
      <w:bookmarkEnd w:id="146"/>
    </w:p>
    <w:p w14:paraId="38D8FA7C">
      <w:pPr>
        <w:snapToGrid w:val="0"/>
        <w:jc w:val="center"/>
        <w:rPr>
          <w:rFonts w:hint="eastAsia" w:ascii="宋体" w:hAnsi="宋体"/>
          <w:bCs/>
          <w:color w:val="000000" w:themeColor="text1"/>
          <w:sz w:val="32"/>
          <w:szCs w:val="32"/>
          <w:highlight w:val="none"/>
          <w14:textFill>
            <w14:solidFill>
              <w14:schemeClr w14:val="tx1"/>
            </w14:solidFill>
          </w14:textFill>
        </w:rPr>
      </w:pPr>
    </w:p>
    <w:p w14:paraId="3143C7D9">
      <w:pPr>
        <w:snapToGrid w:val="0"/>
        <w:jc w:val="center"/>
        <w:rPr>
          <w:rFonts w:hint="eastAsia" w:ascii="宋体" w:hAnsi="宋体"/>
          <w:bCs/>
          <w:color w:val="000000" w:themeColor="text1"/>
          <w:sz w:val="32"/>
          <w:szCs w:val="32"/>
          <w:highlight w:val="none"/>
          <w14:textFill>
            <w14:solidFill>
              <w14:schemeClr w14:val="tx1"/>
            </w14:solidFill>
          </w14:textFill>
        </w:rPr>
      </w:pPr>
    </w:p>
    <w:p w14:paraId="0EE4F275">
      <w:pPr>
        <w:snapToGrid w:val="0"/>
        <w:jc w:val="center"/>
        <w:rPr>
          <w:rFonts w:hint="eastAsia" w:ascii="宋体" w:hAnsi="宋体"/>
          <w:bCs/>
          <w:color w:val="000000" w:themeColor="text1"/>
          <w:sz w:val="32"/>
          <w:szCs w:val="32"/>
          <w:highlight w:val="none"/>
          <w14:textFill>
            <w14:solidFill>
              <w14:schemeClr w14:val="tx1"/>
            </w14:solidFill>
          </w14:textFill>
        </w:rPr>
      </w:pPr>
    </w:p>
    <w:p w14:paraId="307DC7DE">
      <w:pPr>
        <w:snapToGrid w:val="0"/>
        <w:jc w:val="center"/>
        <w:rPr>
          <w:rFonts w:hint="eastAsia" w:ascii="宋体" w:hAnsi="宋体"/>
          <w:bCs/>
          <w:color w:val="000000" w:themeColor="text1"/>
          <w:sz w:val="32"/>
          <w:szCs w:val="32"/>
          <w:highlight w:val="none"/>
          <w14:textFill>
            <w14:solidFill>
              <w14:schemeClr w14:val="tx1"/>
            </w14:solidFill>
          </w14:textFill>
        </w:rPr>
      </w:pPr>
    </w:p>
    <w:p w14:paraId="31A416EF">
      <w:pPr>
        <w:snapToGrid w:val="0"/>
        <w:jc w:val="center"/>
        <w:rPr>
          <w:rFonts w:hint="eastAsia" w:ascii="宋体" w:hAnsi="宋体"/>
          <w:bCs/>
          <w:color w:val="000000" w:themeColor="text1"/>
          <w:sz w:val="32"/>
          <w:szCs w:val="32"/>
          <w:highlight w:val="none"/>
          <w14:textFill>
            <w14:solidFill>
              <w14:schemeClr w14:val="tx1"/>
            </w14:solidFill>
          </w14:textFill>
        </w:rPr>
      </w:pPr>
    </w:p>
    <w:p w14:paraId="2E632D43">
      <w:pPr>
        <w:snapToGrid w:val="0"/>
        <w:jc w:val="center"/>
        <w:rPr>
          <w:rFonts w:hint="eastAsia" w:ascii="宋体" w:hAnsi="宋体"/>
          <w:bCs/>
          <w:color w:val="000000" w:themeColor="text1"/>
          <w:sz w:val="32"/>
          <w:szCs w:val="32"/>
          <w:highlight w:val="none"/>
          <w14:textFill>
            <w14:solidFill>
              <w14:schemeClr w14:val="tx1"/>
            </w14:solidFill>
          </w14:textFill>
        </w:rPr>
      </w:pPr>
    </w:p>
    <w:p w14:paraId="5E263047">
      <w:pPr>
        <w:snapToGrid w:val="0"/>
        <w:jc w:val="center"/>
        <w:rPr>
          <w:rFonts w:hint="eastAsia" w:ascii="宋体" w:hAnsi="宋体"/>
          <w:bCs/>
          <w:color w:val="000000" w:themeColor="text1"/>
          <w:sz w:val="32"/>
          <w:szCs w:val="32"/>
          <w:highlight w:val="none"/>
          <w14:textFill>
            <w14:solidFill>
              <w14:schemeClr w14:val="tx1"/>
            </w14:solidFill>
          </w14:textFill>
        </w:rPr>
      </w:pPr>
    </w:p>
    <w:p w14:paraId="6445DCA9">
      <w:pPr>
        <w:snapToGrid w:val="0"/>
        <w:jc w:val="center"/>
        <w:rPr>
          <w:rFonts w:hint="eastAsia" w:ascii="宋体" w:hAnsi="宋体"/>
          <w:bCs/>
          <w:color w:val="000000" w:themeColor="text1"/>
          <w:sz w:val="32"/>
          <w:szCs w:val="32"/>
          <w:highlight w:val="none"/>
          <w14:textFill>
            <w14:solidFill>
              <w14:schemeClr w14:val="tx1"/>
            </w14:solidFill>
          </w14:textFill>
        </w:rPr>
      </w:pPr>
    </w:p>
    <w:p w14:paraId="5A6141D3">
      <w:pPr>
        <w:snapToGrid w:val="0"/>
        <w:jc w:val="center"/>
        <w:rPr>
          <w:rFonts w:hint="eastAsia" w:ascii="宋体" w:hAnsi="宋体"/>
          <w:bCs/>
          <w:color w:val="000000" w:themeColor="text1"/>
          <w:sz w:val="32"/>
          <w:szCs w:val="32"/>
          <w:highlight w:val="none"/>
          <w14:textFill>
            <w14:solidFill>
              <w14:schemeClr w14:val="tx1"/>
            </w14:solidFill>
          </w14:textFill>
        </w:rPr>
      </w:pPr>
    </w:p>
    <w:p w14:paraId="11A88CB9">
      <w:pPr>
        <w:snapToGrid w:val="0"/>
        <w:jc w:val="center"/>
        <w:rPr>
          <w:rFonts w:hint="eastAsia" w:ascii="宋体" w:hAnsi="宋体"/>
          <w:bCs/>
          <w:color w:val="000000" w:themeColor="text1"/>
          <w:sz w:val="32"/>
          <w:szCs w:val="32"/>
          <w:highlight w:val="none"/>
          <w14:textFill>
            <w14:solidFill>
              <w14:schemeClr w14:val="tx1"/>
            </w14:solidFill>
          </w14:textFill>
        </w:rPr>
      </w:pPr>
    </w:p>
    <w:p w14:paraId="2EDE6B22">
      <w:pPr>
        <w:snapToGrid w:val="0"/>
        <w:jc w:val="center"/>
        <w:rPr>
          <w:rFonts w:hint="eastAsia" w:ascii="宋体" w:hAnsi="宋体"/>
          <w:bCs/>
          <w:color w:val="000000" w:themeColor="text1"/>
          <w:sz w:val="32"/>
          <w:szCs w:val="32"/>
          <w:highlight w:val="none"/>
          <w14:textFill>
            <w14:solidFill>
              <w14:schemeClr w14:val="tx1"/>
            </w14:solidFill>
          </w14:textFill>
        </w:rPr>
      </w:pPr>
    </w:p>
    <w:p w14:paraId="556D7EFF">
      <w:pPr>
        <w:snapToGrid w:val="0"/>
        <w:rPr>
          <w:rFonts w:ascii="宋体" w:hAnsi="宋体"/>
          <w:bCs/>
          <w:color w:val="000000" w:themeColor="text1"/>
          <w:sz w:val="32"/>
          <w:szCs w:val="32"/>
          <w:highlight w:val="none"/>
          <w14:textFill>
            <w14:solidFill>
              <w14:schemeClr w14:val="tx1"/>
            </w14:solidFill>
          </w14:textFill>
        </w:rPr>
      </w:pPr>
      <w:bookmarkStart w:id="147" w:name="_Hlk55381736"/>
      <w:r>
        <w:rPr>
          <w:rFonts w:ascii="宋体" w:hAnsi="宋体"/>
          <w:bCs/>
          <w:color w:val="000000" w:themeColor="text1"/>
          <w:sz w:val="32"/>
          <w:szCs w:val="32"/>
          <w:highlight w:val="none"/>
          <w14:textFill>
            <w14:solidFill>
              <w14:schemeClr w14:val="tx1"/>
            </w14:solidFill>
          </w14:textFill>
        </w:rPr>
        <w:t xml:space="preserve"> </w:t>
      </w:r>
    </w:p>
    <w:p w14:paraId="4738659C">
      <w:pPr>
        <w:snapToGrid w:val="0"/>
        <w:spacing w:line="360" w:lineRule="auto"/>
        <w:ind w:firstLine="640" w:firstLineChars="200"/>
        <w:rPr>
          <w:rFonts w:hint="eastAsia" w:ascii="宋体" w:hAnsi="宋体"/>
          <w:bCs/>
          <w:color w:val="000000" w:themeColor="text1"/>
          <w:sz w:val="32"/>
          <w:szCs w:val="32"/>
          <w:highlight w:val="none"/>
          <w14:textFill>
            <w14:solidFill>
              <w14:schemeClr w14:val="tx1"/>
            </w14:solidFill>
          </w14:textFill>
        </w:rPr>
      </w:pPr>
      <w:r>
        <w:rPr>
          <w:rFonts w:ascii="宋体" w:hAnsi="宋体"/>
          <w:bCs/>
          <w:color w:val="000000" w:themeColor="text1"/>
          <w:sz w:val="32"/>
          <w:szCs w:val="32"/>
          <w:highlight w:val="none"/>
          <w14:textFill>
            <w14:solidFill>
              <w14:schemeClr w14:val="tx1"/>
            </w14:solidFill>
          </w14:textFill>
        </w:rPr>
        <w:br w:type="page"/>
      </w:r>
    </w:p>
    <w:p w14:paraId="0110A541">
      <w:pPr>
        <w:snapToGrid w:val="0"/>
        <w:spacing w:line="360" w:lineRule="auto"/>
        <w:ind w:firstLine="640" w:firstLineChars="200"/>
        <w:rPr>
          <w:rFonts w:hint="eastAsia" w:ascii="宋体" w:hAnsi="宋体"/>
          <w:bCs/>
          <w:color w:val="000000" w:themeColor="text1"/>
          <w:sz w:val="32"/>
          <w:szCs w:val="32"/>
          <w:highlight w:val="none"/>
          <w14:textFill>
            <w14:solidFill>
              <w14:schemeClr w14:val="tx1"/>
            </w14:solidFill>
          </w14:textFill>
        </w:rPr>
      </w:pPr>
    </w:p>
    <w:p w14:paraId="3B613126">
      <w:pPr>
        <w:snapToGrid w:val="0"/>
        <w:spacing w:line="360" w:lineRule="auto"/>
        <w:ind w:firstLine="640" w:firstLineChars="200"/>
        <w:rPr>
          <w:rFonts w:hint="eastAsia" w:ascii="宋体" w:hAnsi="宋体"/>
          <w:bCs/>
          <w:color w:val="000000" w:themeColor="text1"/>
          <w:sz w:val="32"/>
          <w:szCs w:val="32"/>
          <w:highlight w:val="none"/>
          <w14:textFill>
            <w14:solidFill>
              <w14:schemeClr w14:val="tx1"/>
            </w14:solidFill>
          </w14:textFill>
        </w:rPr>
      </w:pPr>
    </w:p>
    <w:p w14:paraId="08DD1FC8">
      <w:pPr>
        <w:snapToGrid w:val="0"/>
        <w:spacing w:line="360" w:lineRule="auto"/>
        <w:ind w:firstLine="640" w:firstLineChars="200"/>
        <w:rPr>
          <w:rFonts w:hint="eastAsia" w:ascii="宋体" w:hAnsi="宋体"/>
          <w:bCs/>
          <w:color w:val="000000" w:themeColor="text1"/>
          <w:sz w:val="32"/>
          <w:szCs w:val="32"/>
          <w:highlight w:val="none"/>
          <w14:textFill>
            <w14:solidFill>
              <w14:schemeClr w14:val="tx1"/>
            </w14:solidFill>
          </w14:textFill>
        </w:rPr>
      </w:pPr>
    </w:p>
    <w:p w14:paraId="0A0AB377">
      <w:pPr>
        <w:snapToGrid w:val="0"/>
        <w:spacing w:line="360" w:lineRule="auto"/>
        <w:ind w:firstLine="640" w:firstLineChars="200"/>
        <w:rPr>
          <w:rFonts w:hint="eastAsia" w:ascii="宋体" w:hAnsi="宋体"/>
          <w:bCs/>
          <w:color w:val="000000" w:themeColor="text1"/>
          <w:sz w:val="32"/>
          <w:szCs w:val="32"/>
          <w:highlight w:val="none"/>
          <w14:textFill>
            <w14:solidFill>
              <w14:schemeClr w14:val="tx1"/>
            </w14:solidFill>
          </w14:textFill>
        </w:rPr>
      </w:pPr>
    </w:p>
    <w:p w14:paraId="7AB917F8">
      <w:pPr>
        <w:snapToGrid w:val="0"/>
        <w:spacing w:line="360" w:lineRule="auto"/>
        <w:ind w:firstLine="643" w:firstLineChars="200"/>
        <w:rPr>
          <w:rFonts w:ascii="宋体" w:hAnsi="宋体"/>
          <w:b/>
          <w:color w:val="000000" w:themeColor="text1"/>
          <w:sz w:val="32"/>
          <w:szCs w:val="32"/>
          <w:highlight w:val="none"/>
          <w14:textFill>
            <w14:solidFill>
              <w14:schemeClr w14:val="tx1"/>
            </w14:solidFill>
          </w14:textFill>
        </w:rPr>
      </w:pPr>
    </w:p>
    <w:p w14:paraId="47B29EF2">
      <w:pPr>
        <w:spacing w:line="480" w:lineRule="auto"/>
        <w:rPr>
          <w:rFonts w:ascii="宋体" w:hAnsi="宋体" w:eastAsia="宋体" w:cs="宋体"/>
          <w:b/>
          <w:bCs/>
          <w:color w:val="000000" w:themeColor="text1"/>
          <w:sz w:val="28"/>
          <w:szCs w:val="28"/>
          <w:highlight w:val="none"/>
          <w14:textFill>
            <w14:solidFill>
              <w14:schemeClr w14:val="tx1"/>
            </w14:solidFill>
          </w14:textFill>
        </w:rPr>
      </w:pPr>
      <w:bookmarkStart w:id="148" w:name="_Toc3995"/>
      <w:r>
        <w:rPr>
          <w:rFonts w:hint="eastAsia" w:ascii="宋体" w:hAnsi="宋体" w:eastAsia="宋体" w:cs="宋体"/>
          <w:b/>
          <w:bCs/>
          <w:color w:val="000000" w:themeColor="text1"/>
          <w:sz w:val="28"/>
          <w:szCs w:val="28"/>
          <w:highlight w:val="none"/>
          <w14:textFill>
            <w14:solidFill>
              <w14:schemeClr w14:val="tx1"/>
            </w14:solidFill>
          </w14:textFill>
        </w:rPr>
        <w:t>项目名称：</w:t>
      </w:r>
    </w:p>
    <w:p w14:paraId="5EF08645">
      <w:pPr>
        <w:spacing w:line="480" w:lineRule="auto"/>
        <w:rPr>
          <w:rFonts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采购计划号：</w:t>
      </w:r>
    </w:p>
    <w:p w14:paraId="08C5295E">
      <w:pPr>
        <w:spacing w:line="480" w:lineRule="auto"/>
        <w:rPr>
          <w:rFonts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项目编号：</w:t>
      </w:r>
    </w:p>
    <w:p w14:paraId="78E096F4">
      <w:pPr>
        <w:spacing w:line="480" w:lineRule="auto"/>
        <w:rPr>
          <w:rFonts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合同编号：</w:t>
      </w:r>
    </w:p>
    <w:p w14:paraId="1F6544B5">
      <w:pPr>
        <w:spacing w:line="480" w:lineRule="auto"/>
        <w:rPr>
          <w:rFonts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采购</w:t>
      </w:r>
      <w:r>
        <w:rPr>
          <w:rFonts w:hint="eastAsia" w:ascii="宋体" w:hAnsi="宋体" w:cs="宋体"/>
          <w:b/>
          <w:bCs/>
          <w:color w:val="000000" w:themeColor="text1"/>
          <w:sz w:val="28"/>
          <w:szCs w:val="28"/>
          <w:highlight w:val="none"/>
          <w:lang w:val="en-US" w:eastAsia="zh-CN"/>
          <w14:textFill>
            <w14:solidFill>
              <w14:schemeClr w14:val="tx1"/>
            </w14:solidFill>
          </w14:textFill>
        </w:rPr>
        <w:t>人</w:t>
      </w:r>
      <w:r>
        <w:rPr>
          <w:rFonts w:hint="eastAsia" w:ascii="宋体" w:hAnsi="宋体" w:eastAsia="宋体" w:cs="宋体"/>
          <w:b/>
          <w:bCs/>
          <w:color w:val="000000" w:themeColor="text1"/>
          <w:sz w:val="28"/>
          <w:szCs w:val="28"/>
          <w:highlight w:val="none"/>
          <w14:textFill>
            <w14:solidFill>
              <w14:schemeClr w14:val="tx1"/>
            </w14:solidFill>
          </w14:textFill>
        </w:rPr>
        <w:t>（甲方）：钦州市第二人民医院</w:t>
      </w:r>
    </w:p>
    <w:p w14:paraId="5B066A03">
      <w:pPr>
        <w:spacing w:line="480" w:lineRule="auto"/>
        <w:rPr>
          <w:rFonts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lang w:val="en-US" w:eastAsia="zh-CN"/>
          <w14:textFill>
            <w14:solidFill>
              <w14:schemeClr w14:val="tx1"/>
            </w14:solidFill>
          </w14:textFill>
        </w:rPr>
        <w:t>中标人</w:t>
      </w:r>
      <w:r>
        <w:rPr>
          <w:rFonts w:hint="eastAsia" w:ascii="宋体" w:hAnsi="宋体" w:eastAsia="宋体" w:cs="宋体"/>
          <w:b/>
          <w:bCs/>
          <w:color w:val="000000" w:themeColor="text1"/>
          <w:sz w:val="28"/>
          <w:szCs w:val="28"/>
          <w:highlight w:val="none"/>
          <w14:textFill>
            <w14:solidFill>
              <w14:schemeClr w14:val="tx1"/>
            </w14:solidFill>
          </w14:textFill>
        </w:rPr>
        <w:t>（乙方）</w:t>
      </w:r>
    </w:p>
    <w:p w14:paraId="6BCBCF88">
      <w:pPr>
        <w:spacing w:line="480" w:lineRule="auto"/>
        <w:rPr>
          <w:rFonts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采购代理机构：</w:t>
      </w:r>
    </w:p>
    <w:p w14:paraId="19EF1AF9">
      <w:pPr>
        <w:spacing w:line="480" w:lineRule="auto"/>
        <w:rPr>
          <w:rFonts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签订地点：钦州市</w:t>
      </w:r>
    </w:p>
    <w:p w14:paraId="6700C7DD">
      <w:pPr>
        <w:spacing w:line="480" w:lineRule="auto"/>
        <w:rPr>
          <w:rFonts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签订时间：202</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6</w:t>
      </w:r>
      <w:r>
        <w:rPr>
          <w:rFonts w:hint="eastAsia" w:ascii="宋体" w:hAnsi="宋体" w:eastAsia="宋体" w:cs="宋体"/>
          <w:b/>
          <w:bCs/>
          <w:color w:val="000000" w:themeColor="text1"/>
          <w:sz w:val="28"/>
          <w:szCs w:val="28"/>
          <w:highlight w:val="none"/>
          <w14:textFill>
            <w14:solidFill>
              <w14:schemeClr w14:val="tx1"/>
            </w14:solidFill>
          </w14:textFill>
        </w:rPr>
        <w:t>年   月   日</w:t>
      </w:r>
    </w:p>
    <w:p w14:paraId="413231D6">
      <w:pPr>
        <w:pStyle w:val="149"/>
        <w:spacing w:line="480" w:lineRule="auto"/>
        <w:rPr>
          <w:rFonts w:ascii="宋体" w:hAnsi="宋体" w:eastAsia="宋体" w:cs="宋体"/>
          <w:color w:val="000000" w:themeColor="text1"/>
          <w:sz w:val="28"/>
          <w:szCs w:val="28"/>
          <w:highlight w:val="none"/>
          <w14:textFill>
            <w14:solidFill>
              <w14:schemeClr w14:val="tx1"/>
            </w14:solidFill>
          </w14:textFill>
        </w:rPr>
      </w:pPr>
    </w:p>
    <w:p w14:paraId="301BD19E">
      <w:pPr>
        <w:spacing w:line="480" w:lineRule="auto"/>
        <w:rPr>
          <w:rFonts w:ascii="宋体" w:hAnsi="宋体" w:eastAsia="宋体" w:cs="宋体"/>
          <w:b/>
          <w:bCs/>
          <w:color w:val="000000" w:themeColor="text1"/>
          <w:sz w:val="28"/>
          <w:szCs w:val="28"/>
          <w:highlight w:val="none"/>
          <w14:textFill>
            <w14:solidFill>
              <w14:schemeClr w14:val="tx1"/>
            </w14:solidFill>
          </w14:textFill>
        </w:rPr>
      </w:pPr>
    </w:p>
    <w:p w14:paraId="1313CC86">
      <w:pPr>
        <w:pStyle w:val="149"/>
        <w:spacing w:line="480" w:lineRule="auto"/>
        <w:rPr>
          <w:rFonts w:ascii="宋体" w:hAnsi="宋体" w:eastAsia="宋体" w:cs="宋体"/>
          <w:color w:val="000000" w:themeColor="text1"/>
          <w:sz w:val="28"/>
          <w:szCs w:val="28"/>
          <w:highlight w:val="none"/>
          <w14:textFill>
            <w14:solidFill>
              <w14:schemeClr w14:val="tx1"/>
            </w14:solidFill>
          </w14:textFill>
        </w:rPr>
      </w:pPr>
    </w:p>
    <w:p w14:paraId="03992506">
      <w:pPr>
        <w:spacing w:line="480" w:lineRule="auto"/>
        <w:rPr>
          <w:rFonts w:ascii="宋体" w:hAnsi="宋体" w:eastAsia="宋体" w:cs="宋体"/>
          <w:b/>
          <w:bCs/>
          <w:color w:val="000000" w:themeColor="text1"/>
          <w:sz w:val="28"/>
          <w:szCs w:val="28"/>
          <w:highlight w:val="none"/>
          <w14:textFill>
            <w14:solidFill>
              <w14:schemeClr w14:val="tx1"/>
            </w14:solidFill>
          </w14:textFill>
        </w:rPr>
      </w:pPr>
    </w:p>
    <w:p w14:paraId="49DEE7ED">
      <w:pPr>
        <w:widowControl/>
        <w:jc w:val="left"/>
        <w:rPr>
          <w:rFonts w:ascii="宋体" w:hAnsi="宋体" w:eastAsia="宋体" w:cs="宋体"/>
          <w:bCs/>
          <w:color w:val="000000" w:themeColor="text1"/>
          <w:sz w:val="28"/>
          <w:szCs w:val="28"/>
          <w:highlight w:val="none"/>
          <w14:textFill>
            <w14:solidFill>
              <w14:schemeClr w14:val="tx1"/>
            </w14:solidFill>
          </w14:textFill>
        </w:rPr>
      </w:pPr>
      <w:r>
        <w:rPr>
          <w:rFonts w:ascii="宋体" w:hAnsi="宋体" w:eastAsia="宋体" w:cs="宋体"/>
          <w:bCs/>
          <w:color w:val="000000" w:themeColor="text1"/>
          <w:sz w:val="28"/>
          <w:szCs w:val="28"/>
          <w:highlight w:val="none"/>
          <w14:textFill>
            <w14:solidFill>
              <w14:schemeClr w14:val="tx1"/>
            </w14:solidFill>
          </w14:textFill>
        </w:rPr>
        <w:br w:type="page"/>
      </w:r>
    </w:p>
    <w:p w14:paraId="4BF78C38">
      <w:pPr>
        <w:snapToGrid w:val="0"/>
        <w:rPr>
          <w:rFonts w:ascii="宋体" w:hAnsi="宋体" w:eastAsia="宋体" w:cs="宋体"/>
          <w:bCs/>
          <w:color w:val="000000" w:themeColor="text1"/>
          <w:sz w:val="28"/>
          <w:szCs w:val="28"/>
          <w:highlight w:val="none"/>
          <w14:textFill>
            <w14:solidFill>
              <w14:schemeClr w14:val="tx1"/>
            </w14:solidFill>
          </w14:textFill>
        </w:rPr>
      </w:pPr>
    </w:p>
    <w:p w14:paraId="1CF3A0DB">
      <w:pPr>
        <w:widowControl/>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根据《中华人民共和国政府采购法》《中华人民共和国民法典》等法律、法规规定，按照公开招标文件规定条款和投标文件承诺，甲乙双方签订本合同。</w:t>
      </w:r>
    </w:p>
    <w:p w14:paraId="64957ED6">
      <w:pPr>
        <w:snapToGrid w:val="0"/>
        <w:spacing w:line="400" w:lineRule="exact"/>
        <w:ind w:firstLine="482" w:firstLineChars="200"/>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第一条　合同标的</w:t>
      </w:r>
    </w:p>
    <w:p w14:paraId="09E79EAC">
      <w:pPr>
        <w:snapToGrid w:val="0"/>
        <w:spacing w:line="40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1.供货一览表</w:t>
      </w:r>
    </w:p>
    <w:tbl>
      <w:tblPr>
        <w:tblStyle w:val="48"/>
        <w:tblW w:w="8556"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152"/>
        <w:gridCol w:w="990"/>
        <w:gridCol w:w="1152"/>
        <w:gridCol w:w="1131"/>
        <w:gridCol w:w="689"/>
        <w:gridCol w:w="687"/>
        <w:gridCol w:w="1023"/>
        <w:gridCol w:w="1070"/>
      </w:tblGrid>
      <w:tr w14:paraId="43521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662" w:type="dxa"/>
            <w:vAlign w:val="center"/>
          </w:tcPr>
          <w:p w14:paraId="0497978D">
            <w:pPr>
              <w:snapToGrid w:val="0"/>
              <w:spacing w:line="40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序号</w:t>
            </w:r>
          </w:p>
        </w:tc>
        <w:tc>
          <w:tcPr>
            <w:tcW w:w="1152" w:type="dxa"/>
            <w:vAlign w:val="center"/>
          </w:tcPr>
          <w:p w14:paraId="328FCCF5">
            <w:pPr>
              <w:snapToGrid w:val="0"/>
              <w:spacing w:line="40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产品名称</w:t>
            </w:r>
          </w:p>
        </w:tc>
        <w:tc>
          <w:tcPr>
            <w:tcW w:w="990" w:type="dxa"/>
            <w:vAlign w:val="center"/>
          </w:tcPr>
          <w:p w14:paraId="2CB808FC">
            <w:pPr>
              <w:snapToGrid w:val="0"/>
              <w:spacing w:line="40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商标品牌</w:t>
            </w:r>
          </w:p>
        </w:tc>
        <w:tc>
          <w:tcPr>
            <w:tcW w:w="1152" w:type="dxa"/>
            <w:vAlign w:val="center"/>
          </w:tcPr>
          <w:p w14:paraId="207DD93E">
            <w:pPr>
              <w:snapToGrid w:val="0"/>
              <w:spacing w:line="40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规格型号</w:t>
            </w:r>
          </w:p>
        </w:tc>
        <w:tc>
          <w:tcPr>
            <w:tcW w:w="1131" w:type="dxa"/>
            <w:vAlign w:val="center"/>
          </w:tcPr>
          <w:p w14:paraId="3ED6E278">
            <w:pPr>
              <w:snapToGrid w:val="0"/>
              <w:spacing w:line="40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生产厂家</w:t>
            </w:r>
          </w:p>
        </w:tc>
        <w:tc>
          <w:tcPr>
            <w:tcW w:w="689" w:type="dxa"/>
            <w:vAlign w:val="center"/>
          </w:tcPr>
          <w:p w14:paraId="48156B96">
            <w:pPr>
              <w:snapToGrid w:val="0"/>
              <w:spacing w:line="40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数量</w:t>
            </w:r>
          </w:p>
        </w:tc>
        <w:tc>
          <w:tcPr>
            <w:tcW w:w="687" w:type="dxa"/>
            <w:vAlign w:val="center"/>
          </w:tcPr>
          <w:p w14:paraId="5037BA05">
            <w:pPr>
              <w:snapToGrid w:val="0"/>
              <w:spacing w:line="40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单位</w:t>
            </w:r>
          </w:p>
        </w:tc>
        <w:tc>
          <w:tcPr>
            <w:tcW w:w="1023" w:type="dxa"/>
            <w:vAlign w:val="center"/>
          </w:tcPr>
          <w:p w14:paraId="1DD6A6B4">
            <w:pPr>
              <w:snapToGrid w:val="0"/>
              <w:spacing w:line="40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单价（元）</w:t>
            </w:r>
          </w:p>
        </w:tc>
        <w:tc>
          <w:tcPr>
            <w:tcW w:w="1070" w:type="dxa"/>
            <w:vAlign w:val="center"/>
          </w:tcPr>
          <w:p w14:paraId="71C33F75">
            <w:pPr>
              <w:snapToGrid w:val="0"/>
              <w:spacing w:line="40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金额（元）</w:t>
            </w:r>
          </w:p>
        </w:tc>
      </w:tr>
      <w:tr w14:paraId="51C7F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662" w:type="dxa"/>
            <w:vAlign w:val="center"/>
          </w:tcPr>
          <w:p w14:paraId="3752E3D2">
            <w:pPr>
              <w:snapToGrid w:val="0"/>
              <w:spacing w:line="40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p>
        </w:tc>
        <w:tc>
          <w:tcPr>
            <w:tcW w:w="1152" w:type="dxa"/>
            <w:vAlign w:val="center"/>
          </w:tcPr>
          <w:p w14:paraId="5FDC4225">
            <w:pPr>
              <w:snapToGrid w:val="0"/>
              <w:spacing w:line="40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990" w:type="dxa"/>
            <w:vAlign w:val="center"/>
          </w:tcPr>
          <w:p w14:paraId="5163FF73">
            <w:pPr>
              <w:snapToGrid w:val="0"/>
              <w:spacing w:line="40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152" w:type="dxa"/>
            <w:vAlign w:val="center"/>
          </w:tcPr>
          <w:p w14:paraId="2AA075B4">
            <w:pPr>
              <w:snapToGrid w:val="0"/>
              <w:spacing w:line="40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131" w:type="dxa"/>
          </w:tcPr>
          <w:p w14:paraId="5A1918F9">
            <w:pPr>
              <w:snapToGrid w:val="0"/>
              <w:spacing w:line="40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689" w:type="dxa"/>
          </w:tcPr>
          <w:p w14:paraId="0BC8DC07">
            <w:pPr>
              <w:snapToGrid w:val="0"/>
              <w:spacing w:line="40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687" w:type="dxa"/>
          </w:tcPr>
          <w:p w14:paraId="3A84A069">
            <w:pPr>
              <w:snapToGrid w:val="0"/>
              <w:spacing w:line="40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023" w:type="dxa"/>
            <w:vAlign w:val="center"/>
          </w:tcPr>
          <w:p w14:paraId="7FEC5722">
            <w:pPr>
              <w:snapToGrid w:val="0"/>
              <w:spacing w:line="40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070" w:type="dxa"/>
            <w:vAlign w:val="center"/>
          </w:tcPr>
          <w:p w14:paraId="6730EBE4">
            <w:pPr>
              <w:snapToGrid w:val="0"/>
              <w:spacing w:line="40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14:paraId="632B2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662" w:type="dxa"/>
            <w:vAlign w:val="center"/>
          </w:tcPr>
          <w:p w14:paraId="0434B73E">
            <w:pPr>
              <w:snapToGrid w:val="0"/>
              <w:spacing w:line="40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w:t>
            </w:r>
          </w:p>
        </w:tc>
        <w:tc>
          <w:tcPr>
            <w:tcW w:w="1152" w:type="dxa"/>
            <w:vAlign w:val="center"/>
          </w:tcPr>
          <w:p w14:paraId="43D0D139">
            <w:pPr>
              <w:snapToGrid w:val="0"/>
              <w:spacing w:line="40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990" w:type="dxa"/>
            <w:vAlign w:val="center"/>
          </w:tcPr>
          <w:p w14:paraId="48FAED59">
            <w:pPr>
              <w:snapToGrid w:val="0"/>
              <w:spacing w:line="40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152" w:type="dxa"/>
            <w:vAlign w:val="center"/>
          </w:tcPr>
          <w:p w14:paraId="412A019E">
            <w:pPr>
              <w:snapToGrid w:val="0"/>
              <w:spacing w:line="40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131" w:type="dxa"/>
          </w:tcPr>
          <w:p w14:paraId="64B7EFAC">
            <w:pPr>
              <w:snapToGrid w:val="0"/>
              <w:spacing w:line="40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689" w:type="dxa"/>
          </w:tcPr>
          <w:p w14:paraId="14768AD7">
            <w:pPr>
              <w:snapToGrid w:val="0"/>
              <w:spacing w:line="40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687" w:type="dxa"/>
          </w:tcPr>
          <w:p w14:paraId="6642EFC0">
            <w:pPr>
              <w:snapToGrid w:val="0"/>
              <w:spacing w:line="40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023" w:type="dxa"/>
            <w:vAlign w:val="center"/>
          </w:tcPr>
          <w:p w14:paraId="0487C5E2">
            <w:pPr>
              <w:snapToGrid w:val="0"/>
              <w:spacing w:line="40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070" w:type="dxa"/>
            <w:vAlign w:val="center"/>
          </w:tcPr>
          <w:p w14:paraId="17BA577B">
            <w:pPr>
              <w:snapToGrid w:val="0"/>
              <w:spacing w:line="40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14:paraId="3FD99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662" w:type="dxa"/>
            <w:vAlign w:val="center"/>
          </w:tcPr>
          <w:p w14:paraId="52ED9515">
            <w:pPr>
              <w:snapToGrid w:val="0"/>
              <w:spacing w:line="40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w:t>
            </w:r>
          </w:p>
        </w:tc>
        <w:tc>
          <w:tcPr>
            <w:tcW w:w="1152" w:type="dxa"/>
            <w:vAlign w:val="center"/>
          </w:tcPr>
          <w:p w14:paraId="3F6EC93C">
            <w:pPr>
              <w:snapToGrid w:val="0"/>
              <w:spacing w:line="40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990" w:type="dxa"/>
            <w:vAlign w:val="center"/>
          </w:tcPr>
          <w:p w14:paraId="626A057D">
            <w:pPr>
              <w:snapToGrid w:val="0"/>
              <w:spacing w:line="40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152" w:type="dxa"/>
            <w:vAlign w:val="center"/>
          </w:tcPr>
          <w:p w14:paraId="02486CD6">
            <w:pPr>
              <w:snapToGrid w:val="0"/>
              <w:spacing w:line="40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131" w:type="dxa"/>
          </w:tcPr>
          <w:p w14:paraId="492A7D26">
            <w:pPr>
              <w:snapToGrid w:val="0"/>
              <w:spacing w:line="40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689" w:type="dxa"/>
          </w:tcPr>
          <w:p w14:paraId="52931DF5">
            <w:pPr>
              <w:snapToGrid w:val="0"/>
              <w:spacing w:line="40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687" w:type="dxa"/>
          </w:tcPr>
          <w:p w14:paraId="6259CBA7">
            <w:pPr>
              <w:snapToGrid w:val="0"/>
              <w:spacing w:line="40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023" w:type="dxa"/>
            <w:vAlign w:val="center"/>
          </w:tcPr>
          <w:p w14:paraId="60C8ED3E">
            <w:pPr>
              <w:snapToGrid w:val="0"/>
              <w:spacing w:line="40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070" w:type="dxa"/>
            <w:vAlign w:val="center"/>
          </w:tcPr>
          <w:p w14:paraId="694769A1">
            <w:pPr>
              <w:snapToGrid w:val="0"/>
              <w:spacing w:line="40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14:paraId="0151B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8556" w:type="dxa"/>
            <w:gridSpan w:val="9"/>
            <w:vAlign w:val="center"/>
          </w:tcPr>
          <w:p w14:paraId="31BB4CCA">
            <w:pPr>
              <w:snapToGrid w:val="0"/>
              <w:spacing w:line="40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合计金额人民币（大写）                          （小写）¥</w:t>
            </w:r>
          </w:p>
        </w:tc>
      </w:tr>
    </w:tbl>
    <w:p w14:paraId="1131D566">
      <w:pPr>
        <w:snapToGrid w:val="0"/>
        <w:spacing w:line="400" w:lineRule="exact"/>
        <w:ind w:right="420"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合同合计金额包括但不限于货款、标准附件、备品备件、专用工具、包装、运输、装卸、保险、税金、货到就位以及安装、调试、培训、保修等一切税金和费用。在合同履行过程中，甲方不予支付合同以外的其他费用。乙方负责工人人身、设备安全责任，验收前，设备丢失自行负责。</w:t>
      </w:r>
    </w:p>
    <w:p w14:paraId="49D48089">
      <w:pPr>
        <w:snapToGrid w:val="0"/>
        <w:spacing w:line="400" w:lineRule="exact"/>
        <w:ind w:firstLine="482"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第二条　质量要求</w:t>
      </w:r>
    </w:p>
    <w:p w14:paraId="0AFF6B18">
      <w:pPr>
        <w:snapToGrid w:val="0"/>
        <w:spacing w:line="40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1.乙方所提供的产品名称、商标品牌、生产厂家、规格型号、技术参数等质量必须与公开招标文件规定及投标文件承诺相一致。乙方提供的节能和环保产品必须是列入政府采购品目清单的产品。</w:t>
      </w:r>
    </w:p>
    <w:p w14:paraId="6EB7AC70">
      <w:pPr>
        <w:snapToGrid w:val="0"/>
        <w:spacing w:line="400" w:lineRule="exact"/>
        <w:ind w:firstLine="480" w:firstLineChars="200"/>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2.乙方所提供的货物必须是全新、未使用的原装产品，且在正常安装、使用和保养条件下，其使用寿命期内各项指标均达到公开招标文件规定或投标文件承诺的质量要求。</w:t>
      </w:r>
    </w:p>
    <w:p w14:paraId="7809A404">
      <w:pPr>
        <w:snapToGrid w:val="0"/>
        <w:spacing w:line="400" w:lineRule="exact"/>
        <w:ind w:firstLine="482"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第三条　权利保证</w:t>
      </w:r>
    </w:p>
    <w:p w14:paraId="69E9B04A">
      <w:pPr>
        <w:snapToGrid w:val="0"/>
        <w:spacing w:line="40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1.乙方应保证所提供货物在使用时不会侵犯任何第三方的专利权、商标权、工业设计权或其他权利。</w:t>
      </w:r>
    </w:p>
    <w:p w14:paraId="41A8B1DE">
      <w:pPr>
        <w:snapToGrid w:val="0"/>
        <w:spacing w:line="40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2.乙方应按公开招标文件规定或投标文件承诺的时间向甲方提供使用货物的有关技术资料。</w:t>
      </w:r>
    </w:p>
    <w:p w14:paraId="191453C0">
      <w:pPr>
        <w:snapToGrid w:val="0"/>
        <w:spacing w:line="40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685075D4">
      <w:pPr>
        <w:snapToGrid w:val="0"/>
        <w:spacing w:line="40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4.乙方保证交付的货物的所有权完全属于乙方且无任何抵押、质押、查封等产权瑕疵。</w:t>
      </w:r>
    </w:p>
    <w:p w14:paraId="7519957D">
      <w:pPr>
        <w:snapToGrid w:val="0"/>
        <w:spacing w:line="40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5.乙方提供的货物及制作安装采用的各种配件、材料均应满足国家和行业规范标准。</w:t>
      </w:r>
    </w:p>
    <w:p w14:paraId="1A5313BB">
      <w:pPr>
        <w:snapToGrid w:val="0"/>
        <w:spacing w:line="400" w:lineRule="exact"/>
        <w:ind w:firstLine="482" w:firstLineChars="200"/>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第四条　包装和运输</w:t>
      </w:r>
    </w:p>
    <w:p w14:paraId="6CE66192">
      <w:pPr>
        <w:spacing w:line="46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 乙方提供的货物均应按公开招标文件、投标文件要求的包装材料、包装标准、包装方式、运输距离、防潮、防震、防锈和防破损装卸等要求包装，以保证货物安全运达甲方指定地点，每一包装单元内应附详细的装箱单和质量合格证。除合同另有规定外，乙方提供的全部货物应按标准保护措施进行包装，由于包装不善所引起的货物损失均由乙方承担。</w:t>
      </w:r>
    </w:p>
    <w:p w14:paraId="50915EC1">
      <w:pPr>
        <w:spacing w:line="46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 乙方应提供设备的随机附件、技术资料，可包括相应的安装配件、图纸、操作手册、维护手册、质量保证文件、服务指南、清单等一并附于货物内。</w:t>
      </w:r>
    </w:p>
    <w:p w14:paraId="51744155">
      <w:pPr>
        <w:spacing w:line="46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 货物的运输方式（</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由乙方自定）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，货物运输合理损耗及计算方法：</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由乙方负责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14:paraId="30A1CDBB">
      <w:pPr>
        <w:spacing w:line="46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4.乙方在货物发运手续办理完毕后二十四小时内或货到甲方四十八小时前通知甲方，以准备接货。货物在交付甲方前发生的风险均由乙方负责。</w:t>
      </w:r>
    </w:p>
    <w:p w14:paraId="53A54F3B">
      <w:pPr>
        <w:spacing w:line="46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5. 货物在规定的交货期限内由乙方送达甲方指定的地点视为交货，乙方同时提供合格证及技术参数表给甲方，需通知甲方货物已送达。</w:t>
      </w:r>
    </w:p>
    <w:p w14:paraId="3D249120">
      <w:pPr>
        <w:spacing w:line="460" w:lineRule="exact"/>
        <w:ind w:firstLine="482" w:firstLineChars="200"/>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第五条　交付、安装和调试</w:t>
      </w:r>
    </w:p>
    <w:p w14:paraId="72DC4AA6">
      <w:pPr>
        <w:spacing w:line="46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 交付使用时间：</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14:paraId="609A57FE">
      <w:pPr>
        <w:spacing w:line="46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交付地点：甲方指定地点 。乙方负责处理安装设备产生的垃圾。</w:t>
      </w:r>
    </w:p>
    <w:p w14:paraId="6FCFD35A">
      <w:pPr>
        <w:spacing w:line="46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 乙方交付的货物应当完全符合本合同或采购文件所规定的货物、数量、规格等要求，外观、说明书符合采购文件技术要求的，给予签收，若乙方提供不符合招标文件、投标文件和本合同规定的货物，甲方有权拒绝接受，由此引起的风险由乙方承担。</w:t>
      </w:r>
    </w:p>
    <w:p w14:paraId="4B8DABD8">
      <w:pPr>
        <w:spacing w:line="46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乙方交货前应将所提供货物的装箱清单、用户手册、原厂保修卡、随机资料、工具和备品、备件等作出全面检查和对验收文件进行整理，并列出清单，作为甲方收货验收和使用的技术条件依据，检验的结果应随货物交甲方。乙方未能提供完整合同标的的货物及本条款规定的证件和工具的，视为未按合同约定交货，乙方应负责及时补齐，因此导致逾期交付的，由乙方承担相关违约责任。</w:t>
      </w:r>
    </w:p>
    <w:p w14:paraId="0811706C">
      <w:pPr>
        <w:spacing w:line="360" w:lineRule="auto"/>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4.乙方负责安装并培训甲方的使用操作人员。甲方对乙方提供的货物在使用前进行调试时，乙方需协助甲方一起调试，直到符合技术要求，甲方才做最终验收。</w:t>
      </w:r>
    </w:p>
    <w:p w14:paraId="6709F782">
      <w:pPr>
        <w:spacing w:line="360" w:lineRule="auto"/>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5.设备如需接入医院HIS、LIS或PACS系统及互联互通系统，相关费用由乙方负责。</w:t>
      </w:r>
    </w:p>
    <w:p w14:paraId="0F74D1C0">
      <w:pPr>
        <w:spacing w:line="460" w:lineRule="exact"/>
        <w:ind w:firstLine="482" w:firstLineChars="200"/>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第六条　培训和验收</w:t>
      </w:r>
    </w:p>
    <w:p w14:paraId="2FF1C049">
      <w:pPr>
        <w:spacing w:line="46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1.甲方应提供必要安装、培训条件（如场地、电源、水源等）。培训时间、地点： 由甲方根据情况合理安排。培训形式：①现场使用培训：安装调试结束后，乙方培训工程师对机器正确使用方法进行示范操作，保证教会使用人员能正确使用设备。②集中授课：乙方培训工程师使用专门讲义进行授课，并进行考核考试。</w:t>
      </w:r>
    </w:p>
    <w:p w14:paraId="5EB18F1F">
      <w:pPr>
        <w:spacing w:line="46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验收标准：乙方在货物验收时由甲方对照招标文件的功能目标及技术指标全面核对检验，对所有要求出具的证明文件的原件进行核查，如不符合招标文件的技术需求及要求以及提供虚假承诺的，按相关规定做退货处理及违约处理，乙方承担所有责任和费用，甲方保留进一步追究责任的权利。</w:t>
      </w:r>
    </w:p>
    <w:p w14:paraId="601FE99A">
      <w:pPr>
        <w:spacing w:line="46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甲方应当在货物安装、调试完成后乙方提供书面验收申请书，15个工作日内进行验收，逾期不验收的验收前乙方需提供验收过程完成后及招标文件中约定的资料，乙方可视同验收合格。验收合格后由甲乙双方签署货物验收单并加盖采购人公章，甲乙双方各执一份。</w:t>
      </w:r>
    </w:p>
    <w:p w14:paraId="7465E768">
      <w:pPr>
        <w:spacing w:line="46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4.对技术复杂的货物，甲方应请国家认可的专业检测机构参与初步验收及最终验收，并由其出具质量检测报告。验收时乙方必须在现场，验收完毕后作出验收结果报告；验收费用由乙方负责。</w:t>
      </w:r>
    </w:p>
    <w:p w14:paraId="76DBA97E">
      <w:pPr>
        <w:spacing w:line="46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5. 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2100A65A">
      <w:pPr>
        <w:spacing w:line="360" w:lineRule="auto"/>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6. 甲方对验收有异议的，在验收后</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5个工作日</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内以书面形式向乙方提出，乙方应自收到甲方书面异议后</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7个工作</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日内及时予以解决。甲方根据乙方提出的解决情况，确认问题已解决并签字确认后</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7个工作日</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内进行货物再验收。</w:t>
      </w:r>
    </w:p>
    <w:p w14:paraId="3B497A4D">
      <w:pPr>
        <w:spacing w:line="360" w:lineRule="auto"/>
        <w:ind w:firstLine="482" w:firstLineChars="200"/>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第七条　付款方式</w:t>
      </w:r>
    </w:p>
    <w:p w14:paraId="5692078A">
      <w:pPr>
        <w:spacing w:line="46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 当采购数量与实际使用数量不一致时，乙方应根据实际使用量供货，合同的最终结算金额按实际使用量乘以中标单价进行计算。</w:t>
      </w:r>
    </w:p>
    <w:p w14:paraId="59D4F9B9">
      <w:pPr>
        <w:spacing w:line="46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 资金性质：</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财政性资金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14:paraId="3798073A">
      <w:pPr>
        <w:ind w:firstLine="360" w:firstLineChars="15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3.付款方式：</w:t>
      </w:r>
    </w:p>
    <w:p w14:paraId="116AED1E">
      <w:pPr>
        <w:snapToGrid w:val="0"/>
        <w:spacing w:line="400" w:lineRule="exact"/>
        <w:ind w:left="-61" w:leftChars="-29" w:firstLine="588" w:firstLineChars="245"/>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签订合同后无预付款，验收合格后1年6个月付清，到货验收合格后支付合同款的5%，验收合格第一年满后付45%，整个付款期满后付合同款的50%。</w:t>
      </w:r>
    </w:p>
    <w:p w14:paraId="72DD6280">
      <w:pPr>
        <w:snapToGrid w:val="0"/>
        <w:spacing w:line="400" w:lineRule="exact"/>
        <w:ind w:left="-61" w:leftChars="-29" w:firstLine="588" w:firstLineChars="245"/>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第八条　履约保证金</w:t>
      </w:r>
    </w:p>
    <w:p w14:paraId="2A9E85BC">
      <w:pPr>
        <w:autoSpaceDE w:val="0"/>
        <w:autoSpaceDN w:val="0"/>
        <w:snapToGrid w:val="0"/>
        <w:spacing w:line="400" w:lineRule="exact"/>
        <w:ind w:firstLine="484" w:firstLineChars="202"/>
        <w:textAlignment w:val="bottom"/>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本项目不收取履约保证金</w:t>
      </w:r>
    </w:p>
    <w:p w14:paraId="791D903C">
      <w:pPr>
        <w:autoSpaceDE w:val="0"/>
        <w:autoSpaceDN w:val="0"/>
        <w:snapToGrid w:val="0"/>
        <w:spacing w:line="400" w:lineRule="exact"/>
        <w:ind w:firstLine="487" w:firstLineChars="202"/>
        <w:textAlignment w:val="bottom"/>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第九条  税费</w:t>
      </w:r>
    </w:p>
    <w:p w14:paraId="7E5ED805">
      <w:pPr>
        <w:snapToGrid w:val="0"/>
        <w:spacing w:line="400" w:lineRule="exact"/>
        <w:ind w:left="-61" w:firstLine="514"/>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本合同执行中相关的一切税费均由乙方负担，合同另有约定的除外。</w:t>
      </w:r>
    </w:p>
    <w:p w14:paraId="698A5E11">
      <w:pPr>
        <w:snapToGrid w:val="0"/>
        <w:spacing w:line="400" w:lineRule="exact"/>
        <w:ind w:left="-61" w:firstLine="514"/>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第十条  质量保证及售后服务</w:t>
      </w:r>
    </w:p>
    <w:p w14:paraId="22EFFD6C">
      <w:pPr>
        <w:snapToGrid w:val="0"/>
        <w:spacing w:line="40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乙方应按公开招标文件规定的产品名称、商标品牌、生产厂家、规格型号、技术参数、质量标准向甲方提供未经使用的全新产品。不符合要求的，根据实际情况，经双方协商，可按以下办法处理：</w:t>
      </w:r>
    </w:p>
    <w:p w14:paraId="1BE66508">
      <w:pPr>
        <w:snapToGrid w:val="0"/>
        <w:spacing w:line="40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⑴更换：由乙方承担所发生的全部费用。</w:t>
      </w:r>
    </w:p>
    <w:p w14:paraId="4A06C8B4">
      <w:pPr>
        <w:snapToGrid w:val="0"/>
        <w:spacing w:line="400" w:lineRule="exact"/>
        <w:ind w:firstLine="42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⑵贬值处理：由甲乙双方合议定价。</w:t>
      </w:r>
    </w:p>
    <w:p w14:paraId="48100923">
      <w:pPr>
        <w:snapToGrid w:val="0"/>
        <w:spacing w:line="400" w:lineRule="exact"/>
        <w:ind w:firstLine="42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⑶退货处理：乙方应退还甲方支付的合同款，同时应承担该货物的直接费用（运输、保险、检验、货款利息及银行手续费等）。</w:t>
      </w:r>
    </w:p>
    <w:p w14:paraId="565A8DB8">
      <w:pPr>
        <w:spacing w:line="46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2.乙方应按照国家有关法律法规和“三包”规定以及招标文件、投标文件和本合同所附的《售后服务承诺书》，为甲方提供售后服务。</w:t>
      </w:r>
    </w:p>
    <w:p w14:paraId="4D7564CD">
      <w:pPr>
        <w:spacing w:line="460" w:lineRule="exact"/>
        <w:ind w:firstLine="600" w:firstLineChars="25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3.产品质量保证期应当包括但不限于：货物验收合格之日起</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个月。质保期内，乙方对其提供的设备进行上门维修、更换零部件，不收取额外费用。质保期后五年内有足够的备品备件，并提供终身维修及保养，维修时只收部件成本费。</w:t>
      </w:r>
    </w:p>
    <w:p w14:paraId="34B6B74C">
      <w:pPr>
        <w:spacing w:line="460" w:lineRule="exact"/>
        <w:ind w:firstLine="600" w:firstLineChars="25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质保期内乙方应提供5*8小时远程桌面或7*24小时电话技术支持。如在使用过程中发生质量问题，乙方在接到甲方通知后立即响应，并在24小时内到达甲方现场维修，对货物出现的质量及安全问题负责处理解决并承担一切费用。如果需要更换配件的，要求更换的配件应跟被更换的品牌、类型相一致或者是同类同档次的替代品，乙方需征得甲方管理人员同意。</w:t>
      </w:r>
    </w:p>
    <w:p w14:paraId="48C9CB81">
      <w:pPr>
        <w:spacing w:line="46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5.设备质保期内一周如出现</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3次及以上停机或设备故障的</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，甲方有权要求乙方退货或更换机器，所产生费用由乙方承担。</w:t>
      </w:r>
    </w:p>
    <w:p w14:paraId="4DE22047">
      <w:pPr>
        <w:spacing w:line="46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6.当设备有重大级别提升时，乙方为设备进行软件升级。</w:t>
      </w:r>
    </w:p>
    <w:p w14:paraId="3F0C1673">
      <w:pPr>
        <w:spacing w:line="46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7.乙方应派工程技术人员一年两次定期对设备进行维护保养。</w:t>
      </w:r>
    </w:p>
    <w:p w14:paraId="53B869A9">
      <w:pPr>
        <w:spacing w:line="460" w:lineRule="exact"/>
        <w:ind w:firstLine="482" w:firstLineChars="200"/>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第十一条　违约责任</w:t>
      </w:r>
    </w:p>
    <w:p w14:paraId="57320CF1">
      <w:pPr>
        <w:spacing w:line="46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 乙方所提供的货物规格、技术标准、材料等质量不合格的，应及时更换，更换不及时的按逾期交货处罚；因质量问题甲方不同意接收的或特殊情况甲方不同意接收的，乙方应向甲方支付违约货款额5%违约金并赔偿甲方经济损失。</w:t>
      </w:r>
    </w:p>
    <w:p w14:paraId="438E6BC6">
      <w:pPr>
        <w:spacing w:line="46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 乙方提供的货物如侵犯了第三方合法权益而引发的任何纠纷或诉讼，均由乙方负责交涉并承担全部责任。</w:t>
      </w:r>
    </w:p>
    <w:p w14:paraId="3807F382">
      <w:pPr>
        <w:spacing w:line="46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 因包装、运输引起的货物损坏，按质量不合格处罚。</w:t>
      </w:r>
    </w:p>
    <w:p w14:paraId="06191F04">
      <w:pPr>
        <w:spacing w:line="46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 甲方无故延期接收货物、乙方逾期交货的，每天向对方偿付违约货款额3‰违约金，超过</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30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天对方有权</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依法</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解除合同，违约方承担因此给对方造成经济损失。</w:t>
      </w:r>
    </w:p>
    <w:p w14:paraId="7F68255C">
      <w:pPr>
        <w:spacing w:line="46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5. 乙方未按本合同和投标文件中规定的服务承诺提供服务的，乙方应按本合同合计金额10%向甲方支付违约金，甲方有权</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依法</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解除合同。</w:t>
      </w:r>
    </w:p>
    <w:p w14:paraId="708F5503">
      <w:pPr>
        <w:spacing w:line="46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6. 乙方提供的货物在质量保证期内，因设计、工艺或材料的缺陷和其它质量原因造成的问题，由乙方负责。</w:t>
      </w:r>
    </w:p>
    <w:p w14:paraId="3FBC33F4">
      <w:pPr>
        <w:spacing w:line="46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7. 其它违约行为按违约货款额10%收取违约金。</w:t>
      </w:r>
    </w:p>
    <w:p w14:paraId="783B711A">
      <w:pPr>
        <w:spacing w:line="46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8. 乙方支付的违约金不足以弥补甲方损失的，还应承担赔偿责任。</w:t>
      </w:r>
    </w:p>
    <w:p w14:paraId="7B124599">
      <w:pPr>
        <w:spacing w:line="460" w:lineRule="exact"/>
        <w:ind w:firstLine="482" w:firstLineChars="200"/>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第十二条  不可抗力事件处理</w:t>
      </w:r>
    </w:p>
    <w:p w14:paraId="57FF9355">
      <w:pPr>
        <w:spacing w:line="46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 在合同有效期内，任何一方因不可抗力事件导致不能履行合同，则合同履行期可延长，其延长期与不可抗力影响期相同。</w:t>
      </w:r>
    </w:p>
    <w:p w14:paraId="77BEB1D8">
      <w:pPr>
        <w:spacing w:line="46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 不可抗力事件发生后，应立即通知对方，并寄送有关权威机构出具的证明。</w:t>
      </w:r>
    </w:p>
    <w:p w14:paraId="75A7E411">
      <w:pPr>
        <w:spacing w:line="46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 不可抗力事件延续一百二十天以上，双方应通过友好协商，确定是否继续履行合同。</w:t>
      </w:r>
    </w:p>
    <w:p w14:paraId="688A39DB">
      <w:pPr>
        <w:spacing w:line="460" w:lineRule="exact"/>
        <w:ind w:firstLine="482" w:firstLineChars="200"/>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第十三条  合同争议解决</w:t>
      </w:r>
    </w:p>
    <w:p w14:paraId="35E020C6">
      <w:pPr>
        <w:spacing w:line="46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 因货物质量问题发生争议的，应邀请国家认可的质量检测机构对货物质量进行鉴定。货物符合标准的，鉴定费由甲方承担；货物不符合标准的，鉴定费由乙方承担。</w:t>
      </w:r>
    </w:p>
    <w:p w14:paraId="2889B4A4">
      <w:pPr>
        <w:spacing w:line="46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 因履行本合同引起的或与本合同有关的争议，双方从下列两种方式中选择第</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⑵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种方式，作为本合同争议的解决方式。</w:t>
      </w:r>
    </w:p>
    <w:p w14:paraId="7799945F">
      <w:pPr>
        <w:spacing w:line="46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⑴甲乙双方应首先通过友好协商解决，如果协商不能解决，可向甲方所在地钦州仲裁委员会申请仲裁。仲裁期间，本合同继续履行。</w:t>
      </w:r>
    </w:p>
    <w:p w14:paraId="4BAA34E6">
      <w:pPr>
        <w:spacing w:line="46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⑵甲乙双方应首先通过友好协商解决，如果协商不能解决，双方均可向甲方所在地人民法院提起诉讼。诉讼期间，本合同继续履行。</w:t>
      </w:r>
    </w:p>
    <w:p w14:paraId="29FC9CA5">
      <w:pPr>
        <w:spacing w:line="460" w:lineRule="exact"/>
        <w:ind w:firstLine="482" w:firstLineChars="200"/>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第十四条  合同的变更、终止与转让</w:t>
      </w:r>
    </w:p>
    <w:p w14:paraId="615BB667">
      <w:pPr>
        <w:spacing w:line="46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 除《中华人民共和国政府采购法》第五十条规定的情形外，本合同一经签订，甲乙双方不得擅自变更、中止或终止。</w:t>
      </w:r>
    </w:p>
    <w:p w14:paraId="22DF4B70">
      <w:pPr>
        <w:spacing w:line="46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 乙方不得擅自转让（无进口资格的供应商委托进口货物除外）其应履行的合同义务。</w:t>
      </w:r>
    </w:p>
    <w:p w14:paraId="35B96CF6">
      <w:pPr>
        <w:snapToGrid w:val="0"/>
        <w:spacing w:line="400" w:lineRule="exact"/>
        <w:ind w:firstLine="482" w:firstLineChars="200"/>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第十五条　</w:t>
      </w:r>
      <w: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t>本合同书与下列文件一起构成合同文件</w:t>
      </w:r>
    </w:p>
    <w:p w14:paraId="61722A08">
      <w:pPr>
        <w:snapToGrid w:val="0"/>
        <w:spacing w:line="400" w:lineRule="exact"/>
        <w:ind w:left="420" w:left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1.中标通知书</w:t>
      </w:r>
    </w:p>
    <w:p w14:paraId="4C326B45">
      <w:pPr>
        <w:snapToGrid w:val="0"/>
        <w:spacing w:line="400" w:lineRule="exact"/>
        <w:ind w:left="420" w:left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2.投标声明</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ab/>
      </w:r>
    </w:p>
    <w:p w14:paraId="7DDD7429">
      <w:pPr>
        <w:snapToGrid w:val="0"/>
        <w:spacing w:line="400" w:lineRule="exact"/>
        <w:ind w:left="420" w:left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3.商务条款偏离表和技术需求偏离表</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ab/>
      </w:r>
    </w:p>
    <w:p w14:paraId="21AB0DCA">
      <w:pPr>
        <w:snapToGrid w:val="0"/>
        <w:spacing w:line="400" w:lineRule="exact"/>
        <w:ind w:left="420" w:left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4.采购需求</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ab/>
      </w:r>
    </w:p>
    <w:p w14:paraId="4B98D085">
      <w:pPr>
        <w:snapToGrid w:val="0"/>
        <w:spacing w:line="400" w:lineRule="exact"/>
        <w:ind w:left="420" w:left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5.投标报价表</w:t>
      </w:r>
    </w:p>
    <w:p w14:paraId="4F02F994">
      <w:pPr>
        <w:snapToGrid w:val="0"/>
        <w:spacing w:line="400" w:lineRule="exact"/>
        <w:ind w:left="420" w:left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6.其他承诺书等合同文件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ab/>
      </w:r>
    </w:p>
    <w:p w14:paraId="3002883B">
      <w:pPr>
        <w:snapToGrid w:val="0"/>
        <w:spacing w:line="400" w:lineRule="exact"/>
        <w:ind w:firstLine="360" w:firstLineChars="150"/>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7.上述合同文件互相补充和解释。如果合同文件之间存在矛盾或不一致之处，以有利于甲方的排列顺序在先者为准。</w:t>
      </w:r>
    </w:p>
    <w:p w14:paraId="4A9B185B">
      <w:pPr>
        <w:spacing w:line="460" w:lineRule="exact"/>
        <w:ind w:firstLine="482" w:firstLineChars="200"/>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第十六条　合同生效及其它</w:t>
      </w:r>
    </w:p>
    <w:p w14:paraId="3D6CD4E7">
      <w:pPr>
        <w:spacing w:line="46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1.本合同经双方法定代表人或授权代表（委托代理人）签字并加盖单位公章后生效。</w:t>
      </w:r>
    </w:p>
    <w:p w14:paraId="321B198D">
      <w:pPr>
        <w:spacing w:line="46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2.合同正本一式柒份，甲方执肆份，乙方执贰份，采购代理机构执壹份，具有同等法律效力。自签订之日起两个工作日内，采购代理机构应当将合同副本报广西政采云平台备案。</w:t>
      </w:r>
    </w:p>
    <w:p w14:paraId="1F93F6B4">
      <w:pPr>
        <w:spacing w:line="46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3.合同执行中涉及采购资金和采购内容修改或补充的，须经同级政府采购监督管理办公室审批，并签书面补充协议报同级政府采购监督管理办公室备案，方可作为主合同不可分割的一部分。</w:t>
      </w:r>
    </w:p>
    <w:p w14:paraId="41AE200A">
      <w:pPr>
        <w:spacing w:line="46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4.本合同未尽事宜，遵照《中华人民共和国民法典》有关条文执行。</w:t>
      </w:r>
    </w:p>
    <w:p w14:paraId="43F1A3FE">
      <w:pPr>
        <w:snapToGrid w:val="0"/>
        <w:spacing w:line="40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（以下无正文为签章页）</w:t>
      </w:r>
    </w:p>
    <w:p w14:paraId="357E0B62">
      <w:pPr>
        <w:spacing w:before="25" w:after="25"/>
        <w:jc w:val="left"/>
        <w:rPr>
          <w:rFonts w:hint="eastAsia" w:asciiTheme="minorEastAsia" w:hAnsiTheme="minorEastAsia" w:eastAsiaTheme="minorEastAsia" w:cstheme="minorEastAsia"/>
          <w:bCs/>
          <w:color w:val="000000" w:themeColor="text1"/>
          <w:spacing w:val="10"/>
          <w:sz w:val="24"/>
          <w:szCs w:val="24"/>
          <w:highlight w:val="none"/>
          <w14:textFill>
            <w14:solidFill>
              <w14:schemeClr w14:val="tx1"/>
            </w14:solidFill>
          </w14:textFill>
        </w:rPr>
      </w:pPr>
    </w:p>
    <w:tbl>
      <w:tblPr>
        <w:tblStyle w:val="48"/>
        <w:tblW w:w="82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63"/>
        <w:gridCol w:w="4061"/>
      </w:tblGrid>
      <w:tr w14:paraId="561CA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163" w:type="dxa"/>
            <w:vAlign w:val="center"/>
          </w:tcPr>
          <w:p w14:paraId="0AEFBB53">
            <w:pPr>
              <w:snapToGrid w:val="0"/>
              <w:spacing w:line="40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甲方（章）：           </w:t>
            </w:r>
          </w:p>
          <w:p w14:paraId="2953AEC5">
            <w:pPr>
              <w:snapToGrid w:val="0"/>
              <w:spacing w:line="40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钦州市第二人民医院</w:t>
            </w:r>
          </w:p>
          <w:p w14:paraId="1D658458">
            <w:pPr>
              <w:snapToGrid w:val="0"/>
              <w:spacing w:line="40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37A0FDF2">
            <w:pPr>
              <w:snapToGrid w:val="0"/>
              <w:spacing w:line="400" w:lineRule="exact"/>
              <w:ind w:firstLine="1080" w:firstLineChars="450"/>
              <w:jc w:val="righ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年   月   日</w:t>
            </w:r>
          </w:p>
        </w:tc>
        <w:tc>
          <w:tcPr>
            <w:tcW w:w="4061" w:type="dxa"/>
            <w:vAlign w:val="center"/>
          </w:tcPr>
          <w:p w14:paraId="57553ABB">
            <w:pPr>
              <w:snapToGrid w:val="0"/>
              <w:spacing w:line="40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乙方（章）：              </w:t>
            </w:r>
          </w:p>
          <w:p w14:paraId="00FE4458">
            <w:pPr>
              <w:snapToGrid w:val="0"/>
              <w:spacing w:line="40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1D23C683">
            <w:pPr>
              <w:snapToGrid w:val="0"/>
              <w:spacing w:line="40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7B7A8BD1">
            <w:pPr>
              <w:snapToGrid w:val="0"/>
              <w:spacing w:line="400" w:lineRule="exact"/>
              <w:jc w:val="righ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年   月   日</w:t>
            </w:r>
          </w:p>
        </w:tc>
      </w:tr>
      <w:tr w14:paraId="6D7B0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4163" w:type="dxa"/>
            <w:vAlign w:val="center"/>
          </w:tcPr>
          <w:p w14:paraId="3C329F98">
            <w:pPr>
              <w:snapToGrid w:val="0"/>
              <w:spacing w:line="40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单位地址：钦州市钦南区文峰南路219号</w:t>
            </w:r>
          </w:p>
        </w:tc>
        <w:tc>
          <w:tcPr>
            <w:tcW w:w="4061" w:type="dxa"/>
            <w:vAlign w:val="center"/>
          </w:tcPr>
          <w:p w14:paraId="36539A2F">
            <w:pPr>
              <w:snapToGrid w:val="0"/>
              <w:spacing w:line="40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单位地址：</w:t>
            </w:r>
          </w:p>
        </w:tc>
      </w:tr>
      <w:tr w14:paraId="2F2B6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4163" w:type="dxa"/>
          </w:tcPr>
          <w:p w14:paraId="412AE8AB">
            <w:pPr>
              <w:snapToGrid w:val="0"/>
              <w:spacing w:line="40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法定代表人</w:t>
            </w:r>
          </w:p>
          <w:p w14:paraId="040C0E68">
            <w:pPr>
              <w:snapToGrid w:val="0"/>
              <w:spacing w:line="40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或委托代理人：</w:t>
            </w:r>
          </w:p>
        </w:tc>
        <w:tc>
          <w:tcPr>
            <w:tcW w:w="4061" w:type="dxa"/>
          </w:tcPr>
          <w:p w14:paraId="67411D34">
            <w:pPr>
              <w:snapToGrid w:val="0"/>
              <w:spacing w:line="40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法定代表人（负责人或自然人）</w:t>
            </w:r>
          </w:p>
          <w:p w14:paraId="36889DAB">
            <w:pPr>
              <w:snapToGrid w:val="0"/>
              <w:spacing w:line="40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或委托代理人：</w:t>
            </w:r>
          </w:p>
        </w:tc>
      </w:tr>
      <w:tr w14:paraId="6FE99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4163" w:type="dxa"/>
            <w:vAlign w:val="center"/>
          </w:tcPr>
          <w:p w14:paraId="7FFAEF8A">
            <w:pPr>
              <w:snapToGrid w:val="0"/>
              <w:spacing w:line="40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电话：</w:t>
            </w:r>
          </w:p>
        </w:tc>
        <w:tc>
          <w:tcPr>
            <w:tcW w:w="4061" w:type="dxa"/>
            <w:vAlign w:val="center"/>
          </w:tcPr>
          <w:p w14:paraId="29C34D87">
            <w:pPr>
              <w:snapToGrid w:val="0"/>
              <w:spacing w:line="40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电话：</w:t>
            </w:r>
          </w:p>
        </w:tc>
      </w:tr>
      <w:tr w14:paraId="0E7D2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4163" w:type="dxa"/>
            <w:vAlign w:val="center"/>
          </w:tcPr>
          <w:p w14:paraId="3421CB59">
            <w:pPr>
              <w:snapToGrid w:val="0"/>
              <w:spacing w:line="40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开户银行：农行钦州金桥支行</w:t>
            </w:r>
          </w:p>
        </w:tc>
        <w:tc>
          <w:tcPr>
            <w:tcW w:w="4061" w:type="dxa"/>
            <w:vAlign w:val="center"/>
          </w:tcPr>
          <w:p w14:paraId="5FA2C416">
            <w:pPr>
              <w:snapToGrid w:val="0"/>
              <w:spacing w:line="40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开户银行：</w:t>
            </w:r>
          </w:p>
        </w:tc>
      </w:tr>
      <w:tr w14:paraId="04122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4163" w:type="dxa"/>
            <w:vAlign w:val="center"/>
          </w:tcPr>
          <w:p w14:paraId="1F4483EE">
            <w:pPr>
              <w:snapToGrid w:val="0"/>
              <w:spacing w:line="40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账号：20733401040002812</w:t>
            </w:r>
          </w:p>
        </w:tc>
        <w:tc>
          <w:tcPr>
            <w:tcW w:w="4061" w:type="dxa"/>
            <w:vAlign w:val="center"/>
          </w:tcPr>
          <w:p w14:paraId="004411C0">
            <w:pPr>
              <w:snapToGrid w:val="0"/>
              <w:spacing w:line="40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账号：</w:t>
            </w:r>
          </w:p>
        </w:tc>
      </w:tr>
      <w:tr w14:paraId="2D1B2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4163" w:type="dxa"/>
            <w:vAlign w:val="center"/>
          </w:tcPr>
          <w:p w14:paraId="00FF7D0B">
            <w:pPr>
              <w:snapToGrid w:val="0"/>
              <w:spacing w:line="40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邮政编码：535099</w:t>
            </w:r>
          </w:p>
        </w:tc>
        <w:tc>
          <w:tcPr>
            <w:tcW w:w="4061" w:type="dxa"/>
            <w:vAlign w:val="center"/>
          </w:tcPr>
          <w:p w14:paraId="2AAC7A02">
            <w:pPr>
              <w:snapToGrid w:val="0"/>
              <w:spacing w:line="40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邮政编码：</w:t>
            </w:r>
          </w:p>
        </w:tc>
      </w:tr>
      <w:tr w14:paraId="086E5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8" w:hRule="atLeast"/>
        </w:trPr>
        <w:tc>
          <w:tcPr>
            <w:tcW w:w="8224" w:type="dxa"/>
            <w:gridSpan w:val="2"/>
          </w:tcPr>
          <w:p w14:paraId="418F3E57">
            <w:pPr>
              <w:snapToGrid w:val="0"/>
              <w:spacing w:line="40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经办人：</w:t>
            </w:r>
          </w:p>
          <w:p w14:paraId="6701D864">
            <w:pPr>
              <w:snapToGrid w:val="0"/>
              <w:spacing w:line="40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64863020">
            <w:pPr>
              <w:snapToGrid w:val="0"/>
              <w:spacing w:line="400" w:lineRule="exact"/>
              <w:ind w:firstLine="720" w:firstLineChars="300"/>
              <w:jc w:val="righ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年    月    日</w:t>
            </w:r>
          </w:p>
        </w:tc>
      </w:tr>
    </w:tbl>
    <w:p w14:paraId="0D11FE2E">
      <w:pPr>
        <w:snapToGrid w:val="0"/>
        <w:ind w:left="560" w:hanging="480" w:hanging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7E42C40D">
      <w:pPr>
        <w:widowControl/>
        <w:jc w:val="left"/>
        <w:rPr>
          <w:rFonts w:hint="eastAsia" w:asciiTheme="minorEastAsia" w:hAnsiTheme="minorEastAsia" w:eastAsiaTheme="minorEastAsia" w:cstheme="minorEastAsia"/>
          <w:bCs/>
          <w:color w:val="000000" w:themeColor="text1"/>
          <w:spacing w:val="10"/>
          <w:kern w:val="0"/>
          <w:sz w:val="24"/>
          <w:szCs w:val="24"/>
          <w:highlight w:val="none"/>
          <w14:textFill>
            <w14:solidFill>
              <w14:schemeClr w14:val="tx1"/>
            </w14:solidFill>
          </w14:textFill>
        </w:rPr>
      </w:pPr>
    </w:p>
    <w:p w14:paraId="301DCB35">
      <w:pPr>
        <w:spacing w:line="36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6FF6FAE6">
      <w:pPr>
        <w:spacing w:line="36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31B54731">
      <w:pP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br w:type="page"/>
      </w:r>
    </w:p>
    <w:p w14:paraId="41990267">
      <w:pPr>
        <w:snapToGrid w:val="0"/>
        <w:jc w:val="center"/>
        <w:rPr>
          <w:rFonts w:ascii="仿宋" w:hAnsi="仿宋" w:eastAsia="仿宋" w:cs="仿宋"/>
          <w:b/>
          <w:bCs/>
          <w:color w:val="000000" w:themeColor="text1"/>
          <w:kern w:val="0"/>
          <w:sz w:val="24"/>
          <w:highlight w:val="none"/>
          <w14:textFill>
            <w14:solidFill>
              <w14:schemeClr w14:val="tx1"/>
            </w14:solidFill>
          </w14:textFill>
        </w:rPr>
      </w:pPr>
    </w:p>
    <w:p w14:paraId="5B403DFA">
      <w:pPr>
        <w:pStyle w:val="21"/>
        <w:jc w:val="center"/>
        <w:rPr>
          <w:rFonts w:ascii="宋体" w:hAnsi="宋体" w:cs="宋体"/>
          <w:b/>
          <w:bCs/>
          <w:color w:val="000000" w:themeColor="text1"/>
          <w:spacing w:val="-20"/>
          <w:kern w:val="44"/>
          <w:sz w:val="48"/>
          <w:szCs w:val="48"/>
          <w:highlight w:val="none"/>
          <w14:textFill>
            <w14:solidFill>
              <w14:schemeClr w14:val="tx1"/>
            </w14:solidFill>
          </w14:textFill>
        </w:rPr>
      </w:pPr>
    </w:p>
    <w:p w14:paraId="7E765471">
      <w:pPr>
        <w:pStyle w:val="21"/>
        <w:jc w:val="center"/>
        <w:rPr>
          <w:rFonts w:hint="eastAsia" w:ascii="宋体" w:hAnsi="宋体" w:cs="宋体"/>
          <w:b/>
          <w:bCs/>
          <w:color w:val="000000" w:themeColor="text1"/>
          <w:spacing w:val="-20"/>
          <w:kern w:val="44"/>
          <w:sz w:val="48"/>
          <w:szCs w:val="48"/>
          <w:highlight w:val="none"/>
          <w14:textFill>
            <w14:solidFill>
              <w14:schemeClr w14:val="tx1"/>
            </w14:solidFill>
          </w14:textFill>
        </w:rPr>
      </w:pPr>
    </w:p>
    <w:p w14:paraId="1C98A401">
      <w:pPr>
        <w:pStyle w:val="21"/>
        <w:jc w:val="center"/>
        <w:rPr>
          <w:rFonts w:hint="eastAsia" w:ascii="宋体" w:hAnsi="宋体" w:cs="宋体"/>
          <w:b/>
          <w:bCs/>
          <w:color w:val="000000" w:themeColor="text1"/>
          <w:spacing w:val="-20"/>
          <w:kern w:val="44"/>
          <w:sz w:val="48"/>
          <w:szCs w:val="48"/>
          <w:highlight w:val="none"/>
          <w14:textFill>
            <w14:solidFill>
              <w14:schemeClr w14:val="tx1"/>
            </w14:solidFill>
          </w14:textFill>
        </w:rPr>
      </w:pPr>
    </w:p>
    <w:bookmarkEnd w:id="148"/>
    <w:p w14:paraId="728185CC">
      <w:pPr>
        <w:snapToGrid w:val="0"/>
        <w:jc w:val="center"/>
        <w:rPr>
          <w:rFonts w:ascii="宋体" w:hAnsi="宋体"/>
          <w:bCs/>
          <w:color w:val="000000" w:themeColor="text1"/>
          <w:sz w:val="32"/>
          <w:szCs w:val="32"/>
          <w:highlight w:val="none"/>
          <w14:textFill>
            <w14:solidFill>
              <w14:schemeClr w14:val="tx1"/>
            </w14:solidFill>
          </w14:textFill>
        </w:rPr>
      </w:pPr>
    </w:p>
    <w:bookmarkEnd w:id="147"/>
    <w:p w14:paraId="1D9A52FC">
      <w:pPr>
        <w:snapToGrid w:val="0"/>
        <w:spacing w:line="480" w:lineRule="auto"/>
        <w:rPr>
          <w:rFonts w:hint="eastAsia" w:ascii="宋体" w:hAnsi="宋体"/>
          <w:bCs/>
          <w:color w:val="000000" w:themeColor="text1"/>
          <w:sz w:val="32"/>
          <w:szCs w:val="32"/>
          <w:highlight w:val="none"/>
          <w14:textFill>
            <w14:solidFill>
              <w14:schemeClr w14:val="tx1"/>
            </w14:solidFill>
          </w14:textFill>
        </w:rPr>
      </w:pPr>
    </w:p>
    <w:p w14:paraId="61CB46C6">
      <w:pPr>
        <w:snapToGrid w:val="0"/>
        <w:jc w:val="center"/>
        <w:rPr>
          <w:rFonts w:hint="eastAsia" w:ascii="宋体" w:hAnsi="宋体"/>
          <w:bCs/>
          <w:color w:val="000000" w:themeColor="text1"/>
          <w:sz w:val="32"/>
          <w:szCs w:val="32"/>
          <w:highlight w:val="none"/>
          <w14:textFill>
            <w14:solidFill>
              <w14:schemeClr w14:val="tx1"/>
            </w14:solidFill>
          </w14:textFill>
        </w:rPr>
      </w:pPr>
    </w:p>
    <w:p w14:paraId="6935B913">
      <w:pPr>
        <w:snapToGrid w:val="0"/>
        <w:jc w:val="center"/>
        <w:rPr>
          <w:rFonts w:hint="eastAsia" w:ascii="宋体" w:hAnsi="宋体"/>
          <w:bCs/>
          <w:color w:val="000000" w:themeColor="text1"/>
          <w:sz w:val="32"/>
          <w:szCs w:val="32"/>
          <w:highlight w:val="none"/>
          <w14:textFill>
            <w14:solidFill>
              <w14:schemeClr w14:val="tx1"/>
            </w14:solidFill>
          </w14:textFill>
        </w:rPr>
      </w:pPr>
    </w:p>
    <w:p w14:paraId="3279086E">
      <w:pPr>
        <w:snapToGrid w:val="0"/>
        <w:jc w:val="center"/>
        <w:rPr>
          <w:rFonts w:hint="eastAsia" w:ascii="宋体" w:hAnsi="宋体"/>
          <w:bCs/>
          <w:color w:val="000000" w:themeColor="text1"/>
          <w:sz w:val="32"/>
          <w:szCs w:val="32"/>
          <w:highlight w:val="none"/>
          <w14:textFill>
            <w14:solidFill>
              <w14:schemeClr w14:val="tx1"/>
            </w14:solidFill>
          </w14:textFill>
        </w:rPr>
      </w:pPr>
    </w:p>
    <w:p w14:paraId="039FBC31">
      <w:pPr>
        <w:snapToGrid w:val="0"/>
        <w:jc w:val="center"/>
        <w:rPr>
          <w:rFonts w:hint="eastAsia" w:ascii="宋体" w:hAnsi="宋体"/>
          <w:bCs/>
          <w:color w:val="000000" w:themeColor="text1"/>
          <w:sz w:val="32"/>
          <w:szCs w:val="32"/>
          <w:highlight w:val="none"/>
          <w14:textFill>
            <w14:solidFill>
              <w14:schemeClr w14:val="tx1"/>
            </w14:solidFill>
          </w14:textFill>
        </w:rPr>
      </w:pPr>
    </w:p>
    <w:p w14:paraId="35FEA70F">
      <w:pPr>
        <w:snapToGrid w:val="0"/>
        <w:jc w:val="center"/>
        <w:rPr>
          <w:rFonts w:hint="eastAsia" w:ascii="宋体" w:hAnsi="宋体"/>
          <w:bCs/>
          <w:color w:val="000000" w:themeColor="text1"/>
          <w:sz w:val="32"/>
          <w:szCs w:val="32"/>
          <w:highlight w:val="none"/>
          <w14:textFill>
            <w14:solidFill>
              <w14:schemeClr w14:val="tx1"/>
            </w14:solidFill>
          </w14:textFill>
        </w:rPr>
      </w:pPr>
    </w:p>
    <w:p w14:paraId="57D0BBF9">
      <w:pPr>
        <w:snapToGrid w:val="0"/>
        <w:jc w:val="center"/>
        <w:rPr>
          <w:rFonts w:hint="eastAsia" w:ascii="宋体" w:hAnsi="宋体"/>
          <w:bCs/>
          <w:color w:val="000000" w:themeColor="text1"/>
          <w:sz w:val="32"/>
          <w:szCs w:val="32"/>
          <w:highlight w:val="none"/>
          <w14:textFill>
            <w14:solidFill>
              <w14:schemeClr w14:val="tx1"/>
            </w14:solidFill>
          </w14:textFill>
        </w:rPr>
      </w:pPr>
    </w:p>
    <w:p w14:paraId="22C17C57">
      <w:pPr>
        <w:snapToGrid w:val="0"/>
        <w:jc w:val="center"/>
        <w:rPr>
          <w:rFonts w:hint="eastAsia" w:ascii="宋体" w:hAnsi="宋体"/>
          <w:bCs/>
          <w:color w:val="000000" w:themeColor="text1"/>
          <w:sz w:val="32"/>
          <w:szCs w:val="32"/>
          <w:highlight w:val="none"/>
          <w14:textFill>
            <w14:solidFill>
              <w14:schemeClr w14:val="tx1"/>
            </w14:solidFill>
          </w14:textFill>
        </w:rPr>
      </w:pPr>
    </w:p>
    <w:p w14:paraId="53921061">
      <w:pPr>
        <w:snapToGrid w:val="0"/>
        <w:jc w:val="center"/>
        <w:rPr>
          <w:rFonts w:hint="eastAsia" w:ascii="宋体" w:hAnsi="宋体"/>
          <w:bCs/>
          <w:color w:val="000000" w:themeColor="text1"/>
          <w:sz w:val="32"/>
          <w:szCs w:val="32"/>
          <w:highlight w:val="none"/>
          <w14:textFill>
            <w14:solidFill>
              <w14:schemeClr w14:val="tx1"/>
            </w14:solidFill>
          </w14:textFill>
        </w:rPr>
      </w:pPr>
    </w:p>
    <w:p w14:paraId="22F3666F">
      <w:pPr>
        <w:snapToGrid w:val="0"/>
        <w:jc w:val="center"/>
        <w:rPr>
          <w:rFonts w:hint="eastAsia" w:ascii="宋体" w:hAnsi="宋体"/>
          <w:bCs/>
          <w:color w:val="000000" w:themeColor="text1"/>
          <w:sz w:val="32"/>
          <w:szCs w:val="32"/>
          <w:highlight w:val="none"/>
          <w14:textFill>
            <w14:solidFill>
              <w14:schemeClr w14:val="tx1"/>
            </w14:solidFill>
          </w14:textFill>
        </w:rPr>
      </w:pPr>
    </w:p>
    <w:p w14:paraId="5ECB47F0">
      <w:pPr>
        <w:snapToGrid w:val="0"/>
        <w:jc w:val="center"/>
        <w:rPr>
          <w:rFonts w:hint="eastAsia" w:ascii="宋体" w:hAnsi="宋体"/>
          <w:bCs/>
          <w:color w:val="000000" w:themeColor="text1"/>
          <w:sz w:val="32"/>
          <w:szCs w:val="32"/>
          <w:highlight w:val="none"/>
          <w14:textFill>
            <w14:solidFill>
              <w14:schemeClr w14:val="tx1"/>
            </w14:solidFill>
          </w14:textFill>
        </w:rPr>
      </w:pPr>
    </w:p>
    <w:p w14:paraId="6ED7615D">
      <w:pPr>
        <w:snapToGrid w:val="0"/>
        <w:jc w:val="center"/>
        <w:rPr>
          <w:rFonts w:hint="eastAsia" w:ascii="宋体" w:hAnsi="宋体"/>
          <w:bCs/>
          <w:color w:val="000000" w:themeColor="text1"/>
          <w:sz w:val="32"/>
          <w:szCs w:val="32"/>
          <w:highlight w:val="none"/>
          <w14:textFill>
            <w14:solidFill>
              <w14:schemeClr w14:val="tx1"/>
            </w14:solidFill>
          </w14:textFill>
        </w:rPr>
      </w:pPr>
    </w:p>
    <w:p w14:paraId="4304A5CB">
      <w:pPr>
        <w:pStyle w:val="4"/>
        <w:jc w:val="center"/>
        <w:rPr>
          <w:rFonts w:hint="eastAsia"/>
          <w:color w:val="000000" w:themeColor="text1"/>
          <w:highlight w:val="none"/>
          <w14:textFill>
            <w14:solidFill>
              <w14:schemeClr w14:val="tx1"/>
            </w14:solidFill>
          </w14:textFill>
        </w:rPr>
      </w:pPr>
      <w:bookmarkStart w:id="149" w:name="_Toc74320805"/>
      <w:r>
        <w:rPr>
          <w:rFonts w:hint="eastAsia"/>
          <w:color w:val="000000" w:themeColor="text1"/>
          <w:highlight w:val="none"/>
          <w14:textFill>
            <w14:solidFill>
              <w14:schemeClr w14:val="tx1"/>
            </w14:solidFill>
          </w14:textFill>
        </w:rPr>
        <w:t>第六章　投标文件格式</w:t>
      </w:r>
      <w:bookmarkEnd w:id="149"/>
    </w:p>
    <w:p w14:paraId="327F9F9B">
      <w:pPr>
        <w:snapToGrid w:val="0"/>
        <w:spacing w:before="50" w:after="50"/>
        <w:outlineLvl w:val="1"/>
        <w:rPr>
          <w:rFonts w:hint="eastAsia" w:ascii="宋体" w:hAnsi="宋体"/>
          <w:color w:val="000000" w:themeColor="text1"/>
          <w:sz w:val="32"/>
          <w:szCs w:val="20"/>
          <w:highlight w:val="none"/>
          <w14:textFill>
            <w14:solidFill>
              <w14:schemeClr w14:val="tx1"/>
            </w14:solidFill>
          </w14:textFill>
        </w:rPr>
      </w:pPr>
    </w:p>
    <w:p w14:paraId="4D0787EA">
      <w:pPr>
        <w:snapToGrid w:val="0"/>
        <w:spacing w:before="50" w:after="50"/>
        <w:outlineLvl w:val="1"/>
        <w:rPr>
          <w:rFonts w:hint="eastAsia" w:ascii="宋体" w:hAnsi="宋体"/>
          <w:color w:val="000000" w:themeColor="text1"/>
          <w:sz w:val="32"/>
          <w:szCs w:val="20"/>
          <w:highlight w:val="none"/>
          <w14:textFill>
            <w14:solidFill>
              <w14:schemeClr w14:val="tx1"/>
            </w14:solidFill>
          </w14:textFill>
        </w:rPr>
      </w:pPr>
    </w:p>
    <w:p w14:paraId="0195F52E">
      <w:pPr>
        <w:snapToGrid w:val="0"/>
        <w:spacing w:before="50" w:after="50"/>
        <w:outlineLvl w:val="1"/>
        <w:rPr>
          <w:rFonts w:hint="eastAsia" w:ascii="宋体" w:hAnsi="宋体"/>
          <w:color w:val="000000" w:themeColor="text1"/>
          <w:sz w:val="32"/>
          <w:szCs w:val="20"/>
          <w:highlight w:val="none"/>
          <w14:textFill>
            <w14:solidFill>
              <w14:schemeClr w14:val="tx1"/>
            </w14:solidFill>
          </w14:textFill>
        </w:rPr>
      </w:pPr>
    </w:p>
    <w:p w14:paraId="7CFAFFBD">
      <w:pPr>
        <w:snapToGrid w:val="0"/>
        <w:spacing w:before="50" w:after="50"/>
        <w:outlineLvl w:val="1"/>
        <w:rPr>
          <w:rFonts w:hint="eastAsia" w:ascii="宋体" w:hAnsi="宋体"/>
          <w:color w:val="000000" w:themeColor="text1"/>
          <w:sz w:val="32"/>
          <w:szCs w:val="20"/>
          <w:highlight w:val="none"/>
          <w14:textFill>
            <w14:solidFill>
              <w14:schemeClr w14:val="tx1"/>
            </w14:solidFill>
          </w14:textFill>
        </w:rPr>
      </w:pPr>
    </w:p>
    <w:p w14:paraId="4AE3668B">
      <w:pPr>
        <w:snapToGrid w:val="0"/>
        <w:spacing w:before="50" w:after="50"/>
        <w:outlineLvl w:val="1"/>
        <w:rPr>
          <w:rFonts w:hint="eastAsia" w:ascii="宋体" w:hAnsi="宋体"/>
          <w:color w:val="000000" w:themeColor="text1"/>
          <w:sz w:val="32"/>
          <w:szCs w:val="20"/>
          <w:highlight w:val="none"/>
          <w14:textFill>
            <w14:solidFill>
              <w14:schemeClr w14:val="tx1"/>
            </w14:solidFill>
          </w14:textFill>
        </w:rPr>
      </w:pPr>
    </w:p>
    <w:p w14:paraId="1D654C75">
      <w:pPr>
        <w:snapToGrid w:val="0"/>
        <w:spacing w:before="50" w:after="50"/>
        <w:outlineLvl w:val="1"/>
        <w:rPr>
          <w:rFonts w:hint="eastAsia" w:ascii="宋体" w:hAnsi="宋体"/>
          <w:color w:val="000000" w:themeColor="text1"/>
          <w:sz w:val="32"/>
          <w:szCs w:val="20"/>
          <w:highlight w:val="none"/>
          <w14:textFill>
            <w14:solidFill>
              <w14:schemeClr w14:val="tx1"/>
            </w14:solidFill>
          </w14:textFill>
        </w:rPr>
      </w:pPr>
    </w:p>
    <w:p w14:paraId="4DAF8BD3">
      <w:pPr>
        <w:snapToGrid w:val="0"/>
        <w:spacing w:before="50" w:after="50"/>
        <w:outlineLvl w:val="1"/>
        <w:rPr>
          <w:rFonts w:hint="eastAsia" w:ascii="宋体" w:hAnsi="宋体"/>
          <w:color w:val="000000" w:themeColor="text1"/>
          <w:sz w:val="32"/>
          <w:szCs w:val="20"/>
          <w:highlight w:val="none"/>
          <w14:textFill>
            <w14:solidFill>
              <w14:schemeClr w14:val="tx1"/>
            </w14:solidFill>
          </w14:textFill>
        </w:rPr>
      </w:pPr>
    </w:p>
    <w:p w14:paraId="661403CE">
      <w:pPr>
        <w:snapToGrid w:val="0"/>
        <w:spacing w:before="50" w:after="50"/>
        <w:outlineLvl w:val="1"/>
        <w:rPr>
          <w:rFonts w:hint="eastAsia" w:ascii="宋体" w:hAnsi="宋体"/>
          <w:color w:val="000000" w:themeColor="text1"/>
          <w:sz w:val="32"/>
          <w:szCs w:val="20"/>
          <w:highlight w:val="none"/>
          <w14:textFill>
            <w14:solidFill>
              <w14:schemeClr w14:val="tx1"/>
            </w14:solidFill>
          </w14:textFill>
        </w:rPr>
      </w:pPr>
    </w:p>
    <w:p w14:paraId="11452009">
      <w:pPr>
        <w:snapToGrid w:val="0"/>
        <w:spacing w:before="50" w:after="50"/>
        <w:outlineLvl w:val="1"/>
        <w:rPr>
          <w:rFonts w:hint="eastAsia" w:ascii="宋体" w:hAnsi="宋体"/>
          <w:color w:val="000000" w:themeColor="text1"/>
          <w:sz w:val="32"/>
          <w:szCs w:val="20"/>
          <w:highlight w:val="none"/>
          <w14:textFill>
            <w14:solidFill>
              <w14:schemeClr w14:val="tx1"/>
            </w14:solidFill>
          </w14:textFill>
        </w:rPr>
      </w:pPr>
    </w:p>
    <w:p w14:paraId="4D7747DF">
      <w:pPr>
        <w:snapToGrid w:val="0"/>
        <w:spacing w:before="120" w:beforeLines="50" w:after="50"/>
        <w:jc w:val="center"/>
        <w:outlineLvl w:val="1"/>
        <w:rPr>
          <w:rFonts w:hint="eastAsia" w:ascii="宋体" w:hAnsi="宋体"/>
          <w:color w:val="000000" w:themeColor="text1"/>
          <w:highlight w:val="none"/>
          <w14:textFill>
            <w14:solidFill>
              <w14:schemeClr w14:val="tx1"/>
            </w14:solidFill>
          </w14:textFill>
        </w:rPr>
      </w:pPr>
    </w:p>
    <w:p w14:paraId="776E8196">
      <w:pPr>
        <w:rPr>
          <w:rFonts w:hint="eastAsia"/>
          <w:b/>
          <w:color w:val="000000" w:themeColor="text1"/>
          <w:sz w:val="28"/>
          <w:szCs w:val="28"/>
          <w:highlight w:val="none"/>
          <w14:textFill>
            <w14:solidFill>
              <w14:schemeClr w14:val="tx1"/>
            </w14:solidFill>
          </w14:textFill>
        </w:rPr>
      </w:pPr>
      <w:bookmarkStart w:id="150" w:name="_Toc19686836"/>
      <w:bookmarkStart w:id="151" w:name="_Toc254970698"/>
      <w:bookmarkStart w:id="152" w:name="_Toc254970557"/>
      <w:r>
        <w:rPr>
          <w:rFonts w:hint="eastAsia"/>
          <w:b/>
          <w:color w:val="000000" w:themeColor="text1"/>
          <w:sz w:val="28"/>
          <w:szCs w:val="28"/>
          <w:highlight w:val="none"/>
          <w14:textFill>
            <w14:solidFill>
              <w14:schemeClr w14:val="tx1"/>
            </w14:solidFill>
          </w14:textFill>
        </w:rPr>
        <w:t>一、报价文件格式</w:t>
      </w:r>
      <w:bookmarkEnd w:id="150"/>
    </w:p>
    <w:p w14:paraId="7F2D9DEA">
      <w:pPr>
        <w:snapToGrid w:val="0"/>
        <w:spacing w:before="120" w:beforeLines="50" w:after="50" w:line="360" w:lineRule="auto"/>
        <w:ind w:left="142"/>
        <w:jc w:val="left"/>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 xml:space="preserve">1. 报价文件封面格式： </w:t>
      </w:r>
    </w:p>
    <w:p w14:paraId="7156828E">
      <w:pPr>
        <w:snapToGrid w:val="0"/>
        <w:spacing w:before="120" w:beforeLines="50" w:after="50" w:line="360" w:lineRule="auto"/>
        <w:ind w:left="142"/>
        <w:jc w:val="center"/>
        <w:rPr>
          <w:rFonts w:hint="eastAsia" w:ascii="宋体" w:hAnsi="宋体" w:eastAsia="方正小标宋简体"/>
          <w:bCs/>
          <w:color w:val="000000" w:themeColor="text1"/>
          <w:sz w:val="48"/>
          <w:szCs w:val="48"/>
          <w:highlight w:val="none"/>
          <w14:textFill>
            <w14:solidFill>
              <w14:schemeClr w14:val="tx1"/>
            </w14:solidFill>
          </w14:textFill>
        </w:rPr>
      </w:pPr>
      <w:r>
        <w:rPr>
          <w:rFonts w:hint="eastAsia" w:ascii="宋体" w:hAnsi="宋体" w:eastAsia="方正小标宋简体"/>
          <w:bCs/>
          <w:color w:val="000000" w:themeColor="text1"/>
          <w:sz w:val="48"/>
          <w:szCs w:val="48"/>
          <w:highlight w:val="none"/>
          <w14:textFill>
            <w14:solidFill>
              <w14:schemeClr w14:val="tx1"/>
            </w14:solidFill>
          </w14:textFill>
        </w:rPr>
        <w:t>电子投标文件</w:t>
      </w:r>
    </w:p>
    <w:p w14:paraId="45FEC853">
      <w:pPr>
        <w:snapToGrid w:val="0"/>
        <w:spacing w:before="120" w:beforeLines="50" w:after="50" w:line="400" w:lineRule="exact"/>
        <w:jc w:val="left"/>
        <w:rPr>
          <w:rFonts w:hint="eastAsia" w:ascii="宋体" w:hAnsi="宋体" w:eastAsia="方正小标宋简体"/>
          <w:bCs/>
          <w:color w:val="000000" w:themeColor="text1"/>
          <w:sz w:val="48"/>
          <w:szCs w:val="48"/>
          <w:highlight w:val="none"/>
          <w14:textFill>
            <w14:solidFill>
              <w14:schemeClr w14:val="tx1"/>
            </w14:solidFill>
          </w14:textFill>
        </w:rPr>
      </w:pPr>
    </w:p>
    <w:p w14:paraId="351E107E">
      <w:pPr>
        <w:snapToGrid w:val="0"/>
        <w:spacing w:before="120" w:beforeLines="50" w:after="50" w:line="400" w:lineRule="exact"/>
        <w:jc w:val="cente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报  价  文  件</w:t>
      </w:r>
    </w:p>
    <w:p w14:paraId="111AB634">
      <w:pPr>
        <w:snapToGrid w:val="0"/>
        <w:spacing w:before="120" w:beforeLines="50" w:after="50" w:line="400" w:lineRule="exact"/>
        <w:rPr>
          <w:rFonts w:hint="eastAsia" w:ascii="宋体" w:hAnsi="宋体"/>
          <w:bCs/>
          <w:color w:val="000000" w:themeColor="text1"/>
          <w:sz w:val="24"/>
          <w:szCs w:val="20"/>
          <w:highlight w:val="none"/>
          <w14:textFill>
            <w14:solidFill>
              <w14:schemeClr w14:val="tx1"/>
            </w14:solidFill>
          </w14:textFill>
        </w:rPr>
      </w:pPr>
    </w:p>
    <w:p w14:paraId="03BA4D19">
      <w:pPr>
        <w:snapToGrid w:val="0"/>
        <w:spacing w:before="120" w:beforeLines="50" w:after="50" w:line="400" w:lineRule="exact"/>
        <w:rPr>
          <w:rFonts w:hint="eastAsia" w:ascii="宋体" w:hAnsi="宋体"/>
          <w:bCs/>
          <w:color w:val="000000" w:themeColor="text1"/>
          <w:sz w:val="24"/>
          <w:szCs w:val="20"/>
          <w:highlight w:val="none"/>
          <w14:textFill>
            <w14:solidFill>
              <w14:schemeClr w14:val="tx1"/>
            </w14:solidFill>
          </w14:textFill>
        </w:rPr>
      </w:pPr>
    </w:p>
    <w:p w14:paraId="58F4A7B4">
      <w:pPr>
        <w:snapToGrid w:val="0"/>
        <w:spacing w:before="120" w:beforeLines="50" w:after="50" w:line="400" w:lineRule="exact"/>
        <w:rPr>
          <w:rFonts w:hint="eastAsia" w:ascii="宋体" w:hAnsi="宋体"/>
          <w:bCs/>
          <w:color w:val="000000" w:themeColor="text1"/>
          <w:sz w:val="24"/>
          <w:szCs w:val="20"/>
          <w:highlight w:val="none"/>
          <w14:textFill>
            <w14:solidFill>
              <w14:schemeClr w14:val="tx1"/>
            </w14:solidFill>
          </w14:textFill>
        </w:rPr>
      </w:pPr>
    </w:p>
    <w:p w14:paraId="6B41BD47">
      <w:pPr>
        <w:snapToGrid w:val="0"/>
        <w:spacing w:before="120" w:beforeLines="50" w:after="50" w:line="400" w:lineRule="exact"/>
        <w:rPr>
          <w:rFonts w:hint="eastAsia" w:ascii="宋体" w:hAnsi="宋体"/>
          <w:bCs/>
          <w:color w:val="000000" w:themeColor="text1"/>
          <w:sz w:val="24"/>
          <w:szCs w:val="20"/>
          <w:highlight w:val="none"/>
          <w14:textFill>
            <w14:solidFill>
              <w14:schemeClr w14:val="tx1"/>
            </w14:solidFill>
          </w14:textFill>
        </w:rPr>
      </w:pPr>
    </w:p>
    <w:p w14:paraId="4D3F4377">
      <w:pPr>
        <w:snapToGrid w:val="0"/>
        <w:spacing w:before="120" w:beforeLines="50" w:after="50" w:line="400" w:lineRule="exact"/>
        <w:ind w:firstLine="360" w:firstLineChars="15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 xml:space="preserve">项目名称： </w:t>
      </w:r>
    </w:p>
    <w:p w14:paraId="4DFAB260">
      <w:pPr>
        <w:snapToGrid w:val="0"/>
        <w:spacing w:before="120" w:beforeLines="50" w:after="50" w:line="400" w:lineRule="exact"/>
        <w:ind w:firstLine="360" w:firstLineChars="150"/>
        <w:rPr>
          <w:rFonts w:hint="eastAsia" w:ascii="宋体" w:hAnsi="宋体"/>
          <w:bCs/>
          <w:color w:val="000000" w:themeColor="text1"/>
          <w:sz w:val="24"/>
          <w:highlight w:val="none"/>
          <w14:textFill>
            <w14:solidFill>
              <w14:schemeClr w14:val="tx1"/>
            </w14:solidFill>
          </w14:textFill>
        </w:rPr>
      </w:pPr>
    </w:p>
    <w:p w14:paraId="4B824515">
      <w:pPr>
        <w:snapToGrid w:val="0"/>
        <w:spacing w:before="120" w:beforeLines="50" w:after="50" w:line="400" w:lineRule="exact"/>
        <w:ind w:firstLine="360" w:firstLineChars="15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 xml:space="preserve">项目编号： </w:t>
      </w:r>
    </w:p>
    <w:p w14:paraId="489DA54F">
      <w:pPr>
        <w:snapToGrid w:val="0"/>
        <w:spacing w:before="120" w:beforeLines="50" w:after="50" w:line="400" w:lineRule="exact"/>
        <w:ind w:firstLine="360" w:firstLineChars="150"/>
        <w:rPr>
          <w:rFonts w:hint="eastAsia" w:ascii="宋体" w:hAnsi="宋体"/>
          <w:bCs/>
          <w:color w:val="000000" w:themeColor="text1"/>
          <w:sz w:val="24"/>
          <w:highlight w:val="none"/>
          <w14:textFill>
            <w14:solidFill>
              <w14:schemeClr w14:val="tx1"/>
            </w14:solidFill>
          </w14:textFill>
        </w:rPr>
      </w:pPr>
    </w:p>
    <w:p w14:paraId="318F1F05">
      <w:pPr>
        <w:snapToGrid w:val="0"/>
        <w:spacing w:before="120" w:beforeLines="50" w:after="50" w:line="400" w:lineRule="exact"/>
        <w:ind w:firstLine="360" w:firstLineChars="15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所投分标：</w:t>
      </w:r>
    </w:p>
    <w:p w14:paraId="61BFC5C7">
      <w:pPr>
        <w:snapToGrid w:val="0"/>
        <w:spacing w:before="120" w:beforeLines="50" w:after="50" w:line="400" w:lineRule="exact"/>
        <w:ind w:firstLine="360" w:firstLineChars="150"/>
        <w:rPr>
          <w:rFonts w:hint="eastAsia" w:ascii="宋体" w:hAnsi="宋体"/>
          <w:bCs/>
          <w:color w:val="000000" w:themeColor="text1"/>
          <w:sz w:val="24"/>
          <w:highlight w:val="none"/>
          <w14:textFill>
            <w14:solidFill>
              <w14:schemeClr w14:val="tx1"/>
            </w14:solidFill>
          </w14:textFill>
        </w:rPr>
      </w:pPr>
    </w:p>
    <w:p w14:paraId="79E9EA2E">
      <w:pPr>
        <w:snapToGrid w:val="0"/>
        <w:spacing w:before="120" w:beforeLines="50" w:after="50" w:line="400" w:lineRule="exact"/>
        <w:ind w:firstLine="360" w:firstLineChars="15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投标人名称：</w:t>
      </w:r>
    </w:p>
    <w:p w14:paraId="3E028D7A">
      <w:pPr>
        <w:snapToGrid w:val="0"/>
        <w:spacing w:before="120" w:beforeLines="50" w:after="50" w:line="400" w:lineRule="exact"/>
        <w:ind w:firstLine="360" w:firstLineChars="150"/>
        <w:rPr>
          <w:rFonts w:hint="eastAsia" w:ascii="宋体" w:hAnsi="宋体"/>
          <w:bCs/>
          <w:color w:val="000000" w:themeColor="text1"/>
          <w:sz w:val="24"/>
          <w:highlight w:val="none"/>
          <w14:textFill>
            <w14:solidFill>
              <w14:schemeClr w14:val="tx1"/>
            </w14:solidFill>
          </w14:textFill>
        </w:rPr>
      </w:pPr>
    </w:p>
    <w:p w14:paraId="500DC3ED">
      <w:pPr>
        <w:snapToGrid w:val="0"/>
        <w:spacing w:before="120" w:beforeLines="50" w:after="50" w:line="400" w:lineRule="exact"/>
        <w:ind w:firstLine="360" w:firstLineChars="15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投标人地址：</w:t>
      </w:r>
    </w:p>
    <w:p w14:paraId="2868234B">
      <w:pPr>
        <w:pStyle w:val="9"/>
        <w:snapToGrid w:val="0"/>
        <w:spacing w:before="50" w:after="50" w:line="400" w:lineRule="exact"/>
        <w:ind w:firstLine="960" w:firstLineChars="400"/>
        <w:rPr>
          <w:rFonts w:hint="eastAsia" w:ascii="宋体" w:hAnsi="宋体"/>
          <w:bCs/>
          <w:color w:val="000000" w:themeColor="text1"/>
          <w:sz w:val="24"/>
          <w:szCs w:val="24"/>
          <w:highlight w:val="none"/>
          <w14:textFill>
            <w14:solidFill>
              <w14:schemeClr w14:val="tx1"/>
            </w14:solidFill>
          </w14:textFill>
        </w:rPr>
      </w:pPr>
    </w:p>
    <w:p w14:paraId="6F4A9853">
      <w:pPr>
        <w:snapToGrid w:val="0"/>
        <w:spacing w:before="120" w:beforeLines="50" w:after="50" w:line="400" w:lineRule="exact"/>
        <w:rPr>
          <w:rFonts w:hint="eastAsia" w:ascii="宋体" w:hAnsi="宋体"/>
          <w:color w:val="000000" w:themeColor="text1"/>
          <w:sz w:val="30"/>
          <w:szCs w:val="20"/>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年  月  日</w:t>
      </w:r>
    </w:p>
    <w:p w14:paraId="2BBF2482">
      <w:pPr>
        <w:snapToGrid w:val="0"/>
        <w:spacing w:before="120" w:beforeLines="50" w:after="50" w:line="360" w:lineRule="auto"/>
        <w:jc w:val="left"/>
        <w:rPr>
          <w:rFonts w:hint="eastAsia" w:ascii="宋体" w:hAnsi="宋体"/>
          <w:color w:val="000000" w:themeColor="text1"/>
          <w:sz w:val="24"/>
          <w:szCs w:val="20"/>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2.</w:t>
      </w:r>
      <w:r>
        <w:rPr>
          <w:rFonts w:hint="eastAsia" w:ascii="宋体" w:hAnsi="宋体"/>
          <w:b/>
          <w:bCs/>
          <w:color w:val="000000" w:themeColor="text1"/>
          <w:sz w:val="24"/>
          <w:highlight w:val="none"/>
          <w14:textFill>
            <w14:solidFill>
              <w14:schemeClr w14:val="tx1"/>
            </w14:solidFill>
          </w14:textFill>
        </w:rPr>
        <w:t>报价文件目录</w:t>
      </w:r>
    </w:p>
    <w:p w14:paraId="0886FB23">
      <w:pPr>
        <w:snapToGrid w:val="0"/>
        <w:spacing w:before="50" w:after="120" w:afterLines="50" w:line="360" w:lineRule="auto"/>
        <w:jc w:val="left"/>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根据招标文件规定及投标人提供的材料自行编写目录。</w:t>
      </w:r>
    </w:p>
    <w:p w14:paraId="1FFDA9DB">
      <w:pPr>
        <w:snapToGrid w:val="0"/>
        <w:spacing w:before="120" w:beforeLines="50" w:after="50"/>
        <w:rPr>
          <w:rFonts w:hint="eastAsia" w:ascii="宋体" w:hAnsi="宋体"/>
          <w:b/>
          <w:color w:val="000000" w:themeColor="text1"/>
          <w:sz w:val="24"/>
          <w:highlight w:val="none"/>
          <w14:textFill>
            <w14:solidFill>
              <w14:schemeClr w14:val="tx1"/>
            </w14:solidFill>
          </w14:textFill>
        </w:rPr>
      </w:pPr>
    </w:p>
    <w:p w14:paraId="2853EB28">
      <w:pPr>
        <w:snapToGrid w:val="0"/>
        <w:spacing w:before="120" w:beforeLines="50" w:after="50"/>
        <w:rPr>
          <w:rFonts w:hint="eastAsia" w:ascii="宋体" w:hAnsi="宋体"/>
          <w:b/>
          <w:color w:val="000000" w:themeColor="text1"/>
          <w:sz w:val="24"/>
          <w:highlight w:val="none"/>
          <w14:textFill>
            <w14:solidFill>
              <w14:schemeClr w14:val="tx1"/>
            </w14:solidFill>
          </w14:textFill>
        </w:rPr>
      </w:pPr>
    </w:p>
    <w:p w14:paraId="640CF80F">
      <w:pPr>
        <w:snapToGrid w:val="0"/>
        <w:spacing w:before="120" w:beforeLines="50" w:after="50"/>
        <w:rPr>
          <w:rFonts w:hint="eastAsia" w:ascii="宋体" w:hAnsi="宋体"/>
          <w:b/>
          <w:color w:val="000000" w:themeColor="text1"/>
          <w:sz w:val="24"/>
          <w:highlight w:val="none"/>
          <w14:textFill>
            <w14:solidFill>
              <w14:schemeClr w14:val="tx1"/>
            </w14:solidFill>
          </w14:textFill>
        </w:rPr>
      </w:pPr>
    </w:p>
    <w:p w14:paraId="7DD449CE">
      <w:pPr>
        <w:snapToGrid w:val="0"/>
        <w:spacing w:before="120" w:beforeLines="50" w:after="50"/>
        <w:ind w:left="142"/>
        <w:jc w:val="left"/>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3. 投标函格式：</w:t>
      </w:r>
    </w:p>
    <w:p w14:paraId="71EE35BF">
      <w:pPr>
        <w:snapToGrid w:val="0"/>
        <w:spacing w:before="120" w:beforeLines="50" w:after="50" w:line="360" w:lineRule="auto"/>
        <w:jc w:val="cente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投 标 函</w:t>
      </w:r>
    </w:p>
    <w:p w14:paraId="68E22CA8">
      <w:pPr>
        <w:snapToGrid w:val="0"/>
        <w:spacing w:before="120" w:beforeLines="50" w:after="50" w:line="320" w:lineRule="exact"/>
        <w:rPr>
          <w:rFonts w:hint="eastAsia" w:ascii="宋体" w:hAnsi="宋体"/>
          <w:b/>
          <w:color w:val="000000" w:themeColor="text1"/>
          <w:sz w:val="32"/>
          <w:szCs w:val="32"/>
          <w:highlight w:val="none"/>
          <w14:textFill>
            <w14:solidFill>
              <w14:schemeClr w14:val="tx1"/>
            </w14:solidFill>
          </w14:textFill>
        </w:rPr>
      </w:pPr>
    </w:p>
    <w:p w14:paraId="39C94AF9">
      <w:pPr>
        <w:spacing w:line="360" w:lineRule="auto"/>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致：</w:t>
      </w:r>
      <w:r>
        <w:rPr>
          <w:rFonts w:hint="eastAsia" w:ascii="宋体" w:hAnsi="宋体"/>
          <w:color w:val="000000" w:themeColor="text1"/>
          <w:sz w:val="24"/>
          <w:highlight w:val="none"/>
          <w:u w:val="single"/>
          <w14:textFill>
            <w14:solidFill>
              <w14:schemeClr w14:val="tx1"/>
            </w14:solidFill>
          </w14:textFill>
        </w:rPr>
        <w:t>采购人名称</w:t>
      </w:r>
      <w:r>
        <w:rPr>
          <w:rFonts w:hint="eastAsia" w:ascii="宋体" w:hAnsi="宋体"/>
          <w:color w:val="000000" w:themeColor="text1"/>
          <w:sz w:val="24"/>
          <w:highlight w:val="none"/>
          <w14:textFill>
            <w14:solidFill>
              <w14:schemeClr w14:val="tx1"/>
            </w14:solidFill>
          </w14:textFill>
        </w:rPr>
        <w:t>：</w:t>
      </w:r>
    </w:p>
    <w:p w14:paraId="35ED0322">
      <w:pPr>
        <w:spacing w:line="360" w:lineRule="auto"/>
        <w:ind w:firstLine="480"/>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根据贵方</w:t>
      </w:r>
      <w:r>
        <w:rPr>
          <w:rFonts w:hint="eastAsia" w:ascii="宋体" w:hAnsi="宋体"/>
          <w:color w:val="000000" w:themeColor="text1"/>
          <w:sz w:val="24"/>
          <w:highlight w:val="none"/>
          <w:u w:val="single"/>
          <w14:textFill>
            <w14:solidFill>
              <w14:schemeClr w14:val="tx1"/>
            </w14:solidFill>
          </w14:textFill>
        </w:rPr>
        <w:t xml:space="preserve"> 项目名称</w:t>
      </w:r>
      <w:r>
        <w:rPr>
          <w:rFonts w:hint="eastAsia" w:ascii="宋体" w:hAnsi="宋体"/>
          <w:color w:val="000000" w:themeColor="text1"/>
          <w:sz w:val="24"/>
          <w:highlight w:val="none"/>
          <w14:textFill>
            <w14:solidFill>
              <w14:schemeClr w14:val="tx1"/>
            </w14:solidFill>
          </w14:textFill>
        </w:rPr>
        <w:t>（项目编号：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）的招标文件，签字代表______</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（姓名）经正式授权并代表投标人</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（投标人名称）提交投标文件。</w:t>
      </w:r>
    </w:p>
    <w:p w14:paraId="7ADF8DFC">
      <w:pPr>
        <w:spacing w:line="360" w:lineRule="auto"/>
        <w:ind w:firstLine="480" w:firstLineChars="200"/>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据此函，我方宣布同意如下：</w:t>
      </w:r>
    </w:p>
    <w:p w14:paraId="0A628FC6">
      <w:pPr>
        <w:spacing w:line="360" w:lineRule="auto"/>
        <w:ind w:firstLine="480" w:firstLineChars="200"/>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1.我方已详细审查全部“招标文件”，包括修改文件（如有的话）以及全部参考资料和有关附件，已经了解我方对于招标文件、采购过程、采购结果有依法进行询问、质疑、投诉的权利及相关渠道和要求。</w:t>
      </w:r>
    </w:p>
    <w:p w14:paraId="5BFA71F5">
      <w:pPr>
        <w:spacing w:line="360" w:lineRule="auto"/>
        <w:ind w:firstLine="480" w:firstLineChars="200"/>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2.我方在投标之前已经完全理解并接受招标文件的各项规定和要求，对招标文件的合理性、合法性不再有异议。</w:t>
      </w:r>
    </w:p>
    <w:p w14:paraId="7B68EE00">
      <w:pPr>
        <w:spacing w:line="360" w:lineRule="auto"/>
        <w:ind w:firstLine="480" w:firstLineChars="200"/>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3.本投标有效期自投标截止之日起</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14:paraId="77F3A708">
      <w:pPr>
        <w:spacing w:line="360" w:lineRule="auto"/>
        <w:ind w:firstLine="480" w:firstLineChars="200"/>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4.如中标，本投标文件至本项目合同履行完毕止均保持有效，我方将按“招标文件”及政府采购法律、法规的规定履行合同责任和义务。</w:t>
      </w:r>
    </w:p>
    <w:p w14:paraId="5227907E">
      <w:pPr>
        <w:spacing w:line="360" w:lineRule="auto"/>
        <w:ind w:firstLine="480" w:firstLineChars="200"/>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5.我方同意按照贵方要求提供与投标有关的一切数据或者资料。</w:t>
      </w:r>
    </w:p>
    <w:p w14:paraId="35BB57A8">
      <w:pPr>
        <w:spacing w:line="360" w:lineRule="auto"/>
        <w:ind w:firstLine="480" w:firstLineChars="200"/>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6.我方向贵方提交的所有投标文件、资料都是准确的和真实的。</w:t>
      </w:r>
    </w:p>
    <w:p w14:paraId="2F7BE365">
      <w:pPr>
        <w:spacing w:line="360" w:lineRule="auto"/>
        <w:ind w:firstLine="480" w:firstLineChars="200"/>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7.以上事项如有虚假或者隐瞒，我方愿意承担一切后果，并不再寻求任何旨在减轻或者免除法律责任的辩解。</w:t>
      </w:r>
    </w:p>
    <w:p w14:paraId="463BE35D">
      <w:pPr>
        <w:spacing w:line="360" w:lineRule="auto"/>
        <w:ind w:firstLine="480" w:firstLineChars="200"/>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8.根据</w:t>
      </w:r>
      <w:r>
        <w:rPr>
          <w:rFonts w:ascii="宋体" w:hAnsi="宋体"/>
          <w:color w:val="000000" w:themeColor="text1"/>
          <w:sz w:val="24"/>
          <w:highlight w:val="none"/>
          <w14:textFill>
            <w14:solidFill>
              <w14:schemeClr w14:val="tx1"/>
            </w14:solidFill>
          </w14:textFill>
        </w:rPr>
        <w:t>《中华人民共和国政府采购法实施条例》第五十条要求对政府采购合同进行公告</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但政府采购合同中涉及国家秘密、商业秘密的内容除外。</w:t>
      </w:r>
      <w:r>
        <w:rPr>
          <w:rFonts w:hint="eastAsia" w:ascii="宋体" w:hAnsi="宋体"/>
          <w:color w:val="000000" w:themeColor="text1"/>
          <w:sz w:val="24"/>
          <w:highlight w:val="none"/>
          <w14:textFill>
            <w14:solidFill>
              <w14:schemeClr w14:val="tx1"/>
            </w14:solidFill>
          </w14:textFill>
        </w:rPr>
        <w:t>我方就对本次投标文件进行注明如下：（两项内容中必须选择一项）</w:t>
      </w:r>
    </w:p>
    <w:p w14:paraId="3CF072B1">
      <w:pPr>
        <w:spacing w:line="360" w:lineRule="auto"/>
        <w:ind w:firstLine="480" w:firstLineChars="200"/>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□我方本次投标文件</w:t>
      </w:r>
      <w:r>
        <w:rPr>
          <w:rFonts w:ascii="宋体" w:hAnsi="宋体" w:cs="宋体"/>
          <w:color w:val="000000" w:themeColor="text1"/>
          <w:kern w:val="0"/>
          <w:sz w:val="24"/>
          <w:highlight w:val="none"/>
          <w14:textFill>
            <w14:solidFill>
              <w14:schemeClr w14:val="tx1"/>
            </w14:solidFill>
          </w14:textFill>
        </w:rPr>
        <w:t>内容中</w:t>
      </w:r>
      <w:r>
        <w:rPr>
          <w:rFonts w:hint="eastAsia" w:ascii="宋体" w:hAnsi="宋体"/>
          <w:color w:val="000000" w:themeColor="text1"/>
          <w:sz w:val="24"/>
          <w:highlight w:val="none"/>
          <w14:textFill>
            <w14:solidFill>
              <w14:schemeClr w14:val="tx1"/>
            </w14:solidFill>
          </w14:textFill>
        </w:rPr>
        <w:t>未</w:t>
      </w:r>
      <w:r>
        <w:rPr>
          <w:rFonts w:ascii="宋体" w:hAnsi="宋体" w:cs="宋体"/>
          <w:color w:val="000000" w:themeColor="text1"/>
          <w:kern w:val="0"/>
          <w:sz w:val="24"/>
          <w:highlight w:val="none"/>
          <w14:textFill>
            <w14:solidFill>
              <w14:schemeClr w14:val="tx1"/>
            </w14:solidFill>
          </w14:textFill>
        </w:rPr>
        <w:t>涉及商业秘密</w:t>
      </w:r>
      <w:r>
        <w:rPr>
          <w:rFonts w:hint="eastAsia" w:ascii="宋体" w:hAnsi="宋体" w:cs="宋体"/>
          <w:color w:val="000000" w:themeColor="text1"/>
          <w:kern w:val="0"/>
          <w:sz w:val="24"/>
          <w:highlight w:val="none"/>
          <w14:textFill>
            <w14:solidFill>
              <w14:schemeClr w14:val="tx1"/>
            </w14:solidFill>
          </w14:textFill>
        </w:rPr>
        <w:t>；</w:t>
      </w:r>
    </w:p>
    <w:p w14:paraId="2FE30298">
      <w:pPr>
        <w:spacing w:line="360" w:lineRule="auto"/>
        <w:ind w:firstLine="480" w:firstLineChars="200"/>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□我方本次投标文件</w:t>
      </w:r>
      <w:r>
        <w:rPr>
          <w:rFonts w:ascii="宋体" w:hAnsi="宋体" w:cs="宋体"/>
          <w:color w:val="000000" w:themeColor="text1"/>
          <w:kern w:val="0"/>
          <w:sz w:val="24"/>
          <w:highlight w:val="none"/>
          <w14:textFill>
            <w14:solidFill>
              <w14:schemeClr w14:val="tx1"/>
            </w14:solidFill>
          </w14:textFill>
        </w:rPr>
        <w:t>涉及商业秘密</w:t>
      </w:r>
      <w:r>
        <w:rPr>
          <w:rFonts w:hint="eastAsia" w:ascii="宋体" w:hAnsi="宋体" w:cs="宋体"/>
          <w:color w:val="000000" w:themeColor="text1"/>
          <w:kern w:val="0"/>
          <w:sz w:val="24"/>
          <w:highlight w:val="none"/>
          <w14:textFill>
            <w14:solidFill>
              <w14:schemeClr w14:val="tx1"/>
            </w14:solidFill>
          </w14:textFill>
        </w:rPr>
        <w:t>的</w:t>
      </w:r>
      <w:r>
        <w:rPr>
          <w:rFonts w:ascii="宋体" w:hAnsi="宋体" w:cs="宋体"/>
          <w:color w:val="000000" w:themeColor="text1"/>
          <w:kern w:val="0"/>
          <w:sz w:val="24"/>
          <w:highlight w:val="none"/>
          <w14:textFill>
            <w14:solidFill>
              <w14:schemeClr w14:val="tx1"/>
            </w14:solidFill>
          </w14:textFill>
        </w:rPr>
        <w:t>内容</w:t>
      </w:r>
      <w:r>
        <w:rPr>
          <w:rFonts w:hint="eastAsia" w:ascii="宋体" w:hAnsi="宋体" w:cs="宋体"/>
          <w:color w:val="000000" w:themeColor="text1"/>
          <w:kern w:val="0"/>
          <w:sz w:val="24"/>
          <w:highlight w:val="none"/>
          <w14:textFill>
            <w14:solidFill>
              <w14:schemeClr w14:val="tx1"/>
            </w14:solidFill>
          </w14:textFill>
        </w:rPr>
        <w:t>有：</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w:t>
      </w:r>
    </w:p>
    <w:p w14:paraId="19F39A4E">
      <w:pPr>
        <w:spacing w:line="360" w:lineRule="auto"/>
        <w:ind w:firstLine="480" w:firstLineChars="200"/>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9.与本项目有关的一切正式往来信函请寄：</w:t>
      </w:r>
    </w:p>
    <w:p w14:paraId="2E2372A6">
      <w:pPr>
        <w:spacing w:line="360" w:lineRule="auto"/>
        <w:ind w:firstLine="480" w:firstLineChars="200"/>
        <w:contextualSpacing/>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邮编：</w:t>
      </w:r>
      <w:r>
        <w:rPr>
          <w:rFonts w:hint="eastAsia" w:ascii="宋体" w:hAnsi="宋体"/>
          <w:color w:val="000000" w:themeColor="text1"/>
          <w:sz w:val="24"/>
          <w:highlight w:val="none"/>
          <w:u w:val="single"/>
          <w14:textFill>
            <w14:solidFill>
              <w14:schemeClr w14:val="tx1"/>
            </w14:solidFill>
          </w14:textFill>
        </w:rPr>
        <w:t xml:space="preserve">            </w:t>
      </w:r>
    </w:p>
    <w:p w14:paraId="3013273E">
      <w:pPr>
        <w:spacing w:line="360" w:lineRule="auto"/>
        <w:ind w:firstLine="480" w:firstLineChars="200"/>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联系人：</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电话：</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传真：</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电子邮箱：</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p>
    <w:p w14:paraId="65BD3ED1">
      <w:pPr>
        <w:spacing w:line="360" w:lineRule="auto"/>
        <w:ind w:firstLine="480" w:firstLineChars="200"/>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投标人名称：</w:t>
      </w:r>
      <w:r>
        <w:rPr>
          <w:rFonts w:hint="eastAsia" w:ascii="宋体" w:hAnsi="宋体"/>
          <w:color w:val="000000" w:themeColor="text1"/>
          <w:sz w:val="24"/>
          <w:highlight w:val="none"/>
          <w:u w:val="single"/>
          <w14:textFill>
            <w14:solidFill>
              <w14:schemeClr w14:val="tx1"/>
            </w14:solidFill>
          </w14:textFill>
        </w:rPr>
        <w:t xml:space="preserve">                </w:t>
      </w:r>
    </w:p>
    <w:p w14:paraId="477B982E">
      <w:pPr>
        <w:spacing w:line="360" w:lineRule="auto"/>
        <w:ind w:firstLine="480" w:firstLineChars="200"/>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开户银行：</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银行账号：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p>
    <w:p w14:paraId="74A8545B">
      <w:pPr>
        <w:pStyle w:val="21"/>
        <w:rPr>
          <w:rFonts w:hint="eastAsia"/>
          <w:color w:val="000000" w:themeColor="text1"/>
          <w:highlight w:val="none"/>
          <w14:textFill>
            <w14:solidFill>
              <w14:schemeClr w14:val="tx1"/>
            </w14:solidFill>
          </w14:textFill>
        </w:rPr>
      </w:pPr>
    </w:p>
    <w:p w14:paraId="09A8F55A">
      <w:pPr>
        <w:spacing w:line="360" w:lineRule="auto"/>
        <w:ind w:firstLine="480" w:firstLineChars="200"/>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法定代表人或者委托代理人（签字或者电子签名）：_______ </w:t>
      </w:r>
    </w:p>
    <w:p w14:paraId="4AB3E79E">
      <w:pPr>
        <w:pStyle w:val="27"/>
        <w:spacing w:line="360" w:lineRule="auto"/>
        <w:contextualSpacing/>
        <w:jc w:val="center"/>
        <w:rPr>
          <w:rFonts w:hint="eastAsia" w:hAnsi="宋体"/>
          <w:color w:val="000000" w:themeColor="text1"/>
          <w:sz w:val="24"/>
          <w:szCs w:val="24"/>
          <w:highlight w:val="none"/>
          <w:u w:val="single"/>
          <w14:textFill>
            <w14:solidFill>
              <w14:schemeClr w14:val="tx1"/>
            </w14:solidFill>
          </w14:textFill>
        </w:rPr>
      </w:pPr>
      <w:r>
        <w:rPr>
          <w:rFonts w:hint="eastAsia" w:hAnsi="宋体"/>
          <w:color w:val="000000" w:themeColor="text1"/>
          <w:sz w:val="24"/>
          <w:highlight w:val="none"/>
          <w14:textFill>
            <w14:solidFill>
              <w14:schemeClr w14:val="tx1"/>
            </w14:solidFill>
          </w14:textFill>
        </w:rPr>
        <w:t xml:space="preserve"> </w:t>
      </w:r>
      <w:r>
        <w:rPr>
          <w:rFonts w:hAnsi="宋体"/>
          <w:color w:val="000000" w:themeColor="text1"/>
          <w:sz w:val="24"/>
          <w:highlight w:val="none"/>
          <w14:textFill>
            <w14:solidFill>
              <w14:schemeClr w14:val="tx1"/>
            </w14:solidFill>
          </w14:textFill>
        </w:rPr>
        <w:t xml:space="preserve">                                   </w:t>
      </w:r>
      <w:r>
        <w:rPr>
          <w:rFonts w:hint="eastAsia" w:hAnsi="宋体"/>
          <w:color w:val="000000" w:themeColor="text1"/>
          <w:sz w:val="24"/>
          <w:highlight w:val="none"/>
          <w14:textFill>
            <w14:solidFill>
              <w14:schemeClr w14:val="tx1"/>
            </w14:solidFill>
          </w14:textFill>
        </w:rPr>
        <w:t>投标人名称（电子签章）：</w:t>
      </w:r>
    </w:p>
    <w:p w14:paraId="0D4BB2BB">
      <w:pPr>
        <w:pStyle w:val="27"/>
        <w:spacing w:line="360" w:lineRule="auto"/>
        <w:contextualSpacing/>
        <w:rPr>
          <w:rFonts w:hint="eastAsia" w:hAnsi="宋体"/>
          <w:color w:val="000000" w:themeColor="text1"/>
          <w:sz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                                                </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年</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月</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日</w:t>
      </w:r>
    </w:p>
    <w:p w14:paraId="5ABE36E1">
      <w:pPr>
        <w:snapToGrid w:val="0"/>
        <w:spacing w:before="120" w:beforeLines="50" w:after="50"/>
        <w:jc w:val="left"/>
        <w:rPr>
          <w:rFonts w:hint="eastAsia" w:ascii="宋体" w:hAnsi="宋体"/>
          <w:b/>
          <w:color w:val="000000" w:themeColor="text1"/>
          <w:sz w:val="24"/>
          <w:szCs w:val="20"/>
          <w:highlight w:val="none"/>
          <w14:textFill>
            <w14:solidFill>
              <w14:schemeClr w14:val="tx1"/>
            </w14:solidFill>
          </w14:textFill>
        </w:rPr>
      </w:pPr>
      <w:r>
        <w:rPr>
          <w:rFonts w:hAnsi="宋体"/>
          <w:color w:val="000000" w:themeColor="text1"/>
          <w:highlight w:val="none"/>
          <w:u w:val="singl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4. 开标一览表（货物类格式）</w:t>
      </w:r>
    </w:p>
    <w:p w14:paraId="427E79B9">
      <w:pPr>
        <w:snapToGrid w:val="0"/>
        <w:spacing w:before="50" w:after="50"/>
        <w:jc w:val="center"/>
        <w:rPr>
          <w:rFonts w:hint="eastAsia" w:ascii="宋体" w:hAnsi="宋体"/>
          <w:b/>
          <w:color w:val="000000" w:themeColor="text1"/>
          <w:sz w:val="30"/>
          <w:highlight w:val="none"/>
          <w14:textFill>
            <w14:solidFill>
              <w14:schemeClr w14:val="tx1"/>
            </w14:solidFill>
          </w14:textFill>
        </w:rPr>
      </w:pPr>
      <w:r>
        <w:rPr>
          <w:rFonts w:hint="eastAsia" w:ascii="宋体" w:hAnsi="宋体"/>
          <w:b/>
          <w:color w:val="000000" w:themeColor="text1"/>
          <w:sz w:val="30"/>
          <w:highlight w:val="none"/>
          <w14:textFill>
            <w14:solidFill>
              <w14:schemeClr w14:val="tx1"/>
            </w14:solidFill>
          </w14:textFill>
        </w:rPr>
        <w:t>开标一览表</w:t>
      </w:r>
    </w:p>
    <w:p w14:paraId="47C7D5CB">
      <w:pPr>
        <w:snapToGrid w:val="0"/>
        <w:spacing w:before="50" w:after="50"/>
        <w:jc w:val="center"/>
        <w:rPr>
          <w:rFonts w:hint="eastAsia" w:ascii="宋体" w:hAnsi="宋体"/>
          <w:b/>
          <w:color w:val="000000" w:themeColor="text1"/>
          <w:sz w:val="30"/>
          <w:szCs w:val="20"/>
          <w:highlight w:val="none"/>
          <w14:textFill>
            <w14:solidFill>
              <w14:schemeClr w14:val="tx1"/>
            </w14:solidFill>
          </w14:textFill>
        </w:rPr>
      </w:pPr>
    </w:p>
    <w:p w14:paraId="44EF0A0B">
      <w:pPr>
        <w:snapToGrid w:val="0"/>
        <w:spacing w:before="50" w:after="50" w:line="360" w:lineRule="auto"/>
        <w:rPr>
          <w:rFonts w:ascii="宋体" w:hAnsi="宋体"/>
          <w:color w:val="000000" w:themeColor="text1"/>
          <w:sz w:val="24"/>
          <w:highlight w:val="none"/>
          <w:u w:val="single"/>
          <w14:textFill>
            <w14:solidFill>
              <w14:schemeClr w14:val="tx1"/>
            </w14:solidFill>
          </w14:textFill>
        </w:rPr>
      </w:pPr>
      <w:bookmarkStart w:id="153" w:name="_Toc19686837"/>
      <w:r>
        <w:rPr>
          <w:rFonts w:hint="eastAsia" w:ascii="宋体" w:hAnsi="宋体"/>
          <w:color w:val="000000" w:themeColor="text1"/>
          <w:sz w:val="24"/>
          <w:highlight w:val="none"/>
          <w14:textFill>
            <w14:solidFill>
              <w14:schemeClr w14:val="tx1"/>
            </w14:solidFill>
          </w14:textFill>
        </w:rPr>
        <w:t>项目名称：</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项目编号：       </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分标：</w:t>
      </w:r>
    </w:p>
    <w:p w14:paraId="78869AC2">
      <w:pPr>
        <w:snapToGrid w:val="0"/>
        <w:spacing w:before="50" w:after="50"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投标人名称：                       单位：元</w:t>
      </w:r>
    </w:p>
    <w:tbl>
      <w:tblPr>
        <w:tblStyle w:val="48"/>
        <w:tblW w:w="5662"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6"/>
        <w:gridCol w:w="1180"/>
        <w:gridCol w:w="696"/>
        <w:gridCol w:w="1180"/>
        <w:gridCol w:w="724"/>
        <w:gridCol w:w="949"/>
        <w:gridCol w:w="971"/>
        <w:gridCol w:w="2247"/>
        <w:gridCol w:w="1233"/>
      </w:tblGrid>
      <w:tr w14:paraId="5FDD60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352" w:type="pct"/>
            <w:tcBorders>
              <w:top w:val="single" w:color="auto" w:sz="4" w:space="0"/>
              <w:left w:val="single" w:color="auto" w:sz="4" w:space="0"/>
              <w:bottom w:val="single" w:color="auto" w:sz="4" w:space="0"/>
              <w:right w:val="single" w:color="auto" w:sz="4" w:space="0"/>
            </w:tcBorders>
            <w:noWrap/>
            <w:vAlign w:val="center"/>
          </w:tcPr>
          <w:p w14:paraId="7FA76306">
            <w:pPr>
              <w:snapToGrid w:val="0"/>
              <w:spacing w:before="50" w:after="50"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序号</w:t>
            </w:r>
          </w:p>
        </w:tc>
        <w:tc>
          <w:tcPr>
            <w:tcW w:w="597" w:type="pct"/>
            <w:tcBorders>
              <w:top w:val="single" w:color="auto" w:sz="4" w:space="0"/>
              <w:left w:val="single" w:color="auto" w:sz="4" w:space="0"/>
              <w:bottom w:val="single" w:color="auto" w:sz="4" w:space="0"/>
              <w:right w:val="single" w:color="auto" w:sz="4" w:space="0"/>
            </w:tcBorders>
            <w:noWrap/>
            <w:vAlign w:val="center"/>
          </w:tcPr>
          <w:p w14:paraId="224C34CE">
            <w:pPr>
              <w:snapToGrid w:val="0"/>
              <w:spacing w:before="50" w:after="50"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标的名称</w:t>
            </w:r>
          </w:p>
        </w:tc>
        <w:tc>
          <w:tcPr>
            <w:tcW w:w="352" w:type="pct"/>
            <w:tcBorders>
              <w:top w:val="single" w:color="auto" w:sz="4" w:space="0"/>
              <w:left w:val="single" w:color="auto" w:sz="4" w:space="0"/>
              <w:bottom w:val="single" w:color="auto" w:sz="4" w:space="0"/>
              <w:right w:val="single" w:color="auto" w:sz="4" w:space="0"/>
            </w:tcBorders>
            <w:noWrap/>
            <w:vAlign w:val="center"/>
          </w:tcPr>
          <w:p w14:paraId="6AA223C7">
            <w:pPr>
              <w:snapToGrid w:val="0"/>
              <w:spacing w:before="50" w:after="50"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品牌</w:t>
            </w:r>
          </w:p>
        </w:tc>
        <w:tc>
          <w:tcPr>
            <w:tcW w:w="597" w:type="pct"/>
            <w:tcBorders>
              <w:top w:val="single" w:color="auto" w:sz="4" w:space="0"/>
              <w:left w:val="single" w:color="auto" w:sz="4" w:space="0"/>
              <w:bottom w:val="single" w:color="auto" w:sz="4" w:space="0"/>
              <w:right w:val="single" w:color="auto" w:sz="4" w:space="0"/>
            </w:tcBorders>
            <w:noWrap/>
            <w:vAlign w:val="center"/>
          </w:tcPr>
          <w:p w14:paraId="67791572">
            <w:pPr>
              <w:snapToGrid w:val="0"/>
              <w:spacing w:before="50" w:after="50"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规格型号</w:t>
            </w:r>
          </w:p>
        </w:tc>
        <w:tc>
          <w:tcPr>
            <w:tcW w:w="366" w:type="pct"/>
            <w:tcBorders>
              <w:top w:val="single" w:color="auto" w:sz="4" w:space="0"/>
              <w:left w:val="single" w:color="auto" w:sz="4" w:space="0"/>
              <w:bottom w:val="single" w:color="auto" w:sz="4" w:space="0"/>
              <w:right w:val="single" w:color="auto" w:sz="4" w:space="0"/>
            </w:tcBorders>
            <w:noWrap/>
            <w:vAlign w:val="center"/>
          </w:tcPr>
          <w:p w14:paraId="7D7218FD">
            <w:pPr>
              <w:snapToGrid w:val="0"/>
              <w:spacing w:before="50" w:after="50"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数量及单位①</w:t>
            </w:r>
          </w:p>
        </w:tc>
        <w:tc>
          <w:tcPr>
            <w:tcW w:w="480" w:type="pct"/>
            <w:tcBorders>
              <w:top w:val="single" w:color="auto" w:sz="4" w:space="0"/>
              <w:left w:val="single" w:color="auto" w:sz="4" w:space="0"/>
              <w:bottom w:val="single" w:color="auto" w:sz="4" w:space="0"/>
              <w:right w:val="single" w:color="auto" w:sz="4" w:space="0"/>
            </w:tcBorders>
            <w:noWrap/>
            <w:vAlign w:val="center"/>
          </w:tcPr>
          <w:p w14:paraId="0569A7D3">
            <w:pPr>
              <w:snapToGrid w:val="0"/>
              <w:spacing w:before="50" w:after="50"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单价</w:t>
            </w:r>
          </w:p>
          <w:p w14:paraId="213C1BF3">
            <w:pPr>
              <w:snapToGrid w:val="0"/>
              <w:spacing w:before="50" w:after="50"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②</w:t>
            </w:r>
          </w:p>
        </w:tc>
        <w:tc>
          <w:tcPr>
            <w:tcW w:w="491" w:type="pct"/>
            <w:tcBorders>
              <w:top w:val="single" w:color="auto" w:sz="4" w:space="0"/>
              <w:left w:val="single" w:color="auto" w:sz="4" w:space="0"/>
              <w:bottom w:val="single" w:color="auto" w:sz="4" w:space="0"/>
              <w:right w:val="single" w:color="auto" w:sz="4" w:space="0"/>
            </w:tcBorders>
            <w:noWrap/>
            <w:vAlign w:val="center"/>
          </w:tcPr>
          <w:p w14:paraId="7B16D3FB">
            <w:pPr>
              <w:snapToGrid w:val="0"/>
              <w:spacing w:before="50" w:after="50"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投标报价</w:t>
            </w:r>
          </w:p>
          <w:p w14:paraId="232EA97E">
            <w:pPr>
              <w:snapToGrid w:val="0"/>
              <w:spacing w:before="50" w:after="50" w:line="360" w:lineRule="auto"/>
              <w:jc w:val="center"/>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③</w:t>
            </w:r>
            <w:r>
              <w:rPr>
                <w:rFonts w:hint="eastAsia" w:ascii="宋体" w:hAnsi="宋体"/>
                <w:b/>
                <w:color w:val="000000" w:themeColor="text1"/>
                <w:sz w:val="24"/>
                <w:highlight w:val="none"/>
                <w14:textFill>
                  <w14:solidFill>
                    <w14:schemeClr w14:val="tx1"/>
                  </w14:solidFill>
                </w14:textFill>
              </w:rPr>
              <w:t>=①×②</w:t>
            </w:r>
          </w:p>
        </w:tc>
        <w:tc>
          <w:tcPr>
            <w:tcW w:w="1137" w:type="pct"/>
            <w:tcBorders>
              <w:top w:val="single" w:color="auto" w:sz="4" w:space="0"/>
              <w:left w:val="single" w:color="auto" w:sz="4" w:space="0"/>
              <w:bottom w:val="single" w:color="auto" w:sz="4" w:space="0"/>
              <w:right w:val="single" w:color="auto" w:sz="4" w:space="0"/>
            </w:tcBorders>
            <w:noWrap/>
          </w:tcPr>
          <w:p w14:paraId="23724A67">
            <w:pPr>
              <w:snapToGrid w:val="0"/>
              <w:spacing w:before="50" w:after="50"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医疗器械产品注册证名称及编号（非医疗设备可不填，用“/”表示）</w:t>
            </w:r>
          </w:p>
        </w:tc>
        <w:tc>
          <w:tcPr>
            <w:tcW w:w="624" w:type="pct"/>
            <w:tcBorders>
              <w:top w:val="single" w:color="auto" w:sz="4" w:space="0"/>
              <w:left w:val="single" w:color="auto" w:sz="4" w:space="0"/>
              <w:bottom w:val="single" w:color="auto" w:sz="4" w:space="0"/>
              <w:right w:val="single" w:color="auto" w:sz="4" w:space="0"/>
            </w:tcBorders>
            <w:noWrap/>
            <w:vAlign w:val="center"/>
          </w:tcPr>
          <w:p w14:paraId="6297B451">
            <w:pPr>
              <w:snapToGrid w:val="0"/>
              <w:spacing w:before="50" w:after="50"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产品合格证名称</w:t>
            </w:r>
          </w:p>
        </w:tc>
      </w:tr>
      <w:tr w14:paraId="1B687D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352" w:type="pct"/>
            <w:tcBorders>
              <w:top w:val="single" w:color="auto" w:sz="4" w:space="0"/>
              <w:left w:val="single" w:color="auto" w:sz="4" w:space="0"/>
              <w:bottom w:val="single" w:color="auto" w:sz="4" w:space="0"/>
              <w:right w:val="single" w:color="auto" w:sz="4" w:space="0"/>
            </w:tcBorders>
            <w:noWrap/>
            <w:vAlign w:val="center"/>
          </w:tcPr>
          <w:p w14:paraId="162A2EC3">
            <w:pPr>
              <w:snapToGrid w:val="0"/>
              <w:spacing w:before="50" w:after="50"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1</w:t>
            </w:r>
          </w:p>
        </w:tc>
        <w:tc>
          <w:tcPr>
            <w:tcW w:w="597" w:type="pct"/>
            <w:tcBorders>
              <w:top w:val="single" w:color="auto" w:sz="4" w:space="0"/>
              <w:left w:val="single" w:color="auto" w:sz="4" w:space="0"/>
              <w:bottom w:val="single" w:color="auto" w:sz="4" w:space="0"/>
              <w:right w:val="single" w:color="auto" w:sz="4" w:space="0"/>
            </w:tcBorders>
            <w:noWrap/>
            <w:vAlign w:val="center"/>
          </w:tcPr>
          <w:p w14:paraId="5D3CDACA">
            <w:pPr>
              <w:snapToGrid w:val="0"/>
              <w:spacing w:before="50" w:after="50" w:line="360" w:lineRule="auto"/>
              <w:jc w:val="center"/>
              <w:rPr>
                <w:rFonts w:ascii="宋体" w:hAnsi="宋体"/>
                <w:color w:val="000000" w:themeColor="text1"/>
                <w:sz w:val="24"/>
                <w:highlight w:val="none"/>
                <w14:textFill>
                  <w14:solidFill>
                    <w14:schemeClr w14:val="tx1"/>
                  </w14:solidFill>
                </w14:textFill>
              </w:rPr>
            </w:pPr>
          </w:p>
        </w:tc>
        <w:tc>
          <w:tcPr>
            <w:tcW w:w="352" w:type="pct"/>
            <w:tcBorders>
              <w:top w:val="single" w:color="auto" w:sz="4" w:space="0"/>
              <w:left w:val="single" w:color="auto" w:sz="4" w:space="0"/>
              <w:bottom w:val="single" w:color="auto" w:sz="4" w:space="0"/>
              <w:right w:val="single" w:color="auto" w:sz="4" w:space="0"/>
            </w:tcBorders>
            <w:noWrap/>
            <w:vAlign w:val="center"/>
          </w:tcPr>
          <w:p w14:paraId="7AA69F99">
            <w:pPr>
              <w:snapToGrid w:val="0"/>
              <w:spacing w:before="50" w:after="50" w:line="360" w:lineRule="auto"/>
              <w:rPr>
                <w:rFonts w:ascii="宋体" w:hAnsi="宋体"/>
                <w:color w:val="000000" w:themeColor="text1"/>
                <w:sz w:val="24"/>
                <w:highlight w:val="none"/>
                <w14:textFill>
                  <w14:solidFill>
                    <w14:schemeClr w14:val="tx1"/>
                  </w14:solidFill>
                </w14:textFill>
              </w:rPr>
            </w:pPr>
          </w:p>
        </w:tc>
        <w:tc>
          <w:tcPr>
            <w:tcW w:w="597" w:type="pct"/>
            <w:tcBorders>
              <w:top w:val="single" w:color="auto" w:sz="4" w:space="0"/>
              <w:left w:val="single" w:color="auto" w:sz="4" w:space="0"/>
              <w:bottom w:val="single" w:color="auto" w:sz="4" w:space="0"/>
              <w:right w:val="single" w:color="auto" w:sz="4" w:space="0"/>
            </w:tcBorders>
            <w:noWrap/>
          </w:tcPr>
          <w:p w14:paraId="611AF492">
            <w:pPr>
              <w:snapToGrid w:val="0"/>
              <w:spacing w:before="50" w:after="50" w:line="360" w:lineRule="auto"/>
              <w:rPr>
                <w:rFonts w:ascii="宋体" w:hAnsi="宋体"/>
                <w:color w:val="000000" w:themeColor="text1"/>
                <w:sz w:val="24"/>
                <w:highlight w:val="none"/>
                <w14:textFill>
                  <w14:solidFill>
                    <w14:schemeClr w14:val="tx1"/>
                  </w14:solidFill>
                </w14:textFill>
              </w:rPr>
            </w:pPr>
          </w:p>
        </w:tc>
        <w:tc>
          <w:tcPr>
            <w:tcW w:w="366" w:type="pct"/>
            <w:tcBorders>
              <w:top w:val="single" w:color="auto" w:sz="4" w:space="0"/>
              <w:left w:val="single" w:color="auto" w:sz="4" w:space="0"/>
              <w:bottom w:val="single" w:color="auto" w:sz="4" w:space="0"/>
              <w:right w:val="single" w:color="auto" w:sz="4" w:space="0"/>
            </w:tcBorders>
            <w:noWrap/>
            <w:vAlign w:val="center"/>
          </w:tcPr>
          <w:p w14:paraId="54142767">
            <w:pPr>
              <w:snapToGrid w:val="0"/>
              <w:spacing w:before="50" w:after="50" w:line="360" w:lineRule="auto"/>
              <w:rPr>
                <w:rFonts w:ascii="宋体" w:hAnsi="宋体"/>
                <w:color w:val="000000" w:themeColor="text1"/>
                <w:sz w:val="24"/>
                <w:highlight w:val="none"/>
                <w14:textFill>
                  <w14:solidFill>
                    <w14:schemeClr w14:val="tx1"/>
                  </w14:solidFill>
                </w14:textFill>
              </w:rPr>
            </w:pPr>
          </w:p>
        </w:tc>
        <w:tc>
          <w:tcPr>
            <w:tcW w:w="480" w:type="pct"/>
            <w:tcBorders>
              <w:top w:val="single" w:color="auto" w:sz="4" w:space="0"/>
              <w:left w:val="single" w:color="auto" w:sz="4" w:space="0"/>
              <w:bottom w:val="single" w:color="auto" w:sz="4" w:space="0"/>
              <w:right w:val="single" w:color="auto" w:sz="4" w:space="0"/>
            </w:tcBorders>
            <w:noWrap/>
            <w:vAlign w:val="center"/>
          </w:tcPr>
          <w:p w14:paraId="09D612F3">
            <w:pPr>
              <w:snapToGrid w:val="0"/>
              <w:spacing w:before="50" w:after="50" w:line="360" w:lineRule="auto"/>
              <w:rPr>
                <w:rFonts w:ascii="宋体" w:hAnsi="宋体"/>
                <w:color w:val="000000" w:themeColor="text1"/>
                <w:sz w:val="24"/>
                <w:highlight w:val="none"/>
                <w14:textFill>
                  <w14:solidFill>
                    <w14:schemeClr w14:val="tx1"/>
                  </w14:solidFill>
                </w14:textFill>
              </w:rPr>
            </w:pPr>
          </w:p>
        </w:tc>
        <w:tc>
          <w:tcPr>
            <w:tcW w:w="491" w:type="pct"/>
            <w:tcBorders>
              <w:top w:val="single" w:color="auto" w:sz="4" w:space="0"/>
              <w:left w:val="single" w:color="auto" w:sz="4" w:space="0"/>
              <w:bottom w:val="single" w:color="auto" w:sz="4" w:space="0"/>
              <w:right w:val="single" w:color="auto" w:sz="4" w:space="0"/>
            </w:tcBorders>
            <w:noWrap/>
            <w:vAlign w:val="center"/>
          </w:tcPr>
          <w:p w14:paraId="2F88B039">
            <w:pPr>
              <w:snapToGrid w:val="0"/>
              <w:spacing w:before="50" w:after="50" w:line="360" w:lineRule="auto"/>
              <w:rPr>
                <w:rFonts w:ascii="宋体" w:hAnsi="宋体"/>
                <w:color w:val="000000" w:themeColor="text1"/>
                <w:sz w:val="24"/>
                <w:highlight w:val="none"/>
                <w14:textFill>
                  <w14:solidFill>
                    <w14:schemeClr w14:val="tx1"/>
                  </w14:solidFill>
                </w14:textFill>
              </w:rPr>
            </w:pPr>
          </w:p>
        </w:tc>
        <w:tc>
          <w:tcPr>
            <w:tcW w:w="1137" w:type="pct"/>
            <w:tcBorders>
              <w:top w:val="single" w:color="auto" w:sz="4" w:space="0"/>
              <w:left w:val="single" w:color="auto" w:sz="4" w:space="0"/>
              <w:bottom w:val="single" w:color="auto" w:sz="4" w:space="0"/>
              <w:right w:val="single" w:color="auto" w:sz="4" w:space="0"/>
            </w:tcBorders>
            <w:noWrap/>
          </w:tcPr>
          <w:p w14:paraId="51B19889">
            <w:pPr>
              <w:snapToGrid w:val="0"/>
              <w:spacing w:before="50" w:after="50" w:line="360" w:lineRule="auto"/>
              <w:rPr>
                <w:rFonts w:ascii="宋体" w:hAnsi="宋体"/>
                <w:color w:val="000000" w:themeColor="text1"/>
                <w:sz w:val="24"/>
                <w:highlight w:val="none"/>
                <w14:textFill>
                  <w14:solidFill>
                    <w14:schemeClr w14:val="tx1"/>
                  </w14:solidFill>
                </w14:textFill>
              </w:rPr>
            </w:pPr>
          </w:p>
        </w:tc>
        <w:tc>
          <w:tcPr>
            <w:tcW w:w="624" w:type="pct"/>
            <w:tcBorders>
              <w:top w:val="single" w:color="auto" w:sz="4" w:space="0"/>
              <w:left w:val="single" w:color="auto" w:sz="4" w:space="0"/>
              <w:bottom w:val="single" w:color="auto" w:sz="4" w:space="0"/>
              <w:right w:val="single" w:color="auto" w:sz="4" w:space="0"/>
            </w:tcBorders>
            <w:noWrap/>
          </w:tcPr>
          <w:p w14:paraId="09E4AD39">
            <w:pPr>
              <w:snapToGrid w:val="0"/>
              <w:spacing w:before="50" w:after="50" w:line="360" w:lineRule="auto"/>
              <w:rPr>
                <w:rFonts w:ascii="宋体" w:hAnsi="宋体"/>
                <w:color w:val="000000" w:themeColor="text1"/>
                <w:sz w:val="24"/>
                <w:highlight w:val="none"/>
                <w14:textFill>
                  <w14:solidFill>
                    <w14:schemeClr w14:val="tx1"/>
                  </w14:solidFill>
                </w14:textFill>
              </w:rPr>
            </w:pPr>
          </w:p>
        </w:tc>
      </w:tr>
      <w:tr w14:paraId="4DB8E9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352" w:type="pct"/>
            <w:tcBorders>
              <w:top w:val="single" w:color="auto" w:sz="4" w:space="0"/>
              <w:left w:val="single" w:color="auto" w:sz="4" w:space="0"/>
              <w:bottom w:val="single" w:color="auto" w:sz="4" w:space="0"/>
              <w:right w:val="single" w:color="auto" w:sz="4" w:space="0"/>
            </w:tcBorders>
            <w:noWrap/>
            <w:vAlign w:val="center"/>
          </w:tcPr>
          <w:p w14:paraId="03709203">
            <w:pPr>
              <w:snapToGrid w:val="0"/>
              <w:spacing w:before="50" w:after="50"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2</w:t>
            </w:r>
          </w:p>
        </w:tc>
        <w:tc>
          <w:tcPr>
            <w:tcW w:w="597" w:type="pct"/>
            <w:tcBorders>
              <w:top w:val="single" w:color="auto" w:sz="4" w:space="0"/>
              <w:left w:val="single" w:color="auto" w:sz="4" w:space="0"/>
              <w:bottom w:val="single" w:color="auto" w:sz="4" w:space="0"/>
              <w:right w:val="single" w:color="auto" w:sz="4" w:space="0"/>
            </w:tcBorders>
            <w:noWrap/>
            <w:vAlign w:val="center"/>
          </w:tcPr>
          <w:p w14:paraId="54451C24">
            <w:pPr>
              <w:snapToGrid w:val="0"/>
              <w:spacing w:before="50" w:after="50" w:line="360" w:lineRule="auto"/>
              <w:jc w:val="center"/>
              <w:rPr>
                <w:rFonts w:ascii="宋体" w:hAnsi="宋体"/>
                <w:b/>
                <w:color w:val="000000" w:themeColor="text1"/>
                <w:sz w:val="24"/>
                <w:highlight w:val="none"/>
                <w14:textFill>
                  <w14:solidFill>
                    <w14:schemeClr w14:val="tx1"/>
                  </w14:solidFill>
                </w14:textFill>
              </w:rPr>
            </w:pPr>
          </w:p>
        </w:tc>
        <w:tc>
          <w:tcPr>
            <w:tcW w:w="352" w:type="pct"/>
            <w:tcBorders>
              <w:top w:val="single" w:color="auto" w:sz="4" w:space="0"/>
              <w:left w:val="single" w:color="auto" w:sz="4" w:space="0"/>
              <w:bottom w:val="single" w:color="auto" w:sz="4" w:space="0"/>
              <w:right w:val="single" w:color="auto" w:sz="4" w:space="0"/>
            </w:tcBorders>
            <w:noWrap/>
            <w:vAlign w:val="center"/>
          </w:tcPr>
          <w:p w14:paraId="183F390E">
            <w:pPr>
              <w:snapToGrid w:val="0"/>
              <w:spacing w:before="50" w:after="50" w:line="360" w:lineRule="auto"/>
              <w:rPr>
                <w:rFonts w:ascii="宋体" w:hAnsi="宋体"/>
                <w:color w:val="000000" w:themeColor="text1"/>
                <w:sz w:val="24"/>
                <w:highlight w:val="none"/>
                <w14:textFill>
                  <w14:solidFill>
                    <w14:schemeClr w14:val="tx1"/>
                  </w14:solidFill>
                </w14:textFill>
              </w:rPr>
            </w:pPr>
          </w:p>
        </w:tc>
        <w:tc>
          <w:tcPr>
            <w:tcW w:w="597" w:type="pct"/>
            <w:tcBorders>
              <w:top w:val="single" w:color="auto" w:sz="4" w:space="0"/>
              <w:left w:val="single" w:color="auto" w:sz="4" w:space="0"/>
              <w:bottom w:val="single" w:color="auto" w:sz="4" w:space="0"/>
              <w:right w:val="single" w:color="auto" w:sz="4" w:space="0"/>
            </w:tcBorders>
            <w:noWrap/>
          </w:tcPr>
          <w:p w14:paraId="2F32D534">
            <w:pPr>
              <w:snapToGrid w:val="0"/>
              <w:spacing w:before="50" w:after="50" w:line="360" w:lineRule="auto"/>
              <w:rPr>
                <w:rFonts w:ascii="宋体" w:hAnsi="宋体"/>
                <w:color w:val="000000" w:themeColor="text1"/>
                <w:sz w:val="24"/>
                <w:highlight w:val="none"/>
                <w14:textFill>
                  <w14:solidFill>
                    <w14:schemeClr w14:val="tx1"/>
                  </w14:solidFill>
                </w14:textFill>
              </w:rPr>
            </w:pPr>
          </w:p>
        </w:tc>
        <w:tc>
          <w:tcPr>
            <w:tcW w:w="366" w:type="pct"/>
            <w:tcBorders>
              <w:top w:val="single" w:color="auto" w:sz="4" w:space="0"/>
              <w:left w:val="single" w:color="auto" w:sz="4" w:space="0"/>
              <w:bottom w:val="single" w:color="auto" w:sz="4" w:space="0"/>
              <w:right w:val="single" w:color="auto" w:sz="4" w:space="0"/>
            </w:tcBorders>
            <w:noWrap/>
            <w:vAlign w:val="center"/>
          </w:tcPr>
          <w:p w14:paraId="4E98BB92">
            <w:pPr>
              <w:snapToGrid w:val="0"/>
              <w:spacing w:before="50" w:after="50" w:line="360" w:lineRule="auto"/>
              <w:rPr>
                <w:rFonts w:ascii="宋体" w:hAnsi="宋体"/>
                <w:color w:val="000000" w:themeColor="text1"/>
                <w:sz w:val="24"/>
                <w:highlight w:val="none"/>
                <w14:textFill>
                  <w14:solidFill>
                    <w14:schemeClr w14:val="tx1"/>
                  </w14:solidFill>
                </w14:textFill>
              </w:rPr>
            </w:pPr>
          </w:p>
        </w:tc>
        <w:tc>
          <w:tcPr>
            <w:tcW w:w="480" w:type="pct"/>
            <w:tcBorders>
              <w:top w:val="single" w:color="auto" w:sz="4" w:space="0"/>
              <w:left w:val="single" w:color="auto" w:sz="4" w:space="0"/>
              <w:bottom w:val="single" w:color="auto" w:sz="4" w:space="0"/>
              <w:right w:val="single" w:color="auto" w:sz="4" w:space="0"/>
            </w:tcBorders>
            <w:noWrap/>
            <w:vAlign w:val="center"/>
          </w:tcPr>
          <w:p w14:paraId="75530962">
            <w:pPr>
              <w:snapToGrid w:val="0"/>
              <w:spacing w:before="50" w:after="50" w:line="360" w:lineRule="auto"/>
              <w:rPr>
                <w:rFonts w:ascii="宋体" w:hAnsi="宋体"/>
                <w:color w:val="000000" w:themeColor="text1"/>
                <w:sz w:val="24"/>
                <w:highlight w:val="none"/>
                <w14:textFill>
                  <w14:solidFill>
                    <w14:schemeClr w14:val="tx1"/>
                  </w14:solidFill>
                </w14:textFill>
              </w:rPr>
            </w:pPr>
          </w:p>
        </w:tc>
        <w:tc>
          <w:tcPr>
            <w:tcW w:w="491" w:type="pct"/>
            <w:tcBorders>
              <w:top w:val="single" w:color="auto" w:sz="4" w:space="0"/>
              <w:left w:val="single" w:color="auto" w:sz="4" w:space="0"/>
              <w:bottom w:val="single" w:color="auto" w:sz="4" w:space="0"/>
              <w:right w:val="single" w:color="auto" w:sz="4" w:space="0"/>
            </w:tcBorders>
            <w:noWrap/>
            <w:vAlign w:val="center"/>
          </w:tcPr>
          <w:p w14:paraId="7E336CDC">
            <w:pPr>
              <w:snapToGrid w:val="0"/>
              <w:spacing w:before="50" w:after="50" w:line="360" w:lineRule="auto"/>
              <w:rPr>
                <w:rFonts w:ascii="宋体" w:hAnsi="宋体"/>
                <w:color w:val="000000" w:themeColor="text1"/>
                <w:sz w:val="24"/>
                <w:highlight w:val="none"/>
                <w14:textFill>
                  <w14:solidFill>
                    <w14:schemeClr w14:val="tx1"/>
                  </w14:solidFill>
                </w14:textFill>
              </w:rPr>
            </w:pPr>
          </w:p>
        </w:tc>
        <w:tc>
          <w:tcPr>
            <w:tcW w:w="1137" w:type="pct"/>
            <w:tcBorders>
              <w:top w:val="single" w:color="auto" w:sz="4" w:space="0"/>
              <w:left w:val="single" w:color="auto" w:sz="4" w:space="0"/>
              <w:bottom w:val="single" w:color="auto" w:sz="4" w:space="0"/>
              <w:right w:val="single" w:color="auto" w:sz="4" w:space="0"/>
            </w:tcBorders>
            <w:noWrap/>
          </w:tcPr>
          <w:p w14:paraId="0AA27FBC">
            <w:pPr>
              <w:snapToGrid w:val="0"/>
              <w:spacing w:before="50" w:after="50" w:line="360" w:lineRule="auto"/>
              <w:rPr>
                <w:rFonts w:ascii="宋体" w:hAnsi="宋体"/>
                <w:color w:val="000000" w:themeColor="text1"/>
                <w:sz w:val="24"/>
                <w:highlight w:val="none"/>
                <w14:textFill>
                  <w14:solidFill>
                    <w14:schemeClr w14:val="tx1"/>
                  </w14:solidFill>
                </w14:textFill>
              </w:rPr>
            </w:pPr>
          </w:p>
        </w:tc>
        <w:tc>
          <w:tcPr>
            <w:tcW w:w="624" w:type="pct"/>
            <w:tcBorders>
              <w:top w:val="single" w:color="auto" w:sz="4" w:space="0"/>
              <w:left w:val="single" w:color="auto" w:sz="4" w:space="0"/>
              <w:bottom w:val="single" w:color="auto" w:sz="4" w:space="0"/>
              <w:right w:val="single" w:color="auto" w:sz="4" w:space="0"/>
            </w:tcBorders>
            <w:noWrap/>
          </w:tcPr>
          <w:p w14:paraId="7EC880C2">
            <w:pPr>
              <w:snapToGrid w:val="0"/>
              <w:spacing w:before="50" w:after="50" w:line="360" w:lineRule="auto"/>
              <w:rPr>
                <w:rFonts w:ascii="宋体" w:hAnsi="宋体"/>
                <w:color w:val="000000" w:themeColor="text1"/>
                <w:sz w:val="24"/>
                <w:highlight w:val="none"/>
                <w14:textFill>
                  <w14:solidFill>
                    <w14:schemeClr w14:val="tx1"/>
                  </w14:solidFill>
                </w14:textFill>
              </w:rPr>
            </w:pPr>
          </w:p>
        </w:tc>
      </w:tr>
      <w:tr w14:paraId="462C8F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352" w:type="pct"/>
            <w:tcBorders>
              <w:top w:val="single" w:color="auto" w:sz="4" w:space="0"/>
              <w:left w:val="single" w:color="auto" w:sz="4" w:space="0"/>
              <w:bottom w:val="single" w:color="auto" w:sz="4" w:space="0"/>
              <w:right w:val="single" w:color="auto" w:sz="4" w:space="0"/>
            </w:tcBorders>
            <w:noWrap/>
            <w:vAlign w:val="center"/>
          </w:tcPr>
          <w:p w14:paraId="41DF01B9">
            <w:pPr>
              <w:snapToGrid w:val="0"/>
              <w:spacing w:before="50" w:after="50"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w:t>
            </w:r>
          </w:p>
        </w:tc>
        <w:tc>
          <w:tcPr>
            <w:tcW w:w="597" w:type="pct"/>
            <w:tcBorders>
              <w:top w:val="single" w:color="auto" w:sz="4" w:space="0"/>
              <w:left w:val="single" w:color="auto" w:sz="4" w:space="0"/>
              <w:bottom w:val="single" w:color="auto" w:sz="4" w:space="0"/>
              <w:right w:val="single" w:color="auto" w:sz="4" w:space="0"/>
            </w:tcBorders>
            <w:noWrap/>
            <w:vAlign w:val="center"/>
          </w:tcPr>
          <w:p w14:paraId="3BE87F6E">
            <w:pPr>
              <w:snapToGrid w:val="0"/>
              <w:spacing w:before="50" w:after="50"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w:t>
            </w:r>
          </w:p>
        </w:tc>
        <w:tc>
          <w:tcPr>
            <w:tcW w:w="352" w:type="pct"/>
            <w:tcBorders>
              <w:top w:val="single" w:color="auto" w:sz="4" w:space="0"/>
              <w:left w:val="single" w:color="auto" w:sz="4" w:space="0"/>
              <w:bottom w:val="single" w:color="auto" w:sz="4" w:space="0"/>
              <w:right w:val="single" w:color="auto" w:sz="4" w:space="0"/>
            </w:tcBorders>
            <w:noWrap/>
            <w:vAlign w:val="center"/>
          </w:tcPr>
          <w:p w14:paraId="1372C628">
            <w:pPr>
              <w:snapToGrid w:val="0"/>
              <w:spacing w:before="50" w:after="50" w:line="360" w:lineRule="auto"/>
              <w:rPr>
                <w:rFonts w:ascii="宋体" w:hAnsi="宋体"/>
                <w:color w:val="000000" w:themeColor="text1"/>
                <w:sz w:val="24"/>
                <w:highlight w:val="none"/>
                <w14:textFill>
                  <w14:solidFill>
                    <w14:schemeClr w14:val="tx1"/>
                  </w14:solidFill>
                </w14:textFill>
              </w:rPr>
            </w:pPr>
          </w:p>
        </w:tc>
        <w:tc>
          <w:tcPr>
            <w:tcW w:w="597" w:type="pct"/>
            <w:tcBorders>
              <w:top w:val="single" w:color="auto" w:sz="4" w:space="0"/>
              <w:left w:val="single" w:color="auto" w:sz="4" w:space="0"/>
              <w:bottom w:val="single" w:color="auto" w:sz="4" w:space="0"/>
              <w:right w:val="single" w:color="auto" w:sz="4" w:space="0"/>
            </w:tcBorders>
            <w:noWrap/>
          </w:tcPr>
          <w:p w14:paraId="03F4399A">
            <w:pPr>
              <w:snapToGrid w:val="0"/>
              <w:spacing w:before="50" w:after="50" w:line="360" w:lineRule="auto"/>
              <w:rPr>
                <w:rFonts w:ascii="宋体" w:hAnsi="宋体"/>
                <w:color w:val="000000" w:themeColor="text1"/>
                <w:sz w:val="24"/>
                <w:highlight w:val="none"/>
                <w14:textFill>
                  <w14:solidFill>
                    <w14:schemeClr w14:val="tx1"/>
                  </w14:solidFill>
                </w14:textFill>
              </w:rPr>
            </w:pPr>
          </w:p>
        </w:tc>
        <w:tc>
          <w:tcPr>
            <w:tcW w:w="366" w:type="pct"/>
            <w:tcBorders>
              <w:top w:val="single" w:color="auto" w:sz="4" w:space="0"/>
              <w:left w:val="single" w:color="auto" w:sz="4" w:space="0"/>
              <w:bottom w:val="single" w:color="auto" w:sz="4" w:space="0"/>
              <w:right w:val="single" w:color="auto" w:sz="4" w:space="0"/>
            </w:tcBorders>
            <w:noWrap/>
            <w:vAlign w:val="center"/>
          </w:tcPr>
          <w:p w14:paraId="7302A8E4">
            <w:pPr>
              <w:snapToGrid w:val="0"/>
              <w:spacing w:before="50" w:after="50" w:line="360" w:lineRule="auto"/>
              <w:rPr>
                <w:rFonts w:ascii="宋体" w:hAnsi="宋体"/>
                <w:color w:val="000000" w:themeColor="text1"/>
                <w:sz w:val="24"/>
                <w:highlight w:val="none"/>
                <w14:textFill>
                  <w14:solidFill>
                    <w14:schemeClr w14:val="tx1"/>
                  </w14:solidFill>
                </w14:textFill>
              </w:rPr>
            </w:pPr>
          </w:p>
        </w:tc>
        <w:tc>
          <w:tcPr>
            <w:tcW w:w="480" w:type="pct"/>
            <w:tcBorders>
              <w:top w:val="single" w:color="auto" w:sz="4" w:space="0"/>
              <w:left w:val="single" w:color="auto" w:sz="4" w:space="0"/>
              <w:bottom w:val="single" w:color="auto" w:sz="4" w:space="0"/>
              <w:right w:val="single" w:color="auto" w:sz="4" w:space="0"/>
            </w:tcBorders>
            <w:noWrap/>
            <w:vAlign w:val="center"/>
          </w:tcPr>
          <w:p w14:paraId="2F4F42B3">
            <w:pPr>
              <w:snapToGrid w:val="0"/>
              <w:spacing w:before="50" w:after="50" w:line="360" w:lineRule="auto"/>
              <w:rPr>
                <w:rFonts w:ascii="宋体" w:hAnsi="宋体"/>
                <w:color w:val="000000" w:themeColor="text1"/>
                <w:sz w:val="24"/>
                <w:highlight w:val="none"/>
                <w14:textFill>
                  <w14:solidFill>
                    <w14:schemeClr w14:val="tx1"/>
                  </w14:solidFill>
                </w14:textFill>
              </w:rPr>
            </w:pPr>
          </w:p>
        </w:tc>
        <w:tc>
          <w:tcPr>
            <w:tcW w:w="491" w:type="pct"/>
            <w:tcBorders>
              <w:top w:val="single" w:color="auto" w:sz="4" w:space="0"/>
              <w:left w:val="single" w:color="auto" w:sz="4" w:space="0"/>
              <w:bottom w:val="single" w:color="auto" w:sz="4" w:space="0"/>
              <w:right w:val="single" w:color="auto" w:sz="4" w:space="0"/>
            </w:tcBorders>
            <w:noWrap/>
            <w:vAlign w:val="center"/>
          </w:tcPr>
          <w:p w14:paraId="2B255C6C">
            <w:pPr>
              <w:snapToGrid w:val="0"/>
              <w:spacing w:before="50" w:after="50" w:line="360" w:lineRule="auto"/>
              <w:rPr>
                <w:rFonts w:ascii="宋体" w:hAnsi="宋体"/>
                <w:color w:val="000000" w:themeColor="text1"/>
                <w:sz w:val="24"/>
                <w:highlight w:val="none"/>
                <w14:textFill>
                  <w14:solidFill>
                    <w14:schemeClr w14:val="tx1"/>
                  </w14:solidFill>
                </w14:textFill>
              </w:rPr>
            </w:pPr>
          </w:p>
        </w:tc>
        <w:tc>
          <w:tcPr>
            <w:tcW w:w="1137" w:type="pct"/>
            <w:tcBorders>
              <w:top w:val="single" w:color="auto" w:sz="4" w:space="0"/>
              <w:left w:val="single" w:color="auto" w:sz="4" w:space="0"/>
              <w:bottom w:val="single" w:color="auto" w:sz="4" w:space="0"/>
              <w:right w:val="single" w:color="auto" w:sz="4" w:space="0"/>
            </w:tcBorders>
            <w:noWrap/>
          </w:tcPr>
          <w:p w14:paraId="7D54265D">
            <w:pPr>
              <w:snapToGrid w:val="0"/>
              <w:spacing w:before="50" w:after="50" w:line="360" w:lineRule="auto"/>
              <w:rPr>
                <w:rFonts w:ascii="宋体" w:hAnsi="宋体"/>
                <w:color w:val="000000" w:themeColor="text1"/>
                <w:sz w:val="24"/>
                <w:highlight w:val="none"/>
                <w14:textFill>
                  <w14:solidFill>
                    <w14:schemeClr w14:val="tx1"/>
                  </w14:solidFill>
                </w14:textFill>
              </w:rPr>
            </w:pPr>
          </w:p>
        </w:tc>
        <w:tc>
          <w:tcPr>
            <w:tcW w:w="624" w:type="pct"/>
            <w:tcBorders>
              <w:top w:val="single" w:color="auto" w:sz="4" w:space="0"/>
              <w:left w:val="single" w:color="auto" w:sz="4" w:space="0"/>
              <w:bottom w:val="single" w:color="auto" w:sz="4" w:space="0"/>
              <w:right w:val="single" w:color="auto" w:sz="4" w:space="0"/>
            </w:tcBorders>
            <w:noWrap/>
          </w:tcPr>
          <w:p w14:paraId="162E50EB">
            <w:pPr>
              <w:snapToGrid w:val="0"/>
              <w:spacing w:before="50" w:after="50" w:line="360" w:lineRule="auto"/>
              <w:rPr>
                <w:rFonts w:ascii="宋体" w:hAnsi="宋体"/>
                <w:color w:val="000000" w:themeColor="text1"/>
                <w:sz w:val="24"/>
                <w:highlight w:val="none"/>
                <w14:textFill>
                  <w14:solidFill>
                    <w14:schemeClr w14:val="tx1"/>
                  </w14:solidFill>
                </w14:textFill>
              </w:rPr>
            </w:pPr>
          </w:p>
        </w:tc>
      </w:tr>
      <w:tr w14:paraId="16DDB7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5000" w:type="pct"/>
            <w:gridSpan w:val="9"/>
            <w:tcBorders>
              <w:top w:val="single" w:color="auto" w:sz="4" w:space="0"/>
              <w:left w:val="single" w:color="auto" w:sz="4" w:space="0"/>
              <w:bottom w:val="single" w:color="auto" w:sz="4" w:space="0"/>
              <w:right w:val="single" w:color="auto" w:sz="4" w:space="0"/>
            </w:tcBorders>
            <w:noWrap/>
            <w:vAlign w:val="center"/>
          </w:tcPr>
          <w:p w14:paraId="570555B0">
            <w:pPr>
              <w:snapToGrid w:val="0"/>
              <w:spacing w:before="50" w:after="50" w:line="360" w:lineRule="auto"/>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总价：大写（       ）   小写：（            ）</w:t>
            </w:r>
          </w:p>
        </w:tc>
      </w:tr>
      <w:tr w14:paraId="7EF4C1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5000" w:type="pct"/>
            <w:gridSpan w:val="9"/>
            <w:tcBorders>
              <w:top w:val="single" w:color="auto" w:sz="4" w:space="0"/>
              <w:left w:val="single" w:color="auto" w:sz="4" w:space="0"/>
              <w:bottom w:val="single" w:color="auto" w:sz="4" w:space="0"/>
              <w:right w:val="single" w:color="auto" w:sz="4" w:space="0"/>
            </w:tcBorders>
            <w:noWrap/>
            <w:vAlign w:val="center"/>
          </w:tcPr>
          <w:p w14:paraId="7A25B25C">
            <w:pPr>
              <w:snapToGrid w:val="0"/>
              <w:spacing w:before="50" w:after="50" w:line="360" w:lineRule="auto"/>
              <w:rPr>
                <w:rFonts w:ascii="宋体" w:hAnsi="宋体"/>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u w:val="single"/>
                <w14:textFill>
                  <w14:solidFill>
                    <w14:schemeClr w14:val="tx1"/>
                  </w14:solidFill>
                </w14:textFill>
              </w:rPr>
              <w:t>投标产品中，属于本国产品总值为¥       （具体明细详见附表，附表格式自拟），占投标产品报价的比例为    %。</w:t>
            </w:r>
          </w:p>
        </w:tc>
      </w:tr>
    </w:tbl>
    <w:p w14:paraId="2C2C25C0">
      <w:pPr>
        <w:snapToGrid w:val="0"/>
        <w:spacing w:line="360" w:lineRule="auto"/>
        <w:ind w:firstLine="840" w:firstLineChars="350"/>
        <w:jc w:val="left"/>
        <w:rPr>
          <w:rFonts w:ascii="宋体" w:hAnsi="宋体"/>
          <w:color w:val="000000" w:themeColor="text1"/>
          <w:sz w:val="24"/>
          <w:highlight w:val="none"/>
          <w14:textFill>
            <w14:solidFill>
              <w14:schemeClr w14:val="tx1"/>
            </w14:solidFill>
          </w14:textFill>
        </w:rPr>
      </w:pPr>
    </w:p>
    <w:p w14:paraId="0EA3FC66">
      <w:pPr>
        <w:snapToGrid w:val="0"/>
        <w:spacing w:line="360" w:lineRule="auto"/>
        <w:ind w:firstLine="840" w:firstLineChars="35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主要零配件及易耗品供货价格及质保期外零配件优惠报价表（格式自拟）</w:t>
      </w:r>
    </w:p>
    <w:tbl>
      <w:tblPr>
        <w:tblStyle w:val="48"/>
        <w:tblW w:w="5486"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03"/>
        <w:gridCol w:w="1076"/>
        <w:gridCol w:w="852"/>
        <w:gridCol w:w="852"/>
        <w:gridCol w:w="1128"/>
        <w:gridCol w:w="768"/>
        <w:gridCol w:w="1116"/>
        <w:gridCol w:w="3174"/>
      </w:tblGrid>
      <w:tr w14:paraId="47862E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315" w:type="pct"/>
            <w:tcBorders>
              <w:top w:val="single" w:color="auto" w:sz="4" w:space="0"/>
              <w:left w:val="single" w:color="auto" w:sz="4" w:space="0"/>
              <w:bottom w:val="single" w:color="auto" w:sz="4" w:space="0"/>
              <w:right w:val="single" w:color="auto" w:sz="4" w:space="0"/>
            </w:tcBorders>
            <w:noWrap/>
            <w:vAlign w:val="center"/>
          </w:tcPr>
          <w:p w14:paraId="1C7D9B2F">
            <w:pPr>
              <w:snapToGrid w:val="0"/>
              <w:spacing w:before="50" w:after="50"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序号</w:t>
            </w:r>
          </w:p>
        </w:tc>
        <w:tc>
          <w:tcPr>
            <w:tcW w:w="562" w:type="pct"/>
            <w:tcBorders>
              <w:top w:val="single" w:color="auto" w:sz="4" w:space="0"/>
              <w:left w:val="single" w:color="auto" w:sz="4" w:space="0"/>
              <w:bottom w:val="single" w:color="auto" w:sz="4" w:space="0"/>
              <w:right w:val="single" w:color="auto" w:sz="4" w:space="0"/>
            </w:tcBorders>
            <w:noWrap/>
            <w:vAlign w:val="center"/>
          </w:tcPr>
          <w:p w14:paraId="02338280">
            <w:pPr>
              <w:snapToGrid w:val="0"/>
              <w:spacing w:before="50" w:after="50"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主要零配件及易耗品名称</w:t>
            </w:r>
          </w:p>
        </w:tc>
        <w:tc>
          <w:tcPr>
            <w:tcW w:w="445" w:type="pct"/>
            <w:tcBorders>
              <w:top w:val="single" w:color="auto" w:sz="4" w:space="0"/>
              <w:left w:val="single" w:color="auto" w:sz="4" w:space="0"/>
              <w:bottom w:val="single" w:color="auto" w:sz="4" w:space="0"/>
              <w:right w:val="single" w:color="auto" w:sz="4" w:space="0"/>
            </w:tcBorders>
            <w:noWrap/>
            <w:vAlign w:val="center"/>
          </w:tcPr>
          <w:p w14:paraId="3BA55565">
            <w:pPr>
              <w:snapToGrid w:val="0"/>
              <w:spacing w:before="50" w:after="50"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品牌</w:t>
            </w:r>
          </w:p>
        </w:tc>
        <w:tc>
          <w:tcPr>
            <w:tcW w:w="445" w:type="pct"/>
            <w:tcBorders>
              <w:top w:val="single" w:color="auto" w:sz="4" w:space="0"/>
              <w:left w:val="single" w:color="auto" w:sz="4" w:space="0"/>
              <w:bottom w:val="single" w:color="auto" w:sz="4" w:space="0"/>
              <w:right w:val="single" w:color="auto" w:sz="4" w:space="0"/>
            </w:tcBorders>
            <w:noWrap/>
            <w:vAlign w:val="center"/>
          </w:tcPr>
          <w:p w14:paraId="4F7A0313">
            <w:pPr>
              <w:snapToGrid w:val="0"/>
              <w:spacing w:before="50" w:after="50"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规格型号</w:t>
            </w:r>
          </w:p>
        </w:tc>
        <w:tc>
          <w:tcPr>
            <w:tcW w:w="589" w:type="pct"/>
            <w:tcBorders>
              <w:top w:val="single" w:color="auto" w:sz="4" w:space="0"/>
              <w:left w:val="single" w:color="auto" w:sz="4" w:space="0"/>
              <w:bottom w:val="single" w:color="auto" w:sz="4" w:space="0"/>
              <w:right w:val="single" w:color="auto" w:sz="4" w:space="0"/>
            </w:tcBorders>
            <w:noWrap/>
            <w:vAlign w:val="center"/>
          </w:tcPr>
          <w:p w14:paraId="0FB91660">
            <w:pPr>
              <w:snapToGrid w:val="0"/>
              <w:spacing w:before="50" w:after="50"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数量及单位①</w:t>
            </w:r>
          </w:p>
        </w:tc>
        <w:tc>
          <w:tcPr>
            <w:tcW w:w="401" w:type="pct"/>
            <w:tcBorders>
              <w:top w:val="single" w:color="auto" w:sz="4" w:space="0"/>
              <w:left w:val="single" w:color="auto" w:sz="4" w:space="0"/>
              <w:bottom w:val="single" w:color="auto" w:sz="4" w:space="0"/>
              <w:right w:val="single" w:color="auto" w:sz="4" w:space="0"/>
            </w:tcBorders>
            <w:noWrap/>
            <w:vAlign w:val="center"/>
          </w:tcPr>
          <w:p w14:paraId="0DBFECAC">
            <w:pPr>
              <w:snapToGrid w:val="0"/>
              <w:spacing w:before="50" w:after="50"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单价（%）</w:t>
            </w:r>
          </w:p>
          <w:p w14:paraId="4A275266">
            <w:pPr>
              <w:snapToGrid w:val="0"/>
              <w:spacing w:before="50" w:after="50"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②</w:t>
            </w:r>
          </w:p>
        </w:tc>
        <w:tc>
          <w:tcPr>
            <w:tcW w:w="583" w:type="pct"/>
            <w:tcBorders>
              <w:top w:val="single" w:color="auto" w:sz="4" w:space="0"/>
              <w:left w:val="single" w:color="auto" w:sz="4" w:space="0"/>
              <w:bottom w:val="single" w:color="auto" w:sz="4" w:space="0"/>
              <w:right w:val="single" w:color="auto" w:sz="4" w:space="0"/>
            </w:tcBorders>
            <w:noWrap/>
            <w:vAlign w:val="center"/>
          </w:tcPr>
          <w:p w14:paraId="44C5C4C9">
            <w:pPr>
              <w:snapToGrid w:val="0"/>
              <w:spacing w:before="50" w:after="50"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投标报价（%）</w:t>
            </w:r>
          </w:p>
          <w:p w14:paraId="54C47124">
            <w:pPr>
              <w:snapToGrid w:val="0"/>
              <w:spacing w:before="50" w:after="50" w:line="360" w:lineRule="auto"/>
              <w:jc w:val="center"/>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③</w:t>
            </w:r>
            <w:r>
              <w:rPr>
                <w:rFonts w:hint="eastAsia" w:ascii="宋体" w:hAnsi="宋体"/>
                <w:b/>
                <w:color w:val="000000" w:themeColor="text1"/>
                <w:sz w:val="24"/>
                <w:highlight w:val="none"/>
                <w14:textFill>
                  <w14:solidFill>
                    <w14:schemeClr w14:val="tx1"/>
                  </w14:solidFill>
                </w14:textFill>
              </w:rPr>
              <w:t>=①×②</w:t>
            </w:r>
          </w:p>
        </w:tc>
        <w:tc>
          <w:tcPr>
            <w:tcW w:w="1658" w:type="pct"/>
            <w:tcBorders>
              <w:top w:val="single" w:color="auto" w:sz="4" w:space="0"/>
              <w:left w:val="single" w:color="auto" w:sz="4" w:space="0"/>
              <w:bottom w:val="single" w:color="auto" w:sz="4" w:space="0"/>
              <w:right w:val="single" w:color="auto" w:sz="4" w:space="0"/>
            </w:tcBorders>
            <w:noWrap/>
            <w:vAlign w:val="center"/>
          </w:tcPr>
          <w:p w14:paraId="1ACF811B">
            <w:pPr>
              <w:snapToGrid w:val="0"/>
              <w:spacing w:before="50" w:after="50"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医疗器械产品注册证名称及编号（非医疗设备可不填，用“/”表示）</w:t>
            </w:r>
          </w:p>
        </w:tc>
      </w:tr>
      <w:tr w14:paraId="5CC1F5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315" w:type="pct"/>
            <w:tcBorders>
              <w:top w:val="single" w:color="auto" w:sz="4" w:space="0"/>
              <w:left w:val="single" w:color="auto" w:sz="4" w:space="0"/>
              <w:bottom w:val="single" w:color="auto" w:sz="4" w:space="0"/>
              <w:right w:val="single" w:color="auto" w:sz="4" w:space="0"/>
            </w:tcBorders>
            <w:noWrap/>
            <w:vAlign w:val="center"/>
          </w:tcPr>
          <w:p w14:paraId="6B6FE032">
            <w:pPr>
              <w:snapToGrid w:val="0"/>
              <w:spacing w:before="50" w:after="50"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1</w:t>
            </w:r>
          </w:p>
        </w:tc>
        <w:tc>
          <w:tcPr>
            <w:tcW w:w="562" w:type="pct"/>
            <w:tcBorders>
              <w:top w:val="single" w:color="auto" w:sz="4" w:space="0"/>
              <w:left w:val="single" w:color="auto" w:sz="4" w:space="0"/>
              <w:bottom w:val="single" w:color="auto" w:sz="4" w:space="0"/>
              <w:right w:val="single" w:color="auto" w:sz="4" w:space="0"/>
            </w:tcBorders>
            <w:noWrap/>
            <w:vAlign w:val="center"/>
          </w:tcPr>
          <w:p w14:paraId="7D5CBB6C">
            <w:pPr>
              <w:snapToGrid w:val="0"/>
              <w:spacing w:before="50" w:after="50" w:line="360" w:lineRule="auto"/>
              <w:jc w:val="center"/>
              <w:rPr>
                <w:rFonts w:ascii="宋体" w:hAnsi="宋体"/>
                <w:color w:val="000000" w:themeColor="text1"/>
                <w:sz w:val="24"/>
                <w:highlight w:val="none"/>
                <w14:textFill>
                  <w14:solidFill>
                    <w14:schemeClr w14:val="tx1"/>
                  </w14:solidFill>
                </w14:textFill>
              </w:rPr>
            </w:pPr>
          </w:p>
        </w:tc>
        <w:tc>
          <w:tcPr>
            <w:tcW w:w="445" w:type="pct"/>
            <w:tcBorders>
              <w:top w:val="single" w:color="auto" w:sz="4" w:space="0"/>
              <w:left w:val="single" w:color="auto" w:sz="4" w:space="0"/>
              <w:bottom w:val="single" w:color="auto" w:sz="4" w:space="0"/>
              <w:right w:val="single" w:color="auto" w:sz="4" w:space="0"/>
            </w:tcBorders>
            <w:noWrap/>
            <w:vAlign w:val="center"/>
          </w:tcPr>
          <w:p w14:paraId="69FFA6AB">
            <w:pPr>
              <w:snapToGrid w:val="0"/>
              <w:spacing w:before="50" w:after="50" w:line="360" w:lineRule="auto"/>
              <w:rPr>
                <w:rFonts w:ascii="宋体" w:hAnsi="宋体"/>
                <w:color w:val="000000" w:themeColor="text1"/>
                <w:sz w:val="24"/>
                <w:highlight w:val="none"/>
                <w14:textFill>
                  <w14:solidFill>
                    <w14:schemeClr w14:val="tx1"/>
                  </w14:solidFill>
                </w14:textFill>
              </w:rPr>
            </w:pPr>
          </w:p>
        </w:tc>
        <w:tc>
          <w:tcPr>
            <w:tcW w:w="445" w:type="pct"/>
            <w:tcBorders>
              <w:top w:val="single" w:color="auto" w:sz="4" w:space="0"/>
              <w:left w:val="single" w:color="auto" w:sz="4" w:space="0"/>
              <w:bottom w:val="single" w:color="auto" w:sz="4" w:space="0"/>
              <w:right w:val="single" w:color="auto" w:sz="4" w:space="0"/>
            </w:tcBorders>
            <w:noWrap/>
          </w:tcPr>
          <w:p w14:paraId="63D380C2">
            <w:pPr>
              <w:snapToGrid w:val="0"/>
              <w:spacing w:before="50" w:after="50" w:line="360" w:lineRule="auto"/>
              <w:rPr>
                <w:rFonts w:ascii="宋体" w:hAnsi="宋体"/>
                <w:color w:val="000000" w:themeColor="text1"/>
                <w:sz w:val="24"/>
                <w:highlight w:val="none"/>
                <w14:textFill>
                  <w14:solidFill>
                    <w14:schemeClr w14:val="tx1"/>
                  </w14:solidFill>
                </w14:textFill>
              </w:rPr>
            </w:pPr>
          </w:p>
        </w:tc>
        <w:tc>
          <w:tcPr>
            <w:tcW w:w="589" w:type="pct"/>
            <w:tcBorders>
              <w:top w:val="single" w:color="auto" w:sz="4" w:space="0"/>
              <w:left w:val="single" w:color="auto" w:sz="4" w:space="0"/>
              <w:bottom w:val="single" w:color="auto" w:sz="4" w:space="0"/>
              <w:right w:val="single" w:color="auto" w:sz="4" w:space="0"/>
            </w:tcBorders>
            <w:noWrap/>
            <w:vAlign w:val="center"/>
          </w:tcPr>
          <w:p w14:paraId="40022269">
            <w:pPr>
              <w:snapToGrid w:val="0"/>
              <w:spacing w:before="50" w:after="50" w:line="360" w:lineRule="auto"/>
              <w:rPr>
                <w:rFonts w:ascii="宋体" w:hAnsi="宋体"/>
                <w:color w:val="000000" w:themeColor="text1"/>
                <w:sz w:val="24"/>
                <w:highlight w:val="none"/>
                <w14:textFill>
                  <w14:solidFill>
                    <w14:schemeClr w14:val="tx1"/>
                  </w14:solidFill>
                </w14:textFill>
              </w:rPr>
            </w:pPr>
          </w:p>
        </w:tc>
        <w:tc>
          <w:tcPr>
            <w:tcW w:w="401" w:type="pct"/>
            <w:tcBorders>
              <w:top w:val="single" w:color="auto" w:sz="4" w:space="0"/>
              <w:left w:val="single" w:color="auto" w:sz="4" w:space="0"/>
              <w:bottom w:val="single" w:color="auto" w:sz="4" w:space="0"/>
              <w:right w:val="single" w:color="auto" w:sz="4" w:space="0"/>
            </w:tcBorders>
            <w:noWrap/>
            <w:vAlign w:val="center"/>
          </w:tcPr>
          <w:p w14:paraId="6AA8469D">
            <w:pPr>
              <w:snapToGrid w:val="0"/>
              <w:spacing w:before="50" w:after="50" w:line="360" w:lineRule="auto"/>
              <w:rPr>
                <w:rFonts w:ascii="宋体" w:hAnsi="宋体"/>
                <w:color w:val="000000" w:themeColor="text1"/>
                <w:sz w:val="24"/>
                <w:highlight w:val="none"/>
                <w14:textFill>
                  <w14:solidFill>
                    <w14:schemeClr w14:val="tx1"/>
                  </w14:solidFill>
                </w14:textFill>
              </w:rPr>
            </w:pPr>
          </w:p>
        </w:tc>
        <w:tc>
          <w:tcPr>
            <w:tcW w:w="583" w:type="pct"/>
            <w:tcBorders>
              <w:top w:val="single" w:color="auto" w:sz="4" w:space="0"/>
              <w:left w:val="single" w:color="auto" w:sz="4" w:space="0"/>
              <w:bottom w:val="single" w:color="auto" w:sz="4" w:space="0"/>
              <w:right w:val="single" w:color="auto" w:sz="4" w:space="0"/>
            </w:tcBorders>
            <w:noWrap/>
            <w:vAlign w:val="center"/>
          </w:tcPr>
          <w:p w14:paraId="36A2FBD2">
            <w:pPr>
              <w:snapToGrid w:val="0"/>
              <w:spacing w:before="50" w:after="50" w:line="360" w:lineRule="auto"/>
              <w:rPr>
                <w:rFonts w:ascii="宋体" w:hAnsi="宋体"/>
                <w:color w:val="000000" w:themeColor="text1"/>
                <w:sz w:val="24"/>
                <w:highlight w:val="none"/>
                <w14:textFill>
                  <w14:solidFill>
                    <w14:schemeClr w14:val="tx1"/>
                  </w14:solidFill>
                </w14:textFill>
              </w:rPr>
            </w:pPr>
          </w:p>
        </w:tc>
        <w:tc>
          <w:tcPr>
            <w:tcW w:w="1658" w:type="pct"/>
            <w:tcBorders>
              <w:top w:val="single" w:color="auto" w:sz="4" w:space="0"/>
              <w:left w:val="single" w:color="auto" w:sz="4" w:space="0"/>
              <w:bottom w:val="single" w:color="auto" w:sz="4" w:space="0"/>
              <w:right w:val="single" w:color="auto" w:sz="4" w:space="0"/>
            </w:tcBorders>
            <w:noWrap/>
            <w:vAlign w:val="center"/>
          </w:tcPr>
          <w:p w14:paraId="2AF20179">
            <w:pPr>
              <w:snapToGrid w:val="0"/>
              <w:spacing w:before="50" w:after="50" w:line="360" w:lineRule="auto"/>
              <w:rPr>
                <w:rFonts w:ascii="宋体" w:hAnsi="宋体"/>
                <w:color w:val="000000" w:themeColor="text1"/>
                <w:sz w:val="24"/>
                <w:highlight w:val="none"/>
                <w14:textFill>
                  <w14:solidFill>
                    <w14:schemeClr w14:val="tx1"/>
                  </w14:solidFill>
                </w14:textFill>
              </w:rPr>
            </w:pPr>
          </w:p>
        </w:tc>
      </w:tr>
      <w:tr w14:paraId="729E44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315" w:type="pct"/>
            <w:tcBorders>
              <w:top w:val="single" w:color="auto" w:sz="4" w:space="0"/>
              <w:left w:val="single" w:color="auto" w:sz="4" w:space="0"/>
              <w:bottom w:val="single" w:color="auto" w:sz="4" w:space="0"/>
              <w:right w:val="single" w:color="auto" w:sz="4" w:space="0"/>
            </w:tcBorders>
            <w:noWrap/>
            <w:vAlign w:val="center"/>
          </w:tcPr>
          <w:p w14:paraId="698F24CE">
            <w:pPr>
              <w:snapToGrid w:val="0"/>
              <w:spacing w:before="50" w:after="50"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2</w:t>
            </w:r>
          </w:p>
        </w:tc>
        <w:tc>
          <w:tcPr>
            <w:tcW w:w="562" w:type="pct"/>
            <w:tcBorders>
              <w:top w:val="single" w:color="auto" w:sz="4" w:space="0"/>
              <w:left w:val="single" w:color="auto" w:sz="4" w:space="0"/>
              <w:bottom w:val="single" w:color="auto" w:sz="4" w:space="0"/>
              <w:right w:val="single" w:color="auto" w:sz="4" w:space="0"/>
            </w:tcBorders>
            <w:noWrap/>
            <w:vAlign w:val="center"/>
          </w:tcPr>
          <w:p w14:paraId="45DA6732">
            <w:pPr>
              <w:snapToGrid w:val="0"/>
              <w:spacing w:before="50" w:after="50" w:line="360" w:lineRule="auto"/>
              <w:jc w:val="center"/>
              <w:rPr>
                <w:rFonts w:ascii="宋体" w:hAnsi="宋体"/>
                <w:b/>
                <w:color w:val="000000" w:themeColor="text1"/>
                <w:sz w:val="24"/>
                <w:highlight w:val="none"/>
                <w14:textFill>
                  <w14:solidFill>
                    <w14:schemeClr w14:val="tx1"/>
                  </w14:solidFill>
                </w14:textFill>
              </w:rPr>
            </w:pPr>
          </w:p>
        </w:tc>
        <w:tc>
          <w:tcPr>
            <w:tcW w:w="445" w:type="pct"/>
            <w:tcBorders>
              <w:top w:val="single" w:color="auto" w:sz="4" w:space="0"/>
              <w:left w:val="single" w:color="auto" w:sz="4" w:space="0"/>
              <w:bottom w:val="single" w:color="auto" w:sz="4" w:space="0"/>
              <w:right w:val="single" w:color="auto" w:sz="4" w:space="0"/>
            </w:tcBorders>
            <w:noWrap/>
            <w:vAlign w:val="center"/>
          </w:tcPr>
          <w:p w14:paraId="361320E6">
            <w:pPr>
              <w:snapToGrid w:val="0"/>
              <w:spacing w:before="50" w:after="50" w:line="360" w:lineRule="auto"/>
              <w:rPr>
                <w:rFonts w:ascii="宋体" w:hAnsi="宋体"/>
                <w:color w:val="000000" w:themeColor="text1"/>
                <w:sz w:val="24"/>
                <w:highlight w:val="none"/>
                <w14:textFill>
                  <w14:solidFill>
                    <w14:schemeClr w14:val="tx1"/>
                  </w14:solidFill>
                </w14:textFill>
              </w:rPr>
            </w:pPr>
          </w:p>
        </w:tc>
        <w:tc>
          <w:tcPr>
            <w:tcW w:w="445" w:type="pct"/>
            <w:tcBorders>
              <w:top w:val="single" w:color="auto" w:sz="4" w:space="0"/>
              <w:left w:val="single" w:color="auto" w:sz="4" w:space="0"/>
              <w:bottom w:val="single" w:color="auto" w:sz="4" w:space="0"/>
              <w:right w:val="single" w:color="auto" w:sz="4" w:space="0"/>
            </w:tcBorders>
            <w:noWrap/>
          </w:tcPr>
          <w:p w14:paraId="58105895">
            <w:pPr>
              <w:snapToGrid w:val="0"/>
              <w:spacing w:before="50" w:after="50" w:line="360" w:lineRule="auto"/>
              <w:rPr>
                <w:rFonts w:ascii="宋体" w:hAnsi="宋体"/>
                <w:color w:val="000000" w:themeColor="text1"/>
                <w:sz w:val="24"/>
                <w:highlight w:val="none"/>
                <w14:textFill>
                  <w14:solidFill>
                    <w14:schemeClr w14:val="tx1"/>
                  </w14:solidFill>
                </w14:textFill>
              </w:rPr>
            </w:pPr>
          </w:p>
        </w:tc>
        <w:tc>
          <w:tcPr>
            <w:tcW w:w="589" w:type="pct"/>
            <w:tcBorders>
              <w:top w:val="single" w:color="auto" w:sz="4" w:space="0"/>
              <w:left w:val="single" w:color="auto" w:sz="4" w:space="0"/>
              <w:bottom w:val="single" w:color="auto" w:sz="4" w:space="0"/>
              <w:right w:val="single" w:color="auto" w:sz="4" w:space="0"/>
            </w:tcBorders>
            <w:noWrap/>
            <w:vAlign w:val="center"/>
          </w:tcPr>
          <w:p w14:paraId="279C11BF">
            <w:pPr>
              <w:snapToGrid w:val="0"/>
              <w:spacing w:before="50" w:after="50" w:line="360" w:lineRule="auto"/>
              <w:rPr>
                <w:rFonts w:ascii="宋体" w:hAnsi="宋体"/>
                <w:color w:val="000000" w:themeColor="text1"/>
                <w:sz w:val="24"/>
                <w:highlight w:val="none"/>
                <w14:textFill>
                  <w14:solidFill>
                    <w14:schemeClr w14:val="tx1"/>
                  </w14:solidFill>
                </w14:textFill>
              </w:rPr>
            </w:pPr>
          </w:p>
        </w:tc>
        <w:tc>
          <w:tcPr>
            <w:tcW w:w="401" w:type="pct"/>
            <w:tcBorders>
              <w:top w:val="single" w:color="auto" w:sz="4" w:space="0"/>
              <w:left w:val="single" w:color="auto" w:sz="4" w:space="0"/>
              <w:bottom w:val="single" w:color="auto" w:sz="4" w:space="0"/>
              <w:right w:val="single" w:color="auto" w:sz="4" w:space="0"/>
            </w:tcBorders>
            <w:noWrap/>
            <w:vAlign w:val="center"/>
          </w:tcPr>
          <w:p w14:paraId="3942476A">
            <w:pPr>
              <w:snapToGrid w:val="0"/>
              <w:spacing w:before="50" w:after="50" w:line="360" w:lineRule="auto"/>
              <w:rPr>
                <w:rFonts w:ascii="宋体" w:hAnsi="宋体"/>
                <w:color w:val="000000" w:themeColor="text1"/>
                <w:sz w:val="24"/>
                <w:highlight w:val="none"/>
                <w14:textFill>
                  <w14:solidFill>
                    <w14:schemeClr w14:val="tx1"/>
                  </w14:solidFill>
                </w14:textFill>
              </w:rPr>
            </w:pPr>
          </w:p>
        </w:tc>
        <w:tc>
          <w:tcPr>
            <w:tcW w:w="583" w:type="pct"/>
            <w:tcBorders>
              <w:top w:val="single" w:color="auto" w:sz="4" w:space="0"/>
              <w:left w:val="single" w:color="auto" w:sz="4" w:space="0"/>
              <w:bottom w:val="single" w:color="auto" w:sz="4" w:space="0"/>
              <w:right w:val="single" w:color="auto" w:sz="4" w:space="0"/>
            </w:tcBorders>
            <w:noWrap/>
            <w:vAlign w:val="center"/>
          </w:tcPr>
          <w:p w14:paraId="5529340B">
            <w:pPr>
              <w:snapToGrid w:val="0"/>
              <w:spacing w:before="50" w:after="50" w:line="360" w:lineRule="auto"/>
              <w:rPr>
                <w:rFonts w:ascii="宋体" w:hAnsi="宋体"/>
                <w:color w:val="000000" w:themeColor="text1"/>
                <w:sz w:val="24"/>
                <w:highlight w:val="none"/>
                <w14:textFill>
                  <w14:solidFill>
                    <w14:schemeClr w14:val="tx1"/>
                  </w14:solidFill>
                </w14:textFill>
              </w:rPr>
            </w:pPr>
          </w:p>
        </w:tc>
        <w:tc>
          <w:tcPr>
            <w:tcW w:w="1658" w:type="pct"/>
            <w:tcBorders>
              <w:top w:val="single" w:color="auto" w:sz="4" w:space="0"/>
              <w:left w:val="single" w:color="auto" w:sz="4" w:space="0"/>
              <w:bottom w:val="single" w:color="auto" w:sz="4" w:space="0"/>
              <w:right w:val="single" w:color="auto" w:sz="4" w:space="0"/>
            </w:tcBorders>
            <w:noWrap/>
            <w:vAlign w:val="center"/>
          </w:tcPr>
          <w:p w14:paraId="1AE6DFDC">
            <w:pPr>
              <w:snapToGrid w:val="0"/>
              <w:spacing w:before="50" w:after="50" w:line="360" w:lineRule="auto"/>
              <w:rPr>
                <w:rFonts w:ascii="宋体" w:hAnsi="宋体"/>
                <w:color w:val="000000" w:themeColor="text1"/>
                <w:sz w:val="24"/>
                <w:highlight w:val="none"/>
                <w14:textFill>
                  <w14:solidFill>
                    <w14:schemeClr w14:val="tx1"/>
                  </w14:solidFill>
                </w14:textFill>
              </w:rPr>
            </w:pPr>
          </w:p>
        </w:tc>
      </w:tr>
      <w:tr w14:paraId="606D2B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315" w:type="pct"/>
            <w:tcBorders>
              <w:top w:val="single" w:color="auto" w:sz="4" w:space="0"/>
              <w:left w:val="single" w:color="auto" w:sz="4" w:space="0"/>
              <w:bottom w:val="single" w:color="auto" w:sz="4" w:space="0"/>
              <w:right w:val="single" w:color="auto" w:sz="4" w:space="0"/>
            </w:tcBorders>
            <w:noWrap/>
            <w:vAlign w:val="center"/>
          </w:tcPr>
          <w:p w14:paraId="3C3D6D2B">
            <w:pPr>
              <w:snapToGrid w:val="0"/>
              <w:spacing w:before="50" w:after="50"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w:t>
            </w:r>
          </w:p>
        </w:tc>
        <w:tc>
          <w:tcPr>
            <w:tcW w:w="562" w:type="pct"/>
            <w:tcBorders>
              <w:top w:val="single" w:color="auto" w:sz="4" w:space="0"/>
              <w:left w:val="single" w:color="auto" w:sz="4" w:space="0"/>
              <w:bottom w:val="single" w:color="auto" w:sz="4" w:space="0"/>
              <w:right w:val="single" w:color="auto" w:sz="4" w:space="0"/>
            </w:tcBorders>
            <w:noWrap/>
            <w:vAlign w:val="center"/>
          </w:tcPr>
          <w:p w14:paraId="185F15E4">
            <w:pPr>
              <w:snapToGrid w:val="0"/>
              <w:spacing w:before="50" w:after="50"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w:t>
            </w:r>
          </w:p>
        </w:tc>
        <w:tc>
          <w:tcPr>
            <w:tcW w:w="445" w:type="pct"/>
            <w:tcBorders>
              <w:top w:val="single" w:color="auto" w:sz="4" w:space="0"/>
              <w:left w:val="single" w:color="auto" w:sz="4" w:space="0"/>
              <w:bottom w:val="single" w:color="auto" w:sz="4" w:space="0"/>
              <w:right w:val="single" w:color="auto" w:sz="4" w:space="0"/>
            </w:tcBorders>
            <w:noWrap/>
            <w:vAlign w:val="center"/>
          </w:tcPr>
          <w:p w14:paraId="29D2B507">
            <w:pPr>
              <w:snapToGrid w:val="0"/>
              <w:spacing w:before="50" w:after="50" w:line="360" w:lineRule="auto"/>
              <w:rPr>
                <w:rFonts w:ascii="宋体" w:hAnsi="宋体"/>
                <w:color w:val="000000" w:themeColor="text1"/>
                <w:sz w:val="24"/>
                <w:highlight w:val="none"/>
                <w14:textFill>
                  <w14:solidFill>
                    <w14:schemeClr w14:val="tx1"/>
                  </w14:solidFill>
                </w14:textFill>
              </w:rPr>
            </w:pPr>
          </w:p>
        </w:tc>
        <w:tc>
          <w:tcPr>
            <w:tcW w:w="445" w:type="pct"/>
            <w:tcBorders>
              <w:top w:val="single" w:color="auto" w:sz="4" w:space="0"/>
              <w:left w:val="single" w:color="auto" w:sz="4" w:space="0"/>
              <w:bottom w:val="single" w:color="auto" w:sz="4" w:space="0"/>
              <w:right w:val="single" w:color="auto" w:sz="4" w:space="0"/>
            </w:tcBorders>
            <w:noWrap/>
          </w:tcPr>
          <w:p w14:paraId="3B41EB0D">
            <w:pPr>
              <w:snapToGrid w:val="0"/>
              <w:spacing w:before="50" w:after="50" w:line="360" w:lineRule="auto"/>
              <w:rPr>
                <w:rFonts w:ascii="宋体" w:hAnsi="宋体"/>
                <w:color w:val="000000" w:themeColor="text1"/>
                <w:sz w:val="24"/>
                <w:highlight w:val="none"/>
                <w14:textFill>
                  <w14:solidFill>
                    <w14:schemeClr w14:val="tx1"/>
                  </w14:solidFill>
                </w14:textFill>
              </w:rPr>
            </w:pPr>
          </w:p>
        </w:tc>
        <w:tc>
          <w:tcPr>
            <w:tcW w:w="589" w:type="pct"/>
            <w:tcBorders>
              <w:top w:val="single" w:color="auto" w:sz="4" w:space="0"/>
              <w:left w:val="single" w:color="auto" w:sz="4" w:space="0"/>
              <w:bottom w:val="single" w:color="auto" w:sz="4" w:space="0"/>
              <w:right w:val="single" w:color="auto" w:sz="4" w:space="0"/>
            </w:tcBorders>
            <w:noWrap/>
            <w:vAlign w:val="center"/>
          </w:tcPr>
          <w:p w14:paraId="073C16BF">
            <w:pPr>
              <w:snapToGrid w:val="0"/>
              <w:spacing w:before="50" w:after="50" w:line="360" w:lineRule="auto"/>
              <w:rPr>
                <w:rFonts w:ascii="宋体" w:hAnsi="宋体"/>
                <w:color w:val="000000" w:themeColor="text1"/>
                <w:sz w:val="24"/>
                <w:highlight w:val="none"/>
                <w14:textFill>
                  <w14:solidFill>
                    <w14:schemeClr w14:val="tx1"/>
                  </w14:solidFill>
                </w14:textFill>
              </w:rPr>
            </w:pPr>
          </w:p>
        </w:tc>
        <w:tc>
          <w:tcPr>
            <w:tcW w:w="401" w:type="pct"/>
            <w:tcBorders>
              <w:top w:val="single" w:color="auto" w:sz="4" w:space="0"/>
              <w:left w:val="single" w:color="auto" w:sz="4" w:space="0"/>
              <w:bottom w:val="single" w:color="auto" w:sz="4" w:space="0"/>
              <w:right w:val="single" w:color="auto" w:sz="4" w:space="0"/>
            </w:tcBorders>
            <w:noWrap/>
            <w:vAlign w:val="center"/>
          </w:tcPr>
          <w:p w14:paraId="02B56DA0">
            <w:pPr>
              <w:snapToGrid w:val="0"/>
              <w:spacing w:before="50" w:after="50" w:line="360" w:lineRule="auto"/>
              <w:rPr>
                <w:rFonts w:ascii="宋体" w:hAnsi="宋体"/>
                <w:color w:val="000000" w:themeColor="text1"/>
                <w:sz w:val="24"/>
                <w:highlight w:val="none"/>
                <w14:textFill>
                  <w14:solidFill>
                    <w14:schemeClr w14:val="tx1"/>
                  </w14:solidFill>
                </w14:textFill>
              </w:rPr>
            </w:pPr>
          </w:p>
        </w:tc>
        <w:tc>
          <w:tcPr>
            <w:tcW w:w="583" w:type="pct"/>
            <w:tcBorders>
              <w:top w:val="single" w:color="auto" w:sz="4" w:space="0"/>
              <w:left w:val="single" w:color="auto" w:sz="4" w:space="0"/>
              <w:bottom w:val="single" w:color="auto" w:sz="4" w:space="0"/>
              <w:right w:val="single" w:color="auto" w:sz="4" w:space="0"/>
            </w:tcBorders>
            <w:noWrap/>
            <w:vAlign w:val="center"/>
          </w:tcPr>
          <w:p w14:paraId="0E572628">
            <w:pPr>
              <w:snapToGrid w:val="0"/>
              <w:spacing w:before="50" w:after="50" w:line="360" w:lineRule="auto"/>
              <w:rPr>
                <w:rFonts w:ascii="宋体" w:hAnsi="宋体"/>
                <w:color w:val="000000" w:themeColor="text1"/>
                <w:sz w:val="24"/>
                <w:highlight w:val="none"/>
                <w14:textFill>
                  <w14:solidFill>
                    <w14:schemeClr w14:val="tx1"/>
                  </w14:solidFill>
                </w14:textFill>
              </w:rPr>
            </w:pPr>
          </w:p>
        </w:tc>
        <w:tc>
          <w:tcPr>
            <w:tcW w:w="1658" w:type="pct"/>
            <w:tcBorders>
              <w:top w:val="single" w:color="auto" w:sz="4" w:space="0"/>
              <w:left w:val="single" w:color="auto" w:sz="4" w:space="0"/>
              <w:bottom w:val="single" w:color="auto" w:sz="4" w:space="0"/>
              <w:right w:val="single" w:color="auto" w:sz="4" w:space="0"/>
            </w:tcBorders>
            <w:noWrap/>
            <w:vAlign w:val="center"/>
          </w:tcPr>
          <w:p w14:paraId="48BA8532">
            <w:pPr>
              <w:snapToGrid w:val="0"/>
              <w:spacing w:before="50" w:after="50" w:line="360" w:lineRule="auto"/>
              <w:rPr>
                <w:rFonts w:ascii="宋体" w:hAnsi="宋体"/>
                <w:color w:val="000000" w:themeColor="text1"/>
                <w:sz w:val="24"/>
                <w:highlight w:val="none"/>
                <w14:textFill>
                  <w14:solidFill>
                    <w14:schemeClr w14:val="tx1"/>
                  </w14:solidFill>
                </w14:textFill>
              </w:rPr>
            </w:pPr>
          </w:p>
        </w:tc>
      </w:tr>
    </w:tbl>
    <w:p w14:paraId="6D53ABDE">
      <w:pPr>
        <w:spacing w:line="380" w:lineRule="exact"/>
        <w:rPr>
          <w:color w:val="000000" w:themeColor="text1"/>
          <w:kern w:val="0"/>
          <w:sz w:val="24"/>
          <w:highlight w:val="none"/>
          <w14:textFill>
            <w14:solidFill>
              <w14:schemeClr w14:val="tx1"/>
            </w14:solidFill>
          </w14:textFill>
        </w:rPr>
      </w:pPr>
    </w:p>
    <w:p w14:paraId="247E3E03">
      <w:pPr>
        <w:snapToGrid w:val="0"/>
        <w:spacing w:line="360" w:lineRule="auto"/>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投标人在开标一览表中提供医疗器械产品注册证（如有）或产品合格证名称（如有），并如实填写医疗器械产品注册证名称及编号或产品合格证名称，否则，中标后交货时及履约验收时造成的标的名称与注册证上或产品合格证的产品名称不一致的，采购人有权拒收货物及</w:t>
      </w:r>
      <w:r>
        <w:rPr>
          <w:rFonts w:hint="eastAsia" w:ascii="宋体" w:hAnsi="宋体"/>
          <w:b/>
          <w:color w:val="000000" w:themeColor="text1"/>
          <w:sz w:val="24"/>
          <w:highlight w:val="none"/>
          <w:lang w:eastAsia="zh-CN"/>
          <w14:textFill>
            <w14:solidFill>
              <w14:schemeClr w14:val="tx1"/>
            </w14:solidFill>
          </w14:textFill>
        </w:rPr>
        <w:t>按履约验收不通过处理</w:t>
      </w:r>
      <w:r>
        <w:rPr>
          <w:rFonts w:hint="eastAsia" w:ascii="宋体" w:hAnsi="宋体"/>
          <w:b/>
          <w:color w:val="000000" w:themeColor="text1"/>
          <w:sz w:val="24"/>
          <w:highlight w:val="none"/>
          <w14:textFill>
            <w14:solidFill>
              <w14:schemeClr w14:val="tx1"/>
            </w14:solidFill>
          </w14:textFill>
        </w:rPr>
        <w:t>，造成的不利后果由投标人负责。</w:t>
      </w:r>
    </w:p>
    <w:p w14:paraId="6BC3DE20">
      <w:pPr>
        <w:snapToGrid w:val="0"/>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注： </w:t>
      </w:r>
    </w:p>
    <w:p w14:paraId="4BC0C33F">
      <w:pPr>
        <w:snapToGrid w:val="0"/>
        <w:spacing w:line="360" w:lineRule="auto"/>
        <w:ind w:firstLine="480" w:firstLineChars="200"/>
        <w:jc w:val="left"/>
        <w:rPr>
          <w:rFonts w:ascii="宋体" w:hAnsi="宋体"/>
          <w:b/>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报价一经涂改，应在涂改处加盖投标人公章</w:t>
      </w:r>
      <w:r>
        <w:rPr>
          <w:rFonts w:hint="eastAsia" w:ascii="宋体" w:hAnsi="宋体" w:cs="仿宋_GB2312"/>
          <w:color w:val="000000" w:themeColor="text1"/>
          <w:sz w:val="24"/>
          <w:highlight w:val="none"/>
          <w14:textFill>
            <w14:solidFill>
              <w14:schemeClr w14:val="tx1"/>
            </w14:solidFill>
          </w14:textFill>
        </w:rPr>
        <w:t>或者加盖电子签章</w:t>
      </w:r>
      <w:r>
        <w:rPr>
          <w:rFonts w:hint="eastAsia" w:ascii="宋体" w:hAnsi="宋体"/>
          <w:color w:val="000000" w:themeColor="text1"/>
          <w:sz w:val="24"/>
          <w:highlight w:val="none"/>
          <w14:textFill>
            <w14:solidFill>
              <w14:schemeClr w14:val="tx1"/>
            </w14:solidFill>
          </w14:textFill>
        </w:rPr>
        <w:t>或者由法定代表人或者委托代理人签字（或者电子签名）</w:t>
      </w:r>
      <w:r>
        <w:rPr>
          <w:rFonts w:hint="eastAsia" w:ascii="宋体" w:hAnsi="宋体"/>
          <w:b/>
          <w:color w:val="000000" w:themeColor="text1"/>
          <w:sz w:val="24"/>
          <w:highlight w:val="none"/>
          <w14:textFill>
            <w14:solidFill>
              <w14:schemeClr w14:val="tx1"/>
            </w14:solidFill>
          </w14:textFill>
        </w:rPr>
        <w:t>，否则其投标作无效标处理。</w:t>
      </w:r>
    </w:p>
    <w:p w14:paraId="7B1983D4">
      <w:pPr>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2.招标文件中列明采购专用耗材的，应按招标文件规定的耗材量或者按耗材的常规使用量提供报价。</w:t>
      </w:r>
    </w:p>
    <w:p w14:paraId="5AB04D51">
      <w:pPr>
        <w:pStyle w:val="2"/>
        <w:ind w:firstLine="520" w:firstLineChars="200"/>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3.如有多分标，按分标分别提供开标一览表，</w:t>
      </w:r>
      <w:r>
        <w:rPr>
          <w:rFonts w:hint="eastAsia" w:ascii="宋体" w:hAnsi="宋体"/>
          <w:b/>
          <w:color w:val="000000" w:themeColor="text1"/>
          <w:highlight w:val="none"/>
          <w14:textFill>
            <w14:solidFill>
              <w14:schemeClr w14:val="tx1"/>
            </w14:solidFill>
          </w14:textFill>
        </w:rPr>
        <w:t>否则投标无效。</w:t>
      </w:r>
    </w:p>
    <w:p w14:paraId="06A3E67F">
      <w:pPr>
        <w:pStyle w:val="21"/>
        <w:rPr>
          <w:color w:val="000000" w:themeColor="text1"/>
          <w:highlight w:val="none"/>
          <w14:textFill>
            <w14:solidFill>
              <w14:schemeClr w14:val="tx1"/>
            </w14:solidFill>
          </w14:textFill>
        </w:rPr>
      </w:pPr>
    </w:p>
    <w:p w14:paraId="21D59C88">
      <w:pPr>
        <w:snapToGrid w:val="0"/>
        <w:spacing w:line="360" w:lineRule="auto"/>
        <w:ind w:left="-2" w:leftChars="-1" w:right="-817" w:rightChars="-38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法定代表人或者委托代理人（签字或者电子签名）： </w:t>
      </w:r>
    </w:p>
    <w:p w14:paraId="500FE277">
      <w:pPr>
        <w:snapToGrid w:val="0"/>
        <w:spacing w:line="360" w:lineRule="auto"/>
        <w:ind w:left="-3" w:leftChars="-15" w:right="-817" w:rightChars="-389" w:hanging="28" w:hangingChars="1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投标人名称（电子签章）：</w:t>
      </w:r>
    </w:p>
    <w:p w14:paraId="0DACE7A4">
      <w:pPr>
        <w:snapToGrid w:val="0"/>
        <w:spacing w:line="360" w:lineRule="auto"/>
        <w:ind w:left="-3" w:leftChars="-15" w:right="-817" w:rightChars="-389" w:hanging="28" w:hangingChars="1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日期：    年   月   日</w:t>
      </w:r>
    </w:p>
    <w:p w14:paraId="36092415">
      <w:pPr>
        <w:rPr>
          <w:rFonts w:hint="eastAsia"/>
          <w:b/>
          <w:color w:val="000000" w:themeColor="text1"/>
          <w:sz w:val="28"/>
          <w:szCs w:val="28"/>
          <w:highlight w:val="none"/>
          <w14:textFill>
            <w14:solidFill>
              <w14:schemeClr w14:val="tx1"/>
            </w14:solidFill>
          </w14:textFill>
        </w:rPr>
      </w:pPr>
      <w:r>
        <w:rPr>
          <w:rFonts w:hint="eastAsia"/>
          <w:b/>
          <w:color w:val="000000" w:themeColor="text1"/>
          <w:sz w:val="28"/>
          <w:szCs w:val="28"/>
          <w:highlight w:val="none"/>
          <w14:textFill>
            <w14:solidFill>
              <w14:schemeClr w14:val="tx1"/>
            </w14:solidFill>
          </w14:textFill>
        </w:rPr>
        <w:br w:type="page"/>
      </w:r>
    </w:p>
    <w:p w14:paraId="5DB13B20">
      <w:pPr>
        <w:rPr>
          <w:rFonts w:hint="eastAsia"/>
          <w:b/>
          <w:color w:val="000000" w:themeColor="text1"/>
          <w:sz w:val="28"/>
          <w:szCs w:val="28"/>
          <w:highlight w:val="none"/>
          <w14:textFill>
            <w14:solidFill>
              <w14:schemeClr w14:val="tx1"/>
            </w14:solidFill>
          </w14:textFill>
        </w:rPr>
      </w:pPr>
      <w:r>
        <w:rPr>
          <w:rFonts w:hint="eastAsia"/>
          <w:b/>
          <w:color w:val="000000" w:themeColor="text1"/>
          <w:sz w:val="28"/>
          <w:szCs w:val="28"/>
          <w:highlight w:val="none"/>
          <w14:textFill>
            <w14:solidFill>
              <w14:schemeClr w14:val="tx1"/>
            </w14:solidFill>
          </w14:textFill>
        </w:rPr>
        <w:t>二、资格证明文件格式</w:t>
      </w:r>
      <w:bookmarkEnd w:id="151"/>
      <w:bookmarkEnd w:id="152"/>
      <w:bookmarkEnd w:id="153"/>
    </w:p>
    <w:p w14:paraId="58501593">
      <w:pPr>
        <w:snapToGrid w:val="0"/>
        <w:spacing w:before="120" w:beforeLines="50" w:after="50" w:line="360" w:lineRule="auto"/>
        <w:jc w:val="left"/>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 xml:space="preserve">1.资格证明文件封面格式： </w:t>
      </w:r>
    </w:p>
    <w:p w14:paraId="76FC27F2">
      <w:pPr>
        <w:snapToGrid w:val="0"/>
        <w:spacing w:before="120" w:beforeLines="50" w:after="50"/>
        <w:jc w:val="center"/>
        <w:rPr>
          <w:rFonts w:hint="eastAsia" w:ascii="宋体" w:hAnsi="宋体" w:eastAsia="方正小标宋简体"/>
          <w:bCs/>
          <w:color w:val="000000" w:themeColor="text1"/>
          <w:sz w:val="48"/>
          <w:szCs w:val="48"/>
          <w:highlight w:val="none"/>
          <w14:textFill>
            <w14:solidFill>
              <w14:schemeClr w14:val="tx1"/>
            </w14:solidFill>
          </w14:textFill>
        </w:rPr>
      </w:pPr>
      <w:r>
        <w:rPr>
          <w:rFonts w:hint="eastAsia" w:ascii="宋体" w:hAnsi="宋体" w:eastAsia="方正小标宋简体"/>
          <w:bCs/>
          <w:color w:val="000000" w:themeColor="text1"/>
          <w:sz w:val="48"/>
          <w:szCs w:val="48"/>
          <w:highlight w:val="none"/>
          <w14:textFill>
            <w14:solidFill>
              <w14:schemeClr w14:val="tx1"/>
            </w14:solidFill>
          </w14:textFill>
        </w:rPr>
        <w:t>电子投标文件</w:t>
      </w:r>
    </w:p>
    <w:p w14:paraId="086A9F54">
      <w:pPr>
        <w:snapToGrid w:val="0"/>
        <w:spacing w:before="120" w:beforeLines="50" w:after="50"/>
        <w:jc w:val="center"/>
        <w:rPr>
          <w:rFonts w:hint="eastAsia" w:ascii="宋体" w:hAnsi="宋体"/>
          <w:b/>
          <w:color w:val="000000" w:themeColor="text1"/>
          <w:sz w:val="24"/>
          <w:szCs w:val="20"/>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资格证明文件</w:t>
      </w:r>
    </w:p>
    <w:p w14:paraId="727A75EE">
      <w:pPr>
        <w:snapToGrid w:val="0"/>
        <w:spacing w:before="120" w:beforeLines="50" w:after="50"/>
        <w:rPr>
          <w:rFonts w:ascii="宋体" w:hAnsi="宋体"/>
          <w:bCs/>
          <w:color w:val="000000" w:themeColor="text1"/>
          <w:sz w:val="24"/>
          <w:szCs w:val="20"/>
          <w:highlight w:val="none"/>
          <w14:textFill>
            <w14:solidFill>
              <w14:schemeClr w14:val="tx1"/>
            </w14:solidFill>
          </w14:textFill>
        </w:rPr>
      </w:pPr>
    </w:p>
    <w:p w14:paraId="7049F3A5">
      <w:pPr>
        <w:snapToGrid w:val="0"/>
        <w:spacing w:before="120" w:beforeLines="50" w:after="50"/>
        <w:rPr>
          <w:rFonts w:ascii="宋体" w:hAnsi="宋体"/>
          <w:bCs/>
          <w:color w:val="000000" w:themeColor="text1"/>
          <w:sz w:val="24"/>
          <w:szCs w:val="20"/>
          <w:highlight w:val="none"/>
          <w14:textFill>
            <w14:solidFill>
              <w14:schemeClr w14:val="tx1"/>
            </w14:solidFill>
          </w14:textFill>
        </w:rPr>
      </w:pPr>
    </w:p>
    <w:p w14:paraId="00050A35">
      <w:pPr>
        <w:snapToGrid w:val="0"/>
        <w:spacing w:before="120" w:beforeLines="50" w:after="50"/>
        <w:rPr>
          <w:rFonts w:ascii="宋体" w:hAnsi="宋体"/>
          <w:bCs/>
          <w:color w:val="000000" w:themeColor="text1"/>
          <w:sz w:val="24"/>
          <w:szCs w:val="20"/>
          <w:highlight w:val="none"/>
          <w14:textFill>
            <w14:solidFill>
              <w14:schemeClr w14:val="tx1"/>
            </w14:solidFill>
          </w14:textFill>
        </w:rPr>
      </w:pPr>
    </w:p>
    <w:p w14:paraId="48762194">
      <w:pPr>
        <w:snapToGrid w:val="0"/>
        <w:spacing w:before="120" w:beforeLines="50" w:after="50"/>
        <w:rPr>
          <w:rFonts w:ascii="宋体" w:hAnsi="宋体"/>
          <w:bCs/>
          <w:color w:val="000000" w:themeColor="text1"/>
          <w:sz w:val="24"/>
          <w:szCs w:val="20"/>
          <w:highlight w:val="none"/>
          <w14:textFill>
            <w14:solidFill>
              <w14:schemeClr w14:val="tx1"/>
            </w14:solidFill>
          </w14:textFill>
        </w:rPr>
      </w:pPr>
    </w:p>
    <w:p w14:paraId="097EEED7">
      <w:pPr>
        <w:snapToGrid w:val="0"/>
        <w:spacing w:before="120" w:beforeLines="50" w:after="50"/>
        <w:rPr>
          <w:rFonts w:ascii="宋体" w:hAnsi="宋体"/>
          <w:bCs/>
          <w:color w:val="000000" w:themeColor="text1"/>
          <w:sz w:val="24"/>
          <w:szCs w:val="20"/>
          <w:highlight w:val="none"/>
          <w14:textFill>
            <w14:solidFill>
              <w14:schemeClr w14:val="tx1"/>
            </w14:solidFill>
          </w14:textFill>
        </w:rPr>
      </w:pPr>
    </w:p>
    <w:p w14:paraId="1B28E600">
      <w:pPr>
        <w:snapToGrid w:val="0"/>
        <w:spacing w:before="120" w:beforeLines="50" w:after="50"/>
        <w:rPr>
          <w:rFonts w:ascii="宋体" w:hAnsi="宋体"/>
          <w:bCs/>
          <w:color w:val="000000" w:themeColor="text1"/>
          <w:sz w:val="24"/>
          <w:szCs w:val="20"/>
          <w:highlight w:val="none"/>
          <w14:textFill>
            <w14:solidFill>
              <w14:schemeClr w14:val="tx1"/>
            </w14:solidFill>
          </w14:textFill>
        </w:rPr>
      </w:pPr>
    </w:p>
    <w:p w14:paraId="66B55580">
      <w:pPr>
        <w:snapToGrid w:val="0"/>
        <w:spacing w:before="120" w:beforeLines="50" w:after="50"/>
        <w:rPr>
          <w:rFonts w:hint="eastAsia" w:ascii="宋体" w:hAnsi="宋体"/>
          <w:bCs/>
          <w:color w:val="000000" w:themeColor="text1"/>
          <w:sz w:val="24"/>
          <w:szCs w:val="20"/>
          <w:highlight w:val="none"/>
          <w14:textFill>
            <w14:solidFill>
              <w14:schemeClr w14:val="tx1"/>
            </w14:solidFill>
          </w14:textFill>
        </w:rPr>
      </w:pPr>
    </w:p>
    <w:p w14:paraId="6B227156">
      <w:pPr>
        <w:snapToGrid w:val="0"/>
        <w:spacing w:before="120" w:beforeLines="50" w:after="50"/>
        <w:ind w:firstLine="540" w:firstLineChars="225"/>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项目名称：</w:t>
      </w:r>
    </w:p>
    <w:p w14:paraId="710D64D6">
      <w:pPr>
        <w:snapToGrid w:val="0"/>
        <w:spacing w:before="120" w:beforeLines="50" w:after="50"/>
        <w:ind w:firstLine="540" w:firstLineChars="225"/>
        <w:rPr>
          <w:rFonts w:hint="eastAsia" w:ascii="宋体" w:hAnsi="宋体"/>
          <w:bCs/>
          <w:color w:val="000000" w:themeColor="text1"/>
          <w:sz w:val="24"/>
          <w:szCs w:val="20"/>
          <w:highlight w:val="none"/>
          <w14:textFill>
            <w14:solidFill>
              <w14:schemeClr w14:val="tx1"/>
            </w14:solidFill>
          </w14:textFill>
        </w:rPr>
      </w:pPr>
    </w:p>
    <w:p w14:paraId="763AB0C4">
      <w:pPr>
        <w:snapToGrid w:val="0"/>
        <w:spacing w:before="120" w:beforeLines="50" w:after="50"/>
        <w:ind w:firstLine="540" w:firstLineChars="225"/>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项目编号：</w:t>
      </w:r>
    </w:p>
    <w:p w14:paraId="153A7C67">
      <w:pPr>
        <w:snapToGrid w:val="0"/>
        <w:spacing w:before="120" w:beforeLines="50" w:after="50"/>
        <w:ind w:firstLine="540" w:firstLineChars="225"/>
        <w:rPr>
          <w:rFonts w:hint="eastAsia" w:ascii="宋体" w:hAnsi="宋体"/>
          <w:bCs/>
          <w:color w:val="000000" w:themeColor="text1"/>
          <w:sz w:val="24"/>
          <w:szCs w:val="20"/>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 xml:space="preserve"> </w:t>
      </w:r>
    </w:p>
    <w:p w14:paraId="4201F438">
      <w:pPr>
        <w:snapToGrid w:val="0"/>
        <w:spacing w:before="120" w:beforeLines="50" w:after="50"/>
        <w:ind w:firstLine="540" w:firstLineChars="225"/>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所投分标：</w:t>
      </w:r>
    </w:p>
    <w:p w14:paraId="6876A4CC">
      <w:pPr>
        <w:pStyle w:val="9"/>
        <w:snapToGrid w:val="0"/>
        <w:spacing w:before="50" w:after="50"/>
        <w:ind w:firstLine="540" w:firstLineChars="225"/>
        <w:rPr>
          <w:rFonts w:hint="eastAsia" w:ascii="宋体" w:hAnsi="宋体"/>
          <w:bCs/>
          <w:color w:val="000000" w:themeColor="text1"/>
          <w:sz w:val="24"/>
          <w:szCs w:val="24"/>
          <w:highlight w:val="none"/>
          <w14:textFill>
            <w14:solidFill>
              <w14:schemeClr w14:val="tx1"/>
            </w14:solidFill>
          </w14:textFill>
        </w:rPr>
      </w:pPr>
    </w:p>
    <w:p w14:paraId="0494D007">
      <w:pPr>
        <w:pStyle w:val="9"/>
        <w:snapToGrid w:val="0"/>
        <w:spacing w:before="50" w:after="50"/>
        <w:ind w:firstLine="540" w:firstLineChars="225"/>
        <w:rPr>
          <w:rFonts w:hint="eastAsia"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投标人名称：</w:t>
      </w:r>
    </w:p>
    <w:p w14:paraId="01FCE093">
      <w:pPr>
        <w:pStyle w:val="9"/>
        <w:snapToGrid w:val="0"/>
        <w:spacing w:before="50" w:after="50"/>
        <w:ind w:firstLine="540" w:firstLineChars="225"/>
        <w:rPr>
          <w:rFonts w:hint="eastAsia" w:ascii="宋体" w:hAnsi="宋体"/>
          <w:bCs/>
          <w:color w:val="000000" w:themeColor="text1"/>
          <w:sz w:val="24"/>
          <w:szCs w:val="24"/>
          <w:highlight w:val="none"/>
          <w14:textFill>
            <w14:solidFill>
              <w14:schemeClr w14:val="tx1"/>
            </w14:solidFill>
          </w14:textFill>
        </w:rPr>
      </w:pPr>
    </w:p>
    <w:p w14:paraId="31AF7C56">
      <w:pPr>
        <w:pStyle w:val="9"/>
        <w:snapToGrid w:val="0"/>
        <w:spacing w:before="50" w:after="50"/>
        <w:ind w:firstLine="960" w:firstLineChars="400"/>
        <w:rPr>
          <w:rFonts w:hint="eastAsia" w:ascii="宋体" w:hAnsi="宋体"/>
          <w:bCs/>
          <w:color w:val="000000" w:themeColor="text1"/>
          <w:sz w:val="24"/>
          <w:szCs w:val="24"/>
          <w:highlight w:val="none"/>
          <w14:textFill>
            <w14:solidFill>
              <w14:schemeClr w14:val="tx1"/>
            </w14:solidFill>
          </w14:textFill>
        </w:rPr>
      </w:pPr>
    </w:p>
    <w:p w14:paraId="45C74A16">
      <w:pPr>
        <w:snapToGrid w:val="0"/>
        <w:spacing w:before="120" w:beforeLines="50" w:after="50"/>
        <w:ind w:firstLine="645"/>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  月  日</w:t>
      </w:r>
    </w:p>
    <w:p w14:paraId="4286C4BC">
      <w:pPr>
        <w:snapToGrid w:val="0"/>
        <w:spacing w:before="120" w:beforeLines="50" w:after="50"/>
        <w:rPr>
          <w:rFonts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 xml:space="preserve"> </w:t>
      </w:r>
    </w:p>
    <w:p w14:paraId="635D5129">
      <w:pPr>
        <w:snapToGrid w:val="0"/>
        <w:spacing w:before="120" w:beforeLines="50" w:after="50"/>
        <w:rPr>
          <w:rFonts w:hint="eastAsia" w:ascii="宋体" w:hAnsi="宋体"/>
          <w:color w:val="000000" w:themeColor="text1"/>
          <w:sz w:val="24"/>
          <w:szCs w:val="20"/>
          <w:highlight w:val="none"/>
          <w14:textFill>
            <w14:solidFill>
              <w14:schemeClr w14:val="tx1"/>
            </w14:solidFill>
          </w14:textFill>
        </w:rPr>
      </w:pPr>
    </w:p>
    <w:p w14:paraId="4AC5D4C8">
      <w:pPr>
        <w:snapToGrid w:val="0"/>
        <w:spacing w:before="120" w:beforeLines="50" w:after="50" w:line="360" w:lineRule="auto"/>
        <w:jc w:val="left"/>
        <w:rPr>
          <w:rFonts w:hint="eastAsia" w:ascii="宋体" w:hAnsi="宋体"/>
          <w:color w:val="000000" w:themeColor="text1"/>
          <w:sz w:val="24"/>
          <w:szCs w:val="20"/>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br w:type="page"/>
      </w:r>
      <w:r>
        <w:rPr>
          <w:rFonts w:hint="eastAsia" w:ascii="宋体" w:hAnsi="宋体"/>
          <w:b/>
          <w:bCs/>
          <w:color w:val="000000" w:themeColor="text1"/>
          <w:sz w:val="24"/>
          <w:highlight w:val="none"/>
          <w14:textFill>
            <w14:solidFill>
              <w14:schemeClr w14:val="tx1"/>
            </w14:solidFill>
          </w14:textFill>
        </w:rPr>
        <w:t>2.资格证明文件目录</w:t>
      </w:r>
    </w:p>
    <w:p w14:paraId="67333480">
      <w:pPr>
        <w:snapToGrid w:val="0"/>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根据招标文件规定及投标人提供的材料自行编写目录。</w:t>
      </w:r>
    </w:p>
    <w:p w14:paraId="773C65F6">
      <w:pPr>
        <w:snapToGrid w:val="0"/>
        <w:spacing w:before="50" w:after="120" w:afterLines="50"/>
        <w:jc w:val="left"/>
        <w:rPr>
          <w:rFonts w:hint="eastAsia" w:ascii="宋体" w:hAnsi="宋体"/>
          <w:color w:val="000000" w:themeColor="text1"/>
          <w:sz w:val="24"/>
          <w:highlight w:val="none"/>
          <w14:textFill>
            <w14:solidFill>
              <w14:schemeClr w14:val="tx1"/>
            </w14:solidFill>
          </w14:textFill>
        </w:rPr>
      </w:pPr>
    </w:p>
    <w:p w14:paraId="617EF56F">
      <w:pPr>
        <w:snapToGrid w:val="0"/>
        <w:spacing w:before="50" w:after="120" w:afterLines="50"/>
        <w:jc w:val="left"/>
        <w:rPr>
          <w:rFonts w:hint="eastAsia" w:ascii="宋体" w:hAnsi="宋体"/>
          <w:color w:val="000000" w:themeColor="text1"/>
          <w:sz w:val="24"/>
          <w:highlight w:val="none"/>
          <w14:textFill>
            <w14:solidFill>
              <w14:schemeClr w14:val="tx1"/>
            </w14:solidFill>
          </w14:textFill>
        </w:rPr>
      </w:pPr>
    </w:p>
    <w:p w14:paraId="2D49794A">
      <w:pPr>
        <w:snapToGrid w:val="0"/>
        <w:spacing w:before="120" w:beforeLines="50" w:after="50"/>
        <w:jc w:val="left"/>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3.</w:t>
      </w:r>
      <w:r>
        <w:rPr>
          <w:rFonts w:hint="eastAsia" w:ascii="宋体" w:hAnsi="宋体"/>
          <w:b/>
          <w:color w:val="000000" w:themeColor="text1"/>
          <w:sz w:val="28"/>
          <w:szCs w:val="28"/>
          <w:highlight w:val="none"/>
          <w14:textFill>
            <w14:solidFill>
              <w14:schemeClr w14:val="tx1"/>
            </w14:solidFill>
          </w14:textFill>
        </w:rPr>
        <w:t>投标人直接控股股东信息表</w:t>
      </w:r>
    </w:p>
    <w:p w14:paraId="7CC2C2C4">
      <w:pPr>
        <w:snapToGrid w:val="0"/>
        <w:spacing w:before="50" w:after="120" w:afterLines="50"/>
        <w:jc w:val="center"/>
        <w:rPr>
          <w:rFonts w:hint="eastAsia" w:ascii="宋体" w:hAnsi="宋体"/>
          <w:b/>
          <w:color w:val="000000" w:themeColor="text1"/>
          <w:sz w:val="28"/>
          <w:szCs w:val="28"/>
          <w:highlight w:val="none"/>
          <w14:textFill>
            <w14:solidFill>
              <w14:schemeClr w14:val="tx1"/>
            </w14:solidFill>
          </w14:textFill>
        </w:rPr>
      </w:pPr>
    </w:p>
    <w:p w14:paraId="25945B6A">
      <w:pPr>
        <w:snapToGrid w:val="0"/>
        <w:spacing w:before="50" w:after="120" w:afterLines="50" w:line="360" w:lineRule="auto"/>
        <w:jc w:val="center"/>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投标人直接控股股东信息表</w:t>
      </w:r>
    </w:p>
    <w:tbl>
      <w:tblPr>
        <w:tblStyle w:val="48"/>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0D3C8387">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0A4D112">
            <w:pPr>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9137265">
            <w:pPr>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2FB1EAE">
            <w:pPr>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2A91C5A">
            <w:pPr>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0B9A7EE">
            <w:pPr>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备注</w:t>
            </w:r>
          </w:p>
        </w:tc>
      </w:tr>
      <w:tr w14:paraId="5ECB5B53">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36286A9">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A42681E">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9D70DF0">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F689ED9">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5606679">
            <w:pPr>
              <w:spacing w:line="360" w:lineRule="auto"/>
              <w:jc w:val="center"/>
              <w:rPr>
                <w:rFonts w:ascii="宋体" w:hAnsi="宋体" w:cs="宋体"/>
                <w:color w:val="000000" w:themeColor="text1"/>
                <w:kern w:val="0"/>
                <w:sz w:val="24"/>
                <w:highlight w:val="none"/>
                <w14:textFill>
                  <w14:solidFill>
                    <w14:schemeClr w14:val="tx1"/>
                  </w14:solidFill>
                </w14:textFill>
              </w:rPr>
            </w:pPr>
          </w:p>
        </w:tc>
      </w:tr>
      <w:tr w14:paraId="68F7F431">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F3BB29A">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54941B5">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409A747">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1427C47">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8555CD1">
            <w:pPr>
              <w:spacing w:line="360" w:lineRule="auto"/>
              <w:jc w:val="center"/>
              <w:rPr>
                <w:rFonts w:ascii="宋体" w:hAnsi="宋体" w:cs="宋体"/>
                <w:color w:val="000000" w:themeColor="text1"/>
                <w:kern w:val="0"/>
                <w:sz w:val="24"/>
                <w:highlight w:val="none"/>
                <w14:textFill>
                  <w14:solidFill>
                    <w14:schemeClr w14:val="tx1"/>
                  </w14:solidFill>
                </w14:textFill>
              </w:rPr>
            </w:pPr>
          </w:p>
        </w:tc>
      </w:tr>
      <w:tr w14:paraId="7B4DFDF6">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BC4B9E4">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17EB4CB">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A6FCAAB">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23597E5">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FB2986A">
            <w:pPr>
              <w:spacing w:line="360" w:lineRule="auto"/>
              <w:jc w:val="center"/>
              <w:rPr>
                <w:rFonts w:ascii="宋体" w:hAnsi="宋体" w:cs="宋体"/>
                <w:color w:val="000000" w:themeColor="text1"/>
                <w:kern w:val="0"/>
                <w:sz w:val="24"/>
                <w:highlight w:val="none"/>
                <w14:textFill>
                  <w14:solidFill>
                    <w14:schemeClr w14:val="tx1"/>
                  </w14:solidFill>
                </w14:textFill>
              </w:rPr>
            </w:pPr>
          </w:p>
        </w:tc>
      </w:tr>
      <w:tr w14:paraId="043ED29C">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7C03A19">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3E655FC">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9033406">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33C566D">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A015577">
            <w:pPr>
              <w:spacing w:line="360" w:lineRule="auto"/>
              <w:jc w:val="center"/>
              <w:rPr>
                <w:rFonts w:ascii="宋体" w:hAnsi="宋体" w:cs="宋体"/>
                <w:color w:val="000000" w:themeColor="text1"/>
                <w:kern w:val="0"/>
                <w:sz w:val="24"/>
                <w:highlight w:val="none"/>
                <w14:textFill>
                  <w14:solidFill>
                    <w14:schemeClr w14:val="tx1"/>
                  </w14:solidFill>
                </w14:textFill>
              </w:rPr>
            </w:pPr>
          </w:p>
        </w:tc>
      </w:tr>
    </w:tbl>
    <w:p w14:paraId="3CED6AF2">
      <w:pPr>
        <w:snapToGrid w:val="0"/>
        <w:spacing w:line="360" w:lineRule="auto"/>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w:t>
      </w:r>
    </w:p>
    <w:p w14:paraId="1966F599">
      <w:pPr>
        <w:snapToGrid w:val="0"/>
        <w:spacing w:line="360" w:lineRule="auto"/>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E69B64C">
      <w:pPr>
        <w:snapToGrid w:val="0"/>
        <w:spacing w:line="360" w:lineRule="auto"/>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2.本表所指的控股关系仅限于直接控股关系，不包括间接的控股关系。公司实际控制人与公司之间的关系不属于本表所指的直接控股关系。</w:t>
      </w:r>
    </w:p>
    <w:p w14:paraId="19713FFD">
      <w:pPr>
        <w:snapToGrid w:val="0"/>
        <w:spacing w:line="360" w:lineRule="auto"/>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3.供应商不存在直接控股股东的，则在“</w:t>
      </w:r>
      <w:r>
        <w:rPr>
          <w:rFonts w:hint="eastAsia" w:ascii="宋体" w:hAnsi="宋体" w:cs="宋体"/>
          <w:b/>
          <w:bCs/>
          <w:color w:val="000000" w:themeColor="text1"/>
          <w:kern w:val="0"/>
          <w:sz w:val="24"/>
          <w:highlight w:val="none"/>
          <w14:textFill>
            <w14:solidFill>
              <w14:schemeClr w14:val="tx1"/>
            </w14:solidFill>
          </w14:textFill>
        </w:rPr>
        <w:t>直接控股股东名称</w:t>
      </w:r>
      <w:r>
        <w:rPr>
          <w:rFonts w:hint="eastAsia" w:ascii="宋体" w:hAnsi="宋体"/>
          <w:color w:val="000000" w:themeColor="text1"/>
          <w:sz w:val="24"/>
          <w:highlight w:val="none"/>
          <w14:textFill>
            <w14:solidFill>
              <w14:schemeClr w14:val="tx1"/>
            </w14:solidFill>
          </w14:textFill>
        </w:rPr>
        <w:t>”中填“无”。</w:t>
      </w:r>
    </w:p>
    <w:p w14:paraId="42B7D29C">
      <w:pPr>
        <w:snapToGrid w:val="0"/>
        <w:spacing w:line="360" w:lineRule="auto"/>
        <w:jc w:val="left"/>
        <w:rPr>
          <w:rFonts w:hint="eastAsia" w:ascii="宋体" w:hAnsi="宋体"/>
          <w:color w:val="000000" w:themeColor="text1"/>
          <w:sz w:val="24"/>
          <w:highlight w:val="none"/>
          <w14:textFill>
            <w14:solidFill>
              <w14:schemeClr w14:val="tx1"/>
            </w14:solidFill>
          </w14:textFill>
        </w:rPr>
      </w:pPr>
    </w:p>
    <w:p w14:paraId="0EDCE439">
      <w:pPr>
        <w:snapToGrid w:val="0"/>
        <w:spacing w:line="360" w:lineRule="auto"/>
        <w:jc w:val="left"/>
        <w:rPr>
          <w:rFonts w:hint="eastAsia" w:ascii="宋体" w:hAnsi="宋体"/>
          <w:color w:val="000000" w:themeColor="text1"/>
          <w:sz w:val="24"/>
          <w:highlight w:val="none"/>
          <w14:textFill>
            <w14:solidFill>
              <w14:schemeClr w14:val="tx1"/>
            </w14:solidFill>
          </w14:textFill>
        </w:rPr>
      </w:pPr>
    </w:p>
    <w:p w14:paraId="5E9B2B66">
      <w:pPr>
        <w:snapToGrid w:val="0"/>
        <w:spacing w:line="360" w:lineRule="auto"/>
        <w:jc w:val="left"/>
        <w:rPr>
          <w:rFonts w:hint="eastAsia" w:ascii="宋体" w:hAnsi="宋体"/>
          <w:color w:val="000000" w:themeColor="text1"/>
          <w:sz w:val="24"/>
          <w:highlight w:val="none"/>
          <w14:textFill>
            <w14:solidFill>
              <w14:schemeClr w14:val="tx1"/>
            </w14:solidFill>
          </w14:textFill>
        </w:rPr>
      </w:pPr>
    </w:p>
    <w:p w14:paraId="13FCC3DC">
      <w:pPr>
        <w:snapToGrid w:val="0"/>
        <w:spacing w:line="360" w:lineRule="auto"/>
        <w:ind w:left="-2" w:leftChars="-1" w:right="-817" w:rightChars="-389"/>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法定代表人或者委托代理人（签字或者电子签名）：</w:t>
      </w:r>
    </w:p>
    <w:p w14:paraId="2C4EA30C">
      <w:pPr>
        <w:snapToGrid w:val="0"/>
        <w:spacing w:line="360" w:lineRule="auto"/>
        <w:ind w:left="-3" w:leftChars="-15" w:right="-817" w:rightChars="-389" w:hanging="28" w:hangingChars="12"/>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投标人名称（电子签章）：</w:t>
      </w:r>
    </w:p>
    <w:p w14:paraId="427B3F3F">
      <w:pPr>
        <w:snapToGrid w:val="0"/>
        <w:spacing w:line="360" w:lineRule="auto"/>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日期：    年   月   日</w:t>
      </w:r>
    </w:p>
    <w:p w14:paraId="64CFEBFA">
      <w:pPr>
        <w:snapToGrid w:val="0"/>
        <w:jc w:val="center"/>
        <w:rPr>
          <w:rFonts w:hint="eastAsia" w:ascii="宋体" w:hAnsi="宋体"/>
          <w:b/>
          <w:color w:val="000000" w:themeColor="text1"/>
          <w:sz w:val="28"/>
          <w:szCs w:val="28"/>
          <w:highlight w:val="none"/>
          <w14:textFill>
            <w14:solidFill>
              <w14:schemeClr w14:val="tx1"/>
            </w14:solidFill>
          </w14:textFill>
        </w:rPr>
      </w:pPr>
    </w:p>
    <w:p w14:paraId="4F924658">
      <w:pPr>
        <w:snapToGrid w:val="0"/>
        <w:spacing w:line="360" w:lineRule="auto"/>
        <w:jc w:val="left"/>
        <w:rPr>
          <w:rFonts w:hint="eastAsia" w:ascii="宋体" w:hAnsi="宋体"/>
          <w:b/>
          <w:color w:val="000000" w:themeColor="text1"/>
          <w:sz w:val="32"/>
          <w:szCs w:val="32"/>
          <w:highlight w:val="none"/>
          <w14:textFill>
            <w14:solidFill>
              <w14:schemeClr w14:val="tx1"/>
            </w14:solidFill>
          </w14:textFill>
        </w:rPr>
      </w:pPr>
      <w:r>
        <w:rPr>
          <w:rFonts w:ascii="宋体" w:hAnsi="宋体"/>
          <w:b/>
          <w:color w:val="000000" w:themeColor="text1"/>
          <w:sz w:val="32"/>
          <w:szCs w:val="32"/>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4.</w:t>
      </w:r>
      <w:r>
        <w:rPr>
          <w:rFonts w:hint="eastAsia"/>
          <w:color w:val="000000" w:themeColor="text1"/>
          <w:highlight w:val="none"/>
          <w14:textFill>
            <w14:solidFill>
              <w14:schemeClr w14:val="tx1"/>
            </w14:solidFill>
          </w14:textFill>
        </w:rPr>
        <w:t xml:space="preserve"> </w:t>
      </w:r>
      <w:r>
        <w:rPr>
          <w:rFonts w:hint="eastAsia" w:ascii="宋体" w:hAnsi="宋体"/>
          <w:b/>
          <w:color w:val="000000" w:themeColor="text1"/>
          <w:sz w:val="28"/>
          <w:szCs w:val="28"/>
          <w:highlight w:val="none"/>
          <w14:textFill>
            <w14:solidFill>
              <w14:schemeClr w14:val="tx1"/>
            </w14:solidFill>
          </w14:textFill>
        </w:rPr>
        <w:t>投标人直接管理关系信息表</w:t>
      </w:r>
    </w:p>
    <w:p w14:paraId="20A4026C">
      <w:pPr>
        <w:snapToGrid w:val="0"/>
        <w:spacing w:line="360" w:lineRule="auto"/>
        <w:jc w:val="center"/>
        <w:rPr>
          <w:rFonts w:hint="eastAsia" w:ascii="宋体" w:hAnsi="宋体"/>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投标人直接管理关系信息表</w:t>
      </w:r>
    </w:p>
    <w:tbl>
      <w:tblPr>
        <w:tblStyle w:val="48"/>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077D5C08">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F568450">
            <w:pPr>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A858030">
            <w:pPr>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E4E8CF4">
            <w:pPr>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3B8B24C">
            <w:pPr>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备注</w:t>
            </w:r>
          </w:p>
        </w:tc>
      </w:tr>
      <w:tr w14:paraId="12E7C543">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7E1900C">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7242E13">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49A60C8">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5D3440C">
            <w:pPr>
              <w:spacing w:line="360" w:lineRule="auto"/>
              <w:jc w:val="center"/>
              <w:rPr>
                <w:rFonts w:ascii="宋体" w:hAnsi="宋体" w:cs="宋体"/>
                <w:color w:val="000000" w:themeColor="text1"/>
                <w:kern w:val="0"/>
                <w:sz w:val="24"/>
                <w:highlight w:val="none"/>
                <w14:textFill>
                  <w14:solidFill>
                    <w14:schemeClr w14:val="tx1"/>
                  </w14:solidFill>
                </w14:textFill>
              </w:rPr>
            </w:pPr>
          </w:p>
        </w:tc>
      </w:tr>
      <w:tr w14:paraId="779DC594">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B854B0D">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B98832B">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3347082">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902E463">
            <w:pPr>
              <w:spacing w:line="360" w:lineRule="auto"/>
              <w:jc w:val="center"/>
              <w:rPr>
                <w:rFonts w:ascii="宋体" w:hAnsi="宋体" w:cs="宋体"/>
                <w:color w:val="000000" w:themeColor="text1"/>
                <w:kern w:val="0"/>
                <w:sz w:val="24"/>
                <w:highlight w:val="none"/>
                <w14:textFill>
                  <w14:solidFill>
                    <w14:schemeClr w14:val="tx1"/>
                  </w14:solidFill>
                </w14:textFill>
              </w:rPr>
            </w:pPr>
          </w:p>
        </w:tc>
      </w:tr>
      <w:tr w14:paraId="0B97A3F9">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8D2D26B">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52CE640">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E7E04C8">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DCE6704">
            <w:pPr>
              <w:spacing w:line="360" w:lineRule="auto"/>
              <w:jc w:val="center"/>
              <w:rPr>
                <w:rFonts w:ascii="宋体" w:hAnsi="宋体" w:cs="宋体"/>
                <w:color w:val="000000" w:themeColor="text1"/>
                <w:kern w:val="0"/>
                <w:sz w:val="24"/>
                <w:highlight w:val="none"/>
                <w14:textFill>
                  <w14:solidFill>
                    <w14:schemeClr w14:val="tx1"/>
                  </w14:solidFill>
                </w14:textFill>
              </w:rPr>
            </w:pPr>
          </w:p>
        </w:tc>
      </w:tr>
      <w:tr w14:paraId="4D8DAE1B">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57796E6">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66405A8">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ABEC428">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064D051">
            <w:pPr>
              <w:spacing w:line="360" w:lineRule="auto"/>
              <w:jc w:val="center"/>
              <w:rPr>
                <w:rFonts w:ascii="宋体" w:hAnsi="宋体" w:cs="宋体"/>
                <w:color w:val="000000" w:themeColor="text1"/>
                <w:kern w:val="0"/>
                <w:sz w:val="24"/>
                <w:highlight w:val="none"/>
                <w14:textFill>
                  <w14:solidFill>
                    <w14:schemeClr w14:val="tx1"/>
                  </w14:solidFill>
                </w14:textFill>
              </w:rPr>
            </w:pPr>
          </w:p>
        </w:tc>
      </w:tr>
    </w:tbl>
    <w:p w14:paraId="3CC127C5">
      <w:pPr>
        <w:snapToGrid w:val="0"/>
        <w:spacing w:line="360" w:lineRule="auto"/>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w:t>
      </w:r>
    </w:p>
    <w:p w14:paraId="4420DC6E">
      <w:pPr>
        <w:snapToGrid w:val="0"/>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1.管理关系：是指不具有出资持股关系的其他单位之间存在的管理与被管理关系，如一些上下级关系的事业单位和团体组织。</w:t>
      </w:r>
    </w:p>
    <w:p w14:paraId="3F4665F9">
      <w:pPr>
        <w:snapToGrid w:val="0"/>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w:t>
      </w:r>
      <w:r>
        <w:rPr>
          <w:rFonts w:hint="eastAsia" w:ascii="宋体" w:hAnsi="宋体"/>
          <w:color w:val="000000" w:themeColor="text1"/>
          <w:spacing w:val="-6"/>
          <w:sz w:val="24"/>
          <w:highlight w:val="none"/>
          <w14:textFill>
            <w14:solidFill>
              <w14:schemeClr w14:val="tx1"/>
            </w14:solidFill>
          </w14:textFill>
        </w:rPr>
        <w:t>本表所指的管理关系仅限于直接管理关系，不包括间接的管理关系。</w:t>
      </w:r>
    </w:p>
    <w:p w14:paraId="06B90C6A">
      <w:pPr>
        <w:snapToGrid w:val="0"/>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3.供应商不存在直接管理关系的，则在“</w:t>
      </w:r>
      <w:r>
        <w:rPr>
          <w:rFonts w:hint="eastAsia" w:ascii="宋体" w:hAnsi="宋体" w:cs="宋体"/>
          <w:b/>
          <w:bCs/>
          <w:color w:val="000000" w:themeColor="text1"/>
          <w:kern w:val="0"/>
          <w:sz w:val="24"/>
          <w:highlight w:val="none"/>
          <w14:textFill>
            <w14:solidFill>
              <w14:schemeClr w14:val="tx1"/>
            </w14:solidFill>
          </w14:textFill>
        </w:rPr>
        <w:t>直接管理关系单位名称</w:t>
      </w:r>
      <w:r>
        <w:rPr>
          <w:rFonts w:hint="eastAsia" w:ascii="宋体" w:hAnsi="宋体"/>
          <w:color w:val="000000" w:themeColor="text1"/>
          <w:sz w:val="24"/>
          <w:highlight w:val="none"/>
          <w14:textFill>
            <w14:solidFill>
              <w14:schemeClr w14:val="tx1"/>
            </w14:solidFill>
          </w14:textFill>
        </w:rPr>
        <w:t>”中填“无”。</w:t>
      </w:r>
    </w:p>
    <w:p w14:paraId="2BA94CE9">
      <w:pPr>
        <w:snapToGrid w:val="0"/>
        <w:spacing w:line="360" w:lineRule="auto"/>
        <w:jc w:val="left"/>
        <w:rPr>
          <w:rFonts w:hint="eastAsia" w:ascii="宋体" w:hAnsi="宋体"/>
          <w:color w:val="000000" w:themeColor="text1"/>
          <w:sz w:val="24"/>
          <w:highlight w:val="none"/>
          <w14:textFill>
            <w14:solidFill>
              <w14:schemeClr w14:val="tx1"/>
            </w14:solidFill>
          </w14:textFill>
        </w:rPr>
      </w:pPr>
    </w:p>
    <w:p w14:paraId="06934110">
      <w:pPr>
        <w:snapToGrid w:val="0"/>
        <w:spacing w:line="360" w:lineRule="auto"/>
        <w:jc w:val="left"/>
        <w:rPr>
          <w:rFonts w:hint="eastAsia" w:ascii="宋体" w:hAnsi="宋体"/>
          <w:color w:val="000000" w:themeColor="text1"/>
          <w:sz w:val="24"/>
          <w:highlight w:val="none"/>
          <w14:textFill>
            <w14:solidFill>
              <w14:schemeClr w14:val="tx1"/>
            </w14:solidFill>
          </w14:textFill>
        </w:rPr>
      </w:pPr>
    </w:p>
    <w:p w14:paraId="7F6601AB">
      <w:pPr>
        <w:snapToGrid w:val="0"/>
        <w:spacing w:line="360" w:lineRule="auto"/>
        <w:jc w:val="left"/>
        <w:rPr>
          <w:rFonts w:hint="eastAsia" w:ascii="宋体" w:hAnsi="宋体"/>
          <w:color w:val="000000" w:themeColor="text1"/>
          <w:sz w:val="24"/>
          <w:highlight w:val="none"/>
          <w14:textFill>
            <w14:solidFill>
              <w14:schemeClr w14:val="tx1"/>
            </w14:solidFill>
          </w14:textFill>
        </w:rPr>
      </w:pPr>
    </w:p>
    <w:p w14:paraId="7FB2488C">
      <w:pPr>
        <w:snapToGrid w:val="0"/>
        <w:spacing w:line="360" w:lineRule="auto"/>
        <w:jc w:val="left"/>
        <w:rPr>
          <w:rFonts w:hint="eastAsia"/>
          <w:color w:val="000000" w:themeColor="text1"/>
          <w:sz w:val="24"/>
          <w:highlight w:val="none"/>
          <w14:textFill>
            <w14:solidFill>
              <w14:schemeClr w14:val="tx1"/>
            </w14:solidFill>
          </w14:textFill>
        </w:rPr>
      </w:pPr>
    </w:p>
    <w:p w14:paraId="6CE403C7">
      <w:pPr>
        <w:snapToGrid w:val="0"/>
        <w:spacing w:line="360" w:lineRule="auto"/>
        <w:ind w:left="-2" w:leftChars="-1" w:right="-817" w:rightChars="-389"/>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法定代表人或者委托代理人（签字或者电子签名）：</w:t>
      </w:r>
    </w:p>
    <w:p w14:paraId="070E74CA">
      <w:pPr>
        <w:snapToGrid w:val="0"/>
        <w:spacing w:line="360" w:lineRule="auto"/>
        <w:ind w:left="-3" w:leftChars="-15" w:right="-817" w:rightChars="-389" w:hanging="28" w:hangingChars="12"/>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投标人名称（电子签章）：</w:t>
      </w:r>
    </w:p>
    <w:p w14:paraId="37603B09">
      <w:pPr>
        <w:snapToGrid w:val="0"/>
        <w:spacing w:line="360" w:lineRule="auto"/>
        <w:ind w:right="480" w:firstLine="240" w:firstLineChars="1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日期：    年   月   日</w:t>
      </w:r>
    </w:p>
    <w:p w14:paraId="1F0A0ACC">
      <w:pPr>
        <w:snapToGrid w:val="0"/>
        <w:spacing w:before="120" w:beforeLines="50" w:after="50"/>
        <w:jc w:val="left"/>
        <w:rPr>
          <w:rFonts w:hint="eastAsia" w:ascii="宋体" w:hAnsi="宋体"/>
          <w:b/>
          <w:color w:val="000000" w:themeColor="text1"/>
          <w:sz w:val="24"/>
          <w:szCs w:val="20"/>
          <w:highlight w:val="none"/>
          <w14:textFill>
            <w14:solidFill>
              <w14:schemeClr w14:val="tx1"/>
            </w14:solidFill>
          </w14:textFill>
        </w:rPr>
      </w:pPr>
    </w:p>
    <w:p w14:paraId="168EED40">
      <w:pPr>
        <w:snapToGrid w:val="0"/>
        <w:spacing w:before="120" w:beforeLines="50" w:after="50"/>
        <w:jc w:val="left"/>
        <w:rPr>
          <w:rFonts w:hint="eastAsia" w:ascii="宋体" w:hAnsi="宋体"/>
          <w:b/>
          <w:color w:val="000000" w:themeColor="text1"/>
          <w:sz w:val="24"/>
          <w:szCs w:val="20"/>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5.投标声明</w:t>
      </w:r>
    </w:p>
    <w:p w14:paraId="7856F363">
      <w:pPr>
        <w:snapToGrid w:val="0"/>
        <w:spacing w:before="50" w:after="120" w:afterLines="50"/>
        <w:jc w:val="left"/>
        <w:rPr>
          <w:rFonts w:hint="eastAsia" w:ascii="宋体" w:hAnsi="宋体"/>
          <w:color w:val="000000" w:themeColor="text1"/>
          <w:highlight w:val="none"/>
          <w14:textFill>
            <w14:solidFill>
              <w14:schemeClr w14:val="tx1"/>
            </w14:solidFill>
          </w14:textFill>
        </w:rPr>
      </w:pPr>
    </w:p>
    <w:p w14:paraId="5485CC69">
      <w:pPr>
        <w:snapToGrid w:val="0"/>
        <w:spacing w:before="50" w:after="120" w:afterLines="50"/>
        <w:jc w:val="cente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投标声明</w:t>
      </w:r>
    </w:p>
    <w:p w14:paraId="7A69B2DD">
      <w:pPr>
        <w:spacing w:line="400" w:lineRule="exact"/>
        <w:contextualSpacing/>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（采购人名称）：</w:t>
      </w:r>
    </w:p>
    <w:p w14:paraId="09BB1166">
      <w:pPr>
        <w:spacing w:line="400" w:lineRule="exact"/>
        <w:ind w:firstLine="523" w:firstLineChars="218"/>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我方参加贵单位组织</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项目（项目编号：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）的政府采购活动。我方在此郑重声明：</w:t>
      </w:r>
    </w:p>
    <w:p w14:paraId="698C0D84">
      <w:pPr>
        <w:spacing w:line="400" w:lineRule="exact"/>
        <w:ind w:firstLine="480" w:firstLineChars="200"/>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1A97A75F">
      <w:pPr>
        <w:spacing w:line="400" w:lineRule="exact"/>
        <w:ind w:firstLine="480" w:firstLineChars="200"/>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2.我方不是为本次采购项目提供整体设计、规范编制或者项目管理、监理、检测等服务的供应商。</w:t>
      </w:r>
    </w:p>
    <w:p w14:paraId="0F1886ED">
      <w:pPr>
        <w:spacing w:line="400" w:lineRule="exact"/>
        <w:ind w:firstLine="480" w:firstLineChars="200"/>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 我方承诺符合《中华人民共和国政府采购法》第二十二条规定：</w:t>
      </w:r>
    </w:p>
    <w:p w14:paraId="66F4A7CF">
      <w:pPr>
        <w:spacing w:line="400" w:lineRule="exact"/>
        <w:ind w:firstLine="480" w:firstLineChars="200"/>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（一）具有独立承担民事责任的能力；</w:t>
      </w:r>
    </w:p>
    <w:p w14:paraId="5B9B2BAE">
      <w:pPr>
        <w:spacing w:line="400" w:lineRule="exact"/>
        <w:ind w:firstLine="480" w:firstLineChars="200"/>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（二）具有良好的商业信誉和健全的财务会计制度；</w:t>
      </w:r>
    </w:p>
    <w:p w14:paraId="5C5BF791">
      <w:pPr>
        <w:spacing w:line="400" w:lineRule="exact"/>
        <w:ind w:firstLine="480" w:firstLineChars="200"/>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（三）具有履行合同所必需的设备和专业技术能力；</w:t>
      </w:r>
    </w:p>
    <w:p w14:paraId="00DB8887">
      <w:pPr>
        <w:spacing w:line="400" w:lineRule="exact"/>
        <w:ind w:firstLine="480" w:firstLineChars="200"/>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（四）有依法缴纳税收和社会保障资金的良好记录；</w:t>
      </w:r>
    </w:p>
    <w:p w14:paraId="0D4454FD">
      <w:pPr>
        <w:spacing w:line="400" w:lineRule="exact"/>
        <w:ind w:firstLine="480" w:firstLineChars="200"/>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（五）参加政府采购活动前三年内，在经营活动中没有重大违法记录；</w:t>
      </w:r>
    </w:p>
    <w:p w14:paraId="22F6069C">
      <w:pPr>
        <w:spacing w:line="400" w:lineRule="exact"/>
        <w:ind w:firstLine="480" w:firstLineChars="200"/>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（六）法律、行政法规规定的其他条件。</w:t>
      </w:r>
    </w:p>
    <w:p w14:paraId="74BAD68E">
      <w:pPr>
        <w:spacing w:line="400" w:lineRule="exact"/>
        <w:ind w:firstLine="480" w:firstLineChars="200"/>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4.以上事项如有虚假或者隐瞒，我方愿意承担一切后果，并不再寻求任何旨在减轻或者免除法律责任的辩解。</w:t>
      </w:r>
    </w:p>
    <w:p w14:paraId="59E168B5">
      <w:pPr>
        <w:spacing w:line="400" w:lineRule="exact"/>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特此承诺。</w:t>
      </w:r>
    </w:p>
    <w:p w14:paraId="61A78C43">
      <w:pPr>
        <w:snapToGrid w:val="0"/>
        <w:spacing w:before="50" w:after="50"/>
        <w:rPr>
          <w:rFonts w:ascii="宋体" w:hAnsi="宋体"/>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p>
    <w:p w14:paraId="5907A3AF">
      <w:pPr>
        <w:snapToGrid w:val="0"/>
        <w:spacing w:before="50" w:after="50"/>
        <w:ind w:firstLine="840" w:firstLineChars="350"/>
        <w:rPr>
          <w:rFonts w:hint="eastAsia" w:ascii="宋体" w:hAnsi="宋体"/>
          <w:color w:val="000000" w:themeColor="text1"/>
          <w:spacing w:val="20"/>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法定代表人或者委托代理人</w:t>
      </w:r>
      <w:r>
        <w:rPr>
          <w:rFonts w:hint="eastAsia" w:ascii="宋体" w:hAnsi="宋体"/>
          <w:color w:val="000000" w:themeColor="text1"/>
          <w:spacing w:val="20"/>
          <w:sz w:val="24"/>
          <w:highlight w:val="none"/>
          <w14:textFill>
            <w14:solidFill>
              <w14:schemeClr w14:val="tx1"/>
            </w14:solidFill>
          </w14:textFill>
        </w:rPr>
        <w:t>（签字或者电子签名）：</w:t>
      </w:r>
      <w:r>
        <w:rPr>
          <w:rFonts w:hint="eastAsia" w:ascii="宋体" w:hAnsi="宋体"/>
          <w:color w:val="000000" w:themeColor="text1"/>
          <w:spacing w:val="20"/>
          <w:sz w:val="24"/>
          <w:highlight w:val="none"/>
          <w:u w:val="single"/>
          <w14:textFill>
            <w14:solidFill>
              <w14:schemeClr w14:val="tx1"/>
            </w14:solidFill>
          </w14:textFill>
        </w:rPr>
        <w:t xml:space="preserve">        </w:t>
      </w:r>
    </w:p>
    <w:p w14:paraId="0F87EF63">
      <w:pPr>
        <w:spacing w:line="400" w:lineRule="exact"/>
        <w:contextualSpacing/>
        <w:jc w:val="left"/>
        <w:rPr>
          <w:rFonts w:hint="eastAsia" w:ascii="宋体" w:hAnsi="宋体"/>
          <w:color w:val="000000" w:themeColor="text1"/>
          <w:sz w:val="24"/>
          <w:highlight w:val="none"/>
          <w14:textFill>
            <w14:solidFill>
              <w14:schemeClr w14:val="tx1"/>
            </w14:solidFill>
          </w14:textFill>
        </w:rPr>
      </w:pPr>
    </w:p>
    <w:p w14:paraId="3636E1EC">
      <w:pPr>
        <w:spacing w:line="400" w:lineRule="exact"/>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投标人名称（电子签章）：</w:t>
      </w:r>
      <w:r>
        <w:rPr>
          <w:rFonts w:hint="eastAsia" w:ascii="宋体" w:hAnsi="宋体"/>
          <w:color w:val="000000" w:themeColor="text1"/>
          <w:sz w:val="24"/>
          <w:highlight w:val="none"/>
          <w:u w:val="single"/>
          <w14:textFill>
            <w14:solidFill>
              <w14:schemeClr w14:val="tx1"/>
            </w14:solidFill>
          </w14:textFill>
        </w:rPr>
        <w:t xml:space="preserve">                 </w:t>
      </w:r>
    </w:p>
    <w:p w14:paraId="11263DA6">
      <w:pPr>
        <w:spacing w:line="400" w:lineRule="exact"/>
        <w:contextualSpacing/>
        <w:jc w:val="left"/>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年    月    日</w:t>
      </w:r>
    </w:p>
    <w:p w14:paraId="6CEA6F56">
      <w:pPr>
        <w:spacing w:line="440" w:lineRule="exact"/>
        <w:contextualSpacing/>
        <w:rPr>
          <w:rFonts w:hint="eastAsia" w:ascii="宋体" w:hAnsi="宋体"/>
          <w:b/>
          <w:color w:val="000000" w:themeColor="text1"/>
          <w:sz w:val="24"/>
          <w:highlight w:val="none"/>
          <w14:textFill>
            <w14:solidFill>
              <w14:schemeClr w14:val="tx1"/>
            </w14:solidFill>
          </w14:textFill>
        </w:rPr>
      </w:pPr>
      <w:bookmarkStart w:id="154" w:name="_Toc19686838"/>
      <w:r>
        <w:rPr>
          <w:rFonts w:hint="eastAsia" w:ascii="宋体" w:hAnsi="宋体"/>
          <w:b/>
          <w:color w:val="000000" w:themeColor="text1"/>
          <w:sz w:val="24"/>
          <w:highlight w:val="none"/>
          <w14:textFill>
            <w14:solidFill>
              <w14:schemeClr w14:val="tx1"/>
            </w14:solidFill>
          </w14:textFill>
        </w:rPr>
        <w:t>注：如为联合体投标，盖章处须加盖联合体牵头人电子签章并由联合体牵头人法定代表人签字或者盖章或者电子签名，否则投标无效。</w:t>
      </w:r>
    </w:p>
    <w:p w14:paraId="593E126D">
      <w:pPr>
        <w:rPr>
          <w:rFonts w:hint="eastAsia"/>
          <w:b/>
          <w:color w:val="000000" w:themeColor="text1"/>
          <w:sz w:val="28"/>
          <w:szCs w:val="28"/>
          <w:highlight w:val="none"/>
          <w14:textFill>
            <w14:solidFill>
              <w14:schemeClr w14:val="tx1"/>
            </w14:solidFill>
          </w14:textFill>
        </w:rPr>
      </w:pPr>
      <w:r>
        <w:rPr>
          <w:b/>
          <w:color w:val="000000" w:themeColor="text1"/>
          <w:sz w:val="28"/>
          <w:szCs w:val="28"/>
          <w:highlight w:val="none"/>
          <w14:textFill>
            <w14:solidFill>
              <w14:schemeClr w14:val="tx1"/>
            </w14:solidFill>
          </w14:textFill>
        </w:rPr>
        <w:br w:type="page"/>
      </w:r>
      <w:r>
        <w:rPr>
          <w:rFonts w:hint="eastAsia"/>
          <w:b/>
          <w:color w:val="000000" w:themeColor="text1"/>
          <w:sz w:val="28"/>
          <w:szCs w:val="28"/>
          <w:highlight w:val="none"/>
          <w14:textFill>
            <w14:solidFill>
              <w14:schemeClr w14:val="tx1"/>
            </w14:solidFill>
          </w14:textFill>
        </w:rPr>
        <w:t>三、商务及技术文件格式</w:t>
      </w:r>
      <w:bookmarkEnd w:id="154"/>
    </w:p>
    <w:p w14:paraId="675C0A5E">
      <w:pPr>
        <w:snapToGrid w:val="0"/>
        <w:spacing w:before="120" w:beforeLines="50" w:after="50" w:line="360" w:lineRule="auto"/>
        <w:jc w:val="left"/>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 xml:space="preserve">1.商务及技术文件封面格式： </w:t>
      </w:r>
    </w:p>
    <w:p w14:paraId="24273A73">
      <w:pPr>
        <w:snapToGrid w:val="0"/>
        <w:spacing w:before="120" w:beforeLines="50" w:after="50"/>
        <w:jc w:val="center"/>
        <w:rPr>
          <w:rFonts w:hint="eastAsia" w:ascii="宋体" w:hAnsi="宋体"/>
          <w:color w:val="000000" w:themeColor="text1"/>
          <w:sz w:val="24"/>
          <w:highlight w:val="none"/>
          <w14:textFill>
            <w14:solidFill>
              <w14:schemeClr w14:val="tx1"/>
            </w14:solidFill>
          </w14:textFill>
        </w:rPr>
      </w:pPr>
      <w:r>
        <w:rPr>
          <w:rFonts w:hint="eastAsia" w:ascii="宋体" w:hAnsi="宋体" w:eastAsia="方正小标宋简体"/>
          <w:bCs/>
          <w:color w:val="000000" w:themeColor="text1"/>
          <w:sz w:val="48"/>
          <w:szCs w:val="48"/>
          <w:highlight w:val="none"/>
          <w14:textFill>
            <w14:solidFill>
              <w14:schemeClr w14:val="tx1"/>
            </w14:solidFill>
          </w14:textFill>
        </w:rPr>
        <w:t>电子投标文件</w:t>
      </w:r>
    </w:p>
    <w:p w14:paraId="766B14ED">
      <w:pPr>
        <w:snapToGrid w:val="0"/>
        <w:spacing w:before="120" w:beforeLines="50" w:after="50"/>
        <w:jc w:val="cente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商务及技术文件</w:t>
      </w:r>
    </w:p>
    <w:p w14:paraId="6CD34244">
      <w:pPr>
        <w:snapToGrid w:val="0"/>
        <w:spacing w:before="120" w:beforeLines="50" w:after="50"/>
        <w:rPr>
          <w:rFonts w:hint="eastAsia" w:ascii="宋体" w:hAnsi="宋体"/>
          <w:bCs/>
          <w:color w:val="000000" w:themeColor="text1"/>
          <w:sz w:val="24"/>
          <w:szCs w:val="20"/>
          <w:highlight w:val="none"/>
          <w14:textFill>
            <w14:solidFill>
              <w14:schemeClr w14:val="tx1"/>
            </w14:solidFill>
          </w14:textFill>
        </w:rPr>
      </w:pPr>
    </w:p>
    <w:p w14:paraId="2F34108B">
      <w:pPr>
        <w:snapToGrid w:val="0"/>
        <w:spacing w:before="120" w:beforeLines="50" w:after="50"/>
        <w:ind w:firstLine="540" w:firstLineChars="225"/>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项目名称：</w:t>
      </w:r>
    </w:p>
    <w:p w14:paraId="43F07FF4">
      <w:pPr>
        <w:snapToGrid w:val="0"/>
        <w:spacing w:before="120" w:beforeLines="50" w:after="50"/>
        <w:ind w:firstLine="540" w:firstLineChars="225"/>
        <w:rPr>
          <w:rFonts w:hint="eastAsia" w:ascii="宋体" w:hAnsi="宋体"/>
          <w:bCs/>
          <w:color w:val="000000" w:themeColor="text1"/>
          <w:sz w:val="24"/>
          <w:szCs w:val="20"/>
          <w:highlight w:val="none"/>
          <w14:textFill>
            <w14:solidFill>
              <w14:schemeClr w14:val="tx1"/>
            </w14:solidFill>
          </w14:textFill>
        </w:rPr>
      </w:pPr>
    </w:p>
    <w:p w14:paraId="37C3BFB3">
      <w:pPr>
        <w:snapToGrid w:val="0"/>
        <w:spacing w:before="120" w:beforeLines="50" w:after="50"/>
        <w:ind w:firstLine="540" w:firstLineChars="225"/>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项目编号：</w:t>
      </w:r>
    </w:p>
    <w:p w14:paraId="6DE98347">
      <w:pPr>
        <w:snapToGrid w:val="0"/>
        <w:spacing w:before="120" w:beforeLines="50" w:after="50"/>
        <w:ind w:firstLine="540" w:firstLineChars="225"/>
        <w:rPr>
          <w:rFonts w:hint="eastAsia" w:ascii="宋体" w:hAnsi="宋体"/>
          <w:bCs/>
          <w:color w:val="000000" w:themeColor="text1"/>
          <w:sz w:val="24"/>
          <w:szCs w:val="20"/>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 xml:space="preserve"> </w:t>
      </w:r>
    </w:p>
    <w:p w14:paraId="6C0F461C">
      <w:pPr>
        <w:snapToGrid w:val="0"/>
        <w:spacing w:before="120" w:beforeLines="50" w:after="50"/>
        <w:ind w:firstLine="540" w:firstLineChars="225"/>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所投分标：</w:t>
      </w:r>
    </w:p>
    <w:p w14:paraId="0BC980CA">
      <w:pPr>
        <w:snapToGrid w:val="0"/>
        <w:spacing w:before="120" w:beforeLines="50" w:after="50"/>
        <w:ind w:firstLine="540" w:firstLineChars="225"/>
        <w:rPr>
          <w:rFonts w:hint="eastAsia" w:ascii="宋体" w:hAnsi="宋体"/>
          <w:bCs/>
          <w:color w:val="000000" w:themeColor="text1"/>
          <w:sz w:val="24"/>
          <w:szCs w:val="20"/>
          <w:highlight w:val="none"/>
          <w14:textFill>
            <w14:solidFill>
              <w14:schemeClr w14:val="tx1"/>
            </w14:solidFill>
          </w14:textFill>
        </w:rPr>
      </w:pPr>
    </w:p>
    <w:p w14:paraId="30E74952">
      <w:pPr>
        <w:pStyle w:val="9"/>
        <w:snapToGrid w:val="0"/>
        <w:spacing w:before="50" w:after="50"/>
        <w:ind w:firstLine="540" w:firstLineChars="225"/>
        <w:rPr>
          <w:rFonts w:hint="eastAsia"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投标人名称：</w:t>
      </w:r>
    </w:p>
    <w:p w14:paraId="5CEAA00B">
      <w:pPr>
        <w:pStyle w:val="9"/>
        <w:snapToGrid w:val="0"/>
        <w:spacing w:before="50" w:after="50"/>
        <w:ind w:firstLine="540" w:firstLineChars="225"/>
        <w:rPr>
          <w:rFonts w:hint="eastAsia" w:ascii="宋体" w:hAnsi="宋体"/>
          <w:bCs/>
          <w:color w:val="000000" w:themeColor="text1"/>
          <w:sz w:val="24"/>
          <w:szCs w:val="24"/>
          <w:highlight w:val="none"/>
          <w14:textFill>
            <w14:solidFill>
              <w14:schemeClr w14:val="tx1"/>
            </w14:solidFill>
          </w14:textFill>
        </w:rPr>
      </w:pPr>
    </w:p>
    <w:p w14:paraId="408C1373">
      <w:pPr>
        <w:pStyle w:val="9"/>
        <w:snapToGrid w:val="0"/>
        <w:spacing w:before="50" w:after="50"/>
        <w:ind w:firstLine="540" w:firstLineChars="225"/>
        <w:rPr>
          <w:rFonts w:hint="eastAsia"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投标人地址：</w:t>
      </w:r>
    </w:p>
    <w:p w14:paraId="7B69C6D7">
      <w:pPr>
        <w:pStyle w:val="9"/>
        <w:snapToGrid w:val="0"/>
        <w:spacing w:before="50" w:after="50"/>
        <w:ind w:firstLine="960" w:firstLineChars="400"/>
        <w:rPr>
          <w:rFonts w:hint="eastAsia" w:ascii="宋体" w:hAnsi="宋体"/>
          <w:bCs/>
          <w:color w:val="000000" w:themeColor="text1"/>
          <w:sz w:val="24"/>
          <w:szCs w:val="24"/>
          <w:highlight w:val="none"/>
          <w14:textFill>
            <w14:solidFill>
              <w14:schemeClr w14:val="tx1"/>
            </w14:solidFill>
          </w14:textFill>
        </w:rPr>
      </w:pPr>
    </w:p>
    <w:p w14:paraId="21185335">
      <w:pPr>
        <w:snapToGrid w:val="0"/>
        <w:spacing w:before="120" w:beforeLines="50" w:after="50"/>
        <w:ind w:firstLine="64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年  月  日</w:t>
      </w:r>
    </w:p>
    <w:p w14:paraId="6BCF72FC">
      <w:pPr>
        <w:snapToGrid w:val="0"/>
        <w:spacing w:before="120" w:beforeLines="50" w:after="50"/>
        <w:rPr>
          <w:rFonts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 xml:space="preserve"> </w:t>
      </w:r>
    </w:p>
    <w:p w14:paraId="4CA52107">
      <w:pPr>
        <w:snapToGrid w:val="0"/>
        <w:spacing w:line="360" w:lineRule="auto"/>
        <w:jc w:val="left"/>
        <w:rPr>
          <w:rFonts w:hint="eastAsia" w:ascii="宋体" w:hAnsi="宋体"/>
          <w:b/>
          <w:color w:val="000000" w:themeColor="text1"/>
          <w:sz w:val="24"/>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2.商务及技术文件目录</w:t>
      </w:r>
    </w:p>
    <w:p w14:paraId="4BD0D7D3">
      <w:pPr>
        <w:snapToGrid w:val="0"/>
        <w:spacing w:before="50" w:after="120" w:afterLines="50" w:line="360" w:lineRule="auto"/>
        <w:ind w:firstLine="560" w:firstLineChars="200"/>
        <w:jc w:val="left"/>
        <w:rPr>
          <w:rFonts w:ascii="微软雅黑" w:hAnsi="微软雅黑" w:eastAsia="微软雅黑"/>
          <w:b/>
          <w:bCs/>
          <w:color w:val="000000" w:themeColor="text1"/>
          <w:sz w:val="32"/>
          <w:szCs w:val="32"/>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根据招标文件规定及投标人提供的材料自行编写目录。</w:t>
      </w:r>
    </w:p>
    <w:p w14:paraId="631C2CF0">
      <w:pPr>
        <w:snapToGrid w:val="0"/>
        <w:spacing w:before="50" w:after="120" w:afterLines="50"/>
        <w:jc w:val="left"/>
        <w:rPr>
          <w:rFonts w:hint="eastAsia" w:ascii="宋体" w:hAnsi="宋体"/>
          <w:color w:val="000000" w:themeColor="text1"/>
          <w:highlight w:val="none"/>
          <w14:textFill>
            <w14:solidFill>
              <w14:schemeClr w14:val="tx1"/>
            </w14:solidFill>
          </w14:textFill>
        </w:rPr>
      </w:pPr>
    </w:p>
    <w:p w14:paraId="67E40D9E">
      <w:pPr>
        <w:snapToGrid w:val="0"/>
        <w:spacing w:before="120" w:beforeLines="50" w:after="50"/>
        <w:jc w:val="left"/>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3.投标人参加本项目无围标串标行为的承诺</w:t>
      </w:r>
    </w:p>
    <w:p w14:paraId="70AECCD7">
      <w:pPr>
        <w:snapToGrid w:val="0"/>
        <w:spacing w:before="120" w:beforeLines="50" w:after="50"/>
        <w:jc w:val="left"/>
        <w:rPr>
          <w:rFonts w:hint="eastAsia" w:ascii="宋体" w:hAnsi="宋体"/>
          <w:b/>
          <w:color w:val="000000" w:themeColor="text1"/>
          <w:sz w:val="24"/>
          <w:highlight w:val="none"/>
          <w14:textFill>
            <w14:solidFill>
              <w14:schemeClr w14:val="tx1"/>
            </w14:solidFill>
          </w14:textFill>
        </w:rPr>
      </w:pPr>
    </w:p>
    <w:p w14:paraId="52D05626">
      <w:pPr>
        <w:spacing w:line="360" w:lineRule="auto"/>
        <w:ind w:left="420"/>
        <w:contextualSpacing/>
        <w:jc w:val="center"/>
        <w:rPr>
          <w:rFonts w:ascii="宋体" w:hAnsi="宋体"/>
          <w:b/>
          <w:color w:val="000000" w:themeColor="text1"/>
          <w:sz w:val="24"/>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pacing w:val="-11"/>
          <w:sz w:val="44"/>
          <w:szCs w:val="44"/>
          <w:highlight w:val="none"/>
          <w14:textFill>
            <w14:solidFill>
              <w14:schemeClr w14:val="tx1"/>
            </w14:solidFill>
          </w14:textFill>
        </w:rPr>
        <w:t>投标人参加本项目无围标串标行为的承诺函</w:t>
      </w:r>
    </w:p>
    <w:p w14:paraId="55987FFF">
      <w:pPr>
        <w:spacing w:line="440" w:lineRule="exact"/>
        <w:contextualSpacing/>
        <w:jc w:val="left"/>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一、我方承诺无下列相互串通投标的情形：</w:t>
      </w:r>
    </w:p>
    <w:p w14:paraId="0B301149">
      <w:pPr>
        <w:spacing w:line="440" w:lineRule="exact"/>
        <w:ind w:firstLine="470" w:firstLineChars="196"/>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eastAsia="zh-CN"/>
          <w14:textFill>
            <w14:solidFill>
              <w14:schemeClr w14:val="tx1"/>
            </w14:solidFill>
          </w14:textFill>
        </w:rPr>
        <w:t>不同投标人的投标文件由同一单位或者个人编制；或不同投标人报名的IP地址一致的</w:t>
      </w:r>
      <w:r>
        <w:rPr>
          <w:rFonts w:hint="eastAsia" w:ascii="宋体" w:hAnsi="宋体"/>
          <w:color w:val="000000" w:themeColor="text1"/>
          <w:sz w:val="24"/>
          <w:highlight w:val="none"/>
          <w14:textFill>
            <w14:solidFill>
              <w14:schemeClr w14:val="tx1"/>
            </w14:solidFill>
          </w14:textFill>
        </w:rPr>
        <w:t>；</w:t>
      </w:r>
    </w:p>
    <w:p w14:paraId="5056B4B8">
      <w:pPr>
        <w:spacing w:line="440" w:lineRule="exact"/>
        <w:ind w:firstLine="470" w:firstLineChars="196"/>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2.不同投标人委托同一单位或者个人办理投标事宜；</w:t>
      </w:r>
    </w:p>
    <w:p w14:paraId="453514D5">
      <w:pPr>
        <w:spacing w:line="440" w:lineRule="exact"/>
        <w:ind w:firstLine="470" w:firstLineChars="196"/>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3.不同的投标人的投标文件载明的项目管理员为同一个人；</w:t>
      </w:r>
    </w:p>
    <w:p w14:paraId="74209EF2">
      <w:pPr>
        <w:spacing w:line="440" w:lineRule="exact"/>
        <w:ind w:firstLine="470" w:firstLineChars="196"/>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4.不同投标人的投标文件异常一致或者投标报价呈规律性差异；</w:t>
      </w:r>
    </w:p>
    <w:p w14:paraId="53053318">
      <w:pPr>
        <w:spacing w:line="440" w:lineRule="exact"/>
        <w:ind w:firstLine="470" w:firstLineChars="196"/>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5.不同投标人的投标文件相互混装；</w:t>
      </w:r>
    </w:p>
    <w:p w14:paraId="61801FBB">
      <w:pPr>
        <w:spacing w:line="440" w:lineRule="exact"/>
        <w:ind w:firstLine="470" w:firstLineChars="196"/>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6.不同投标人的投标保证金从同一单位或者个人账户转出。</w:t>
      </w:r>
    </w:p>
    <w:p w14:paraId="7DC66745">
      <w:pPr>
        <w:spacing w:line="440" w:lineRule="exact"/>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二、我方承诺无下列恶意串通的情形：</w:t>
      </w:r>
    </w:p>
    <w:p w14:paraId="3CB0D7E7">
      <w:pPr>
        <w:spacing w:line="440" w:lineRule="exact"/>
        <w:ind w:firstLine="470" w:firstLineChars="196"/>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1.投标人直接或者间接从采购人或者采购代理机构处获得其他投标人的相关信息并修改其投标文件或者</w:t>
      </w:r>
      <w:r>
        <w:rPr>
          <w:rFonts w:hint="eastAsia" w:ascii="宋体" w:hAnsi="宋体"/>
          <w:color w:val="000000" w:themeColor="text1"/>
          <w:sz w:val="24"/>
          <w:highlight w:val="none"/>
          <w:lang w:eastAsia="zh-CN"/>
          <w14:textFill>
            <w14:solidFill>
              <w14:schemeClr w14:val="tx1"/>
            </w14:solidFill>
          </w14:textFill>
        </w:rPr>
        <w:t>投标文件</w:t>
      </w:r>
      <w:r>
        <w:rPr>
          <w:rFonts w:hint="eastAsia" w:ascii="宋体" w:hAnsi="宋体"/>
          <w:color w:val="000000" w:themeColor="text1"/>
          <w:sz w:val="24"/>
          <w:highlight w:val="none"/>
          <w14:textFill>
            <w14:solidFill>
              <w14:schemeClr w14:val="tx1"/>
            </w14:solidFill>
          </w14:textFill>
        </w:rPr>
        <w:t>；</w:t>
      </w:r>
    </w:p>
    <w:p w14:paraId="27907A39">
      <w:pPr>
        <w:spacing w:line="440" w:lineRule="exact"/>
        <w:ind w:firstLine="470" w:firstLineChars="196"/>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2.投标人按照采购人或者采购代理机构的授意撤换、修改投标文件或者</w:t>
      </w:r>
      <w:r>
        <w:rPr>
          <w:rFonts w:hint="eastAsia" w:ascii="宋体" w:hAnsi="宋体"/>
          <w:color w:val="000000" w:themeColor="text1"/>
          <w:sz w:val="24"/>
          <w:highlight w:val="none"/>
          <w:lang w:eastAsia="zh-CN"/>
          <w14:textFill>
            <w14:solidFill>
              <w14:schemeClr w14:val="tx1"/>
            </w14:solidFill>
          </w14:textFill>
        </w:rPr>
        <w:t>投标文件</w:t>
      </w:r>
      <w:r>
        <w:rPr>
          <w:rFonts w:hint="eastAsia" w:ascii="宋体" w:hAnsi="宋体"/>
          <w:color w:val="000000" w:themeColor="text1"/>
          <w:sz w:val="24"/>
          <w:highlight w:val="none"/>
          <w14:textFill>
            <w14:solidFill>
              <w14:schemeClr w14:val="tx1"/>
            </w14:solidFill>
          </w14:textFill>
        </w:rPr>
        <w:t>；</w:t>
      </w:r>
    </w:p>
    <w:p w14:paraId="01EE326A">
      <w:pPr>
        <w:spacing w:line="440" w:lineRule="exact"/>
        <w:ind w:firstLine="470" w:firstLineChars="196"/>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3.投标人之间协商报价、技术方案等投标文件或者</w:t>
      </w:r>
      <w:r>
        <w:rPr>
          <w:rFonts w:hint="eastAsia" w:ascii="宋体" w:hAnsi="宋体"/>
          <w:color w:val="000000" w:themeColor="text1"/>
          <w:sz w:val="24"/>
          <w:highlight w:val="none"/>
          <w:lang w:eastAsia="zh-CN"/>
          <w14:textFill>
            <w14:solidFill>
              <w14:schemeClr w14:val="tx1"/>
            </w14:solidFill>
          </w14:textFill>
        </w:rPr>
        <w:t>投标文件</w:t>
      </w:r>
      <w:r>
        <w:rPr>
          <w:rFonts w:hint="eastAsia" w:ascii="宋体" w:hAnsi="宋体"/>
          <w:color w:val="000000" w:themeColor="text1"/>
          <w:sz w:val="24"/>
          <w:highlight w:val="none"/>
          <w14:textFill>
            <w14:solidFill>
              <w14:schemeClr w14:val="tx1"/>
            </w14:solidFill>
          </w14:textFill>
        </w:rPr>
        <w:t>的实质性内容；</w:t>
      </w:r>
    </w:p>
    <w:p w14:paraId="2B0ECBD8">
      <w:pPr>
        <w:spacing w:line="440" w:lineRule="exact"/>
        <w:ind w:firstLine="470" w:firstLineChars="196"/>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4.属于同一集团、协会、商会等组织成员的投标人按照该组织要求协同参加政府采购活动；</w:t>
      </w:r>
    </w:p>
    <w:p w14:paraId="6165E896">
      <w:pPr>
        <w:spacing w:line="440" w:lineRule="exact"/>
        <w:ind w:firstLine="470" w:firstLineChars="196"/>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5.投标人之间事先约定一致抬高或者压低投标报价，或者在招标项目中事先约定轮流以高价位或者低价位中标，或者事先约定由某一特定投标人中标，然后再参加投标；</w:t>
      </w:r>
    </w:p>
    <w:p w14:paraId="38B80A90">
      <w:pPr>
        <w:spacing w:line="440" w:lineRule="exact"/>
        <w:ind w:firstLine="470" w:firstLineChars="196"/>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6.投标人之间商定部分投标人放弃参加政府采购活动或者放弃中标；</w:t>
      </w:r>
    </w:p>
    <w:p w14:paraId="0D4E3A57">
      <w:pPr>
        <w:spacing w:line="440" w:lineRule="exact"/>
        <w:ind w:firstLine="470" w:firstLineChars="196"/>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7.投标人与采购人或者采购代理机构之间、投标人相互之间，为谋求特定投标人中标或者排斥其他投标人的其他串通行为。</w:t>
      </w:r>
    </w:p>
    <w:p w14:paraId="165ECCF5">
      <w:pPr>
        <w:spacing w:line="440" w:lineRule="exact"/>
        <w:ind w:firstLine="472" w:firstLineChars="196"/>
        <w:contextualSpacing/>
        <w:jc w:val="left"/>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以上情形一经核查属实，我方愿意承担一切后果，并不再寻求任何旨在减轻或者免除法律责任的辩解。</w:t>
      </w:r>
    </w:p>
    <w:p w14:paraId="499C94B6">
      <w:pPr>
        <w:pStyle w:val="27"/>
        <w:spacing w:line="440" w:lineRule="exact"/>
        <w:ind w:firstLine="960" w:firstLineChars="400"/>
        <w:contextualSpacing/>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法定代表人或者委托代理人</w:t>
      </w:r>
      <w:r>
        <w:rPr>
          <w:rFonts w:hint="eastAsia" w:hAnsi="宋体"/>
          <w:color w:val="000000" w:themeColor="text1"/>
          <w:spacing w:val="20"/>
          <w:sz w:val="24"/>
          <w:highlight w:val="none"/>
          <w14:textFill>
            <w14:solidFill>
              <w14:schemeClr w14:val="tx1"/>
            </w14:solidFill>
          </w14:textFill>
        </w:rPr>
        <w:t>（签字或者电子签名）：</w:t>
      </w:r>
      <w:r>
        <w:rPr>
          <w:rFonts w:hint="eastAsia" w:hAnsi="宋体"/>
          <w:color w:val="000000" w:themeColor="text1"/>
          <w:spacing w:val="20"/>
          <w:sz w:val="24"/>
          <w:highlight w:val="none"/>
          <w:u w:val="single"/>
          <w14:textFill>
            <w14:solidFill>
              <w14:schemeClr w14:val="tx1"/>
            </w14:solidFill>
          </w14:textFill>
        </w:rPr>
        <w:t xml:space="preserve">        </w:t>
      </w:r>
    </w:p>
    <w:p w14:paraId="7C6D1CAA">
      <w:pPr>
        <w:pStyle w:val="27"/>
        <w:spacing w:line="440" w:lineRule="exact"/>
        <w:contextualSpacing/>
        <w:jc w:val="center"/>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 </w:t>
      </w:r>
      <w:r>
        <w:rPr>
          <w:rFonts w:hAnsi="宋体"/>
          <w:color w:val="000000" w:themeColor="text1"/>
          <w:sz w:val="24"/>
          <w:szCs w:val="24"/>
          <w:highlight w:val="non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投标人名称（电子签章）</w:t>
      </w:r>
    </w:p>
    <w:p w14:paraId="54E52D34">
      <w:pPr>
        <w:pStyle w:val="27"/>
        <w:spacing w:line="440" w:lineRule="exact"/>
        <w:contextualSpacing/>
        <w:rPr>
          <w:rFonts w:hint="eastAsia"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 xml:space="preserve">                                                </w:t>
      </w:r>
      <w:r>
        <w:rPr>
          <w:rFonts w:hint="eastAsia" w:hAnsi="宋体"/>
          <w:color w:val="000000" w:themeColor="text1"/>
          <w:sz w:val="24"/>
          <w:highlight w:val="none"/>
          <w:u w:val="single"/>
          <w14:textFill>
            <w14:solidFill>
              <w14:schemeClr w14:val="tx1"/>
            </w14:solidFill>
          </w14:textFill>
        </w:rPr>
        <w:t xml:space="preserve">      </w:t>
      </w:r>
      <w:r>
        <w:rPr>
          <w:rFonts w:hint="eastAsia" w:hAnsi="宋体"/>
          <w:color w:val="000000" w:themeColor="text1"/>
          <w:sz w:val="24"/>
          <w:highlight w:val="none"/>
          <w14:textFill>
            <w14:solidFill>
              <w14:schemeClr w14:val="tx1"/>
            </w14:solidFill>
          </w14:textFill>
        </w:rPr>
        <w:t>年</w:t>
      </w:r>
      <w:r>
        <w:rPr>
          <w:rFonts w:hint="eastAsia" w:hAnsi="宋体"/>
          <w:color w:val="000000" w:themeColor="text1"/>
          <w:sz w:val="24"/>
          <w:highlight w:val="none"/>
          <w:u w:val="single"/>
          <w14:textFill>
            <w14:solidFill>
              <w14:schemeClr w14:val="tx1"/>
            </w14:solidFill>
          </w14:textFill>
        </w:rPr>
        <w:t xml:space="preserve">    </w:t>
      </w:r>
      <w:r>
        <w:rPr>
          <w:rFonts w:hint="eastAsia" w:hAnsi="宋体"/>
          <w:color w:val="000000" w:themeColor="text1"/>
          <w:sz w:val="24"/>
          <w:highlight w:val="none"/>
          <w14:textFill>
            <w14:solidFill>
              <w14:schemeClr w14:val="tx1"/>
            </w14:solidFill>
          </w14:textFill>
        </w:rPr>
        <w:t>月</w:t>
      </w:r>
      <w:r>
        <w:rPr>
          <w:rFonts w:hint="eastAsia" w:hAnsi="宋体"/>
          <w:color w:val="000000" w:themeColor="text1"/>
          <w:sz w:val="24"/>
          <w:highlight w:val="none"/>
          <w:u w:val="single"/>
          <w14:textFill>
            <w14:solidFill>
              <w14:schemeClr w14:val="tx1"/>
            </w14:solidFill>
          </w14:textFill>
        </w:rPr>
        <w:t xml:space="preserve">     </w:t>
      </w:r>
      <w:r>
        <w:rPr>
          <w:rFonts w:hint="eastAsia" w:hAnsi="宋体"/>
          <w:color w:val="000000" w:themeColor="text1"/>
          <w:sz w:val="24"/>
          <w:highlight w:val="none"/>
          <w14:textFill>
            <w14:solidFill>
              <w14:schemeClr w14:val="tx1"/>
            </w14:solidFill>
          </w14:textFill>
        </w:rPr>
        <w:t>日</w:t>
      </w:r>
    </w:p>
    <w:p w14:paraId="3361B918">
      <w:pPr>
        <w:snapToGrid w:val="0"/>
        <w:spacing w:before="120" w:beforeLines="50" w:after="50"/>
        <w:jc w:val="left"/>
        <w:rPr>
          <w:rFonts w:hint="eastAsia" w:ascii="宋体" w:hAnsi="宋体"/>
          <w:b/>
          <w:color w:val="000000" w:themeColor="text1"/>
          <w:sz w:val="24"/>
          <w:szCs w:val="20"/>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4.法定代表人身份证明</w:t>
      </w:r>
    </w:p>
    <w:p w14:paraId="195AB7DD">
      <w:pPr>
        <w:spacing w:before="240" w:beforeLines="100" w:after="120" w:afterLines="50"/>
        <w:ind w:left="540"/>
        <w:jc w:val="center"/>
        <w:rPr>
          <w:rFonts w:hint="eastAsia" w:ascii="宋体" w:hAnsi="Courier New"/>
          <w:b/>
          <w:color w:val="000000" w:themeColor="text1"/>
          <w:sz w:val="32"/>
          <w:szCs w:val="32"/>
          <w:highlight w:val="none"/>
          <w14:textFill>
            <w14:solidFill>
              <w14:schemeClr w14:val="tx1"/>
            </w14:solidFill>
          </w14:textFill>
        </w:rPr>
      </w:pPr>
    </w:p>
    <w:p w14:paraId="44DAF066">
      <w:pPr>
        <w:spacing w:before="240" w:beforeLines="100" w:after="120" w:afterLines="50"/>
        <w:ind w:left="540"/>
        <w:jc w:val="cente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法定代表人身份证明</w:t>
      </w:r>
    </w:p>
    <w:p w14:paraId="660C5471">
      <w:pPr>
        <w:spacing w:line="500" w:lineRule="exact"/>
        <w:ind w:left="54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 标 人：</w:t>
      </w:r>
      <w:r>
        <w:rPr>
          <w:rFonts w:hint="eastAsia" w:ascii="宋体" w:hAnsi="宋体"/>
          <w:color w:val="000000" w:themeColor="text1"/>
          <w:sz w:val="24"/>
          <w:highlight w:val="none"/>
          <w:u w:val="single"/>
          <w14:textFill>
            <w14:solidFill>
              <w14:schemeClr w14:val="tx1"/>
            </w14:solidFill>
          </w14:textFill>
        </w:rPr>
        <w:t xml:space="preserve">                                                        </w:t>
      </w:r>
    </w:p>
    <w:p w14:paraId="36071694">
      <w:pPr>
        <w:spacing w:line="500" w:lineRule="exact"/>
        <w:ind w:left="54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    址：</w:t>
      </w:r>
      <w:r>
        <w:rPr>
          <w:rFonts w:hint="eastAsia" w:ascii="宋体" w:hAnsi="宋体"/>
          <w:color w:val="000000" w:themeColor="text1"/>
          <w:sz w:val="24"/>
          <w:highlight w:val="none"/>
          <w:u w:val="single"/>
          <w14:textFill>
            <w14:solidFill>
              <w14:schemeClr w14:val="tx1"/>
            </w14:solidFill>
          </w14:textFill>
        </w:rPr>
        <w:t xml:space="preserve">                                                        </w:t>
      </w:r>
    </w:p>
    <w:p w14:paraId="51C059E6">
      <w:pPr>
        <w:spacing w:line="500" w:lineRule="exact"/>
        <w:ind w:left="54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姓    名：</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性      别：</w:t>
      </w:r>
      <w:r>
        <w:rPr>
          <w:rFonts w:hint="eastAsia" w:ascii="宋体" w:hAnsi="宋体"/>
          <w:color w:val="000000" w:themeColor="text1"/>
          <w:sz w:val="24"/>
          <w:highlight w:val="none"/>
          <w:u w:val="single"/>
          <w14:textFill>
            <w14:solidFill>
              <w14:schemeClr w14:val="tx1"/>
            </w14:solidFill>
          </w14:textFill>
        </w:rPr>
        <w:t xml:space="preserve">                </w:t>
      </w:r>
    </w:p>
    <w:p w14:paraId="78A30E96">
      <w:pPr>
        <w:spacing w:line="500" w:lineRule="exact"/>
        <w:ind w:left="54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    龄：</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职      务：</w:t>
      </w:r>
      <w:r>
        <w:rPr>
          <w:rFonts w:hint="eastAsia" w:ascii="宋体" w:hAnsi="宋体"/>
          <w:color w:val="000000" w:themeColor="text1"/>
          <w:sz w:val="24"/>
          <w:highlight w:val="none"/>
          <w:u w:val="single"/>
          <w14:textFill>
            <w14:solidFill>
              <w14:schemeClr w14:val="tx1"/>
            </w14:solidFill>
          </w14:textFill>
        </w:rPr>
        <w:t xml:space="preserve">                </w:t>
      </w:r>
    </w:p>
    <w:p w14:paraId="5CA27D19">
      <w:pPr>
        <w:spacing w:line="500" w:lineRule="exact"/>
        <w:ind w:left="54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身份证</w:t>
      </w:r>
      <w:r>
        <w:rPr>
          <w:rFonts w:hint="eastAsia"/>
          <w:color w:val="000000" w:themeColor="text1"/>
          <w:sz w:val="24"/>
          <w:highlight w:val="none"/>
          <w14:textFill>
            <w14:solidFill>
              <w14:schemeClr w14:val="tx1"/>
            </w14:solidFill>
          </w14:textFill>
        </w:rPr>
        <w:t>号码：</w:t>
      </w:r>
      <w:r>
        <w:rPr>
          <w:rFonts w:hint="eastAsia"/>
          <w:color w:val="000000" w:themeColor="text1"/>
          <w:sz w:val="24"/>
          <w:highlight w:val="none"/>
          <w:u w:val="single"/>
          <w14:textFill>
            <w14:solidFill>
              <w14:schemeClr w14:val="tx1"/>
            </w14:solidFill>
          </w14:textFill>
        </w:rPr>
        <w:t xml:space="preserve">                                 </w:t>
      </w:r>
    </w:p>
    <w:p w14:paraId="1CBCAAA7">
      <w:pPr>
        <w:spacing w:line="500" w:lineRule="exact"/>
        <w:ind w:left="54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系</w:t>
      </w:r>
      <w:r>
        <w:rPr>
          <w:rFonts w:hint="eastAsia" w:ascii="宋体" w:hAnsi="宋体"/>
          <w:color w:val="000000" w:themeColor="text1"/>
          <w:sz w:val="24"/>
          <w:highlight w:val="none"/>
          <w:u w:val="single"/>
          <w14:textFill>
            <w14:solidFill>
              <w14:schemeClr w14:val="tx1"/>
            </w14:solidFill>
          </w14:textFill>
        </w:rPr>
        <w:t xml:space="preserve">            （投标人名称）              </w:t>
      </w:r>
      <w:r>
        <w:rPr>
          <w:rFonts w:hint="eastAsia" w:ascii="宋体" w:hAnsi="宋体"/>
          <w:color w:val="000000" w:themeColor="text1"/>
          <w:sz w:val="24"/>
          <w:highlight w:val="none"/>
          <w14:textFill>
            <w14:solidFill>
              <w14:schemeClr w14:val="tx1"/>
            </w14:solidFill>
          </w14:textFill>
        </w:rPr>
        <w:t>的法定代表人。</w:t>
      </w:r>
    </w:p>
    <w:p w14:paraId="6C37B7D7">
      <w:pPr>
        <w:spacing w:line="500" w:lineRule="exact"/>
        <w:ind w:left="54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特此证明。</w:t>
      </w:r>
    </w:p>
    <w:p w14:paraId="18AC94CC">
      <w:pPr>
        <w:spacing w:line="500" w:lineRule="exact"/>
        <w:ind w:left="540"/>
        <w:rPr>
          <w:rFonts w:hint="eastAsia" w:ascii="宋体" w:hAnsi="宋体"/>
          <w:color w:val="000000" w:themeColor="text1"/>
          <w:sz w:val="24"/>
          <w:highlight w:val="none"/>
          <w14:textFill>
            <w14:solidFill>
              <w14:schemeClr w14:val="tx1"/>
            </w14:solidFill>
          </w14:textFill>
        </w:rPr>
      </w:pPr>
    </w:p>
    <w:p w14:paraId="3CB8D17F">
      <w:pPr>
        <w:spacing w:line="500" w:lineRule="exact"/>
        <w:ind w:left="540"/>
        <w:rPr>
          <w:rFonts w:hint="eastAsia" w:ascii="宋体" w:hAnsi="宋体"/>
          <w:color w:val="000000" w:themeColor="text1"/>
          <w:sz w:val="24"/>
          <w:highlight w:val="none"/>
          <w14:textFill>
            <w14:solidFill>
              <w14:schemeClr w14:val="tx1"/>
            </w14:solidFill>
          </w14:textFill>
        </w:rPr>
      </w:pPr>
    </w:p>
    <w:p w14:paraId="19210982">
      <w:pPr>
        <w:spacing w:line="500" w:lineRule="exact"/>
        <w:ind w:left="54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附件：法定代表人有效身份证正反面复印件</w:t>
      </w:r>
    </w:p>
    <w:p w14:paraId="16C8954D">
      <w:pPr>
        <w:spacing w:line="500" w:lineRule="exact"/>
        <w:ind w:left="540"/>
        <w:rPr>
          <w:rFonts w:hint="eastAsia" w:ascii="宋体" w:hAnsi="宋体"/>
          <w:color w:val="000000" w:themeColor="text1"/>
          <w:sz w:val="24"/>
          <w:highlight w:val="none"/>
          <w14:textFill>
            <w14:solidFill>
              <w14:schemeClr w14:val="tx1"/>
            </w14:solidFill>
          </w14:textFill>
        </w:rPr>
      </w:pPr>
    </w:p>
    <w:p w14:paraId="740821D9">
      <w:pPr>
        <w:spacing w:line="500" w:lineRule="exact"/>
        <w:ind w:left="540"/>
        <w:jc w:val="righ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投标人名称（电子签章）</w:t>
      </w:r>
    </w:p>
    <w:p w14:paraId="06329144">
      <w:pPr>
        <w:spacing w:line="500" w:lineRule="exact"/>
        <w:ind w:left="540"/>
        <w:jc w:val="right"/>
        <w:rPr>
          <w:rFonts w:hint="eastAsia" w:ascii="宋体" w:hAnsi="宋体"/>
          <w:color w:val="000000" w:themeColor="text1"/>
          <w:sz w:val="24"/>
          <w:highlight w:val="none"/>
          <w14:textFill>
            <w14:solidFill>
              <w14:schemeClr w14:val="tx1"/>
            </w14:solidFill>
          </w14:textFill>
        </w:rPr>
      </w:pPr>
    </w:p>
    <w:p w14:paraId="4A8DBAAE">
      <w:pPr>
        <w:snapToGrid w:val="0"/>
        <w:spacing w:before="120" w:beforeLines="50" w:after="50"/>
        <w:ind w:left="540"/>
        <w:jc w:val="righ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14:paraId="018302C5">
      <w:pPr>
        <w:snapToGrid w:val="0"/>
        <w:spacing w:before="120" w:beforeLines="50" w:after="50"/>
        <w:jc w:val="center"/>
        <w:rPr>
          <w:rFonts w:hint="eastAsia" w:ascii="宋体" w:hAnsi="宋体"/>
          <w:b/>
          <w:color w:val="000000" w:themeColor="text1"/>
          <w:sz w:val="24"/>
          <w:highlight w:val="none"/>
          <w14:textFill>
            <w14:solidFill>
              <w14:schemeClr w14:val="tx1"/>
            </w14:solidFill>
          </w14:textFill>
        </w:rPr>
      </w:pPr>
    </w:p>
    <w:p w14:paraId="7C41BEBB">
      <w:pPr>
        <w:snapToGrid w:val="0"/>
        <w:spacing w:before="120" w:beforeLines="50" w:after="50"/>
        <w:jc w:val="left"/>
        <w:rPr>
          <w:rFonts w:hint="eastAsia" w:ascii="宋体" w:hAnsi="宋体"/>
          <w:b/>
          <w:color w:val="000000" w:themeColor="text1"/>
          <w:sz w:val="24"/>
          <w:szCs w:val="20"/>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注：自然人投标的无需提供</w:t>
      </w:r>
    </w:p>
    <w:p w14:paraId="2ECB6894">
      <w:pPr>
        <w:snapToGrid w:val="0"/>
        <w:spacing w:before="120" w:beforeLines="50" w:after="50"/>
        <w:jc w:val="left"/>
        <w:rPr>
          <w:rFonts w:hint="eastAsia" w:ascii="宋体" w:hAnsi="宋体"/>
          <w:b/>
          <w:color w:val="000000" w:themeColor="text1"/>
          <w:sz w:val="24"/>
          <w:szCs w:val="20"/>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5.授权委托书格式</w:t>
      </w:r>
    </w:p>
    <w:p w14:paraId="69933F48">
      <w:pPr>
        <w:snapToGrid w:val="0"/>
        <w:spacing w:before="120" w:beforeLines="50" w:after="50"/>
        <w:jc w:val="center"/>
        <w:rPr>
          <w:rFonts w:hint="eastAsia" w:ascii="宋体" w:hAnsi="宋体"/>
          <w:b/>
          <w:color w:val="000000" w:themeColor="text1"/>
          <w:sz w:val="44"/>
          <w:szCs w:val="44"/>
          <w:highlight w:val="none"/>
          <w14:textFill>
            <w14:solidFill>
              <w14:schemeClr w14:val="tx1"/>
            </w14:solidFill>
          </w14:textFill>
        </w:rPr>
      </w:pPr>
    </w:p>
    <w:p w14:paraId="31162D3E">
      <w:pPr>
        <w:spacing w:line="360" w:lineRule="auto"/>
        <w:contextualSpacing/>
        <w:jc w:val="cente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授权委托书</w:t>
      </w:r>
    </w:p>
    <w:p w14:paraId="23AE27FD">
      <w:pPr>
        <w:spacing w:line="360" w:lineRule="auto"/>
        <w:contextualSpacing/>
        <w:jc w:val="center"/>
        <w:rPr>
          <w:rFonts w:hint="eastAsia" w:ascii="方正小标宋简体" w:hAnsi="方正小标宋简体" w:eastAsia="方正小标宋简体" w:cs="方正小标宋简体"/>
          <w:bCs/>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32"/>
          <w:szCs w:val="32"/>
          <w:highlight w:val="none"/>
          <w14:textFill>
            <w14:solidFill>
              <w14:schemeClr w14:val="tx1"/>
            </w14:solidFill>
          </w14:textFill>
        </w:rPr>
        <w:t>（非联合体投标格式）</w:t>
      </w:r>
    </w:p>
    <w:p w14:paraId="483034F1">
      <w:pPr>
        <w:spacing w:line="360" w:lineRule="auto"/>
        <w:contextualSpacing/>
        <w:jc w:val="center"/>
        <w:rPr>
          <w:rFonts w:hint="eastAsia" w:ascii="方正小标宋简体" w:hAnsi="方正小标宋简体" w:eastAsia="方正小标宋简体" w:cs="方正小标宋简体"/>
          <w:bCs/>
          <w:color w:val="000000" w:themeColor="text1"/>
          <w:sz w:val="24"/>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32"/>
          <w:szCs w:val="32"/>
          <w:highlight w:val="none"/>
          <w14:textFill>
            <w14:solidFill>
              <w14:schemeClr w14:val="tx1"/>
            </w14:solidFill>
          </w14:textFill>
        </w:rPr>
        <w:t>（如有委托时）</w:t>
      </w:r>
    </w:p>
    <w:p w14:paraId="7EE58EF9">
      <w:pPr>
        <w:spacing w:line="440" w:lineRule="exact"/>
        <w:contextualSpacing/>
        <w:jc w:val="center"/>
        <w:rPr>
          <w:rFonts w:hint="eastAsia" w:ascii="宋体" w:hAnsi="宋体"/>
          <w:b/>
          <w:color w:val="000000" w:themeColor="text1"/>
          <w:sz w:val="24"/>
          <w:highlight w:val="none"/>
          <w14:textFill>
            <w14:solidFill>
              <w14:schemeClr w14:val="tx1"/>
            </w14:solidFill>
          </w14:textFill>
        </w:rPr>
      </w:pPr>
    </w:p>
    <w:p w14:paraId="6FC5D9D9">
      <w:pPr>
        <w:spacing w:line="440" w:lineRule="exact"/>
        <w:contextualSpacing/>
        <w:rPr>
          <w:rFonts w:hint="eastAsia" w:ascii="宋体" w:hAnsi="宋体"/>
          <w:b/>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致：</w:t>
      </w:r>
      <w:r>
        <w:rPr>
          <w:rFonts w:hint="eastAsia" w:ascii="宋体" w:hAnsi="宋体"/>
          <w:color w:val="000000" w:themeColor="text1"/>
          <w:sz w:val="24"/>
          <w:highlight w:val="none"/>
          <w:u w:val="single"/>
          <w14:textFill>
            <w14:solidFill>
              <w14:schemeClr w14:val="tx1"/>
            </w14:solidFill>
          </w14:textFill>
        </w:rPr>
        <w:t>采购人名称</w:t>
      </w:r>
      <w:r>
        <w:rPr>
          <w:rFonts w:hint="eastAsia" w:ascii="宋体" w:hAnsi="宋体"/>
          <w:color w:val="000000" w:themeColor="text1"/>
          <w:sz w:val="24"/>
          <w:highlight w:val="none"/>
          <w14:textFill>
            <w14:solidFill>
              <w14:schemeClr w14:val="tx1"/>
            </w14:solidFill>
          </w14:textFill>
        </w:rPr>
        <w:t>：</w:t>
      </w:r>
    </w:p>
    <w:p w14:paraId="49959454">
      <w:pPr>
        <w:spacing w:line="440" w:lineRule="exact"/>
        <w:ind w:firstLine="566" w:firstLineChars="236"/>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（姓名）系</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（投标人名称）的法定代表人，现授权委托</w:t>
      </w:r>
      <w:r>
        <w:rPr>
          <w:rFonts w:hint="eastAsia" w:ascii="宋体" w:hAnsi="宋体"/>
          <w:color w:val="000000" w:themeColor="text1"/>
          <w:sz w:val="24"/>
          <w:highlight w:val="none"/>
          <w:u w:val="single"/>
          <w14:textFill>
            <w14:solidFill>
              <w14:schemeClr w14:val="tx1"/>
            </w14:solidFill>
          </w14:textFill>
        </w:rPr>
        <w:t xml:space="preserve">              （姓名）</w:t>
      </w:r>
      <w:r>
        <w:rPr>
          <w:rFonts w:hint="eastAsia" w:ascii="宋体" w:hAnsi="宋体"/>
          <w:color w:val="000000" w:themeColor="text1"/>
          <w:sz w:val="24"/>
          <w:highlight w:val="none"/>
          <w14:textFill>
            <w14:solidFill>
              <w14:schemeClr w14:val="tx1"/>
            </w14:solidFill>
          </w14:textFill>
        </w:rPr>
        <w:t>以我方的名义参加</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项目的投标活动，并代表我方全权办理针对上述项目的所有采购程序和环节的具体事务和签署相关文件。</w:t>
      </w:r>
    </w:p>
    <w:p w14:paraId="596406BB">
      <w:pPr>
        <w:spacing w:line="440" w:lineRule="exact"/>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我方对委托代理人的签字或者电子签名事项负全部责任。</w:t>
      </w:r>
    </w:p>
    <w:p w14:paraId="62A0A017">
      <w:pPr>
        <w:spacing w:line="440" w:lineRule="exact"/>
        <w:ind w:firstLine="480"/>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14:paraId="6513B44D">
      <w:pPr>
        <w:spacing w:line="440" w:lineRule="exact"/>
        <w:ind w:firstLine="480"/>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委托代理人无转委托权，特此委托。</w:t>
      </w:r>
    </w:p>
    <w:p w14:paraId="3220A5EB">
      <w:pPr>
        <w:spacing w:line="440" w:lineRule="exact"/>
        <w:ind w:firstLine="480"/>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附：法定代表人身份证明及委托代理人有效身份证正反面复印件</w:t>
      </w:r>
    </w:p>
    <w:p w14:paraId="35147F1C">
      <w:pPr>
        <w:spacing w:line="440" w:lineRule="exact"/>
        <w:contextualSpacing/>
        <w:rPr>
          <w:rFonts w:hint="eastAsia" w:ascii="宋体" w:hAnsi="宋体"/>
          <w:color w:val="000000" w:themeColor="text1"/>
          <w:sz w:val="24"/>
          <w:highlight w:val="none"/>
          <w14:textFill>
            <w14:solidFill>
              <w14:schemeClr w14:val="tx1"/>
            </w14:solidFill>
          </w14:textFill>
        </w:rPr>
      </w:pPr>
    </w:p>
    <w:p w14:paraId="482F54FC">
      <w:pPr>
        <w:spacing w:line="440" w:lineRule="exact"/>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委托代理人（签字或者电子签名）：</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p>
    <w:p w14:paraId="69480755">
      <w:pPr>
        <w:spacing w:line="440" w:lineRule="exact"/>
        <w:contextualSpacing/>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委托代理人身份证号码：</w:t>
      </w:r>
      <w:r>
        <w:rPr>
          <w:rFonts w:hint="eastAsia" w:ascii="宋体" w:hAnsi="宋体"/>
          <w:color w:val="000000" w:themeColor="text1"/>
          <w:sz w:val="24"/>
          <w:highlight w:val="none"/>
          <w:u w:val="single"/>
          <w14:textFill>
            <w14:solidFill>
              <w14:schemeClr w14:val="tx1"/>
            </w14:solidFill>
          </w14:textFill>
        </w:rPr>
        <w:t xml:space="preserve">                             </w:t>
      </w:r>
    </w:p>
    <w:p w14:paraId="02651C5D">
      <w:pPr>
        <w:spacing w:line="440" w:lineRule="exact"/>
        <w:contextualSpacing/>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法定代表人（签字或者盖章或者电子签名）：</w:t>
      </w:r>
      <w:r>
        <w:rPr>
          <w:rFonts w:hint="eastAsia" w:ascii="宋体" w:hAnsi="宋体"/>
          <w:color w:val="000000" w:themeColor="text1"/>
          <w:sz w:val="24"/>
          <w:highlight w:val="none"/>
          <w:u w:val="single"/>
          <w14:textFill>
            <w14:solidFill>
              <w14:schemeClr w14:val="tx1"/>
            </w14:solidFill>
          </w14:textFill>
        </w:rPr>
        <w:t xml:space="preserve">              </w:t>
      </w:r>
    </w:p>
    <w:p w14:paraId="0C2C8999">
      <w:pPr>
        <w:spacing w:line="440" w:lineRule="exact"/>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1944EA1C">
      <w:pPr>
        <w:spacing w:line="440" w:lineRule="exact"/>
        <w:contextualSpacing/>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投标人名称（电子签章）：</w:t>
      </w:r>
    </w:p>
    <w:p w14:paraId="48472AD2">
      <w:pPr>
        <w:spacing w:line="440" w:lineRule="exact"/>
        <w:contextualSpacing/>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年    月    日</w:t>
      </w:r>
    </w:p>
    <w:p w14:paraId="7CEE44EC">
      <w:pPr>
        <w:spacing w:line="440" w:lineRule="exact"/>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注：1.</w:t>
      </w:r>
      <w:bookmarkStart w:id="155" w:name="_Hlk65851555"/>
      <w:bookmarkStart w:id="156" w:name="_Hlk65851620"/>
      <w:r>
        <w:rPr>
          <w:rFonts w:hint="eastAsia" w:ascii="宋体" w:hAnsi="宋体" w:cs="仿宋_GB2312"/>
          <w:color w:val="000000" w:themeColor="text1"/>
          <w:sz w:val="24"/>
          <w:highlight w:val="none"/>
          <w14:textFill>
            <w14:solidFill>
              <w14:schemeClr w14:val="tx1"/>
            </w14:solidFill>
          </w14:textFill>
        </w:rPr>
        <w:t>法定代表人必须在授权委托书上签字或者盖章</w:t>
      </w:r>
      <w:r>
        <w:rPr>
          <w:rFonts w:hint="eastAsia" w:ascii="宋体" w:hAnsi="宋体"/>
          <w:color w:val="000000" w:themeColor="text1"/>
          <w:sz w:val="24"/>
          <w:highlight w:val="none"/>
          <w14:textFill>
            <w14:solidFill>
              <w14:schemeClr w14:val="tx1"/>
            </w14:solidFill>
          </w14:textFill>
        </w:rPr>
        <w:t>或者电子签名</w:t>
      </w:r>
      <w:r>
        <w:rPr>
          <w:rFonts w:hint="eastAsia" w:ascii="宋体" w:hAnsi="宋体" w:cs="仿宋_GB2312"/>
          <w:color w:val="000000" w:themeColor="text1"/>
          <w:sz w:val="24"/>
          <w:highlight w:val="none"/>
          <w14:textFill>
            <w14:solidFill>
              <w14:schemeClr w14:val="tx1"/>
            </w14:solidFill>
          </w14:textFill>
        </w:rPr>
        <w:t>，</w:t>
      </w:r>
      <w:bookmarkEnd w:id="155"/>
      <w:r>
        <w:rPr>
          <w:rFonts w:hint="eastAsia" w:ascii="宋体" w:hAnsi="宋体" w:cs="仿宋_GB2312"/>
          <w:color w:val="000000" w:themeColor="text1"/>
          <w:sz w:val="24"/>
          <w:highlight w:val="none"/>
          <w14:textFill>
            <w14:solidFill>
              <w14:schemeClr w14:val="tx1"/>
            </w14:solidFill>
          </w14:textFill>
        </w:rPr>
        <w:t>委托代理人必须在授权委托书上签字</w:t>
      </w:r>
      <w:r>
        <w:rPr>
          <w:rFonts w:hint="eastAsia" w:ascii="宋体" w:hAnsi="宋体"/>
          <w:color w:val="000000" w:themeColor="text1"/>
          <w:sz w:val="24"/>
          <w:highlight w:val="none"/>
          <w14:textFill>
            <w14:solidFill>
              <w14:schemeClr w14:val="tx1"/>
            </w14:solidFill>
          </w14:textFill>
        </w:rPr>
        <w:t>或者电子签名</w:t>
      </w:r>
      <w:r>
        <w:rPr>
          <w:rFonts w:hint="eastAsia" w:ascii="宋体" w:hAnsi="宋体" w:cs="仿宋_GB2312"/>
          <w:color w:val="000000" w:themeColor="text1"/>
          <w:sz w:val="24"/>
          <w:highlight w:val="none"/>
          <w14:textFill>
            <w14:solidFill>
              <w14:schemeClr w14:val="tx1"/>
            </w14:solidFill>
          </w14:textFill>
        </w:rPr>
        <w:t>，</w:t>
      </w:r>
      <w:r>
        <w:rPr>
          <w:rFonts w:hint="eastAsia" w:ascii="宋体" w:hAnsi="宋体" w:cs="仿宋_GB2312"/>
          <w:b/>
          <w:bCs/>
          <w:color w:val="000000" w:themeColor="text1"/>
          <w:sz w:val="24"/>
          <w:highlight w:val="none"/>
          <w14:textFill>
            <w14:solidFill>
              <w14:schemeClr w14:val="tx1"/>
            </w14:solidFill>
          </w14:textFill>
        </w:rPr>
        <w:t>否则按无效投标处理</w:t>
      </w:r>
      <w:r>
        <w:rPr>
          <w:rFonts w:hint="eastAsia" w:ascii="宋体" w:hAnsi="宋体" w:cs="仿宋_GB2312"/>
          <w:color w:val="000000" w:themeColor="text1"/>
          <w:sz w:val="24"/>
          <w:highlight w:val="none"/>
          <w14:textFill>
            <w14:solidFill>
              <w14:schemeClr w14:val="tx1"/>
            </w14:solidFill>
          </w14:textFill>
        </w:rPr>
        <w:t>；</w:t>
      </w:r>
      <w:bookmarkEnd w:id="156"/>
    </w:p>
    <w:p w14:paraId="61DF73FF">
      <w:pPr>
        <w:spacing w:line="440" w:lineRule="exact"/>
        <w:ind w:firstLine="480" w:firstLineChars="200"/>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2.法人、其他组织投标时“我方”是指“我单位”，自然人投标时“我方”是指“本人”。</w:t>
      </w:r>
      <w:r>
        <w:rPr>
          <w:rFonts w:hint="eastAsia" w:ascii="宋体" w:hAnsi="宋体"/>
          <w:color w:val="000000" w:themeColor="text1"/>
          <w:sz w:val="24"/>
          <w:highlight w:val="none"/>
          <w14:textFill>
            <w14:solidFill>
              <w14:schemeClr w14:val="tx1"/>
            </w14:solidFill>
          </w14:textFill>
        </w:rPr>
        <w:t xml:space="preserve"> </w:t>
      </w:r>
    </w:p>
    <w:p w14:paraId="0F1B0BCD">
      <w:pPr>
        <w:snapToGrid w:val="0"/>
        <w:spacing w:before="50" w:after="120" w:afterLines="50"/>
        <w:ind w:firstLine="480" w:firstLineChars="200"/>
        <w:jc w:val="left"/>
        <w:rPr>
          <w:rFonts w:hint="eastAsia" w:ascii="宋体" w:hAnsi="宋体"/>
          <w:color w:val="000000" w:themeColor="text1"/>
          <w:sz w:val="24"/>
          <w:highlight w:val="none"/>
          <w14:textFill>
            <w14:solidFill>
              <w14:schemeClr w14:val="tx1"/>
            </w14:solidFill>
          </w14:textFill>
        </w:rPr>
        <w:sectPr>
          <w:footerReference r:id="rId6" w:type="first"/>
          <w:headerReference r:id="rId3" w:type="default"/>
          <w:footerReference r:id="rId4" w:type="default"/>
          <w:footerReference r:id="rId5" w:type="even"/>
          <w:pgSz w:w="11906" w:h="16838"/>
          <w:pgMar w:top="1701" w:right="1701" w:bottom="1701" w:left="1701" w:header="851" w:footer="992" w:gutter="0"/>
          <w:cols w:space="720" w:num="1"/>
          <w:titlePg/>
          <w:docGrid w:linePitch="312" w:charSpace="0"/>
        </w:sectPr>
      </w:pPr>
    </w:p>
    <w:p w14:paraId="1510E441">
      <w:pPr>
        <w:rPr>
          <w:rFonts w:hint="eastAsia" w:ascii="宋体" w:hAnsi="宋体"/>
          <w:color w:val="000000" w:themeColor="text1"/>
          <w:sz w:val="24"/>
          <w:highlight w:val="none"/>
          <w14:textFill>
            <w14:solidFill>
              <w14:schemeClr w14:val="tx1"/>
            </w14:solidFill>
          </w14:textFill>
        </w:rPr>
      </w:pPr>
    </w:p>
    <w:p w14:paraId="2F8EEDB8">
      <w:pPr>
        <w:rPr>
          <w:rFonts w:hint="eastAsia" w:ascii="宋体" w:hAnsi="宋体"/>
          <w:b/>
          <w:color w:val="000000" w:themeColor="text1"/>
          <w:sz w:val="24"/>
          <w:szCs w:val="20"/>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6.商务要求偏离表格式（注：按项目需求表具体项目修改）</w:t>
      </w:r>
    </w:p>
    <w:p w14:paraId="1F9A544C">
      <w:pPr>
        <w:snapToGrid w:val="0"/>
        <w:spacing w:before="50"/>
        <w:jc w:val="left"/>
        <w:rPr>
          <w:rFonts w:hint="eastAsia" w:ascii="宋体" w:hAnsi="宋体"/>
          <w:color w:val="000000" w:themeColor="text1"/>
          <w:sz w:val="24"/>
          <w:highlight w:val="none"/>
          <w14:textFill>
            <w14:solidFill>
              <w14:schemeClr w14:val="tx1"/>
            </w14:solidFill>
          </w14:textFill>
        </w:rPr>
      </w:pPr>
    </w:p>
    <w:p w14:paraId="08BA8C68">
      <w:pPr>
        <w:pStyle w:val="27"/>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所投分标：</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分标</w:t>
      </w:r>
    </w:p>
    <w:p w14:paraId="07DB7931">
      <w:pPr>
        <w:snapToGrid w:val="0"/>
        <w:spacing w:before="50"/>
        <w:jc w:val="left"/>
        <w:rPr>
          <w:rFonts w:hint="eastAsia" w:ascii="宋体" w:hAnsi="宋体"/>
          <w:color w:val="000000" w:themeColor="text1"/>
          <w:sz w:val="24"/>
          <w:highlight w:val="none"/>
          <w:u w:val="single"/>
          <w14:textFill>
            <w14:solidFill>
              <w14:schemeClr w14:val="tx1"/>
            </w14:solidFill>
          </w14:textFill>
        </w:rPr>
      </w:pPr>
    </w:p>
    <w:tbl>
      <w:tblPr>
        <w:tblStyle w:val="48"/>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336"/>
        <w:gridCol w:w="1760"/>
        <w:gridCol w:w="2035"/>
      </w:tblGrid>
      <w:tr w14:paraId="7E5010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10" w:type="dxa"/>
            <w:tcBorders>
              <w:top w:val="single" w:color="auto" w:sz="4" w:space="0"/>
              <w:left w:val="single" w:color="auto" w:sz="4" w:space="0"/>
              <w:bottom w:val="single" w:color="auto" w:sz="4" w:space="0"/>
              <w:right w:val="single" w:color="auto" w:sz="4" w:space="0"/>
            </w:tcBorders>
            <w:noWrap w:val="0"/>
            <w:vAlign w:val="top"/>
          </w:tcPr>
          <w:p w14:paraId="6E54CEB6">
            <w:pPr>
              <w:snapToGrid w:val="0"/>
              <w:spacing w:before="120" w:beforeLines="50"/>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w:t>
            </w:r>
          </w:p>
        </w:tc>
        <w:tc>
          <w:tcPr>
            <w:tcW w:w="3336" w:type="dxa"/>
            <w:tcBorders>
              <w:top w:val="single" w:color="auto" w:sz="4" w:space="0"/>
              <w:left w:val="single" w:color="auto" w:sz="4" w:space="0"/>
              <w:bottom w:val="single" w:color="auto" w:sz="4" w:space="0"/>
              <w:right w:val="single" w:color="auto" w:sz="4" w:space="0"/>
            </w:tcBorders>
            <w:noWrap w:val="0"/>
            <w:vAlign w:val="top"/>
          </w:tcPr>
          <w:p w14:paraId="621B4059">
            <w:pPr>
              <w:snapToGrid w:val="0"/>
              <w:spacing w:before="120" w:beforeLines="50"/>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招标文件商务要求</w:t>
            </w:r>
          </w:p>
        </w:tc>
        <w:tc>
          <w:tcPr>
            <w:tcW w:w="1760" w:type="dxa"/>
            <w:tcBorders>
              <w:top w:val="single" w:color="auto" w:sz="4" w:space="0"/>
              <w:left w:val="single" w:color="auto" w:sz="4" w:space="0"/>
              <w:bottom w:val="single" w:color="auto" w:sz="4" w:space="0"/>
              <w:right w:val="single" w:color="auto" w:sz="4" w:space="0"/>
            </w:tcBorders>
            <w:noWrap w:val="0"/>
            <w:vAlign w:val="top"/>
          </w:tcPr>
          <w:p w14:paraId="3836FB14">
            <w:pPr>
              <w:snapToGrid w:val="0"/>
              <w:spacing w:before="120" w:beforeLines="50"/>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投标人的承诺</w:t>
            </w:r>
          </w:p>
        </w:tc>
        <w:tc>
          <w:tcPr>
            <w:tcW w:w="2035" w:type="dxa"/>
            <w:tcBorders>
              <w:top w:val="single" w:color="auto" w:sz="4" w:space="0"/>
              <w:left w:val="single" w:color="auto" w:sz="4" w:space="0"/>
              <w:bottom w:val="single" w:color="auto" w:sz="4" w:space="0"/>
              <w:right w:val="single" w:color="auto" w:sz="4" w:space="0"/>
            </w:tcBorders>
            <w:noWrap w:val="0"/>
            <w:vAlign w:val="top"/>
          </w:tcPr>
          <w:p w14:paraId="40A98935">
            <w:pPr>
              <w:snapToGrid w:val="0"/>
              <w:spacing w:before="120" w:beforeLines="50"/>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偏离说明</w:t>
            </w:r>
          </w:p>
        </w:tc>
      </w:tr>
      <w:tr w14:paraId="14D550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61F49890">
            <w:pPr>
              <w:snapToGrid w:val="0"/>
              <w:spacing w:before="120" w:beforeLines="50"/>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质保期</w:t>
            </w:r>
          </w:p>
        </w:tc>
        <w:tc>
          <w:tcPr>
            <w:tcW w:w="3336" w:type="dxa"/>
            <w:tcBorders>
              <w:top w:val="single" w:color="auto" w:sz="4" w:space="0"/>
              <w:left w:val="single" w:color="auto" w:sz="4" w:space="0"/>
              <w:bottom w:val="single" w:color="auto" w:sz="4" w:space="0"/>
              <w:right w:val="single" w:color="auto" w:sz="4" w:space="0"/>
            </w:tcBorders>
            <w:noWrap w:val="0"/>
            <w:vAlign w:val="top"/>
          </w:tcPr>
          <w:p w14:paraId="0A595F9D">
            <w:pPr>
              <w:snapToGrid w:val="0"/>
              <w:spacing w:before="120" w:beforeLines="50"/>
              <w:jc w:val="center"/>
              <w:rPr>
                <w:rFonts w:hint="eastAsia" w:ascii="宋体" w:hAnsi="宋体"/>
                <w:color w:val="000000" w:themeColor="text1"/>
                <w:sz w:val="24"/>
                <w:highlight w:val="none"/>
                <w14:textFill>
                  <w14:solidFill>
                    <w14:schemeClr w14:val="tx1"/>
                  </w14:solidFill>
                </w14:textFill>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13A0E6A3">
            <w:pPr>
              <w:snapToGrid w:val="0"/>
              <w:spacing w:before="120" w:beforeLines="50"/>
              <w:jc w:val="center"/>
              <w:rPr>
                <w:rFonts w:hint="eastAsia" w:ascii="宋体" w:hAnsi="宋体"/>
                <w:color w:val="000000" w:themeColor="text1"/>
                <w:sz w:val="24"/>
                <w:highlight w:val="none"/>
                <w14:textFill>
                  <w14:solidFill>
                    <w14:schemeClr w14:val="tx1"/>
                  </w14:solidFill>
                </w14:textFill>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3FCE9765">
            <w:pPr>
              <w:snapToGrid w:val="0"/>
              <w:spacing w:before="120" w:beforeLines="50"/>
              <w:jc w:val="center"/>
              <w:rPr>
                <w:rFonts w:hint="eastAsia" w:ascii="宋体" w:hAnsi="宋体"/>
                <w:color w:val="000000" w:themeColor="text1"/>
                <w:sz w:val="24"/>
                <w:highlight w:val="none"/>
                <w14:textFill>
                  <w14:solidFill>
                    <w14:schemeClr w14:val="tx1"/>
                  </w14:solidFill>
                </w14:textFill>
              </w:rPr>
            </w:pPr>
          </w:p>
        </w:tc>
      </w:tr>
      <w:tr w14:paraId="717DEF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62963F25">
            <w:pPr>
              <w:snapToGrid w:val="0"/>
              <w:spacing w:before="120" w:beforeLines="50"/>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售后服务要求</w:t>
            </w:r>
          </w:p>
        </w:tc>
        <w:tc>
          <w:tcPr>
            <w:tcW w:w="3336" w:type="dxa"/>
            <w:tcBorders>
              <w:top w:val="single" w:color="auto" w:sz="4" w:space="0"/>
              <w:left w:val="single" w:color="auto" w:sz="4" w:space="0"/>
              <w:bottom w:val="single" w:color="auto" w:sz="4" w:space="0"/>
              <w:right w:val="single" w:color="auto" w:sz="4" w:space="0"/>
            </w:tcBorders>
            <w:noWrap w:val="0"/>
            <w:vAlign w:val="top"/>
          </w:tcPr>
          <w:p w14:paraId="601A8E73">
            <w:pPr>
              <w:snapToGrid w:val="0"/>
              <w:spacing w:before="120" w:beforeLines="50"/>
              <w:rPr>
                <w:rFonts w:hint="eastAsia" w:ascii="宋体" w:hAnsi="宋体"/>
                <w:color w:val="000000" w:themeColor="text1"/>
                <w:sz w:val="24"/>
                <w:highlight w:val="none"/>
                <w:u w:val="single"/>
                <w14:textFill>
                  <w14:solidFill>
                    <w14:schemeClr w14:val="tx1"/>
                  </w14:solidFill>
                </w14:textFill>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1DAE8662">
            <w:pPr>
              <w:snapToGrid w:val="0"/>
              <w:spacing w:before="120" w:beforeLines="50"/>
              <w:ind w:left="43"/>
              <w:jc w:val="center"/>
              <w:rPr>
                <w:rFonts w:hint="eastAsia" w:ascii="宋体" w:hAnsi="宋体"/>
                <w:color w:val="000000" w:themeColor="text1"/>
                <w:sz w:val="24"/>
                <w:highlight w:val="none"/>
                <w14:textFill>
                  <w14:solidFill>
                    <w14:schemeClr w14:val="tx1"/>
                  </w14:solidFill>
                </w14:textFill>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64956D2F">
            <w:pPr>
              <w:snapToGrid w:val="0"/>
              <w:spacing w:before="120" w:beforeLines="50"/>
              <w:ind w:left="43"/>
              <w:jc w:val="center"/>
              <w:rPr>
                <w:rFonts w:hint="eastAsia" w:ascii="宋体" w:hAnsi="宋体"/>
                <w:color w:val="000000" w:themeColor="text1"/>
                <w:sz w:val="24"/>
                <w:highlight w:val="none"/>
                <w14:textFill>
                  <w14:solidFill>
                    <w14:schemeClr w14:val="tx1"/>
                  </w14:solidFill>
                </w14:textFill>
              </w:rPr>
            </w:pPr>
          </w:p>
        </w:tc>
      </w:tr>
      <w:tr w14:paraId="692916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noWrap w:val="0"/>
            <w:vAlign w:val="top"/>
          </w:tcPr>
          <w:p w14:paraId="2DC7C20D">
            <w:pPr>
              <w:snapToGrid w:val="0"/>
              <w:spacing w:before="120" w:beforeLines="50"/>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tc>
        <w:tc>
          <w:tcPr>
            <w:tcW w:w="3336" w:type="dxa"/>
            <w:tcBorders>
              <w:top w:val="single" w:color="auto" w:sz="4" w:space="0"/>
              <w:left w:val="single" w:color="auto" w:sz="4" w:space="0"/>
              <w:bottom w:val="single" w:color="auto" w:sz="4" w:space="0"/>
              <w:right w:val="single" w:color="auto" w:sz="4" w:space="0"/>
            </w:tcBorders>
            <w:noWrap w:val="0"/>
            <w:vAlign w:val="top"/>
          </w:tcPr>
          <w:p w14:paraId="256825B0">
            <w:pPr>
              <w:snapToGrid w:val="0"/>
              <w:spacing w:before="120" w:beforeLines="50"/>
              <w:jc w:val="center"/>
              <w:rPr>
                <w:rFonts w:hint="eastAsia" w:ascii="宋体" w:hAnsi="宋体"/>
                <w:color w:val="000000" w:themeColor="text1"/>
                <w:sz w:val="24"/>
                <w:highlight w:val="none"/>
                <w14:textFill>
                  <w14:solidFill>
                    <w14:schemeClr w14:val="tx1"/>
                  </w14:solidFill>
                </w14:textFill>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04479534">
            <w:pPr>
              <w:snapToGrid w:val="0"/>
              <w:spacing w:before="120" w:beforeLines="50"/>
              <w:jc w:val="center"/>
              <w:rPr>
                <w:rFonts w:hint="eastAsia" w:ascii="宋体" w:hAnsi="宋体"/>
                <w:color w:val="000000" w:themeColor="text1"/>
                <w:sz w:val="24"/>
                <w:highlight w:val="none"/>
                <w14:textFill>
                  <w14:solidFill>
                    <w14:schemeClr w14:val="tx1"/>
                  </w14:solidFill>
                </w14:textFill>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22352124">
            <w:pPr>
              <w:snapToGrid w:val="0"/>
              <w:spacing w:before="120" w:beforeLines="50"/>
              <w:jc w:val="center"/>
              <w:rPr>
                <w:rFonts w:hint="eastAsia" w:ascii="宋体" w:hAnsi="宋体"/>
                <w:color w:val="000000" w:themeColor="text1"/>
                <w:sz w:val="24"/>
                <w:highlight w:val="none"/>
                <w14:textFill>
                  <w14:solidFill>
                    <w14:schemeClr w14:val="tx1"/>
                  </w14:solidFill>
                </w14:textFill>
              </w:rPr>
            </w:pPr>
          </w:p>
        </w:tc>
      </w:tr>
    </w:tbl>
    <w:p w14:paraId="0E69AF19">
      <w:pPr>
        <w:pStyle w:val="2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注：</w:t>
      </w:r>
    </w:p>
    <w:p w14:paraId="0BFB2BC0">
      <w:pPr>
        <w:pStyle w:val="22"/>
        <w:spacing w:line="520" w:lineRule="exact"/>
        <w:ind w:firstLine="0" w:firstLineChars="0"/>
        <w:rPr>
          <w:rFonts w:hint="eastAsia" w:hAnsi="仿宋_GB2312" w:cs="仿宋_GB2312"/>
          <w:color w:val="000000" w:themeColor="text1"/>
          <w:szCs w:val="32"/>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w:t>
      </w:r>
      <w:r>
        <w:rPr>
          <w:rFonts w:hint="eastAsia"/>
          <w:color w:val="000000" w:themeColor="text1"/>
          <w:highlight w:val="none"/>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说明：应对照招标文件“第二章 采购需求”中的商务要求逐条作明确的投标响应，并作出偏离说明。</w:t>
      </w:r>
    </w:p>
    <w:p w14:paraId="63D88ADB">
      <w:pPr>
        <w:pStyle w:val="20"/>
        <w:rPr>
          <w:rFonts w:ascii="宋体" w:hAnsi="宋体"/>
          <w:b w:val="0"/>
          <w:bCs w:val="0"/>
          <w:color w:val="000000" w:themeColor="text1"/>
          <w:highlight w:val="none"/>
          <w14:textFill>
            <w14:solidFill>
              <w14:schemeClr w14:val="tx1"/>
            </w14:solidFill>
          </w14:textFill>
        </w:rPr>
      </w:pPr>
      <w:r>
        <w:rPr>
          <w:rFonts w:ascii="宋体" w:hAnsi="宋体"/>
          <w:b w:val="0"/>
          <w:bCs w:val="0"/>
          <w:color w:val="000000" w:themeColor="text1"/>
          <w:highlight w:val="none"/>
          <w14:textFill>
            <w14:solidFill>
              <w14:schemeClr w14:val="tx1"/>
            </w14:solidFill>
          </w14:textFill>
        </w:rPr>
        <w:t>2.</w:t>
      </w:r>
      <w:r>
        <w:rPr>
          <w:rFonts w:hint="eastAsia" w:ascii="宋体" w:hAnsi="宋体"/>
          <w:b w:val="0"/>
          <w:bCs w:val="0"/>
          <w:color w:val="000000" w:themeColor="text1"/>
          <w:highlight w:val="none"/>
          <w14:textFill>
            <w14:solidFill>
              <w14:schemeClr w14:val="tx1"/>
            </w14:solidFill>
          </w14:textFill>
        </w:rPr>
        <w:t>投标人应根据自身的承诺，对照招标文件要求在“偏离说明”中注明“</w:t>
      </w:r>
      <w:r>
        <w:rPr>
          <w:rFonts w:hint="eastAsia" w:ascii="宋体" w:hAnsi="宋体"/>
          <w:color w:val="000000" w:themeColor="text1"/>
          <w:highlight w:val="none"/>
          <w14:textFill>
            <w14:solidFill>
              <w14:schemeClr w14:val="tx1"/>
            </w14:solidFill>
          </w14:textFill>
        </w:rPr>
        <w:t>正偏离</w:t>
      </w:r>
      <w:r>
        <w:rPr>
          <w:rFonts w:hint="eastAsia" w:ascii="宋体" w:hAnsi="宋体"/>
          <w:b w:val="0"/>
          <w:bCs w:val="0"/>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负偏离</w:t>
      </w:r>
      <w:r>
        <w:rPr>
          <w:rFonts w:hint="eastAsia" w:ascii="宋体" w:hAnsi="宋体"/>
          <w:b w:val="0"/>
          <w:bCs w:val="0"/>
          <w:color w:val="000000" w:themeColor="text1"/>
          <w:highlight w:val="none"/>
          <w14:textFill>
            <w14:solidFill>
              <w14:schemeClr w14:val="tx1"/>
            </w14:solidFill>
          </w14:textFill>
        </w:rPr>
        <w:t>”或者“</w:t>
      </w:r>
      <w:r>
        <w:rPr>
          <w:rFonts w:hint="eastAsia" w:ascii="宋体" w:hAnsi="宋体"/>
          <w:color w:val="000000" w:themeColor="text1"/>
          <w:highlight w:val="none"/>
          <w14:textFill>
            <w14:solidFill>
              <w14:schemeClr w14:val="tx1"/>
            </w14:solidFill>
          </w14:textFill>
        </w:rPr>
        <w:t>无偏离</w:t>
      </w:r>
      <w:r>
        <w:rPr>
          <w:rFonts w:hint="eastAsia" w:ascii="宋体" w:hAnsi="宋体"/>
          <w:b w:val="0"/>
          <w:bCs w:val="0"/>
          <w:color w:val="000000" w:themeColor="text1"/>
          <w:highlight w:val="none"/>
          <w14:textFill>
            <w14:solidFill>
              <w14:schemeClr w14:val="tx1"/>
            </w14:solidFill>
          </w14:textFill>
        </w:rPr>
        <w:t>”。既不属于“</w:t>
      </w:r>
      <w:r>
        <w:rPr>
          <w:rFonts w:hint="eastAsia" w:ascii="宋体" w:hAnsi="宋体"/>
          <w:color w:val="000000" w:themeColor="text1"/>
          <w:highlight w:val="none"/>
          <w14:textFill>
            <w14:solidFill>
              <w14:schemeClr w14:val="tx1"/>
            </w14:solidFill>
          </w14:textFill>
        </w:rPr>
        <w:t>正偏离</w:t>
      </w:r>
      <w:r>
        <w:rPr>
          <w:rFonts w:hint="eastAsia" w:ascii="宋体" w:hAnsi="宋体"/>
          <w:b w:val="0"/>
          <w:bCs w:val="0"/>
          <w:color w:val="000000" w:themeColor="text1"/>
          <w:highlight w:val="none"/>
          <w14:textFill>
            <w14:solidFill>
              <w14:schemeClr w14:val="tx1"/>
            </w14:solidFill>
          </w14:textFill>
        </w:rPr>
        <w:t>”也不属于“</w:t>
      </w:r>
      <w:r>
        <w:rPr>
          <w:rFonts w:hint="eastAsia" w:ascii="宋体" w:hAnsi="宋体"/>
          <w:color w:val="000000" w:themeColor="text1"/>
          <w:highlight w:val="none"/>
          <w14:textFill>
            <w14:solidFill>
              <w14:schemeClr w14:val="tx1"/>
            </w14:solidFill>
          </w14:textFill>
        </w:rPr>
        <w:t>负偏离</w:t>
      </w:r>
      <w:r>
        <w:rPr>
          <w:rFonts w:hint="eastAsia" w:ascii="宋体" w:hAnsi="宋体"/>
          <w:b w:val="0"/>
          <w:bCs w:val="0"/>
          <w:color w:val="000000" w:themeColor="text1"/>
          <w:highlight w:val="none"/>
          <w14:textFill>
            <w14:solidFill>
              <w14:schemeClr w14:val="tx1"/>
            </w14:solidFill>
          </w14:textFill>
        </w:rPr>
        <w:t>”即为“</w:t>
      </w:r>
      <w:r>
        <w:rPr>
          <w:rFonts w:hint="eastAsia" w:ascii="宋体" w:hAnsi="宋体"/>
          <w:color w:val="000000" w:themeColor="text1"/>
          <w:highlight w:val="none"/>
          <w14:textFill>
            <w14:solidFill>
              <w14:schemeClr w14:val="tx1"/>
            </w14:solidFill>
          </w14:textFill>
        </w:rPr>
        <w:t>无偏离</w:t>
      </w:r>
      <w:r>
        <w:rPr>
          <w:rFonts w:hint="eastAsia" w:ascii="宋体" w:hAnsi="宋体"/>
          <w:b w:val="0"/>
          <w:bCs w:val="0"/>
          <w:color w:val="000000" w:themeColor="text1"/>
          <w:highlight w:val="none"/>
          <w14:textFill>
            <w14:solidFill>
              <w14:schemeClr w14:val="tx1"/>
            </w14:solidFill>
          </w14:textFill>
        </w:rPr>
        <w:t>”。</w:t>
      </w:r>
    </w:p>
    <w:p w14:paraId="208C080B">
      <w:pPr>
        <w:snapToGrid w:val="0"/>
        <w:spacing w:before="50" w:after="50"/>
        <w:rPr>
          <w:rFonts w:ascii="宋体" w:hAnsi="宋体"/>
          <w:color w:val="000000" w:themeColor="text1"/>
          <w:sz w:val="24"/>
          <w:highlight w:val="none"/>
          <w14:textFill>
            <w14:solidFill>
              <w14:schemeClr w14:val="tx1"/>
            </w14:solidFill>
          </w14:textFill>
        </w:rPr>
      </w:pPr>
    </w:p>
    <w:p w14:paraId="6A966363">
      <w:pPr>
        <w:snapToGrid w:val="0"/>
        <w:spacing w:before="50" w:after="50"/>
        <w:rPr>
          <w:rFonts w:hint="eastAsia" w:ascii="宋体" w:hAnsi="宋体"/>
          <w:color w:val="000000" w:themeColor="text1"/>
          <w:spacing w:val="20"/>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法定代表人或者委托代理人</w:t>
      </w:r>
      <w:r>
        <w:rPr>
          <w:rFonts w:hint="eastAsia" w:ascii="宋体" w:hAnsi="宋体"/>
          <w:color w:val="000000" w:themeColor="text1"/>
          <w:spacing w:val="20"/>
          <w:sz w:val="24"/>
          <w:highlight w:val="none"/>
          <w14:textFill>
            <w14:solidFill>
              <w14:schemeClr w14:val="tx1"/>
            </w14:solidFill>
          </w14:textFill>
        </w:rPr>
        <w:t>（签字或者电子签名）：</w:t>
      </w:r>
      <w:r>
        <w:rPr>
          <w:rFonts w:hint="eastAsia" w:ascii="宋体" w:hAnsi="宋体"/>
          <w:color w:val="000000" w:themeColor="text1"/>
          <w:spacing w:val="20"/>
          <w:sz w:val="24"/>
          <w:highlight w:val="none"/>
          <w:u w:val="single"/>
          <w14:textFill>
            <w14:solidFill>
              <w14:schemeClr w14:val="tx1"/>
            </w14:solidFill>
          </w14:textFill>
        </w:rPr>
        <w:t xml:space="preserve">        </w:t>
      </w:r>
    </w:p>
    <w:p w14:paraId="0D4D1D66">
      <w:pPr>
        <w:snapToGrid w:val="0"/>
        <w:spacing w:before="120" w:beforeLines="50"/>
        <w:rPr>
          <w:rFonts w:hint="eastAsia" w:ascii="宋体" w:hAnsi="宋体"/>
          <w:color w:val="000000" w:themeColor="text1"/>
          <w:spacing w:val="20"/>
          <w:sz w:val="24"/>
          <w:highlight w:val="none"/>
          <w14:textFill>
            <w14:solidFill>
              <w14:schemeClr w14:val="tx1"/>
            </w14:solidFill>
          </w14:textFill>
        </w:rPr>
      </w:pPr>
      <w:r>
        <w:rPr>
          <w:rFonts w:hint="eastAsia" w:ascii="宋体" w:hAnsi="宋体"/>
          <w:color w:val="000000" w:themeColor="text1"/>
          <w:spacing w:val="20"/>
          <w:sz w:val="24"/>
          <w:highlight w:val="none"/>
          <w14:textFill>
            <w14:solidFill>
              <w14:schemeClr w14:val="tx1"/>
            </w14:solidFill>
          </w14:textFill>
        </w:rPr>
        <w:t>投标人名称（电子签章）：</w:t>
      </w:r>
      <w:r>
        <w:rPr>
          <w:rFonts w:hint="eastAsia" w:ascii="宋体" w:hAnsi="宋体"/>
          <w:color w:val="000000" w:themeColor="text1"/>
          <w:spacing w:val="20"/>
          <w:sz w:val="24"/>
          <w:highlight w:val="none"/>
          <w:u w:val="single"/>
          <w14:textFill>
            <w14:solidFill>
              <w14:schemeClr w14:val="tx1"/>
            </w14:solidFill>
          </w14:textFill>
        </w:rPr>
        <w:t xml:space="preserve">            </w:t>
      </w:r>
      <w:r>
        <w:rPr>
          <w:rFonts w:hint="eastAsia" w:ascii="宋体" w:hAnsi="宋体"/>
          <w:color w:val="000000" w:themeColor="text1"/>
          <w:spacing w:val="20"/>
          <w:sz w:val="24"/>
          <w:highlight w:val="none"/>
          <w14:textFill>
            <w14:solidFill>
              <w14:schemeClr w14:val="tx1"/>
            </w14:solidFill>
          </w14:textFill>
        </w:rPr>
        <w:t xml:space="preserve">   </w:t>
      </w:r>
    </w:p>
    <w:p w14:paraId="594B8429">
      <w:pPr>
        <w:snapToGrid w:val="0"/>
        <w:spacing w:before="120" w:beforeLines="50"/>
        <w:rPr>
          <w:rFonts w:hint="eastAsia"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pacing w:val="20"/>
          <w:sz w:val="24"/>
          <w:highlight w:val="none"/>
          <w14:textFill>
            <w14:solidFill>
              <w14:schemeClr w14:val="tx1"/>
            </w14:solidFill>
          </w14:textFill>
        </w:rPr>
        <w:t>日  期：</w:t>
      </w:r>
      <w:r>
        <w:rPr>
          <w:rFonts w:hint="eastAsia" w:ascii="宋体" w:hAnsi="宋体"/>
          <w:color w:val="000000" w:themeColor="text1"/>
          <w:spacing w:val="20"/>
          <w:sz w:val="24"/>
          <w:highlight w:val="none"/>
          <w:u w:val="single"/>
          <w14:textFill>
            <w14:solidFill>
              <w14:schemeClr w14:val="tx1"/>
            </w14:solidFill>
          </w14:textFill>
        </w:rPr>
        <w:t xml:space="preserve">         </w:t>
      </w:r>
    </w:p>
    <w:p w14:paraId="0DD1B18F">
      <w:pPr>
        <w:snapToGrid w:val="0"/>
        <w:spacing w:before="120" w:beforeLines="50"/>
        <w:rPr>
          <w:rFonts w:hint="eastAsia" w:ascii="宋体" w:hAnsi="宋体"/>
          <w:color w:val="000000" w:themeColor="text1"/>
          <w:sz w:val="24"/>
          <w:szCs w:val="20"/>
          <w:highlight w:val="none"/>
          <w14:textFill>
            <w14:solidFill>
              <w14:schemeClr w14:val="tx1"/>
            </w14:solidFill>
          </w14:textFill>
        </w:rPr>
      </w:pPr>
    </w:p>
    <w:p w14:paraId="63D02602">
      <w:pPr>
        <w:snapToGrid w:val="0"/>
        <w:spacing w:before="120" w:beforeLines="50" w:after="50"/>
        <w:jc w:val="left"/>
        <w:rPr>
          <w:rFonts w:ascii="宋体" w:hAnsi="宋体"/>
          <w:color w:val="000000" w:themeColor="text1"/>
          <w:sz w:val="24"/>
          <w:szCs w:val="20"/>
          <w:highlight w:val="none"/>
          <w14:textFill>
            <w14:solidFill>
              <w14:schemeClr w14:val="tx1"/>
            </w14:solidFill>
          </w14:textFill>
        </w:rPr>
      </w:pPr>
    </w:p>
    <w:p w14:paraId="2EF650EC">
      <w:pPr>
        <w:snapToGrid w:val="0"/>
        <w:spacing w:before="120" w:beforeLines="50" w:after="50"/>
        <w:jc w:val="left"/>
        <w:rPr>
          <w:rFonts w:hint="eastAsia" w:ascii="宋体" w:hAnsi="宋体"/>
          <w:b/>
          <w:color w:val="000000" w:themeColor="text1"/>
          <w:sz w:val="24"/>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7.投标人业绩证明材料</w:t>
      </w:r>
    </w:p>
    <w:p w14:paraId="790B7EEE">
      <w:pPr>
        <w:pStyle w:val="37"/>
        <w:snapToGrid w:val="0"/>
        <w:ind w:left="480" w:hanging="480"/>
        <w:rPr>
          <w:rFonts w:hint="eastAsia" w:ascii="宋体" w:hAnsi="宋体"/>
          <w:color w:val="000000" w:themeColor="text1"/>
          <w:sz w:val="24"/>
          <w:highlight w:val="none"/>
          <w14:textFill>
            <w14:solidFill>
              <w14:schemeClr w14:val="tx1"/>
            </w14:solidFill>
          </w14:textFill>
        </w:rPr>
      </w:pPr>
    </w:p>
    <w:p w14:paraId="64BA6EAA">
      <w:pPr>
        <w:pStyle w:val="37"/>
        <w:snapToGrid w:val="0"/>
        <w:ind w:left="480" w:hanging="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投标人业绩情况一览表格式： </w:t>
      </w:r>
    </w:p>
    <w:tbl>
      <w:tblPr>
        <w:tblStyle w:val="48"/>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132"/>
        <w:gridCol w:w="1770"/>
        <w:gridCol w:w="1770"/>
        <w:gridCol w:w="2856"/>
      </w:tblGrid>
      <w:tr w14:paraId="370EAA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250" w:type="pct"/>
            <w:vMerge w:val="restart"/>
            <w:tcBorders>
              <w:top w:val="single" w:color="auto" w:sz="4" w:space="0"/>
              <w:left w:val="single" w:color="auto" w:sz="4" w:space="0"/>
              <w:bottom w:val="single" w:color="auto" w:sz="4" w:space="0"/>
              <w:right w:val="single" w:color="auto" w:sz="4" w:space="0"/>
            </w:tcBorders>
            <w:noWrap w:val="0"/>
            <w:vAlign w:val="center"/>
          </w:tcPr>
          <w:p w14:paraId="64305097">
            <w:pPr>
              <w:snapToGrid w:val="0"/>
              <w:spacing w:line="240" w:lineRule="exact"/>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采购人名称</w:t>
            </w:r>
          </w:p>
        </w:tc>
        <w:tc>
          <w:tcPr>
            <w:tcW w:w="1038" w:type="pct"/>
            <w:vMerge w:val="restart"/>
            <w:tcBorders>
              <w:top w:val="single" w:color="auto" w:sz="4" w:space="0"/>
              <w:left w:val="single" w:color="auto" w:sz="4" w:space="0"/>
              <w:bottom w:val="single" w:color="auto" w:sz="4" w:space="0"/>
              <w:right w:val="single" w:color="auto" w:sz="4" w:space="0"/>
            </w:tcBorders>
            <w:noWrap w:val="0"/>
            <w:vAlign w:val="center"/>
          </w:tcPr>
          <w:p w14:paraId="61801BB4">
            <w:pPr>
              <w:snapToGrid w:val="0"/>
              <w:spacing w:line="240" w:lineRule="exact"/>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项目名称</w:t>
            </w:r>
          </w:p>
        </w:tc>
        <w:tc>
          <w:tcPr>
            <w:tcW w:w="1038" w:type="pct"/>
            <w:vMerge w:val="restart"/>
            <w:tcBorders>
              <w:top w:val="single" w:color="auto" w:sz="4" w:space="0"/>
              <w:left w:val="single" w:color="auto" w:sz="4" w:space="0"/>
              <w:bottom w:val="single" w:color="auto" w:sz="4" w:space="0"/>
              <w:right w:val="single" w:color="auto" w:sz="4" w:space="0"/>
            </w:tcBorders>
            <w:noWrap w:val="0"/>
            <w:vAlign w:val="center"/>
          </w:tcPr>
          <w:p w14:paraId="08E1BF6D">
            <w:pPr>
              <w:snapToGrid w:val="0"/>
              <w:spacing w:line="240" w:lineRule="exact"/>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合同金额</w:t>
            </w:r>
          </w:p>
          <w:p w14:paraId="60D0E648">
            <w:pPr>
              <w:snapToGrid w:val="0"/>
              <w:spacing w:line="240" w:lineRule="exact"/>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（万元）</w:t>
            </w:r>
          </w:p>
        </w:tc>
        <w:tc>
          <w:tcPr>
            <w:tcW w:w="1674" w:type="pct"/>
            <w:vMerge w:val="restart"/>
            <w:tcBorders>
              <w:top w:val="single" w:color="auto" w:sz="4" w:space="0"/>
              <w:left w:val="single" w:color="auto" w:sz="4" w:space="0"/>
              <w:bottom w:val="single" w:color="auto" w:sz="4" w:space="0"/>
              <w:right w:val="single" w:color="auto" w:sz="4" w:space="0"/>
            </w:tcBorders>
            <w:noWrap w:val="0"/>
            <w:vAlign w:val="center"/>
          </w:tcPr>
          <w:p w14:paraId="46159347">
            <w:pPr>
              <w:snapToGrid w:val="0"/>
              <w:spacing w:line="240" w:lineRule="exact"/>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采购人联系人及</w:t>
            </w:r>
          </w:p>
          <w:p w14:paraId="00F2923C">
            <w:pPr>
              <w:snapToGrid w:val="0"/>
              <w:spacing w:line="240" w:lineRule="exact"/>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联系电话</w:t>
            </w:r>
          </w:p>
        </w:tc>
      </w:tr>
      <w:tr w14:paraId="21AAEB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250" w:type="pct"/>
            <w:vMerge w:val="continue"/>
            <w:tcBorders>
              <w:top w:val="single" w:color="auto" w:sz="4" w:space="0"/>
              <w:left w:val="single" w:color="auto" w:sz="4" w:space="0"/>
              <w:bottom w:val="single" w:color="auto" w:sz="4" w:space="0"/>
              <w:right w:val="single" w:color="auto" w:sz="4" w:space="0"/>
            </w:tcBorders>
            <w:noWrap w:val="0"/>
            <w:vAlign w:val="center"/>
          </w:tcPr>
          <w:p w14:paraId="5C7389B6">
            <w:pPr>
              <w:jc w:val="left"/>
              <w:rPr>
                <w:rFonts w:hint="eastAsia" w:ascii="宋体" w:hAnsi="宋体"/>
                <w:color w:val="000000" w:themeColor="text1"/>
                <w:sz w:val="24"/>
                <w:highlight w:val="none"/>
                <w14:textFill>
                  <w14:solidFill>
                    <w14:schemeClr w14:val="tx1"/>
                  </w14:solidFill>
                </w14:textFill>
              </w:rPr>
            </w:pPr>
          </w:p>
        </w:tc>
        <w:tc>
          <w:tcPr>
            <w:tcW w:w="1038" w:type="pct"/>
            <w:vMerge w:val="continue"/>
            <w:tcBorders>
              <w:top w:val="single" w:color="auto" w:sz="4" w:space="0"/>
              <w:left w:val="single" w:color="auto" w:sz="4" w:space="0"/>
              <w:bottom w:val="single" w:color="auto" w:sz="4" w:space="0"/>
              <w:right w:val="single" w:color="auto" w:sz="4" w:space="0"/>
            </w:tcBorders>
            <w:noWrap w:val="0"/>
            <w:vAlign w:val="center"/>
          </w:tcPr>
          <w:p w14:paraId="6A4DB8B6">
            <w:pPr>
              <w:jc w:val="left"/>
              <w:rPr>
                <w:rFonts w:hint="eastAsia" w:ascii="宋体" w:hAnsi="宋体"/>
                <w:color w:val="000000" w:themeColor="text1"/>
                <w:sz w:val="24"/>
                <w:highlight w:val="none"/>
                <w14:textFill>
                  <w14:solidFill>
                    <w14:schemeClr w14:val="tx1"/>
                  </w14:solidFill>
                </w14:textFill>
              </w:rPr>
            </w:pPr>
          </w:p>
        </w:tc>
        <w:tc>
          <w:tcPr>
            <w:tcW w:w="1038" w:type="pct"/>
            <w:vMerge w:val="continue"/>
            <w:tcBorders>
              <w:top w:val="single" w:color="auto" w:sz="4" w:space="0"/>
              <w:left w:val="single" w:color="auto" w:sz="4" w:space="0"/>
              <w:bottom w:val="single" w:color="auto" w:sz="4" w:space="0"/>
              <w:right w:val="single" w:color="auto" w:sz="4" w:space="0"/>
            </w:tcBorders>
            <w:noWrap w:val="0"/>
            <w:vAlign w:val="center"/>
          </w:tcPr>
          <w:p w14:paraId="125C2932">
            <w:pPr>
              <w:jc w:val="left"/>
              <w:rPr>
                <w:rFonts w:hint="eastAsia" w:ascii="宋体" w:hAnsi="宋体"/>
                <w:color w:val="000000" w:themeColor="text1"/>
                <w:sz w:val="24"/>
                <w:highlight w:val="none"/>
                <w14:textFill>
                  <w14:solidFill>
                    <w14:schemeClr w14:val="tx1"/>
                  </w14:solidFill>
                </w14:textFill>
              </w:rPr>
            </w:pPr>
          </w:p>
        </w:tc>
        <w:tc>
          <w:tcPr>
            <w:tcW w:w="1674" w:type="pct"/>
            <w:vMerge w:val="continue"/>
            <w:tcBorders>
              <w:top w:val="single" w:color="auto" w:sz="4" w:space="0"/>
              <w:left w:val="single" w:color="auto" w:sz="4" w:space="0"/>
              <w:bottom w:val="single" w:color="auto" w:sz="4" w:space="0"/>
              <w:right w:val="single" w:color="auto" w:sz="4" w:space="0"/>
            </w:tcBorders>
            <w:noWrap w:val="0"/>
            <w:vAlign w:val="center"/>
          </w:tcPr>
          <w:p w14:paraId="1E01E663">
            <w:pPr>
              <w:jc w:val="left"/>
              <w:rPr>
                <w:rFonts w:hint="eastAsia" w:ascii="宋体" w:hAnsi="宋体"/>
                <w:color w:val="000000" w:themeColor="text1"/>
                <w:sz w:val="24"/>
                <w:highlight w:val="none"/>
                <w14:textFill>
                  <w14:solidFill>
                    <w14:schemeClr w14:val="tx1"/>
                  </w14:solidFill>
                </w14:textFill>
              </w:rPr>
            </w:pPr>
          </w:p>
        </w:tc>
      </w:tr>
      <w:tr w14:paraId="5C7F00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250" w:type="pct"/>
            <w:tcBorders>
              <w:top w:val="single" w:color="auto" w:sz="4" w:space="0"/>
              <w:left w:val="single" w:color="auto" w:sz="4" w:space="0"/>
              <w:bottom w:val="single" w:color="auto" w:sz="4" w:space="0"/>
              <w:right w:val="single" w:color="auto" w:sz="4" w:space="0"/>
            </w:tcBorders>
            <w:noWrap w:val="0"/>
            <w:vAlign w:val="top"/>
          </w:tcPr>
          <w:p w14:paraId="1B59C253">
            <w:pPr>
              <w:snapToGrid w:val="0"/>
              <w:spacing w:line="240" w:lineRule="exact"/>
              <w:jc w:val="left"/>
              <w:rPr>
                <w:rFonts w:hint="eastAsia" w:ascii="宋体" w:hAnsi="宋体"/>
                <w:color w:val="000000" w:themeColor="text1"/>
                <w:sz w:val="24"/>
                <w:highlight w:val="none"/>
                <w14:textFill>
                  <w14:solidFill>
                    <w14:schemeClr w14:val="tx1"/>
                  </w14:solidFill>
                </w14:textFill>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0378BCA7">
            <w:pPr>
              <w:snapToGrid w:val="0"/>
              <w:spacing w:line="240" w:lineRule="exact"/>
              <w:jc w:val="left"/>
              <w:rPr>
                <w:rFonts w:hint="eastAsia" w:ascii="宋体" w:hAnsi="宋体"/>
                <w:color w:val="000000" w:themeColor="text1"/>
                <w:sz w:val="24"/>
                <w:highlight w:val="none"/>
                <w14:textFill>
                  <w14:solidFill>
                    <w14:schemeClr w14:val="tx1"/>
                  </w14:solidFill>
                </w14:textFill>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610821D3">
            <w:pPr>
              <w:snapToGrid w:val="0"/>
              <w:spacing w:line="240" w:lineRule="exact"/>
              <w:jc w:val="left"/>
              <w:rPr>
                <w:rFonts w:hint="eastAsia" w:ascii="宋体" w:hAnsi="宋体"/>
                <w:color w:val="000000" w:themeColor="text1"/>
                <w:sz w:val="24"/>
                <w:highlight w:val="none"/>
                <w14:textFill>
                  <w14:solidFill>
                    <w14:schemeClr w14:val="tx1"/>
                  </w14:solidFill>
                </w14:textFill>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03603E8E">
            <w:pPr>
              <w:snapToGrid w:val="0"/>
              <w:spacing w:line="240" w:lineRule="exact"/>
              <w:jc w:val="left"/>
              <w:rPr>
                <w:rFonts w:hint="eastAsia" w:ascii="宋体" w:hAnsi="宋体"/>
                <w:color w:val="000000" w:themeColor="text1"/>
                <w:sz w:val="24"/>
                <w:highlight w:val="none"/>
                <w14:textFill>
                  <w14:solidFill>
                    <w14:schemeClr w14:val="tx1"/>
                  </w14:solidFill>
                </w14:textFill>
              </w:rPr>
            </w:pPr>
          </w:p>
        </w:tc>
      </w:tr>
      <w:tr w14:paraId="1C4E90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69F78D3F">
            <w:pPr>
              <w:snapToGrid w:val="0"/>
              <w:spacing w:before="50" w:after="120" w:afterLines="50" w:line="400" w:lineRule="exact"/>
              <w:jc w:val="left"/>
              <w:rPr>
                <w:rFonts w:hint="eastAsia" w:ascii="宋体" w:hAnsi="宋体"/>
                <w:color w:val="000000" w:themeColor="text1"/>
                <w:sz w:val="24"/>
                <w:highlight w:val="none"/>
                <w14:textFill>
                  <w14:solidFill>
                    <w14:schemeClr w14:val="tx1"/>
                  </w14:solidFill>
                </w14:textFill>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59DB488B">
            <w:pPr>
              <w:snapToGrid w:val="0"/>
              <w:spacing w:before="50" w:after="120" w:afterLines="50" w:line="400" w:lineRule="exact"/>
              <w:jc w:val="left"/>
              <w:rPr>
                <w:rFonts w:hint="eastAsia" w:ascii="宋体" w:hAnsi="宋体"/>
                <w:color w:val="000000" w:themeColor="text1"/>
                <w:sz w:val="24"/>
                <w:highlight w:val="none"/>
                <w14:textFill>
                  <w14:solidFill>
                    <w14:schemeClr w14:val="tx1"/>
                  </w14:solidFill>
                </w14:textFill>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46205241">
            <w:pPr>
              <w:snapToGrid w:val="0"/>
              <w:spacing w:before="50" w:after="120" w:afterLines="50" w:line="400" w:lineRule="exact"/>
              <w:jc w:val="left"/>
              <w:rPr>
                <w:rFonts w:hint="eastAsia" w:ascii="宋体" w:hAnsi="宋体"/>
                <w:color w:val="000000" w:themeColor="text1"/>
                <w:sz w:val="24"/>
                <w:highlight w:val="none"/>
                <w14:textFill>
                  <w14:solidFill>
                    <w14:schemeClr w14:val="tx1"/>
                  </w14:solidFill>
                </w14:textFill>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1F8EE658">
            <w:pPr>
              <w:snapToGrid w:val="0"/>
              <w:spacing w:before="50" w:after="120" w:afterLines="50" w:line="400" w:lineRule="exact"/>
              <w:jc w:val="left"/>
              <w:rPr>
                <w:rFonts w:hint="eastAsia" w:ascii="宋体" w:hAnsi="宋体"/>
                <w:color w:val="000000" w:themeColor="text1"/>
                <w:sz w:val="24"/>
                <w:highlight w:val="none"/>
                <w14:textFill>
                  <w14:solidFill>
                    <w14:schemeClr w14:val="tx1"/>
                  </w14:solidFill>
                </w14:textFill>
              </w:rPr>
            </w:pPr>
          </w:p>
        </w:tc>
      </w:tr>
      <w:tr w14:paraId="38B47E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250" w:type="pct"/>
            <w:tcBorders>
              <w:top w:val="single" w:color="auto" w:sz="4" w:space="0"/>
              <w:left w:val="single" w:color="auto" w:sz="4" w:space="0"/>
              <w:bottom w:val="single" w:color="auto" w:sz="4" w:space="0"/>
              <w:right w:val="single" w:color="auto" w:sz="4" w:space="0"/>
            </w:tcBorders>
            <w:noWrap w:val="0"/>
            <w:vAlign w:val="top"/>
          </w:tcPr>
          <w:p w14:paraId="21D36EE2">
            <w:pPr>
              <w:snapToGrid w:val="0"/>
              <w:spacing w:before="50" w:after="120" w:afterLines="50" w:line="400" w:lineRule="exact"/>
              <w:jc w:val="left"/>
              <w:rPr>
                <w:rFonts w:hint="eastAsia" w:ascii="宋体" w:hAnsi="宋体"/>
                <w:color w:val="000000" w:themeColor="text1"/>
                <w:sz w:val="24"/>
                <w:highlight w:val="none"/>
                <w14:textFill>
                  <w14:solidFill>
                    <w14:schemeClr w14:val="tx1"/>
                  </w14:solidFill>
                </w14:textFill>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2075AF94">
            <w:pPr>
              <w:snapToGrid w:val="0"/>
              <w:spacing w:before="50" w:after="120" w:afterLines="50" w:line="400" w:lineRule="exact"/>
              <w:jc w:val="left"/>
              <w:rPr>
                <w:rFonts w:hint="eastAsia" w:ascii="宋体" w:hAnsi="宋体"/>
                <w:color w:val="000000" w:themeColor="text1"/>
                <w:sz w:val="24"/>
                <w:highlight w:val="none"/>
                <w14:textFill>
                  <w14:solidFill>
                    <w14:schemeClr w14:val="tx1"/>
                  </w14:solidFill>
                </w14:textFill>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4FD93F11">
            <w:pPr>
              <w:snapToGrid w:val="0"/>
              <w:spacing w:before="50" w:after="120" w:afterLines="50" w:line="400" w:lineRule="exact"/>
              <w:jc w:val="left"/>
              <w:rPr>
                <w:rFonts w:hint="eastAsia" w:ascii="宋体" w:hAnsi="宋体"/>
                <w:color w:val="000000" w:themeColor="text1"/>
                <w:sz w:val="24"/>
                <w:highlight w:val="none"/>
                <w14:textFill>
                  <w14:solidFill>
                    <w14:schemeClr w14:val="tx1"/>
                  </w14:solidFill>
                </w14:textFill>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1857F650">
            <w:pPr>
              <w:snapToGrid w:val="0"/>
              <w:spacing w:before="50" w:after="120" w:afterLines="50" w:line="400" w:lineRule="exact"/>
              <w:jc w:val="left"/>
              <w:rPr>
                <w:rFonts w:hint="eastAsia" w:ascii="宋体" w:hAnsi="宋体"/>
                <w:color w:val="000000" w:themeColor="text1"/>
                <w:sz w:val="24"/>
                <w:highlight w:val="none"/>
                <w14:textFill>
                  <w14:solidFill>
                    <w14:schemeClr w14:val="tx1"/>
                  </w14:solidFill>
                </w14:textFill>
              </w:rPr>
            </w:pPr>
          </w:p>
        </w:tc>
      </w:tr>
      <w:tr w14:paraId="2EB5F2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2DF4D014">
            <w:pPr>
              <w:snapToGrid w:val="0"/>
              <w:spacing w:before="50" w:after="120" w:afterLines="50" w:line="400" w:lineRule="exact"/>
              <w:jc w:val="left"/>
              <w:rPr>
                <w:rFonts w:hint="eastAsia" w:ascii="宋体" w:hAnsi="宋体"/>
                <w:color w:val="000000" w:themeColor="text1"/>
                <w:sz w:val="24"/>
                <w:highlight w:val="none"/>
                <w14:textFill>
                  <w14:solidFill>
                    <w14:schemeClr w14:val="tx1"/>
                  </w14:solidFill>
                </w14:textFill>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2F70369F">
            <w:pPr>
              <w:snapToGrid w:val="0"/>
              <w:spacing w:before="50" w:after="120" w:afterLines="50" w:line="400" w:lineRule="exact"/>
              <w:jc w:val="left"/>
              <w:rPr>
                <w:rFonts w:hint="eastAsia" w:ascii="宋体" w:hAnsi="宋体"/>
                <w:color w:val="000000" w:themeColor="text1"/>
                <w:sz w:val="24"/>
                <w:highlight w:val="none"/>
                <w14:textFill>
                  <w14:solidFill>
                    <w14:schemeClr w14:val="tx1"/>
                  </w14:solidFill>
                </w14:textFill>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6D0A0DEB">
            <w:pPr>
              <w:snapToGrid w:val="0"/>
              <w:spacing w:before="50" w:after="120" w:afterLines="50" w:line="400" w:lineRule="exact"/>
              <w:jc w:val="left"/>
              <w:rPr>
                <w:rFonts w:hint="eastAsia" w:ascii="宋体" w:hAnsi="宋体"/>
                <w:color w:val="000000" w:themeColor="text1"/>
                <w:sz w:val="24"/>
                <w:highlight w:val="none"/>
                <w14:textFill>
                  <w14:solidFill>
                    <w14:schemeClr w14:val="tx1"/>
                  </w14:solidFill>
                </w14:textFill>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6BC25731">
            <w:pPr>
              <w:snapToGrid w:val="0"/>
              <w:spacing w:before="50" w:after="120" w:afterLines="50" w:line="400" w:lineRule="exact"/>
              <w:jc w:val="left"/>
              <w:rPr>
                <w:rFonts w:hint="eastAsia" w:ascii="宋体" w:hAnsi="宋体"/>
                <w:color w:val="000000" w:themeColor="text1"/>
                <w:sz w:val="24"/>
                <w:highlight w:val="none"/>
                <w14:textFill>
                  <w14:solidFill>
                    <w14:schemeClr w14:val="tx1"/>
                  </w14:solidFill>
                </w14:textFill>
              </w:rPr>
            </w:pPr>
          </w:p>
        </w:tc>
      </w:tr>
      <w:tr w14:paraId="74E13F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73D68095">
            <w:pPr>
              <w:snapToGrid w:val="0"/>
              <w:spacing w:before="50" w:after="120" w:afterLines="50" w:line="400" w:lineRule="exact"/>
              <w:jc w:val="left"/>
              <w:rPr>
                <w:rFonts w:hint="eastAsia" w:ascii="宋体" w:hAnsi="宋体"/>
                <w:color w:val="000000" w:themeColor="text1"/>
                <w:sz w:val="24"/>
                <w:highlight w:val="none"/>
                <w14:textFill>
                  <w14:solidFill>
                    <w14:schemeClr w14:val="tx1"/>
                  </w14:solidFill>
                </w14:textFill>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4429DF19">
            <w:pPr>
              <w:snapToGrid w:val="0"/>
              <w:spacing w:before="50" w:after="120" w:afterLines="50" w:line="400" w:lineRule="exact"/>
              <w:jc w:val="left"/>
              <w:rPr>
                <w:rFonts w:hint="eastAsia" w:ascii="宋体" w:hAnsi="宋体"/>
                <w:color w:val="000000" w:themeColor="text1"/>
                <w:sz w:val="24"/>
                <w:highlight w:val="none"/>
                <w14:textFill>
                  <w14:solidFill>
                    <w14:schemeClr w14:val="tx1"/>
                  </w14:solidFill>
                </w14:textFill>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714E28C1">
            <w:pPr>
              <w:snapToGrid w:val="0"/>
              <w:spacing w:before="50" w:after="120" w:afterLines="50" w:line="400" w:lineRule="exact"/>
              <w:jc w:val="left"/>
              <w:rPr>
                <w:rFonts w:hint="eastAsia" w:ascii="宋体" w:hAnsi="宋体"/>
                <w:color w:val="000000" w:themeColor="text1"/>
                <w:sz w:val="24"/>
                <w:highlight w:val="none"/>
                <w14:textFill>
                  <w14:solidFill>
                    <w14:schemeClr w14:val="tx1"/>
                  </w14:solidFill>
                </w14:textFill>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05880DA2">
            <w:pPr>
              <w:snapToGrid w:val="0"/>
              <w:spacing w:before="50" w:after="120" w:afterLines="50" w:line="400" w:lineRule="exact"/>
              <w:jc w:val="left"/>
              <w:rPr>
                <w:rFonts w:hint="eastAsia" w:ascii="宋体" w:hAnsi="宋体"/>
                <w:color w:val="000000" w:themeColor="text1"/>
                <w:sz w:val="24"/>
                <w:highlight w:val="none"/>
                <w14:textFill>
                  <w14:solidFill>
                    <w14:schemeClr w14:val="tx1"/>
                  </w14:solidFill>
                </w14:textFill>
              </w:rPr>
            </w:pPr>
          </w:p>
        </w:tc>
      </w:tr>
    </w:tbl>
    <w:p w14:paraId="32B69315">
      <w:pPr>
        <w:pStyle w:val="17"/>
        <w:spacing w:before="0" w:after="0" w:line="360" w:lineRule="auto"/>
        <w:contextualSpacing/>
        <w:rPr>
          <w:rFonts w:hint="eastAsia" w:ascii="宋体" w:hAnsi="宋体" w:eastAsia="宋体"/>
          <w:color w:val="000000" w:themeColor="text1"/>
          <w:sz w:val="24"/>
          <w:szCs w:val="24"/>
          <w:highlight w:val="none"/>
          <w14:textFill>
            <w14:solidFill>
              <w14:schemeClr w14:val="tx1"/>
            </w14:solidFill>
          </w14:textFill>
        </w:rPr>
      </w:pPr>
    </w:p>
    <w:p w14:paraId="106BFC62">
      <w:pPr>
        <w:pStyle w:val="17"/>
        <w:spacing w:before="0" w:after="0" w:line="360" w:lineRule="auto"/>
        <w:contextualSpacing/>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注：</w:t>
      </w:r>
      <w:r>
        <w:rPr>
          <w:rFonts w:hint="eastAsia" w:ascii="宋体" w:hAnsi="宋体"/>
          <w:color w:val="000000" w:themeColor="text1"/>
          <w:sz w:val="24"/>
          <w:highlight w:val="none"/>
          <w14:textFill>
            <w14:solidFill>
              <w14:schemeClr w14:val="tx1"/>
            </w14:solidFill>
          </w14:textFill>
        </w:rPr>
        <w:t>投标人根据评标标准具体要求附业绩证明材料。</w:t>
      </w:r>
    </w:p>
    <w:p w14:paraId="2ABE7FE0">
      <w:pPr>
        <w:pStyle w:val="17"/>
        <w:spacing w:before="0" w:after="0" w:line="360" w:lineRule="auto"/>
        <w:contextualSpacing/>
        <w:jc w:val="left"/>
        <w:rPr>
          <w:rFonts w:hint="eastAsia" w:ascii="宋体" w:hAnsi="宋体" w:eastAsia="宋体"/>
          <w:color w:val="000000" w:themeColor="text1"/>
          <w:sz w:val="24"/>
          <w:szCs w:val="24"/>
          <w:highlight w:val="none"/>
          <w:u w:val="singl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法定代表人或者委托代理人（签字或者电子签名）：</w:t>
      </w:r>
      <w:r>
        <w:rPr>
          <w:rFonts w:hint="eastAsia" w:ascii="宋体" w:hAnsi="宋体" w:eastAsia="宋体"/>
          <w:color w:val="000000" w:themeColor="text1"/>
          <w:sz w:val="24"/>
          <w:szCs w:val="24"/>
          <w:highlight w:val="none"/>
          <w:u w:val="single"/>
          <w14:textFill>
            <w14:solidFill>
              <w14:schemeClr w14:val="tx1"/>
            </w14:solidFill>
          </w14:textFill>
        </w:rPr>
        <w:t>　　　　　</w:t>
      </w:r>
    </w:p>
    <w:p w14:paraId="6E1F6EDB">
      <w:pPr>
        <w:spacing w:line="360" w:lineRule="auto"/>
        <w:ind w:right="480"/>
        <w:contextualSpacing/>
        <w:jc w:val="left"/>
        <w:rPr>
          <w:rFonts w:hint="eastAsia" w:ascii="宋体" w:hAnsi="宋体"/>
          <w:color w:val="000000" w:themeColor="text1"/>
          <w:sz w:val="24"/>
          <w:szCs w:val="20"/>
          <w:highlight w:val="none"/>
          <w14:textFill>
            <w14:solidFill>
              <w14:schemeClr w14:val="tx1"/>
            </w14:solidFill>
          </w14:textFill>
        </w:rPr>
      </w:pPr>
      <w:r>
        <w:rPr>
          <w:rFonts w:hint="eastAsia" w:ascii="宋体" w:hAnsi="宋体" w:cs="Arial"/>
          <w:color w:val="000000" w:themeColor="text1"/>
          <w:sz w:val="24"/>
          <w:highlight w:val="none"/>
          <w14:textFill>
            <w14:solidFill>
              <w14:schemeClr w14:val="tx1"/>
            </w14:solidFill>
          </w14:textFill>
        </w:rPr>
        <w:t xml:space="preserve">投标人名称（电子签章）：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年    月    日</w:t>
      </w:r>
    </w:p>
    <w:p w14:paraId="738101DE">
      <w:pPr>
        <w:snapToGrid w:val="0"/>
        <w:spacing w:before="50"/>
        <w:ind w:firstLine="480" w:firstLineChars="200"/>
        <w:jc w:val="left"/>
        <w:rPr>
          <w:rFonts w:hint="eastAsia" w:ascii="宋体" w:hAnsi="宋体"/>
          <w:color w:val="000000" w:themeColor="text1"/>
          <w:sz w:val="24"/>
          <w:szCs w:val="20"/>
          <w:highlight w:val="none"/>
          <w14:textFill>
            <w14:solidFill>
              <w14:schemeClr w14:val="tx1"/>
            </w14:solidFill>
          </w14:textFill>
        </w:rPr>
      </w:pPr>
    </w:p>
    <w:p w14:paraId="3D410E1B">
      <w:pPr>
        <w:snapToGrid w:val="0"/>
        <w:spacing w:before="120" w:beforeLines="50" w:after="50"/>
        <w:jc w:val="left"/>
        <w:rPr>
          <w:rFonts w:ascii="方正小标宋简体" w:hAnsi="方正小标宋简体" w:eastAsia="方正小标宋简体" w:cs="方正小标宋简体"/>
          <w:bCs/>
          <w:color w:val="000000" w:themeColor="text1"/>
          <w:szCs w:val="21"/>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r>
        <w:rPr>
          <w:rFonts w:hint="eastAsia" w:ascii="宋体" w:hAnsi="宋体"/>
          <w:color w:val="000000" w:themeColor="text1"/>
          <w:sz w:val="24"/>
          <w:highlight w:val="none"/>
          <w14:textFill>
            <w14:solidFill>
              <w14:schemeClr w14:val="tx1"/>
            </w14:solidFill>
          </w14:textFill>
        </w:rPr>
        <w:t>8.</w:t>
      </w:r>
      <w:r>
        <w:rPr>
          <w:rFonts w:hint="eastAsia" w:ascii="方正小标宋简体" w:hAnsi="方正小标宋简体" w:eastAsia="方正小标宋简体" w:cs="方正小标宋简体"/>
          <w:bCs/>
          <w:color w:val="000000" w:themeColor="text1"/>
          <w:szCs w:val="21"/>
          <w:highlight w:val="none"/>
          <w14:textFill>
            <w14:solidFill>
              <w14:schemeClr w14:val="tx1"/>
            </w14:solidFill>
          </w14:textFill>
        </w:rPr>
        <w:t xml:space="preserve"> 代理服务费承诺书（如本项目为采购人支付代理服务费的，无需提供）</w:t>
      </w:r>
    </w:p>
    <w:p w14:paraId="4674078D">
      <w:pPr>
        <w:snapToGrid w:val="0"/>
        <w:spacing w:before="120" w:beforeLines="50" w:after="50"/>
        <w:jc w:val="left"/>
        <w:rPr>
          <w:rFonts w:hint="eastAsia" w:ascii="方正小标宋简体" w:hAnsi="方正小标宋简体" w:eastAsia="方正小标宋简体" w:cs="方正小标宋简体"/>
          <w:bCs/>
          <w:color w:val="000000" w:themeColor="text1"/>
          <w:szCs w:val="21"/>
          <w:highlight w:val="none"/>
          <w14:textFill>
            <w14:solidFill>
              <w14:schemeClr w14:val="tx1"/>
            </w14:solidFill>
          </w14:textFill>
        </w:rPr>
      </w:pPr>
    </w:p>
    <w:p w14:paraId="149AF3A8">
      <w:pPr>
        <w:snapToGrid w:val="0"/>
        <w:spacing w:before="120" w:beforeLines="50" w:after="50"/>
        <w:jc w:val="cente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代理服务费承诺书</w:t>
      </w:r>
    </w:p>
    <w:p w14:paraId="095E3146">
      <w:pPr>
        <w:snapToGrid w:val="0"/>
        <w:spacing w:before="120" w:beforeLines="50" w:after="50"/>
        <w:jc w:val="center"/>
        <w:rPr>
          <w:rFonts w:hint="eastAsia" w:ascii="宋体" w:hAnsi="宋体"/>
          <w:b/>
          <w:color w:val="000000" w:themeColor="text1"/>
          <w:sz w:val="24"/>
          <w:highlight w:val="none"/>
          <w14:textFill>
            <w14:solidFill>
              <w14:schemeClr w14:val="tx1"/>
            </w14:solidFill>
          </w14:textFill>
        </w:rPr>
      </w:pPr>
    </w:p>
    <w:p w14:paraId="2663BF37">
      <w:pPr>
        <w:spacing w:line="360" w:lineRule="auto"/>
        <w:rPr>
          <w:rFonts w:hint="eastAsia" w:ascii="宋体" w:hAnsi="宋体"/>
          <w:b/>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致：</w:t>
      </w:r>
      <w:r>
        <w:rPr>
          <w:rFonts w:hint="eastAsia" w:ascii="宋体" w:hAnsi="宋体"/>
          <w:color w:val="000000" w:themeColor="text1"/>
          <w:sz w:val="24"/>
          <w:highlight w:val="none"/>
          <w:u w:val="single"/>
          <w14:textFill>
            <w14:solidFill>
              <w14:schemeClr w14:val="tx1"/>
            </w14:solidFill>
          </w14:textFill>
        </w:rPr>
        <w:t>招标代理机构名称</w:t>
      </w:r>
      <w:r>
        <w:rPr>
          <w:rFonts w:hint="eastAsia" w:ascii="宋体" w:hAnsi="宋体"/>
          <w:color w:val="000000" w:themeColor="text1"/>
          <w:sz w:val="24"/>
          <w:highlight w:val="none"/>
          <w14:textFill>
            <w14:solidFill>
              <w14:schemeClr w14:val="tx1"/>
            </w14:solidFill>
          </w14:textFill>
        </w:rPr>
        <w:t>：</w:t>
      </w:r>
    </w:p>
    <w:p w14:paraId="7E4D54AC">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本单位参加了贵方组织的</w:t>
      </w:r>
      <w:r>
        <w:rPr>
          <w:rFonts w:hint="eastAsia" w:ascii="宋体" w:hAnsi="宋体"/>
          <w:color w:val="000000" w:themeColor="text1"/>
          <w:sz w:val="24"/>
          <w:highlight w:val="none"/>
          <w:u w:val="single"/>
          <w14:textFill>
            <w14:solidFill>
              <w14:schemeClr w14:val="tx1"/>
            </w14:solidFill>
          </w14:textFill>
        </w:rPr>
        <w:t xml:space="preserve">  项目名称（项目编号）  </w:t>
      </w:r>
      <w:r>
        <w:rPr>
          <w:rFonts w:hint="eastAsia" w:ascii="宋体" w:hAnsi="宋体"/>
          <w:color w:val="000000" w:themeColor="text1"/>
          <w:sz w:val="24"/>
          <w:highlight w:val="none"/>
          <w14:textFill>
            <w14:solidFill>
              <w14:schemeClr w14:val="tx1"/>
            </w14:solidFill>
          </w14:textFill>
        </w:rPr>
        <w:t>项目， 在此说明如下：</w:t>
      </w:r>
    </w:p>
    <w:p w14:paraId="33179BDD">
      <w:pPr>
        <w:spacing w:line="360" w:lineRule="auto"/>
        <w:ind w:firstLine="360" w:firstLineChars="15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1.我方承诺，若本单位中标，保证在发出中标通知书之后，按本项目招标文件的规定标准向贵单位一次性足额支付代理服务费, 在领取中标通知书后，由于被质疑、投诉或者其他原因而导致中标结果改变，我方将放弃对已缴纳的中标服务费追还的一切权利。</w:t>
      </w:r>
    </w:p>
    <w:p w14:paraId="2BC53AC1">
      <w:pPr>
        <w:spacing w:line="360" w:lineRule="auto"/>
        <w:ind w:firstLine="360" w:firstLineChars="15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2.本单位选择第</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种方式作为代理服务费开票类型：</w:t>
      </w:r>
    </w:p>
    <w:p w14:paraId="59170DD9">
      <w:pPr>
        <w:spacing w:line="360" w:lineRule="auto"/>
        <w:ind w:firstLine="360" w:firstLineChars="15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第一种方式：开具增值税普通发票。开票信息如下：</w:t>
      </w:r>
    </w:p>
    <w:p w14:paraId="4388E0E9">
      <w:pPr>
        <w:spacing w:line="360" w:lineRule="auto"/>
        <w:ind w:firstLine="360" w:firstLineChars="15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（1）公司名称</w:t>
      </w:r>
      <w:r>
        <w:rPr>
          <w:rFonts w:hint="eastAsia" w:ascii="宋体" w:hAnsi="宋体"/>
          <w:color w:val="000000" w:themeColor="text1"/>
          <w:sz w:val="24"/>
          <w:highlight w:val="none"/>
          <w:u w:val="single"/>
          <w14:textFill>
            <w14:solidFill>
              <w14:schemeClr w14:val="tx1"/>
            </w14:solidFill>
          </w14:textFill>
        </w:rPr>
        <w:t xml:space="preserve">_                       </w:t>
      </w:r>
      <w:r>
        <w:rPr>
          <w:rFonts w:hint="eastAsia" w:ascii="宋体" w:hAnsi="宋体"/>
          <w:color w:val="000000" w:themeColor="text1"/>
          <w:sz w:val="24"/>
          <w:highlight w:val="none"/>
          <w14:textFill>
            <w14:solidFill>
              <w14:schemeClr w14:val="tx1"/>
            </w14:solidFill>
          </w14:textFill>
        </w:rPr>
        <w:t>；</w:t>
      </w:r>
    </w:p>
    <w:p w14:paraId="6B05EDBF">
      <w:pPr>
        <w:spacing w:line="360" w:lineRule="auto"/>
        <w:ind w:firstLine="360" w:firstLineChars="15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（2）纳税人识别号</w:t>
      </w:r>
      <w:r>
        <w:rPr>
          <w:rFonts w:hint="eastAsia" w:ascii="宋体" w:hAnsi="宋体"/>
          <w:color w:val="000000" w:themeColor="text1"/>
          <w:sz w:val="24"/>
          <w:highlight w:val="none"/>
          <w:u w:val="single"/>
          <w14:textFill>
            <w14:solidFill>
              <w14:schemeClr w14:val="tx1"/>
            </w14:solidFill>
          </w14:textFill>
        </w:rPr>
        <w:t xml:space="preserve">_                   </w:t>
      </w:r>
      <w:r>
        <w:rPr>
          <w:rFonts w:hint="eastAsia" w:ascii="宋体" w:hAnsi="宋体"/>
          <w:color w:val="000000" w:themeColor="text1"/>
          <w:sz w:val="24"/>
          <w:highlight w:val="none"/>
          <w14:textFill>
            <w14:solidFill>
              <w14:schemeClr w14:val="tx1"/>
            </w14:solidFill>
          </w14:textFill>
        </w:rPr>
        <w:t>。</w:t>
      </w:r>
    </w:p>
    <w:p w14:paraId="00EF69E0">
      <w:pPr>
        <w:spacing w:line="360" w:lineRule="auto"/>
        <w:ind w:firstLine="360" w:firstLineChars="15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第二种方式：开具增值税专用发票，开票信息如下：</w:t>
      </w:r>
    </w:p>
    <w:p w14:paraId="22C2DD69">
      <w:pPr>
        <w:spacing w:line="360" w:lineRule="auto"/>
        <w:ind w:firstLine="360" w:firstLineChars="15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（1）公司名称</w:t>
      </w:r>
      <w:r>
        <w:rPr>
          <w:rFonts w:hint="eastAsia" w:ascii="宋体" w:hAnsi="宋体"/>
          <w:color w:val="000000" w:themeColor="text1"/>
          <w:sz w:val="24"/>
          <w:highlight w:val="none"/>
          <w:u w:val="single"/>
          <w14:textFill>
            <w14:solidFill>
              <w14:schemeClr w14:val="tx1"/>
            </w14:solidFill>
          </w14:textFill>
        </w:rPr>
        <w:t xml:space="preserve">_                           </w:t>
      </w:r>
      <w:r>
        <w:rPr>
          <w:rFonts w:hint="eastAsia" w:ascii="宋体" w:hAnsi="宋体"/>
          <w:color w:val="000000" w:themeColor="text1"/>
          <w:sz w:val="24"/>
          <w:highlight w:val="none"/>
          <w14:textFill>
            <w14:solidFill>
              <w14:schemeClr w14:val="tx1"/>
            </w14:solidFill>
          </w14:textFill>
        </w:rPr>
        <w:t>；</w:t>
      </w:r>
    </w:p>
    <w:p w14:paraId="2382DCD8">
      <w:pPr>
        <w:spacing w:line="360" w:lineRule="auto"/>
        <w:ind w:firstLine="360" w:firstLineChars="15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（2）纳税人识别号</w:t>
      </w:r>
      <w:r>
        <w:rPr>
          <w:rFonts w:hint="eastAsia" w:ascii="宋体" w:hAnsi="宋体"/>
          <w:color w:val="000000" w:themeColor="text1"/>
          <w:sz w:val="24"/>
          <w:highlight w:val="none"/>
          <w:u w:val="single"/>
          <w14:textFill>
            <w14:solidFill>
              <w14:schemeClr w14:val="tx1"/>
            </w14:solidFill>
          </w14:textFill>
        </w:rPr>
        <w:t xml:space="preserve">_                       </w:t>
      </w:r>
      <w:r>
        <w:rPr>
          <w:rFonts w:hint="eastAsia" w:ascii="宋体" w:hAnsi="宋体"/>
          <w:color w:val="000000" w:themeColor="text1"/>
          <w:sz w:val="24"/>
          <w:highlight w:val="none"/>
          <w14:textFill>
            <w14:solidFill>
              <w14:schemeClr w14:val="tx1"/>
            </w14:solidFill>
          </w14:textFill>
        </w:rPr>
        <w:t>；</w:t>
      </w:r>
    </w:p>
    <w:p w14:paraId="18911AFE">
      <w:pPr>
        <w:spacing w:line="360" w:lineRule="auto"/>
        <w:ind w:firstLine="360" w:firstLineChars="15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（3）在税局登记的地址</w:t>
      </w:r>
      <w:r>
        <w:rPr>
          <w:rFonts w:hint="eastAsia" w:ascii="宋体" w:hAnsi="宋体"/>
          <w:color w:val="000000" w:themeColor="text1"/>
          <w:sz w:val="24"/>
          <w:highlight w:val="none"/>
          <w:u w:val="single"/>
          <w14:textFill>
            <w14:solidFill>
              <w14:schemeClr w14:val="tx1"/>
            </w14:solidFill>
          </w14:textFill>
        </w:rPr>
        <w:t xml:space="preserve">_                   </w:t>
      </w:r>
      <w:r>
        <w:rPr>
          <w:rFonts w:hint="eastAsia" w:ascii="宋体" w:hAnsi="宋体"/>
          <w:color w:val="000000" w:themeColor="text1"/>
          <w:sz w:val="24"/>
          <w:highlight w:val="none"/>
          <w14:textFill>
            <w14:solidFill>
              <w14:schemeClr w14:val="tx1"/>
            </w14:solidFill>
          </w14:textFill>
        </w:rPr>
        <w:t>；</w:t>
      </w:r>
    </w:p>
    <w:p w14:paraId="2217973B">
      <w:pPr>
        <w:spacing w:line="360" w:lineRule="auto"/>
        <w:ind w:firstLine="360" w:firstLineChars="15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（4）在税局登记的电话</w:t>
      </w:r>
      <w:r>
        <w:rPr>
          <w:rFonts w:hint="eastAsia" w:ascii="宋体" w:hAnsi="宋体"/>
          <w:color w:val="000000" w:themeColor="text1"/>
          <w:sz w:val="24"/>
          <w:highlight w:val="none"/>
          <w:u w:val="single"/>
          <w14:textFill>
            <w14:solidFill>
              <w14:schemeClr w14:val="tx1"/>
            </w14:solidFill>
          </w14:textFill>
        </w:rPr>
        <w:t xml:space="preserve">_                   </w:t>
      </w:r>
      <w:r>
        <w:rPr>
          <w:rFonts w:hint="eastAsia" w:ascii="宋体" w:hAnsi="宋体"/>
          <w:color w:val="000000" w:themeColor="text1"/>
          <w:sz w:val="24"/>
          <w:highlight w:val="none"/>
          <w14:textFill>
            <w14:solidFill>
              <w14:schemeClr w14:val="tx1"/>
            </w14:solidFill>
          </w14:textFill>
        </w:rPr>
        <w:t>；</w:t>
      </w:r>
    </w:p>
    <w:p w14:paraId="34691C4E">
      <w:pPr>
        <w:spacing w:line="360" w:lineRule="auto"/>
        <w:ind w:firstLine="360" w:firstLineChars="15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（5）开户银行</w:t>
      </w:r>
      <w:r>
        <w:rPr>
          <w:rFonts w:hint="eastAsia" w:ascii="宋体" w:hAnsi="宋体"/>
          <w:color w:val="000000" w:themeColor="text1"/>
          <w:sz w:val="24"/>
          <w:highlight w:val="none"/>
          <w:u w:val="single"/>
          <w14:textFill>
            <w14:solidFill>
              <w14:schemeClr w14:val="tx1"/>
            </w14:solidFill>
          </w14:textFill>
        </w:rPr>
        <w:t xml:space="preserve">_                           </w:t>
      </w:r>
      <w:r>
        <w:rPr>
          <w:rFonts w:hint="eastAsia" w:ascii="宋体" w:hAnsi="宋体"/>
          <w:color w:val="000000" w:themeColor="text1"/>
          <w:sz w:val="24"/>
          <w:highlight w:val="none"/>
          <w14:textFill>
            <w14:solidFill>
              <w14:schemeClr w14:val="tx1"/>
            </w14:solidFill>
          </w14:textFill>
        </w:rPr>
        <w:t>；</w:t>
      </w:r>
    </w:p>
    <w:p w14:paraId="466C2625">
      <w:pPr>
        <w:spacing w:line="360" w:lineRule="auto"/>
        <w:ind w:firstLine="360" w:firstLineChars="15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（6）银行账户</w:t>
      </w:r>
      <w:r>
        <w:rPr>
          <w:rFonts w:hint="eastAsia" w:ascii="宋体" w:hAnsi="宋体"/>
          <w:color w:val="000000" w:themeColor="text1"/>
          <w:sz w:val="24"/>
          <w:highlight w:val="none"/>
          <w:u w:val="single"/>
          <w14:textFill>
            <w14:solidFill>
              <w14:schemeClr w14:val="tx1"/>
            </w14:solidFill>
          </w14:textFill>
        </w:rPr>
        <w:t xml:space="preserve">_                           </w:t>
      </w:r>
      <w:r>
        <w:rPr>
          <w:rFonts w:hint="eastAsia" w:ascii="宋体" w:hAnsi="宋体"/>
          <w:color w:val="000000" w:themeColor="text1"/>
          <w:sz w:val="24"/>
          <w:highlight w:val="none"/>
          <w14:textFill>
            <w14:solidFill>
              <w14:schemeClr w14:val="tx1"/>
            </w14:solidFill>
          </w14:textFill>
        </w:rPr>
        <w:t>。</w:t>
      </w:r>
    </w:p>
    <w:p w14:paraId="2D19F4AC">
      <w:pPr>
        <w:spacing w:line="440" w:lineRule="exact"/>
        <w:rPr>
          <w:rFonts w:hint="eastAsia" w:ascii="宋体" w:hAnsi="宋体"/>
          <w:color w:val="000000" w:themeColor="text1"/>
          <w:sz w:val="24"/>
          <w:highlight w:val="none"/>
          <w14:textFill>
            <w14:solidFill>
              <w14:schemeClr w14:val="tx1"/>
            </w14:solidFill>
          </w14:textFill>
        </w:rPr>
      </w:pPr>
    </w:p>
    <w:p w14:paraId="0346B2EE">
      <w:pPr>
        <w:spacing w:line="440" w:lineRule="exact"/>
        <w:rPr>
          <w:rFonts w:hint="eastAsia" w:ascii="宋体" w:hAnsi="宋体"/>
          <w:color w:val="000000" w:themeColor="text1"/>
          <w:sz w:val="24"/>
          <w:highlight w:val="none"/>
          <w14:textFill>
            <w14:solidFill>
              <w14:schemeClr w14:val="tx1"/>
            </w14:solidFill>
          </w14:textFill>
        </w:rPr>
      </w:pPr>
    </w:p>
    <w:p w14:paraId="7030FC3F">
      <w:pPr>
        <w:spacing w:line="440" w:lineRule="exact"/>
        <w:rPr>
          <w:rFonts w:hint="eastAsia" w:ascii="宋体" w:hAnsi="宋体"/>
          <w:color w:val="000000" w:themeColor="text1"/>
          <w:sz w:val="24"/>
          <w:highlight w:val="none"/>
          <w14:textFill>
            <w14:solidFill>
              <w14:schemeClr w14:val="tx1"/>
            </w14:solidFill>
          </w14:textFill>
        </w:rPr>
      </w:pPr>
    </w:p>
    <w:p w14:paraId="26CECA08">
      <w:pPr>
        <w:snapToGrid w:val="0"/>
        <w:spacing w:line="360" w:lineRule="auto"/>
        <w:ind w:left="-2" w:leftChars="-1" w:right="-817" w:rightChars="-389" w:firstLine="1920" w:firstLineChars="8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法定代表人或者委托代理人（签字或者电子签名）： </w:t>
      </w:r>
    </w:p>
    <w:p w14:paraId="131C611B">
      <w:pPr>
        <w:snapToGrid w:val="0"/>
        <w:spacing w:line="360" w:lineRule="auto"/>
        <w:ind w:left="-3" w:leftChars="-15" w:right="-817" w:rightChars="-389" w:hanging="28" w:hangingChars="12"/>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供应商公章（电子签章）：</w:t>
      </w:r>
    </w:p>
    <w:p w14:paraId="7E26AC28">
      <w:pPr>
        <w:snapToGrid w:val="0"/>
        <w:spacing w:line="360" w:lineRule="auto"/>
        <w:ind w:right="480" w:firstLine="240" w:firstLineChars="1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日期：    年   月   日</w:t>
      </w:r>
    </w:p>
    <w:p w14:paraId="61C4DA18">
      <w:pPr>
        <w:rPr>
          <w:rFonts w:hint="eastAsia"/>
          <w:color w:val="000000" w:themeColor="text1"/>
          <w:highlight w:val="none"/>
          <w14:textFill>
            <w14:solidFill>
              <w14:schemeClr w14:val="tx1"/>
            </w14:solidFill>
          </w14:textFill>
        </w:rPr>
      </w:pPr>
    </w:p>
    <w:p w14:paraId="6B08A935">
      <w:pPr>
        <w:snapToGrid w:val="0"/>
        <w:spacing w:before="50"/>
        <w:jc w:val="left"/>
        <w:rPr>
          <w:rFonts w:hint="eastAsia" w:ascii="宋体" w:hAnsi="宋体"/>
          <w:color w:val="000000" w:themeColor="text1"/>
          <w:sz w:val="24"/>
          <w:highlight w:val="none"/>
          <w14:textFill>
            <w14:solidFill>
              <w14:schemeClr w14:val="tx1"/>
            </w14:solidFill>
          </w14:textFill>
        </w:rPr>
      </w:pPr>
    </w:p>
    <w:p w14:paraId="399F447C">
      <w:pPr>
        <w:snapToGrid w:val="0"/>
        <w:spacing w:before="120" w:beforeLines="50"/>
        <w:rPr>
          <w:rFonts w:ascii="宋体" w:hAnsi="宋体"/>
          <w:color w:val="000000" w:themeColor="text1"/>
          <w:sz w:val="24"/>
          <w:szCs w:val="20"/>
          <w:highlight w:val="none"/>
          <w14:textFill>
            <w14:solidFill>
              <w14:schemeClr w14:val="tx1"/>
            </w14:solidFill>
          </w14:textFill>
        </w:rPr>
        <w:sectPr>
          <w:pgSz w:w="11906" w:h="16838"/>
          <w:pgMar w:top="1440" w:right="1797" w:bottom="1440" w:left="1797" w:header="851" w:footer="992" w:gutter="0"/>
          <w:cols w:space="720" w:num="1"/>
          <w:docGrid w:linePitch="312" w:charSpace="0"/>
        </w:sectPr>
      </w:pPr>
    </w:p>
    <w:p w14:paraId="047241F3">
      <w:pPr>
        <w:snapToGrid w:val="0"/>
        <w:spacing w:before="120" w:beforeLines="50" w:after="50"/>
        <w:jc w:val="left"/>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9. 设备性能配置清单格式</w:t>
      </w:r>
    </w:p>
    <w:p w14:paraId="278EDE68">
      <w:pPr>
        <w:snapToGrid w:val="0"/>
        <w:spacing w:before="120" w:beforeLines="50" w:after="50"/>
        <w:ind w:left="142"/>
        <w:jc w:val="left"/>
        <w:rPr>
          <w:rFonts w:hint="eastAsia" w:ascii="宋体" w:hAnsi="宋体"/>
          <w:b/>
          <w:color w:val="000000" w:themeColor="text1"/>
          <w:sz w:val="24"/>
          <w:highlight w:val="none"/>
          <w14:textFill>
            <w14:solidFill>
              <w14:schemeClr w14:val="tx1"/>
            </w14:solidFill>
          </w14:textFill>
        </w:rPr>
      </w:pPr>
    </w:p>
    <w:p w14:paraId="193B069D">
      <w:pPr>
        <w:snapToGrid w:val="0"/>
        <w:spacing w:before="120" w:beforeLines="50" w:after="50"/>
        <w:ind w:left="142"/>
        <w:jc w:val="center"/>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设备性能配置清单</w:t>
      </w:r>
    </w:p>
    <w:p w14:paraId="4EBAE455">
      <w:pPr>
        <w:pStyle w:val="27"/>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所投分标：</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分标</w:t>
      </w:r>
    </w:p>
    <w:tbl>
      <w:tblPr>
        <w:tblStyle w:val="48"/>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56"/>
        <w:gridCol w:w="1495"/>
        <w:gridCol w:w="992"/>
        <w:gridCol w:w="708"/>
        <w:gridCol w:w="1561"/>
        <w:gridCol w:w="1187"/>
        <w:gridCol w:w="703"/>
        <w:gridCol w:w="1426"/>
      </w:tblGrid>
      <w:tr w14:paraId="54C803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267" w:type="pct"/>
            <w:tcBorders>
              <w:top w:val="single" w:color="auto" w:sz="4" w:space="0"/>
              <w:left w:val="single" w:color="auto" w:sz="4" w:space="0"/>
              <w:bottom w:val="single" w:color="auto" w:sz="4" w:space="0"/>
              <w:right w:val="single" w:color="auto" w:sz="4" w:space="0"/>
            </w:tcBorders>
            <w:noWrap w:val="0"/>
            <w:vAlign w:val="center"/>
          </w:tcPr>
          <w:p w14:paraId="1F4658C7">
            <w:pPr>
              <w:snapToGrid w:val="0"/>
              <w:spacing w:before="50" w:after="50"/>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序号</w:t>
            </w:r>
          </w:p>
        </w:tc>
        <w:tc>
          <w:tcPr>
            <w:tcW w:w="877" w:type="pct"/>
            <w:tcBorders>
              <w:top w:val="single" w:color="auto" w:sz="4" w:space="0"/>
              <w:left w:val="single" w:color="auto" w:sz="4" w:space="0"/>
              <w:bottom w:val="single" w:color="auto" w:sz="4" w:space="0"/>
              <w:right w:val="single" w:color="auto" w:sz="4" w:space="0"/>
            </w:tcBorders>
            <w:noWrap w:val="0"/>
            <w:vAlign w:val="center"/>
          </w:tcPr>
          <w:p w14:paraId="1D8714B0">
            <w:pPr>
              <w:snapToGrid w:val="0"/>
              <w:spacing w:before="50" w:after="50"/>
              <w:jc w:val="center"/>
              <w:rPr>
                <w:rFonts w:hint="eastAsia" w:ascii="宋体" w:hAnsi="宋体"/>
                <w:color w:val="000000" w:themeColor="text1"/>
                <w:sz w:val="24"/>
                <w:highlight w:val="none"/>
                <w14:textFill>
                  <w14:solidFill>
                    <w14:schemeClr w14:val="tx1"/>
                  </w14:solidFill>
                </w14:textFill>
              </w:rPr>
            </w:pPr>
            <w:r>
              <w:rPr>
                <w:rFonts w:hint="eastAsia" w:hAnsi="宋体" w:cs="Courier New"/>
                <w:color w:val="000000" w:themeColor="text1"/>
                <w:sz w:val="24"/>
                <w:highlight w:val="none"/>
                <w14:textFill>
                  <w14:solidFill>
                    <w14:schemeClr w14:val="tx1"/>
                  </w14:solidFill>
                </w14:textFill>
              </w:rPr>
              <w:t>标的的名称</w:t>
            </w:r>
          </w:p>
        </w:tc>
        <w:tc>
          <w:tcPr>
            <w:tcW w:w="582" w:type="pct"/>
            <w:tcBorders>
              <w:top w:val="single" w:color="auto" w:sz="4" w:space="0"/>
              <w:left w:val="single" w:color="auto" w:sz="4" w:space="0"/>
              <w:bottom w:val="single" w:color="auto" w:sz="4" w:space="0"/>
              <w:right w:val="single" w:color="auto" w:sz="4" w:space="0"/>
            </w:tcBorders>
            <w:noWrap w:val="0"/>
            <w:vAlign w:val="center"/>
          </w:tcPr>
          <w:p w14:paraId="627A656C">
            <w:pPr>
              <w:snapToGrid w:val="0"/>
              <w:spacing w:before="50" w:after="50"/>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数量及单位</w:t>
            </w:r>
          </w:p>
        </w:tc>
        <w:tc>
          <w:tcPr>
            <w:tcW w:w="415" w:type="pct"/>
            <w:tcBorders>
              <w:top w:val="single" w:color="auto" w:sz="4" w:space="0"/>
              <w:left w:val="single" w:color="auto" w:sz="4" w:space="0"/>
              <w:bottom w:val="single" w:color="auto" w:sz="4" w:space="0"/>
              <w:right w:val="single" w:color="auto" w:sz="4" w:space="0"/>
            </w:tcBorders>
            <w:noWrap w:val="0"/>
            <w:vAlign w:val="center"/>
          </w:tcPr>
          <w:p w14:paraId="5D12BC91">
            <w:pPr>
              <w:snapToGrid w:val="0"/>
              <w:spacing w:before="50" w:after="50"/>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品牌</w:t>
            </w:r>
          </w:p>
        </w:tc>
        <w:tc>
          <w:tcPr>
            <w:tcW w:w="915" w:type="pct"/>
            <w:tcBorders>
              <w:top w:val="single" w:color="auto" w:sz="4" w:space="0"/>
              <w:left w:val="single" w:color="auto" w:sz="4" w:space="0"/>
              <w:bottom w:val="single" w:color="auto" w:sz="4" w:space="0"/>
              <w:right w:val="single" w:color="auto" w:sz="4" w:space="0"/>
            </w:tcBorders>
            <w:noWrap w:val="0"/>
            <w:vAlign w:val="top"/>
          </w:tcPr>
          <w:p w14:paraId="0C71D835">
            <w:pPr>
              <w:snapToGrid w:val="0"/>
              <w:spacing w:before="50" w:after="50"/>
              <w:jc w:val="center"/>
              <w:rPr>
                <w:rFonts w:ascii="宋体" w:hAnsi="宋体"/>
                <w:color w:val="000000" w:themeColor="text1"/>
                <w:sz w:val="24"/>
                <w:highlight w:val="none"/>
                <w14:textFill>
                  <w14:solidFill>
                    <w14:schemeClr w14:val="tx1"/>
                  </w14:solidFill>
                </w14:textFill>
              </w:rPr>
            </w:pPr>
          </w:p>
          <w:p w14:paraId="714B4C62">
            <w:pPr>
              <w:snapToGrid w:val="0"/>
              <w:spacing w:before="50" w:after="50"/>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规格型号</w:t>
            </w:r>
          </w:p>
        </w:tc>
        <w:tc>
          <w:tcPr>
            <w:tcW w:w="696" w:type="pct"/>
            <w:tcBorders>
              <w:top w:val="single" w:color="auto" w:sz="4" w:space="0"/>
              <w:left w:val="single" w:color="auto" w:sz="4" w:space="0"/>
              <w:bottom w:val="single" w:color="auto" w:sz="4" w:space="0"/>
              <w:right w:val="single" w:color="auto" w:sz="4" w:space="0"/>
            </w:tcBorders>
            <w:noWrap w:val="0"/>
            <w:vAlign w:val="center"/>
          </w:tcPr>
          <w:p w14:paraId="52D1AEC9">
            <w:pPr>
              <w:snapToGrid w:val="0"/>
              <w:spacing w:before="50" w:after="50"/>
              <w:jc w:val="center"/>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生产厂家</w:t>
            </w:r>
          </w:p>
        </w:tc>
        <w:tc>
          <w:tcPr>
            <w:tcW w:w="412" w:type="pct"/>
            <w:tcBorders>
              <w:top w:val="single" w:color="auto" w:sz="4" w:space="0"/>
              <w:left w:val="single" w:color="auto" w:sz="4" w:space="0"/>
              <w:bottom w:val="single" w:color="auto" w:sz="4" w:space="0"/>
              <w:right w:val="single" w:color="auto" w:sz="4" w:space="0"/>
            </w:tcBorders>
            <w:noWrap w:val="0"/>
            <w:vAlign w:val="center"/>
          </w:tcPr>
          <w:p w14:paraId="6925F189">
            <w:pPr>
              <w:snapToGrid w:val="0"/>
              <w:spacing w:before="50" w:after="50"/>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原产地</w:t>
            </w:r>
          </w:p>
        </w:tc>
        <w:tc>
          <w:tcPr>
            <w:tcW w:w="836" w:type="pct"/>
            <w:tcBorders>
              <w:top w:val="single" w:color="auto" w:sz="4" w:space="0"/>
              <w:left w:val="single" w:color="auto" w:sz="4" w:space="0"/>
              <w:bottom w:val="single" w:color="auto" w:sz="4" w:space="0"/>
              <w:right w:val="single" w:color="auto" w:sz="4" w:space="0"/>
            </w:tcBorders>
            <w:noWrap w:val="0"/>
            <w:vAlign w:val="center"/>
          </w:tcPr>
          <w:p w14:paraId="3BE9B044">
            <w:pPr>
              <w:snapToGrid w:val="0"/>
              <w:spacing w:before="50" w:after="50"/>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参数性能、指标及配置</w:t>
            </w:r>
          </w:p>
        </w:tc>
      </w:tr>
      <w:tr w14:paraId="6992AE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267" w:type="pct"/>
            <w:tcBorders>
              <w:top w:val="single" w:color="auto" w:sz="4" w:space="0"/>
              <w:left w:val="single" w:color="auto" w:sz="4" w:space="0"/>
              <w:bottom w:val="single" w:color="auto" w:sz="4" w:space="0"/>
              <w:right w:val="single" w:color="auto" w:sz="4" w:space="0"/>
            </w:tcBorders>
            <w:noWrap w:val="0"/>
            <w:vAlign w:val="center"/>
          </w:tcPr>
          <w:p w14:paraId="6B5DD41D">
            <w:pPr>
              <w:snapToGrid w:val="0"/>
              <w:spacing w:before="50" w:after="50"/>
              <w:jc w:val="center"/>
              <w:rPr>
                <w:rFonts w:hint="eastAsia" w:ascii="宋体" w:hAnsi="宋体"/>
                <w:color w:val="000000" w:themeColor="text1"/>
                <w:sz w:val="24"/>
                <w:highlight w:val="none"/>
                <w14:textFill>
                  <w14:solidFill>
                    <w14:schemeClr w14:val="tx1"/>
                  </w14:solidFill>
                </w14:textFill>
              </w:rPr>
            </w:pPr>
          </w:p>
        </w:tc>
        <w:tc>
          <w:tcPr>
            <w:tcW w:w="877" w:type="pct"/>
            <w:tcBorders>
              <w:top w:val="single" w:color="auto" w:sz="4" w:space="0"/>
              <w:left w:val="single" w:color="auto" w:sz="4" w:space="0"/>
              <w:bottom w:val="single" w:color="auto" w:sz="4" w:space="0"/>
              <w:right w:val="single" w:color="auto" w:sz="4" w:space="0"/>
            </w:tcBorders>
            <w:noWrap w:val="0"/>
            <w:vAlign w:val="center"/>
          </w:tcPr>
          <w:p w14:paraId="66BB0315">
            <w:pPr>
              <w:snapToGrid w:val="0"/>
              <w:spacing w:before="50" w:after="50"/>
              <w:jc w:val="center"/>
              <w:rPr>
                <w:rFonts w:hint="eastAsia" w:ascii="宋体" w:hAnsi="宋体"/>
                <w:color w:val="000000" w:themeColor="text1"/>
                <w:sz w:val="24"/>
                <w:highlight w:val="none"/>
                <w14:textFill>
                  <w14:solidFill>
                    <w14:schemeClr w14:val="tx1"/>
                  </w14:solidFill>
                </w14:textFill>
              </w:rPr>
            </w:pPr>
          </w:p>
        </w:tc>
        <w:tc>
          <w:tcPr>
            <w:tcW w:w="582" w:type="pct"/>
            <w:tcBorders>
              <w:top w:val="single" w:color="auto" w:sz="4" w:space="0"/>
              <w:left w:val="single" w:color="auto" w:sz="4" w:space="0"/>
              <w:bottom w:val="single" w:color="auto" w:sz="4" w:space="0"/>
              <w:right w:val="single" w:color="auto" w:sz="4" w:space="0"/>
            </w:tcBorders>
            <w:noWrap w:val="0"/>
            <w:vAlign w:val="center"/>
          </w:tcPr>
          <w:p w14:paraId="59A27F27">
            <w:pPr>
              <w:snapToGrid w:val="0"/>
              <w:spacing w:before="50" w:after="50"/>
              <w:jc w:val="center"/>
              <w:rPr>
                <w:rFonts w:hint="eastAsia" w:ascii="宋体" w:hAnsi="宋体"/>
                <w:color w:val="000000" w:themeColor="text1"/>
                <w:sz w:val="24"/>
                <w:highlight w:val="none"/>
                <w14:textFill>
                  <w14:solidFill>
                    <w14:schemeClr w14:val="tx1"/>
                  </w14:solidFill>
                </w14:textFill>
              </w:rPr>
            </w:pPr>
          </w:p>
        </w:tc>
        <w:tc>
          <w:tcPr>
            <w:tcW w:w="415" w:type="pct"/>
            <w:tcBorders>
              <w:top w:val="single" w:color="auto" w:sz="4" w:space="0"/>
              <w:left w:val="single" w:color="auto" w:sz="4" w:space="0"/>
              <w:bottom w:val="single" w:color="auto" w:sz="4" w:space="0"/>
              <w:right w:val="single" w:color="auto" w:sz="4" w:space="0"/>
            </w:tcBorders>
            <w:noWrap w:val="0"/>
            <w:vAlign w:val="center"/>
          </w:tcPr>
          <w:p w14:paraId="24F4B787">
            <w:pPr>
              <w:snapToGrid w:val="0"/>
              <w:spacing w:before="50" w:after="50"/>
              <w:jc w:val="center"/>
              <w:rPr>
                <w:rFonts w:hint="eastAsia" w:ascii="宋体" w:hAnsi="宋体"/>
                <w:color w:val="000000" w:themeColor="text1"/>
                <w:sz w:val="24"/>
                <w:highlight w:val="none"/>
                <w14:textFill>
                  <w14:solidFill>
                    <w14:schemeClr w14:val="tx1"/>
                  </w14:solidFill>
                </w14:textFill>
              </w:rPr>
            </w:pPr>
          </w:p>
        </w:tc>
        <w:tc>
          <w:tcPr>
            <w:tcW w:w="915" w:type="pct"/>
            <w:tcBorders>
              <w:top w:val="single" w:color="auto" w:sz="4" w:space="0"/>
              <w:left w:val="single" w:color="auto" w:sz="4" w:space="0"/>
              <w:bottom w:val="single" w:color="auto" w:sz="4" w:space="0"/>
              <w:right w:val="single" w:color="auto" w:sz="4" w:space="0"/>
            </w:tcBorders>
            <w:noWrap w:val="0"/>
            <w:vAlign w:val="top"/>
          </w:tcPr>
          <w:p w14:paraId="21457860">
            <w:pPr>
              <w:snapToGrid w:val="0"/>
              <w:spacing w:before="50" w:after="50"/>
              <w:jc w:val="center"/>
              <w:rPr>
                <w:rFonts w:hint="eastAsia" w:ascii="宋体" w:hAnsi="宋体"/>
                <w:color w:val="000000" w:themeColor="text1"/>
                <w:sz w:val="24"/>
                <w:highlight w:val="none"/>
                <w14:textFill>
                  <w14:solidFill>
                    <w14:schemeClr w14:val="tx1"/>
                  </w14:solidFill>
                </w14:textFill>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3CE7C14B">
            <w:pPr>
              <w:snapToGrid w:val="0"/>
              <w:spacing w:before="50" w:after="50"/>
              <w:jc w:val="center"/>
              <w:rPr>
                <w:rFonts w:hint="eastAsia" w:ascii="宋体" w:hAnsi="宋体"/>
                <w:color w:val="000000" w:themeColor="text1"/>
                <w:sz w:val="24"/>
                <w:highlight w:val="none"/>
                <w14:textFill>
                  <w14:solidFill>
                    <w14:schemeClr w14:val="tx1"/>
                  </w14:solidFill>
                </w14:textFill>
              </w:rPr>
            </w:pPr>
          </w:p>
        </w:tc>
        <w:tc>
          <w:tcPr>
            <w:tcW w:w="412" w:type="pct"/>
            <w:tcBorders>
              <w:top w:val="single" w:color="auto" w:sz="4" w:space="0"/>
              <w:left w:val="single" w:color="auto" w:sz="4" w:space="0"/>
              <w:bottom w:val="single" w:color="auto" w:sz="4" w:space="0"/>
              <w:right w:val="single" w:color="auto" w:sz="4" w:space="0"/>
            </w:tcBorders>
            <w:noWrap w:val="0"/>
            <w:vAlign w:val="center"/>
          </w:tcPr>
          <w:p w14:paraId="4578C06D">
            <w:pPr>
              <w:snapToGrid w:val="0"/>
              <w:spacing w:before="50" w:after="50"/>
              <w:jc w:val="center"/>
              <w:rPr>
                <w:rFonts w:hint="eastAsia" w:ascii="宋体" w:hAnsi="宋体"/>
                <w:color w:val="000000" w:themeColor="text1"/>
                <w:sz w:val="24"/>
                <w:highlight w:val="none"/>
                <w14:textFill>
                  <w14:solidFill>
                    <w14:schemeClr w14:val="tx1"/>
                  </w14:solidFill>
                </w14:textFill>
              </w:rPr>
            </w:pPr>
          </w:p>
        </w:tc>
        <w:tc>
          <w:tcPr>
            <w:tcW w:w="836" w:type="pct"/>
            <w:tcBorders>
              <w:top w:val="single" w:color="auto" w:sz="4" w:space="0"/>
              <w:left w:val="single" w:color="auto" w:sz="4" w:space="0"/>
              <w:bottom w:val="single" w:color="auto" w:sz="4" w:space="0"/>
              <w:right w:val="single" w:color="auto" w:sz="4" w:space="0"/>
            </w:tcBorders>
            <w:noWrap w:val="0"/>
            <w:vAlign w:val="center"/>
          </w:tcPr>
          <w:p w14:paraId="26E39C33">
            <w:pPr>
              <w:snapToGrid w:val="0"/>
              <w:spacing w:before="50" w:after="50"/>
              <w:jc w:val="center"/>
              <w:rPr>
                <w:rFonts w:hint="eastAsia" w:ascii="宋体" w:hAnsi="宋体"/>
                <w:color w:val="000000" w:themeColor="text1"/>
                <w:sz w:val="24"/>
                <w:highlight w:val="none"/>
                <w14:textFill>
                  <w14:solidFill>
                    <w14:schemeClr w14:val="tx1"/>
                  </w14:solidFill>
                </w14:textFill>
              </w:rPr>
            </w:pPr>
          </w:p>
        </w:tc>
      </w:tr>
      <w:tr w14:paraId="32709C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267" w:type="pct"/>
            <w:tcBorders>
              <w:top w:val="single" w:color="auto" w:sz="4" w:space="0"/>
              <w:left w:val="single" w:color="auto" w:sz="4" w:space="0"/>
              <w:bottom w:val="single" w:color="auto" w:sz="4" w:space="0"/>
              <w:right w:val="single" w:color="auto" w:sz="4" w:space="0"/>
            </w:tcBorders>
            <w:noWrap w:val="0"/>
            <w:vAlign w:val="center"/>
          </w:tcPr>
          <w:p w14:paraId="57D715B8">
            <w:pPr>
              <w:snapToGrid w:val="0"/>
              <w:spacing w:before="50" w:after="50"/>
              <w:jc w:val="center"/>
              <w:rPr>
                <w:rFonts w:hint="eastAsia" w:ascii="宋体" w:hAnsi="宋体"/>
                <w:color w:val="000000" w:themeColor="text1"/>
                <w:sz w:val="24"/>
                <w:highlight w:val="none"/>
                <w14:textFill>
                  <w14:solidFill>
                    <w14:schemeClr w14:val="tx1"/>
                  </w14:solidFill>
                </w14:textFill>
              </w:rPr>
            </w:pPr>
          </w:p>
        </w:tc>
        <w:tc>
          <w:tcPr>
            <w:tcW w:w="877" w:type="pct"/>
            <w:tcBorders>
              <w:top w:val="single" w:color="auto" w:sz="4" w:space="0"/>
              <w:left w:val="single" w:color="auto" w:sz="4" w:space="0"/>
              <w:bottom w:val="single" w:color="auto" w:sz="4" w:space="0"/>
              <w:right w:val="single" w:color="auto" w:sz="4" w:space="0"/>
            </w:tcBorders>
            <w:noWrap w:val="0"/>
            <w:vAlign w:val="center"/>
          </w:tcPr>
          <w:p w14:paraId="32E2EE3E">
            <w:pPr>
              <w:snapToGrid w:val="0"/>
              <w:spacing w:before="50" w:after="50"/>
              <w:jc w:val="center"/>
              <w:rPr>
                <w:rFonts w:hint="eastAsia" w:ascii="宋体" w:hAnsi="宋体"/>
                <w:color w:val="000000" w:themeColor="text1"/>
                <w:sz w:val="24"/>
                <w:highlight w:val="none"/>
                <w14:textFill>
                  <w14:solidFill>
                    <w14:schemeClr w14:val="tx1"/>
                  </w14:solidFill>
                </w14:textFill>
              </w:rPr>
            </w:pPr>
          </w:p>
        </w:tc>
        <w:tc>
          <w:tcPr>
            <w:tcW w:w="582" w:type="pct"/>
            <w:tcBorders>
              <w:top w:val="single" w:color="auto" w:sz="4" w:space="0"/>
              <w:left w:val="single" w:color="auto" w:sz="4" w:space="0"/>
              <w:bottom w:val="single" w:color="auto" w:sz="4" w:space="0"/>
              <w:right w:val="single" w:color="auto" w:sz="4" w:space="0"/>
            </w:tcBorders>
            <w:noWrap w:val="0"/>
            <w:vAlign w:val="center"/>
          </w:tcPr>
          <w:p w14:paraId="57C6FB87">
            <w:pPr>
              <w:snapToGrid w:val="0"/>
              <w:spacing w:before="50" w:after="50"/>
              <w:jc w:val="center"/>
              <w:rPr>
                <w:rFonts w:hint="eastAsia" w:ascii="宋体" w:hAnsi="宋体"/>
                <w:color w:val="000000" w:themeColor="text1"/>
                <w:sz w:val="24"/>
                <w:highlight w:val="none"/>
                <w14:textFill>
                  <w14:solidFill>
                    <w14:schemeClr w14:val="tx1"/>
                  </w14:solidFill>
                </w14:textFill>
              </w:rPr>
            </w:pPr>
          </w:p>
        </w:tc>
        <w:tc>
          <w:tcPr>
            <w:tcW w:w="415" w:type="pct"/>
            <w:tcBorders>
              <w:top w:val="single" w:color="auto" w:sz="4" w:space="0"/>
              <w:left w:val="single" w:color="auto" w:sz="4" w:space="0"/>
              <w:bottom w:val="single" w:color="auto" w:sz="4" w:space="0"/>
              <w:right w:val="single" w:color="auto" w:sz="4" w:space="0"/>
            </w:tcBorders>
            <w:noWrap w:val="0"/>
            <w:vAlign w:val="center"/>
          </w:tcPr>
          <w:p w14:paraId="4189AD7B">
            <w:pPr>
              <w:snapToGrid w:val="0"/>
              <w:spacing w:before="50" w:after="50"/>
              <w:jc w:val="center"/>
              <w:rPr>
                <w:rFonts w:hint="eastAsia" w:ascii="宋体" w:hAnsi="宋体"/>
                <w:color w:val="000000" w:themeColor="text1"/>
                <w:sz w:val="24"/>
                <w:highlight w:val="none"/>
                <w14:textFill>
                  <w14:solidFill>
                    <w14:schemeClr w14:val="tx1"/>
                  </w14:solidFill>
                </w14:textFill>
              </w:rPr>
            </w:pPr>
          </w:p>
        </w:tc>
        <w:tc>
          <w:tcPr>
            <w:tcW w:w="915" w:type="pct"/>
            <w:tcBorders>
              <w:top w:val="single" w:color="auto" w:sz="4" w:space="0"/>
              <w:left w:val="single" w:color="auto" w:sz="4" w:space="0"/>
              <w:bottom w:val="single" w:color="auto" w:sz="4" w:space="0"/>
              <w:right w:val="single" w:color="auto" w:sz="4" w:space="0"/>
            </w:tcBorders>
            <w:noWrap w:val="0"/>
            <w:vAlign w:val="top"/>
          </w:tcPr>
          <w:p w14:paraId="4EEFB24F">
            <w:pPr>
              <w:snapToGrid w:val="0"/>
              <w:spacing w:before="50" w:after="50"/>
              <w:jc w:val="center"/>
              <w:rPr>
                <w:rFonts w:hint="eastAsia" w:ascii="宋体" w:hAnsi="宋体"/>
                <w:color w:val="000000" w:themeColor="text1"/>
                <w:sz w:val="24"/>
                <w:highlight w:val="none"/>
                <w14:textFill>
                  <w14:solidFill>
                    <w14:schemeClr w14:val="tx1"/>
                  </w14:solidFill>
                </w14:textFill>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46A97F97">
            <w:pPr>
              <w:snapToGrid w:val="0"/>
              <w:spacing w:before="50" w:after="50"/>
              <w:jc w:val="center"/>
              <w:rPr>
                <w:rFonts w:hint="eastAsia" w:ascii="宋体" w:hAnsi="宋体"/>
                <w:color w:val="000000" w:themeColor="text1"/>
                <w:sz w:val="24"/>
                <w:highlight w:val="none"/>
                <w14:textFill>
                  <w14:solidFill>
                    <w14:schemeClr w14:val="tx1"/>
                  </w14:solidFill>
                </w14:textFill>
              </w:rPr>
            </w:pPr>
          </w:p>
        </w:tc>
        <w:tc>
          <w:tcPr>
            <w:tcW w:w="412" w:type="pct"/>
            <w:tcBorders>
              <w:top w:val="single" w:color="auto" w:sz="4" w:space="0"/>
              <w:left w:val="single" w:color="auto" w:sz="4" w:space="0"/>
              <w:bottom w:val="single" w:color="auto" w:sz="4" w:space="0"/>
              <w:right w:val="single" w:color="auto" w:sz="4" w:space="0"/>
            </w:tcBorders>
            <w:noWrap w:val="0"/>
            <w:vAlign w:val="center"/>
          </w:tcPr>
          <w:p w14:paraId="2EB13DF6">
            <w:pPr>
              <w:snapToGrid w:val="0"/>
              <w:spacing w:before="50" w:after="50"/>
              <w:jc w:val="center"/>
              <w:rPr>
                <w:rFonts w:hint="eastAsia" w:ascii="宋体" w:hAnsi="宋体"/>
                <w:color w:val="000000" w:themeColor="text1"/>
                <w:sz w:val="24"/>
                <w:highlight w:val="none"/>
                <w14:textFill>
                  <w14:solidFill>
                    <w14:schemeClr w14:val="tx1"/>
                  </w14:solidFill>
                </w14:textFill>
              </w:rPr>
            </w:pPr>
          </w:p>
        </w:tc>
        <w:tc>
          <w:tcPr>
            <w:tcW w:w="836" w:type="pct"/>
            <w:tcBorders>
              <w:top w:val="single" w:color="auto" w:sz="4" w:space="0"/>
              <w:left w:val="single" w:color="auto" w:sz="4" w:space="0"/>
              <w:bottom w:val="single" w:color="auto" w:sz="4" w:space="0"/>
              <w:right w:val="single" w:color="auto" w:sz="4" w:space="0"/>
            </w:tcBorders>
            <w:noWrap w:val="0"/>
            <w:vAlign w:val="center"/>
          </w:tcPr>
          <w:p w14:paraId="25EEB7C4">
            <w:pPr>
              <w:snapToGrid w:val="0"/>
              <w:spacing w:before="50" w:after="50"/>
              <w:jc w:val="center"/>
              <w:rPr>
                <w:rFonts w:hint="eastAsia" w:ascii="宋体" w:hAnsi="宋体"/>
                <w:color w:val="000000" w:themeColor="text1"/>
                <w:sz w:val="24"/>
                <w:highlight w:val="none"/>
                <w14:textFill>
                  <w14:solidFill>
                    <w14:schemeClr w14:val="tx1"/>
                  </w14:solidFill>
                </w14:textFill>
              </w:rPr>
            </w:pPr>
          </w:p>
        </w:tc>
      </w:tr>
      <w:tr w14:paraId="24A67C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267" w:type="pct"/>
            <w:tcBorders>
              <w:top w:val="single" w:color="auto" w:sz="4" w:space="0"/>
              <w:left w:val="single" w:color="auto" w:sz="4" w:space="0"/>
              <w:bottom w:val="single" w:color="auto" w:sz="4" w:space="0"/>
              <w:right w:val="single" w:color="auto" w:sz="4" w:space="0"/>
            </w:tcBorders>
            <w:noWrap w:val="0"/>
            <w:vAlign w:val="center"/>
          </w:tcPr>
          <w:p w14:paraId="2DE16FEE">
            <w:pPr>
              <w:snapToGrid w:val="0"/>
              <w:spacing w:before="50" w:after="50"/>
              <w:jc w:val="center"/>
              <w:rPr>
                <w:rFonts w:hint="eastAsia" w:ascii="宋体" w:hAnsi="宋体"/>
                <w:color w:val="000000" w:themeColor="text1"/>
                <w:sz w:val="24"/>
                <w:highlight w:val="none"/>
                <w14:textFill>
                  <w14:solidFill>
                    <w14:schemeClr w14:val="tx1"/>
                  </w14:solidFill>
                </w14:textFill>
              </w:rPr>
            </w:pPr>
          </w:p>
        </w:tc>
        <w:tc>
          <w:tcPr>
            <w:tcW w:w="877" w:type="pct"/>
            <w:tcBorders>
              <w:top w:val="single" w:color="auto" w:sz="4" w:space="0"/>
              <w:left w:val="single" w:color="auto" w:sz="4" w:space="0"/>
              <w:bottom w:val="single" w:color="auto" w:sz="4" w:space="0"/>
              <w:right w:val="single" w:color="auto" w:sz="4" w:space="0"/>
            </w:tcBorders>
            <w:noWrap w:val="0"/>
            <w:vAlign w:val="center"/>
          </w:tcPr>
          <w:p w14:paraId="46A2F7AB">
            <w:pPr>
              <w:snapToGrid w:val="0"/>
              <w:spacing w:before="50" w:after="50"/>
              <w:jc w:val="center"/>
              <w:rPr>
                <w:rFonts w:hint="eastAsia" w:ascii="宋体" w:hAnsi="宋体"/>
                <w:color w:val="000000" w:themeColor="text1"/>
                <w:sz w:val="24"/>
                <w:highlight w:val="none"/>
                <w14:textFill>
                  <w14:solidFill>
                    <w14:schemeClr w14:val="tx1"/>
                  </w14:solidFill>
                </w14:textFill>
              </w:rPr>
            </w:pPr>
          </w:p>
        </w:tc>
        <w:tc>
          <w:tcPr>
            <w:tcW w:w="582" w:type="pct"/>
            <w:tcBorders>
              <w:top w:val="single" w:color="auto" w:sz="4" w:space="0"/>
              <w:left w:val="single" w:color="auto" w:sz="4" w:space="0"/>
              <w:bottom w:val="single" w:color="auto" w:sz="4" w:space="0"/>
              <w:right w:val="single" w:color="auto" w:sz="4" w:space="0"/>
            </w:tcBorders>
            <w:noWrap w:val="0"/>
            <w:vAlign w:val="center"/>
          </w:tcPr>
          <w:p w14:paraId="0BBBD1D2">
            <w:pPr>
              <w:snapToGrid w:val="0"/>
              <w:spacing w:before="50" w:after="50"/>
              <w:jc w:val="center"/>
              <w:rPr>
                <w:rFonts w:hint="eastAsia" w:ascii="宋体" w:hAnsi="宋体"/>
                <w:color w:val="000000" w:themeColor="text1"/>
                <w:sz w:val="24"/>
                <w:highlight w:val="none"/>
                <w14:textFill>
                  <w14:solidFill>
                    <w14:schemeClr w14:val="tx1"/>
                  </w14:solidFill>
                </w14:textFill>
              </w:rPr>
            </w:pPr>
          </w:p>
        </w:tc>
        <w:tc>
          <w:tcPr>
            <w:tcW w:w="415" w:type="pct"/>
            <w:tcBorders>
              <w:top w:val="single" w:color="auto" w:sz="4" w:space="0"/>
              <w:left w:val="single" w:color="auto" w:sz="4" w:space="0"/>
              <w:bottom w:val="single" w:color="auto" w:sz="4" w:space="0"/>
              <w:right w:val="single" w:color="auto" w:sz="4" w:space="0"/>
            </w:tcBorders>
            <w:noWrap w:val="0"/>
            <w:vAlign w:val="center"/>
          </w:tcPr>
          <w:p w14:paraId="0CF4221E">
            <w:pPr>
              <w:snapToGrid w:val="0"/>
              <w:spacing w:before="50" w:after="50"/>
              <w:jc w:val="center"/>
              <w:rPr>
                <w:rFonts w:hint="eastAsia" w:ascii="宋体" w:hAnsi="宋体"/>
                <w:color w:val="000000" w:themeColor="text1"/>
                <w:sz w:val="24"/>
                <w:highlight w:val="none"/>
                <w14:textFill>
                  <w14:solidFill>
                    <w14:schemeClr w14:val="tx1"/>
                  </w14:solidFill>
                </w14:textFill>
              </w:rPr>
            </w:pPr>
          </w:p>
        </w:tc>
        <w:tc>
          <w:tcPr>
            <w:tcW w:w="915" w:type="pct"/>
            <w:tcBorders>
              <w:top w:val="single" w:color="auto" w:sz="4" w:space="0"/>
              <w:left w:val="single" w:color="auto" w:sz="4" w:space="0"/>
              <w:bottom w:val="single" w:color="auto" w:sz="4" w:space="0"/>
              <w:right w:val="single" w:color="auto" w:sz="4" w:space="0"/>
            </w:tcBorders>
            <w:noWrap w:val="0"/>
            <w:vAlign w:val="top"/>
          </w:tcPr>
          <w:p w14:paraId="03989054">
            <w:pPr>
              <w:snapToGrid w:val="0"/>
              <w:spacing w:before="50" w:after="50"/>
              <w:jc w:val="center"/>
              <w:rPr>
                <w:rFonts w:hint="eastAsia" w:ascii="宋体" w:hAnsi="宋体"/>
                <w:color w:val="000000" w:themeColor="text1"/>
                <w:sz w:val="24"/>
                <w:highlight w:val="none"/>
                <w14:textFill>
                  <w14:solidFill>
                    <w14:schemeClr w14:val="tx1"/>
                  </w14:solidFill>
                </w14:textFill>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2D2A56C4">
            <w:pPr>
              <w:snapToGrid w:val="0"/>
              <w:spacing w:before="50" w:after="50"/>
              <w:jc w:val="center"/>
              <w:rPr>
                <w:rFonts w:hint="eastAsia" w:ascii="宋体" w:hAnsi="宋体"/>
                <w:color w:val="000000" w:themeColor="text1"/>
                <w:sz w:val="24"/>
                <w:highlight w:val="none"/>
                <w14:textFill>
                  <w14:solidFill>
                    <w14:schemeClr w14:val="tx1"/>
                  </w14:solidFill>
                </w14:textFill>
              </w:rPr>
            </w:pPr>
          </w:p>
        </w:tc>
        <w:tc>
          <w:tcPr>
            <w:tcW w:w="412" w:type="pct"/>
            <w:tcBorders>
              <w:top w:val="single" w:color="auto" w:sz="4" w:space="0"/>
              <w:left w:val="single" w:color="auto" w:sz="4" w:space="0"/>
              <w:bottom w:val="single" w:color="auto" w:sz="4" w:space="0"/>
              <w:right w:val="single" w:color="auto" w:sz="4" w:space="0"/>
            </w:tcBorders>
            <w:noWrap w:val="0"/>
            <w:vAlign w:val="center"/>
          </w:tcPr>
          <w:p w14:paraId="014386EF">
            <w:pPr>
              <w:snapToGrid w:val="0"/>
              <w:spacing w:before="50" w:after="50"/>
              <w:jc w:val="center"/>
              <w:rPr>
                <w:rFonts w:hint="eastAsia" w:ascii="宋体" w:hAnsi="宋体"/>
                <w:color w:val="000000" w:themeColor="text1"/>
                <w:sz w:val="24"/>
                <w:highlight w:val="none"/>
                <w14:textFill>
                  <w14:solidFill>
                    <w14:schemeClr w14:val="tx1"/>
                  </w14:solidFill>
                </w14:textFill>
              </w:rPr>
            </w:pPr>
          </w:p>
        </w:tc>
        <w:tc>
          <w:tcPr>
            <w:tcW w:w="836" w:type="pct"/>
            <w:tcBorders>
              <w:top w:val="single" w:color="auto" w:sz="4" w:space="0"/>
              <w:left w:val="single" w:color="auto" w:sz="4" w:space="0"/>
              <w:bottom w:val="single" w:color="auto" w:sz="4" w:space="0"/>
              <w:right w:val="single" w:color="auto" w:sz="4" w:space="0"/>
            </w:tcBorders>
            <w:noWrap w:val="0"/>
            <w:vAlign w:val="center"/>
          </w:tcPr>
          <w:p w14:paraId="241143C4">
            <w:pPr>
              <w:snapToGrid w:val="0"/>
              <w:spacing w:before="50" w:after="50"/>
              <w:jc w:val="center"/>
              <w:rPr>
                <w:rFonts w:hint="eastAsia" w:ascii="宋体" w:hAnsi="宋体"/>
                <w:color w:val="000000" w:themeColor="text1"/>
                <w:sz w:val="24"/>
                <w:highlight w:val="none"/>
                <w14:textFill>
                  <w14:solidFill>
                    <w14:schemeClr w14:val="tx1"/>
                  </w14:solidFill>
                </w14:textFill>
              </w:rPr>
            </w:pPr>
          </w:p>
        </w:tc>
      </w:tr>
    </w:tbl>
    <w:p w14:paraId="50478C28">
      <w:pPr>
        <w:spacing w:line="360" w:lineRule="auto"/>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备注：</w:t>
      </w:r>
    </w:p>
    <w:p w14:paraId="52D56348">
      <w:pPr>
        <w:spacing w:line="360" w:lineRule="auto"/>
        <w:ind w:firstLine="480" w:firstLineChars="200"/>
        <w:contextualSpacing/>
        <w:rPr>
          <w:rFonts w:hint="eastAsia"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以上设备性能配置清单中“货物名称、数量及单位、品牌、规格型号、</w:t>
      </w:r>
      <w:r>
        <w:rPr>
          <w:rFonts w:hint="eastAsia" w:ascii="宋体" w:hAnsi="宋体"/>
          <w:color w:val="000000" w:themeColor="text1"/>
          <w:sz w:val="24"/>
          <w:highlight w:val="none"/>
          <w:lang w:val="en-US" w:eastAsia="zh-CN"/>
          <w14:textFill>
            <w14:solidFill>
              <w14:schemeClr w14:val="tx1"/>
            </w14:solidFill>
          </w14:textFill>
        </w:rPr>
        <w:t>生产厂家</w:t>
      </w:r>
      <w:r>
        <w:rPr>
          <w:rFonts w:hint="eastAsia" w:ascii="宋体" w:hAnsi="宋体"/>
          <w:color w:val="000000" w:themeColor="text1"/>
          <w:sz w:val="24"/>
          <w:highlight w:val="none"/>
          <w14:textFill>
            <w14:solidFill>
              <w14:schemeClr w14:val="tx1"/>
            </w14:solidFill>
          </w14:textFill>
        </w:rPr>
        <w:t>、原产地、参数性能、指标及配置”必须如实填写完整，品牌、规格型号没有则填无，填写有缺漏</w:t>
      </w:r>
      <w:r>
        <w:rPr>
          <w:rFonts w:hint="eastAsia" w:ascii="宋体" w:hAnsi="宋体"/>
          <w:bCs/>
          <w:color w:val="000000" w:themeColor="text1"/>
          <w:sz w:val="24"/>
          <w:highlight w:val="none"/>
          <w14:textFill>
            <w14:solidFill>
              <w14:schemeClr w14:val="tx1"/>
            </w14:solidFill>
          </w14:textFill>
        </w:rPr>
        <w:t>的，</w:t>
      </w:r>
      <w:r>
        <w:rPr>
          <w:rFonts w:hint="eastAsia" w:ascii="宋体" w:hAnsi="宋体"/>
          <w:b/>
          <w:color w:val="000000" w:themeColor="text1"/>
          <w:sz w:val="24"/>
          <w:highlight w:val="none"/>
          <w14:textFill>
            <w14:solidFill>
              <w14:schemeClr w14:val="tx1"/>
            </w14:solidFill>
          </w14:textFill>
        </w:rPr>
        <w:t>作无效投标处理。</w:t>
      </w:r>
      <w:r>
        <w:rPr>
          <w:rFonts w:hint="eastAsia" w:hAnsi="宋体" w:cs="Courier New"/>
          <w:color w:val="000000" w:themeColor="text1"/>
          <w:sz w:val="24"/>
          <w:highlight w:val="none"/>
          <w14:textFill>
            <w14:solidFill>
              <w14:schemeClr w14:val="tx1"/>
            </w14:solidFill>
          </w14:textFill>
        </w:rPr>
        <w:t>标的的名称</w:t>
      </w:r>
      <w:r>
        <w:rPr>
          <w:rFonts w:hint="eastAsia" w:ascii="宋体" w:hAnsi="宋体"/>
          <w:color w:val="000000" w:themeColor="text1"/>
          <w:sz w:val="24"/>
          <w:highlight w:val="none"/>
          <w14:textFill>
            <w14:solidFill>
              <w14:schemeClr w14:val="tx1"/>
            </w14:solidFill>
          </w14:textFill>
        </w:rPr>
        <w:t>、数量及单位、品牌必须与“开标一览表”一致，</w:t>
      </w:r>
      <w:r>
        <w:rPr>
          <w:rFonts w:hint="eastAsia" w:ascii="宋体" w:hAnsi="宋体"/>
          <w:b/>
          <w:color w:val="000000" w:themeColor="text1"/>
          <w:sz w:val="24"/>
          <w:highlight w:val="none"/>
          <w14:textFill>
            <w14:solidFill>
              <w14:schemeClr w14:val="tx1"/>
            </w14:solidFill>
          </w14:textFill>
        </w:rPr>
        <w:t>否则按无效投标处理。</w:t>
      </w:r>
    </w:p>
    <w:p w14:paraId="11299FB6">
      <w:pPr>
        <w:spacing w:line="360" w:lineRule="auto"/>
        <w:ind w:firstLine="480" w:firstLineChars="200"/>
        <w:contextualSpacing/>
        <w:rPr>
          <w:rFonts w:hint="eastAsia" w:ascii="宋体" w:hAnsi="宋体"/>
          <w:color w:val="000000" w:themeColor="text1"/>
          <w:sz w:val="24"/>
          <w:highlight w:val="none"/>
          <w14:textFill>
            <w14:solidFill>
              <w14:schemeClr w14:val="tx1"/>
            </w14:solidFill>
          </w14:textFill>
        </w:rPr>
      </w:pPr>
    </w:p>
    <w:p w14:paraId="18D478D0">
      <w:pPr>
        <w:spacing w:line="360" w:lineRule="auto"/>
        <w:contextualSpacing/>
        <w:rPr>
          <w:rFonts w:hint="eastAsia" w:ascii="宋体" w:hAnsi="宋体"/>
          <w:color w:val="000000" w:themeColor="text1"/>
          <w:spacing w:val="20"/>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法定代表人或者委托代理人</w:t>
      </w:r>
      <w:r>
        <w:rPr>
          <w:rFonts w:hint="eastAsia" w:ascii="宋体" w:hAnsi="宋体"/>
          <w:color w:val="000000" w:themeColor="text1"/>
          <w:spacing w:val="20"/>
          <w:sz w:val="24"/>
          <w:highlight w:val="none"/>
          <w14:textFill>
            <w14:solidFill>
              <w14:schemeClr w14:val="tx1"/>
            </w14:solidFill>
          </w14:textFill>
        </w:rPr>
        <w:t>（签字或者电子签名）：</w:t>
      </w:r>
      <w:r>
        <w:rPr>
          <w:rFonts w:hint="eastAsia" w:ascii="宋体" w:hAnsi="宋体"/>
          <w:color w:val="000000" w:themeColor="text1"/>
          <w:spacing w:val="20"/>
          <w:sz w:val="24"/>
          <w:highlight w:val="none"/>
          <w:u w:val="single"/>
          <w14:textFill>
            <w14:solidFill>
              <w14:schemeClr w14:val="tx1"/>
            </w14:solidFill>
          </w14:textFill>
        </w:rPr>
        <w:t xml:space="preserve">        </w:t>
      </w:r>
    </w:p>
    <w:p w14:paraId="38D2EE2D">
      <w:pPr>
        <w:spacing w:line="360" w:lineRule="auto"/>
        <w:contextualSpacing/>
        <w:rPr>
          <w:rFonts w:hint="eastAsia" w:ascii="宋体" w:hAnsi="宋体"/>
          <w:color w:val="000000" w:themeColor="text1"/>
          <w:spacing w:val="20"/>
          <w:sz w:val="24"/>
          <w:highlight w:val="none"/>
          <w14:textFill>
            <w14:solidFill>
              <w14:schemeClr w14:val="tx1"/>
            </w14:solidFill>
          </w14:textFill>
        </w:rPr>
      </w:pPr>
      <w:r>
        <w:rPr>
          <w:rFonts w:hint="eastAsia" w:ascii="宋体" w:hAnsi="宋体"/>
          <w:color w:val="000000" w:themeColor="text1"/>
          <w:spacing w:val="20"/>
          <w:sz w:val="24"/>
          <w:highlight w:val="none"/>
          <w14:textFill>
            <w14:solidFill>
              <w14:schemeClr w14:val="tx1"/>
            </w14:solidFill>
          </w14:textFill>
        </w:rPr>
        <w:t>投标人名称（电子签章）：</w:t>
      </w:r>
      <w:r>
        <w:rPr>
          <w:rFonts w:hint="eastAsia" w:ascii="宋体" w:hAnsi="宋体"/>
          <w:color w:val="000000" w:themeColor="text1"/>
          <w:spacing w:val="20"/>
          <w:sz w:val="24"/>
          <w:highlight w:val="none"/>
          <w:u w:val="single"/>
          <w14:textFill>
            <w14:solidFill>
              <w14:schemeClr w14:val="tx1"/>
            </w14:solidFill>
          </w14:textFill>
        </w:rPr>
        <w:t xml:space="preserve">            </w:t>
      </w:r>
      <w:r>
        <w:rPr>
          <w:rFonts w:hint="eastAsia" w:ascii="宋体" w:hAnsi="宋体"/>
          <w:color w:val="000000" w:themeColor="text1"/>
          <w:spacing w:val="20"/>
          <w:sz w:val="24"/>
          <w:highlight w:val="none"/>
          <w14:textFill>
            <w14:solidFill>
              <w14:schemeClr w14:val="tx1"/>
            </w14:solidFill>
          </w14:textFill>
        </w:rPr>
        <w:t xml:space="preserve">              </w:t>
      </w:r>
    </w:p>
    <w:p w14:paraId="4361236B">
      <w:pPr>
        <w:spacing w:line="360" w:lineRule="auto"/>
        <w:contextualSpacing/>
        <w:rPr>
          <w:rFonts w:hint="eastAsia"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pacing w:val="20"/>
          <w:sz w:val="24"/>
          <w:highlight w:val="none"/>
          <w14:textFill>
            <w14:solidFill>
              <w14:schemeClr w14:val="tx1"/>
            </w14:solidFill>
          </w14:textFill>
        </w:rPr>
        <w:t>日  期：</w:t>
      </w:r>
      <w:r>
        <w:rPr>
          <w:rFonts w:hint="eastAsia" w:ascii="宋体" w:hAnsi="宋体"/>
          <w:color w:val="000000" w:themeColor="text1"/>
          <w:spacing w:val="20"/>
          <w:sz w:val="24"/>
          <w:highlight w:val="none"/>
          <w:u w:val="single"/>
          <w14:textFill>
            <w14:solidFill>
              <w14:schemeClr w14:val="tx1"/>
            </w14:solidFill>
          </w14:textFill>
        </w:rPr>
        <w:t xml:space="preserve">          </w:t>
      </w:r>
    </w:p>
    <w:p w14:paraId="7CB57CFF">
      <w:pPr>
        <w:snapToGrid w:val="0"/>
        <w:spacing w:before="50" w:after="120" w:afterLines="50"/>
        <w:jc w:val="left"/>
        <w:rPr>
          <w:rFonts w:hint="eastAsia" w:ascii="宋体" w:hAnsi="宋体"/>
          <w:color w:val="000000" w:themeColor="text1"/>
          <w:sz w:val="24"/>
          <w:szCs w:val="20"/>
          <w:highlight w:val="none"/>
          <w14:textFill>
            <w14:solidFill>
              <w14:schemeClr w14:val="tx1"/>
            </w14:solidFill>
          </w14:textFill>
        </w:rPr>
      </w:pPr>
    </w:p>
    <w:p w14:paraId="030B5D5E">
      <w:pPr>
        <w:snapToGrid w:val="0"/>
        <w:spacing w:before="50" w:after="120" w:afterLines="50"/>
        <w:jc w:val="left"/>
        <w:rPr>
          <w:rFonts w:hint="eastAsia" w:ascii="宋体" w:hAnsi="宋体"/>
          <w:color w:val="000000" w:themeColor="text1"/>
          <w:sz w:val="24"/>
          <w:szCs w:val="20"/>
          <w:highlight w:val="none"/>
          <w14:textFill>
            <w14:solidFill>
              <w14:schemeClr w14:val="tx1"/>
            </w14:solidFill>
          </w14:textFill>
        </w:rPr>
      </w:pPr>
    </w:p>
    <w:p w14:paraId="122E5977">
      <w:pPr>
        <w:snapToGrid w:val="0"/>
        <w:spacing w:before="120" w:beforeLines="50" w:after="50"/>
        <w:ind w:left="142"/>
        <w:jc w:val="left"/>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10. 技术要求偏离表格式</w:t>
      </w:r>
    </w:p>
    <w:p w14:paraId="56912902">
      <w:pPr>
        <w:snapToGrid w:val="0"/>
        <w:spacing w:before="120" w:beforeLines="50" w:after="50"/>
        <w:ind w:left="142"/>
        <w:jc w:val="left"/>
        <w:rPr>
          <w:rFonts w:hint="eastAsia" w:ascii="宋体" w:hAnsi="宋体"/>
          <w:b/>
          <w:color w:val="000000" w:themeColor="text1"/>
          <w:sz w:val="24"/>
          <w:highlight w:val="none"/>
          <w14:textFill>
            <w14:solidFill>
              <w14:schemeClr w14:val="tx1"/>
            </w14:solidFill>
          </w14:textFill>
        </w:rPr>
      </w:pPr>
    </w:p>
    <w:p w14:paraId="590393E2">
      <w:pPr>
        <w:snapToGrid w:val="0"/>
        <w:spacing w:before="120" w:beforeLines="50" w:after="50"/>
        <w:ind w:left="142"/>
        <w:jc w:val="center"/>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技术要求偏离表</w:t>
      </w:r>
    </w:p>
    <w:p w14:paraId="3E1F8A38">
      <w:pPr>
        <w:pStyle w:val="27"/>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所投分标：</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分标</w:t>
      </w:r>
    </w:p>
    <w:tbl>
      <w:tblPr>
        <w:tblStyle w:val="48"/>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2FA7F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noWrap w:val="0"/>
            <w:vAlign w:val="center"/>
          </w:tcPr>
          <w:p w14:paraId="2E474366">
            <w:pPr>
              <w:pStyle w:val="27"/>
              <w:spacing w:line="400" w:lineRule="exact"/>
              <w:jc w:val="center"/>
              <w:rPr>
                <w:rFonts w:hint="eastAsia" w:hAnsi="宋体" w:cs="Courier New"/>
                <w:color w:val="000000" w:themeColor="text1"/>
                <w:kern w:val="2"/>
                <w:sz w:val="24"/>
                <w:szCs w:val="24"/>
                <w:highlight w:val="none"/>
                <w:lang w:val="en-US" w:eastAsia="zh-CN"/>
                <w14:textFill>
                  <w14:solidFill>
                    <w14:schemeClr w14:val="tx1"/>
                  </w14:solidFill>
                </w14:textFill>
              </w:rPr>
            </w:pPr>
            <w:r>
              <w:rPr>
                <w:rFonts w:hint="eastAsia" w:hAnsi="宋体" w:cs="Courier New"/>
                <w:color w:val="000000" w:themeColor="text1"/>
                <w:kern w:val="2"/>
                <w:sz w:val="24"/>
                <w:szCs w:val="24"/>
                <w:highlight w:val="none"/>
                <w:lang w:val="en-US" w:eastAsia="zh-CN"/>
                <w14:textFill>
                  <w14:solidFill>
                    <w14:schemeClr w14:val="tx1"/>
                  </w14:solidFill>
                </w14:textFill>
              </w:rPr>
              <w:t>项号</w:t>
            </w:r>
          </w:p>
        </w:tc>
        <w:tc>
          <w:tcPr>
            <w:tcW w:w="2143" w:type="dxa"/>
            <w:noWrap w:val="0"/>
            <w:vAlign w:val="center"/>
          </w:tcPr>
          <w:p w14:paraId="6722561D">
            <w:pPr>
              <w:pStyle w:val="27"/>
              <w:spacing w:line="400" w:lineRule="exact"/>
              <w:jc w:val="center"/>
              <w:rPr>
                <w:rFonts w:hint="eastAsia" w:hAnsi="宋体" w:cs="Courier New"/>
                <w:color w:val="000000" w:themeColor="text1"/>
                <w:kern w:val="2"/>
                <w:sz w:val="24"/>
                <w:szCs w:val="24"/>
                <w:highlight w:val="none"/>
                <w:lang w:val="en-US" w:eastAsia="zh-CN"/>
                <w14:textFill>
                  <w14:solidFill>
                    <w14:schemeClr w14:val="tx1"/>
                  </w14:solidFill>
                </w14:textFill>
              </w:rPr>
            </w:pPr>
            <w:r>
              <w:rPr>
                <w:rFonts w:hint="eastAsia" w:hAnsi="宋体" w:cs="Courier New"/>
                <w:color w:val="000000" w:themeColor="text1"/>
                <w:kern w:val="2"/>
                <w:sz w:val="24"/>
                <w:szCs w:val="24"/>
                <w:highlight w:val="none"/>
                <w:lang w:val="en-US" w:eastAsia="zh-CN"/>
                <w14:textFill>
                  <w14:solidFill>
                    <w14:schemeClr w14:val="tx1"/>
                  </w14:solidFill>
                </w14:textFill>
              </w:rPr>
              <w:t>标的的名称</w:t>
            </w:r>
          </w:p>
        </w:tc>
        <w:tc>
          <w:tcPr>
            <w:tcW w:w="1834" w:type="dxa"/>
            <w:noWrap w:val="0"/>
            <w:vAlign w:val="center"/>
          </w:tcPr>
          <w:p w14:paraId="3A2CCA52">
            <w:pPr>
              <w:pStyle w:val="27"/>
              <w:spacing w:line="400" w:lineRule="exact"/>
              <w:jc w:val="center"/>
              <w:rPr>
                <w:rFonts w:hAnsi="宋体" w:cs="Courier New"/>
                <w:color w:val="000000" w:themeColor="text1"/>
                <w:kern w:val="2"/>
                <w:sz w:val="24"/>
                <w:szCs w:val="24"/>
                <w:highlight w:val="none"/>
                <w:lang w:val="en-US" w:eastAsia="zh-CN"/>
                <w14:textFill>
                  <w14:solidFill>
                    <w14:schemeClr w14:val="tx1"/>
                  </w14:solidFill>
                </w14:textFill>
              </w:rPr>
            </w:pPr>
            <w:r>
              <w:rPr>
                <w:rFonts w:hint="eastAsia" w:hAnsi="宋体" w:cs="Courier New"/>
                <w:color w:val="000000" w:themeColor="text1"/>
                <w:kern w:val="2"/>
                <w:sz w:val="24"/>
                <w:szCs w:val="24"/>
                <w:highlight w:val="none"/>
                <w:lang w:val="en-US" w:eastAsia="zh-CN"/>
                <w14:textFill>
                  <w14:solidFill>
                    <w14:schemeClr w14:val="tx1"/>
                  </w14:solidFill>
                </w14:textFill>
              </w:rPr>
              <w:t>技术要求</w:t>
            </w:r>
          </w:p>
        </w:tc>
        <w:tc>
          <w:tcPr>
            <w:tcW w:w="2181" w:type="dxa"/>
            <w:noWrap w:val="0"/>
            <w:vAlign w:val="center"/>
          </w:tcPr>
          <w:p w14:paraId="39EFD47F">
            <w:pPr>
              <w:pStyle w:val="27"/>
              <w:spacing w:line="400" w:lineRule="exact"/>
              <w:jc w:val="center"/>
              <w:rPr>
                <w:rFonts w:hint="eastAsia" w:hAnsi="宋体" w:cs="Courier New"/>
                <w:color w:val="000000" w:themeColor="text1"/>
                <w:kern w:val="2"/>
                <w:sz w:val="24"/>
                <w:szCs w:val="24"/>
                <w:highlight w:val="none"/>
                <w:lang w:val="en-US" w:eastAsia="zh-CN"/>
                <w14:textFill>
                  <w14:solidFill>
                    <w14:schemeClr w14:val="tx1"/>
                  </w14:solidFill>
                </w14:textFill>
              </w:rPr>
            </w:pPr>
            <w:r>
              <w:rPr>
                <w:rFonts w:hint="eastAsia" w:hAnsi="宋体" w:cs="Courier New"/>
                <w:color w:val="000000" w:themeColor="text1"/>
                <w:kern w:val="2"/>
                <w:sz w:val="24"/>
                <w:szCs w:val="24"/>
                <w:highlight w:val="none"/>
                <w:lang w:val="en-US" w:eastAsia="zh-CN"/>
                <w14:textFill>
                  <w14:solidFill>
                    <w14:schemeClr w14:val="tx1"/>
                  </w14:solidFill>
                </w14:textFill>
              </w:rPr>
              <w:t>投标响应</w:t>
            </w:r>
          </w:p>
        </w:tc>
        <w:tc>
          <w:tcPr>
            <w:tcW w:w="1934" w:type="dxa"/>
            <w:noWrap w:val="0"/>
            <w:vAlign w:val="center"/>
          </w:tcPr>
          <w:p w14:paraId="6E328ADE">
            <w:pPr>
              <w:pStyle w:val="27"/>
              <w:spacing w:line="400" w:lineRule="exact"/>
              <w:jc w:val="center"/>
              <w:rPr>
                <w:rFonts w:hint="eastAsia" w:hAnsi="宋体" w:cs="Courier New"/>
                <w:color w:val="000000" w:themeColor="text1"/>
                <w:kern w:val="2"/>
                <w:sz w:val="24"/>
                <w:szCs w:val="24"/>
                <w:highlight w:val="none"/>
                <w:lang w:val="en-US" w:eastAsia="zh-CN"/>
                <w14:textFill>
                  <w14:solidFill>
                    <w14:schemeClr w14:val="tx1"/>
                  </w14:solidFill>
                </w14:textFill>
              </w:rPr>
            </w:pPr>
            <w:r>
              <w:rPr>
                <w:rFonts w:hint="eastAsia" w:hAnsi="宋体" w:cs="Courier New"/>
                <w:color w:val="000000" w:themeColor="text1"/>
                <w:kern w:val="2"/>
                <w:sz w:val="24"/>
                <w:szCs w:val="24"/>
                <w:highlight w:val="none"/>
                <w:lang w:val="en-US" w:eastAsia="zh-CN"/>
                <w14:textFill>
                  <w14:solidFill>
                    <w14:schemeClr w14:val="tx1"/>
                  </w14:solidFill>
                </w14:textFill>
              </w:rPr>
              <w:t>偏离说明</w:t>
            </w:r>
          </w:p>
        </w:tc>
      </w:tr>
      <w:tr w14:paraId="0525C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60E96150">
            <w:pPr>
              <w:pStyle w:val="27"/>
              <w:spacing w:line="600" w:lineRule="exact"/>
              <w:jc w:val="center"/>
              <w:rPr>
                <w:rFonts w:hint="eastAsia" w:hAnsi="宋体" w:cs="Courier New"/>
                <w:color w:val="000000" w:themeColor="text1"/>
                <w:kern w:val="2"/>
                <w:sz w:val="24"/>
                <w:szCs w:val="24"/>
                <w:highlight w:val="none"/>
                <w:lang w:val="en-US" w:eastAsia="zh-CN"/>
                <w14:textFill>
                  <w14:solidFill>
                    <w14:schemeClr w14:val="tx1"/>
                  </w14:solidFill>
                </w14:textFill>
              </w:rPr>
            </w:pPr>
          </w:p>
        </w:tc>
        <w:tc>
          <w:tcPr>
            <w:tcW w:w="2143" w:type="dxa"/>
            <w:noWrap w:val="0"/>
            <w:vAlign w:val="center"/>
          </w:tcPr>
          <w:p w14:paraId="047CB58A">
            <w:pPr>
              <w:pStyle w:val="27"/>
              <w:spacing w:line="600" w:lineRule="exact"/>
              <w:jc w:val="center"/>
              <w:rPr>
                <w:rFonts w:hint="eastAsia" w:hAnsi="宋体" w:cs="Courier New"/>
                <w:color w:val="000000" w:themeColor="text1"/>
                <w:kern w:val="2"/>
                <w:sz w:val="24"/>
                <w:szCs w:val="24"/>
                <w:highlight w:val="none"/>
                <w:lang w:val="en-US" w:eastAsia="zh-CN"/>
                <w14:textFill>
                  <w14:solidFill>
                    <w14:schemeClr w14:val="tx1"/>
                  </w14:solidFill>
                </w14:textFill>
              </w:rPr>
            </w:pPr>
          </w:p>
        </w:tc>
        <w:tc>
          <w:tcPr>
            <w:tcW w:w="1834" w:type="dxa"/>
            <w:noWrap w:val="0"/>
            <w:vAlign w:val="center"/>
          </w:tcPr>
          <w:p w14:paraId="3BAA3124">
            <w:pPr>
              <w:pStyle w:val="27"/>
              <w:spacing w:line="600" w:lineRule="exact"/>
              <w:jc w:val="center"/>
              <w:rPr>
                <w:rFonts w:hint="eastAsia" w:hAnsi="宋体" w:cs="Courier New"/>
                <w:color w:val="000000" w:themeColor="text1"/>
                <w:kern w:val="2"/>
                <w:sz w:val="24"/>
                <w:szCs w:val="24"/>
                <w:highlight w:val="none"/>
                <w:lang w:val="en-US" w:eastAsia="zh-CN"/>
                <w14:textFill>
                  <w14:solidFill>
                    <w14:schemeClr w14:val="tx1"/>
                  </w14:solidFill>
                </w14:textFill>
              </w:rPr>
            </w:pPr>
          </w:p>
        </w:tc>
        <w:tc>
          <w:tcPr>
            <w:tcW w:w="2181" w:type="dxa"/>
            <w:noWrap w:val="0"/>
            <w:vAlign w:val="center"/>
          </w:tcPr>
          <w:p w14:paraId="058603DD">
            <w:pPr>
              <w:pStyle w:val="27"/>
              <w:spacing w:line="600" w:lineRule="exact"/>
              <w:jc w:val="center"/>
              <w:rPr>
                <w:rFonts w:hint="eastAsia" w:hAnsi="宋体" w:cs="Courier New"/>
                <w:color w:val="000000" w:themeColor="text1"/>
                <w:kern w:val="2"/>
                <w:sz w:val="24"/>
                <w:szCs w:val="24"/>
                <w:highlight w:val="none"/>
                <w:lang w:val="en-US" w:eastAsia="zh-CN"/>
                <w14:textFill>
                  <w14:solidFill>
                    <w14:schemeClr w14:val="tx1"/>
                  </w14:solidFill>
                </w14:textFill>
              </w:rPr>
            </w:pPr>
          </w:p>
        </w:tc>
        <w:tc>
          <w:tcPr>
            <w:tcW w:w="1934" w:type="dxa"/>
            <w:noWrap w:val="0"/>
            <w:vAlign w:val="center"/>
          </w:tcPr>
          <w:p w14:paraId="44253F9B">
            <w:pPr>
              <w:pStyle w:val="27"/>
              <w:spacing w:line="600" w:lineRule="exact"/>
              <w:jc w:val="center"/>
              <w:rPr>
                <w:rFonts w:hint="eastAsia" w:hAnsi="宋体" w:cs="Courier New"/>
                <w:color w:val="000000" w:themeColor="text1"/>
                <w:kern w:val="2"/>
                <w:sz w:val="24"/>
                <w:szCs w:val="24"/>
                <w:highlight w:val="none"/>
                <w:lang w:val="en-US" w:eastAsia="zh-CN"/>
                <w14:textFill>
                  <w14:solidFill>
                    <w14:schemeClr w14:val="tx1"/>
                  </w14:solidFill>
                </w14:textFill>
              </w:rPr>
            </w:pPr>
          </w:p>
        </w:tc>
      </w:tr>
      <w:tr w14:paraId="4E723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5037F397">
            <w:pPr>
              <w:pStyle w:val="27"/>
              <w:spacing w:line="600" w:lineRule="exact"/>
              <w:rPr>
                <w:rFonts w:hint="eastAsia" w:hAnsi="宋体" w:cs="Courier New"/>
                <w:color w:val="000000" w:themeColor="text1"/>
                <w:kern w:val="2"/>
                <w:sz w:val="24"/>
                <w:szCs w:val="24"/>
                <w:highlight w:val="none"/>
                <w:lang w:val="en-US" w:eastAsia="zh-CN"/>
                <w14:textFill>
                  <w14:solidFill>
                    <w14:schemeClr w14:val="tx1"/>
                  </w14:solidFill>
                </w14:textFill>
              </w:rPr>
            </w:pPr>
          </w:p>
        </w:tc>
        <w:tc>
          <w:tcPr>
            <w:tcW w:w="2143" w:type="dxa"/>
            <w:noWrap w:val="0"/>
            <w:vAlign w:val="top"/>
          </w:tcPr>
          <w:p w14:paraId="07F7F8B1">
            <w:pPr>
              <w:pStyle w:val="27"/>
              <w:spacing w:line="600" w:lineRule="exact"/>
              <w:rPr>
                <w:rFonts w:hint="eastAsia" w:hAnsi="宋体" w:cs="Courier New"/>
                <w:color w:val="000000" w:themeColor="text1"/>
                <w:kern w:val="2"/>
                <w:sz w:val="24"/>
                <w:szCs w:val="24"/>
                <w:highlight w:val="none"/>
                <w:lang w:val="en-US" w:eastAsia="zh-CN"/>
                <w14:textFill>
                  <w14:solidFill>
                    <w14:schemeClr w14:val="tx1"/>
                  </w14:solidFill>
                </w14:textFill>
              </w:rPr>
            </w:pPr>
          </w:p>
        </w:tc>
        <w:tc>
          <w:tcPr>
            <w:tcW w:w="1834" w:type="dxa"/>
            <w:noWrap w:val="0"/>
            <w:vAlign w:val="top"/>
          </w:tcPr>
          <w:p w14:paraId="352018E6">
            <w:pPr>
              <w:pStyle w:val="27"/>
              <w:spacing w:line="600" w:lineRule="exact"/>
              <w:rPr>
                <w:rFonts w:hint="eastAsia" w:hAnsi="宋体" w:cs="Courier New"/>
                <w:color w:val="000000" w:themeColor="text1"/>
                <w:kern w:val="2"/>
                <w:sz w:val="24"/>
                <w:szCs w:val="24"/>
                <w:highlight w:val="none"/>
                <w:lang w:val="en-US" w:eastAsia="zh-CN"/>
                <w14:textFill>
                  <w14:solidFill>
                    <w14:schemeClr w14:val="tx1"/>
                  </w14:solidFill>
                </w14:textFill>
              </w:rPr>
            </w:pPr>
          </w:p>
        </w:tc>
        <w:tc>
          <w:tcPr>
            <w:tcW w:w="2181" w:type="dxa"/>
            <w:noWrap w:val="0"/>
            <w:vAlign w:val="top"/>
          </w:tcPr>
          <w:p w14:paraId="1A9A9240">
            <w:pPr>
              <w:pStyle w:val="27"/>
              <w:spacing w:line="600" w:lineRule="exact"/>
              <w:rPr>
                <w:rFonts w:hint="eastAsia" w:hAnsi="宋体" w:cs="Courier New"/>
                <w:color w:val="000000" w:themeColor="text1"/>
                <w:kern w:val="2"/>
                <w:sz w:val="24"/>
                <w:szCs w:val="24"/>
                <w:highlight w:val="none"/>
                <w:lang w:val="en-US" w:eastAsia="zh-CN"/>
                <w14:textFill>
                  <w14:solidFill>
                    <w14:schemeClr w14:val="tx1"/>
                  </w14:solidFill>
                </w14:textFill>
              </w:rPr>
            </w:pPr>
          </w:p>
        </w:tc>
        <w:tc>
          <w:tcPr>
            <w:tcW w:w="1934" w:type="dxa"/>
            <w:noWrap w:val="0"/>
            <w:vAlign w:val="top"/>
          </w:tcPr>
          <w:p w14:paraId="2B5D01DD">
            <w:pPr>
              <w:pStyle w:val="27"/>
              <w:spacing w:line="600" w:lineRule="exact"/>
              <w:rPr>
                <w:rFonts w:hint="eastAsia" w:hAnsi="宋体" w:cs="Courier New"/>
                <w:color w:val="000000" w:themeColor="text1"/>
                <w:kern w:val="2"/>
                <w:sz w:val="24"/>
                <w:szCs w:val="24"/>
                <w:highlight w:val="none"/>
                <w:lang w:val="en-US" w:eastAsia="zh-CN"/>
                <w14:textFill>
                  <w14:solidFill>
                    <w14:schemeClr w14:val="tx1"/>
                  </w14:solidFill>
                </w14:textFill>
              </w:rPr>
            </w:pPr>
          </w:p>
        </w:tc>
      </w:tr>
      <w:tr w14:paraId="6889F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585AEC88">
            <w:pPr>
              <w:pStyle w:val="27"/>
              <w:spacing w:line="600" w:lineRule="exact"/>
              <w:rPr>
                <w:rFonts w:hint="eastAsia" w:hAnsi="宋体" w:cs="Courier New"/>
                <w:color w:val="000000" w:themeColor="text1"/>
                <w:kern w:val="2"/>
                <w:sz w:val="24"/>
                <w:szCs w:val="24"/>
                <w:highlight w:val="none"/>
                <w:lang w:val="en-US" w:eastAsia="zh-CN"/>
                <w14:textFill>
                  <w14:solidFill>
                    <w14:schemeClr w14:val="tx1"/>
                  </w14:solidFill>
                </w14:textFill>
              </w:rPr>
            </w:pPr>
          </w:p>
        </w:tc>
        <w:tc>
          <w:tcPr>
            <w:tcW w:w="2143" w:type="dxa"/>
            <w:noWrap w:val="0"/>
            <w:vAlign w:val="top"/>
          </w:tcPr>
          <w:p w14:paraId="42FB4449">
            <w:pPr>
              <w:pStyle w:val="27"/>
              <w:spacing w:line="600" w:lineRule="exact"/>
              <w:rPr>
                <w:rFonts w:hint="eastAsia" w:hAnsi="宋体" w:cs="Courier New"/>
                <w:color w:val="000000" w:themeColor="text1"/>
                <w:kern w:val="2"/>
                <w:sz w:val="24"/>
                <w:szCs w:val="24"/>
                <w:highlight w:val="none"/>
                <w:lang w:val="en-US" w:eastAsia="zh-CN"/>
                <w14:textFill>
                  <w14:solidFill>
                    <w14:schemeClr w14:val="tx1"/>
                  </w14:solidFill>
                </w14:textFill>
              </w:rPr>
            </w:pPr>
          </w:p>
        </w:tc>
        <w:tc>
          <w:tcPr>
            <w:tcW w:w="1834" w:type="dxa"/>
            <w:noWrap w:val="0"/>
            <w:vAlign w:val="top"/>
          </w:tcPr>
          <w:p w14:paraId="50F3A8B0">
            <w:pPr>
              <w:pStyle w:val="27"/>
              <w:spacing w:line="600" w:lineRule="exact"/>
              <w:rPr>
                <w:rFonts w:hint="eastAsia" w:hAnsi="宋体" w:cs="Courier New"/>
                <w:color w:val="000000" w:themeColor="text1"/>
                <w:kern w:val="2"/>
                <w:sz w:val="24"/>
                <w:szCs w:val="24"/>
                <w:highlight w:val="none"/>
                <w:lang w:val="en-US" w:eastAsia="zh-CN"/>
                <w14:textFill>
                  <w14:solidFill>
                    <w14:schemeClr w14:val="tx1"/>
                  </w14:solidFill>
                </w14:textFill>
              </w:rPr>
            </w:pPr>
          </w:p>
        </w:tc>
        <w:tc>
          <w:tcPr>
            <w:tcW w:w="2181" w:type="dxa"/>
            <w:noWrap w:val="0"/>
            <w:vAlign w:val="top"/>
          </w:tcPr>
          <w:p w14:paraId="373C2F4A">
            <w:pPr>
              <w:pStyle w:val="27"/>
              <w:spacing w:line="600" w:lineRule="exact"/>
              <w:rPr>
                <w:rFonts w:hint="eastAsia" w:hAnsi="宋体" w:cs="Courier New"/>
                <w:color w:val="000000" w:themeColor="text1"/>
                <w:kern w:val="2"/>
                <w:sz w:val="24"/>
                <w:szCs w:val="24"/>
                <w:highlight w:val="none"/>
                <w:lang w:val="en-US" w:eastAsia="zh-CN"/>
                <w14:textFill>
                  <w14:solidFill>
                    <w14:schemeClr w14:val="tx1"/>
                  </w14:solidFill>
                </w14:textFill>
              </w:rPr>
            </w:pPr>
          </w:p>
        </w:tc>
        <w:tc>
          <w:tcPr>
            <w:tcW w:w="1934" w:type="dxa"/>
            <w:noWrap w:val="0"/>
            <w:vAlign w:val="top"/>
          </w:tcPr>
          <w:p w14:paraId="5291DA8A">
            <w:pPr>
              <w:pStyle w:val="27"/>
              <w:spacing w:line="600" w:lineRule="exact"/>
              <w:rPr>
                <w:rFonts w:hint="eastAsia" w:hAnsi="宋体" w:cs="Courier New"/>
                <w:color w:val="000000" w:themeColor="text1"/>
                <w:kern w:val="2"/>
                <w:sz w:val="24"/>
                <w:szCs w:val="24"/>
                <w:highlight w:val="none"/>
                <w:lang w:val="en-US" w:eastAsia="zh-CN"/>
                <w14:textFill>
                  <w14:solidFill>
                    <w14:schemeClr w14:val="tx1"/>
                  </w14:solidFill>
                </w14:textFill>
              </w:rPr>
            </w:pPr>
          </w:p>
        </w:tc>
      </w:tr>
      <w:tr w14:paraId="5FFD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087BC82A">
            <w:pPr>
              <w:pStyle w:val="27"/>
              <w:spacing w:line="600" w:lineRule="exact"/>
              <w:rPr>
                <w:rFonts w:hint="eastAsia" w:hAnsi="宋体" w:cs="Courier New"/>
                <w:color w:val="000000" w:themeColor="text1"/>
                <w:kern w:val="2"/>
                <w:sz w:val="24"/>
                <w:szCs w:val="24"/>
                <w:highlight w:val="none"/>
                <w:lang w:val="en-US" w:eastAsia="zh-CN"/>
                <w14:textFill>
                  <w14:solidFill>
                    <w14:schemeClr w14:val="tx1"/>
                  </w14:solidFill>
                </w14:textFill>
              </w:rPr>
            </w:pPr>
          </w:p>
        </w:tc>
        <w:tc>
          <w:tcPr>
            <w:tcW w:w="2143" w:type="dxa"/>
            <w:noWrap w:val="0"/>
            <w:vAlign w:val="top"/>
          </w:tcPr>
          <w:p w14:paraId="6E5256E4">
            <w:pPr>
              <w:pStyle w:val="27"/>
              <w:spacing w:line="600" w:lineRule="exact"/>
              <w:rPr>
                <w:rFonts w:hint="eastAsia" w:hAnsi="宋体" w:cs="Courier New"/>
                <w:color w:val="000000" w:themeColor="text1"/>
                <w:kern w:val="2"/>
                <w:sz w:val="24"/>
                <w:szCs w:val="24"/>
                <w:highlight w:val="none"/>
                <w:lang w:val="en-US" w:eastAsia="zh-CN"/>
                <w14:textFill>
                  <w14:solidFill>
                    <w14:schemeClr w14:val="tx1"/>
                  </w14:solidFill>
                </w14:textFill>
              </w:rPr>
            </w:pPr>
          </w:p>
        </w:tc>
        <w:tc>
          <w:tcPr>
            <w:tcW w:w="1834" w:type="dxa"/>
            <w:noWrap w:val="0"/>
            <w:vAlign w:val="top"/>
          </w:tcPr>
          <w:p w14:paraId="2F7C7118">
            <w:pPr>
              <w:pStyle w:val="27"/>
              <w:spacing w:line="600" w:lineRule="exact"/>
              <w:rPr>
                <w:rFonts w:hint="eastAsia" w:hAnsi="宋体" w:cs="Courier New"/>
                <w:color w:val="000000" w:themeColor="text1"/>
                <w:kern w:val="2"/>
                <w:sz w:val="24"/>
                <w:szCs w:val="24"/>
                <w:highlight w:val="none"/>
                <w:lang w:val="en-US" w:eastAsia="zh-CN"/>
                <w14:textFill>
                  <w14:solidFill>
                    <w14:schemeClr w14:val="tx1"/>
                  </w14:solidFill>
                </w14:textFill>
              </w:rPr>
            </w:pPr>
          </w:p>
        </w:tc>
        <w:tc>
          <w:tcPr>
            <w:tcW w:w="2181" w:type="dxa"/>
            <w:noWrap w:val="0"/>
            <w:vAlign w:val="top"/>
          </w:tcPr>
          <w:p w14:paraId="73D63EA3">
            <w:pPr>
              <w:pStyle w:val="27"/>
              <w:spacing w:line="600" w:lineRule="exact"/>
              <w:rPr>
                <w:rFonts w:hint="eastAsia" w:hAnsi="宋体" w:cs="Courier New"/>
                <w:color w:val="000000" w:themeColor="text1"/>
                <w:kern w:val="2"/>
                <w:sz w:val="24"/>
                <w:szCs w:val="24"/>
                <w:highlight w:val="none"/>
                <w:lang w:val="en-US" w:eastAsia="zh-CN"/>
                <w14:textFill>
                  <w14:solidFill>
                    <w14:schemeClr w14:val="tx1"/>
                  </w14:solidFill>
                </w14:textFill>
              </w:rPr>
            </w:pPr>
          </w:p>
        </w:tc>
        <w:tc>
          <w:tcPr>
            <w:tcW w:w="1934" w:type="dxa"/>
            <w:noWrap w:val="0"/>
            <w:vAlign w:val="top"/>
          </w:tcPr>
          <w:p w14:paraId="55F51C9D">
            <w:pPr>
              <w:pStyle w:val="27"/>
              <w:spacing w:line="600" w:lineRule="exact"/>
              <w:rPr>
                <w:rFonts w:hint="eastAsia" w:hAnsi="宋体" w:cs="Courier New"/>
                <w:color w:val="000000" w:themeColor="text1"/>
                <w:kern w:val="2"/>
                <w:sz w:val="24"/>
                <w:szCs w:val="24"/>
                <w:highlight w:val="none"/>
                <w:lang w:val="en-US" w:eastAsia="zh-CN"/>
                <w14:textFill>
                  <w14:solidFill>
                    <w14:schemeClr w14:val="tx1"/>
                  </w14:solidFill>
                </w14:textFill>
              </w:rPr>
            </w:pPr>
          </w:p>
        </w:tc>
      </w:tr>
      <w:tr w14:paraId="211BA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6BF7B52D">
            <w:pPr>
              <w:pStyle w:val="27"/>
              <w:spacing w:line="600" w:lineRule="exact"/>
              <w:rPr>
                <w:rFonts w:hint="eastAsia" w:hAnsi="宋体" w:cs="Courier New"/>
                <w:color w:val="000000" w:themeColor="text1"/>
                <w:kern w:val="2"/>
                <w:sz w:val="24"/>
                <w:szCs w:val="24"/>
                <w:highlight w:val="none"/>
                <w:lang w:val="en-US" w:eastAsia="zh-CN"/>
                <w14:textFill>
                  <w14:solidFill>
                    <w14:schemeClr w14:val="tx1"/>
                  </w14:solidFill>
                </w14:textFill>
              </w:rPr>
            </w:pPr>
          </w:p>
        </w:tc>
        <w:tc>
          <w:tcPr>
            <w:tcW w:w="2143" w:type="dxa"/>
            <w:noWrap w:val="0"/>
            <w:vAlign w:val="top"/>
          </w:tcPr>
          <w:p w14:paraId="29FF08BA">
            <w:pPr>
              <w:pStyle w:val="27"/>
              <w:spacing w:line="600" w:lineRule="exact"/>
              <w:rPr>
                <w:rFonts w:hint="eastAsia" w:hAnsi="宋体" w:cs="Courier New"/>
                <w:color w:val="000000" w:themeColor="text1"/>
                <w:kern w:val="2"/>
                <w:sz w:val="24"/>
                <w:szCs w:val="24"/>
                <w:highlight w:val="none"/>
                <w:lang w:val="en-US" w:eastAsia="zh-CN"/>
                <w14:textFill>
                  <w14:solidFill>
                    <w14:schemeClr w14:val="tx1"/>
                  </w14:solidFill>
                </w14:textFill>
              </w:rPr>
            </w:pPr>
          </w:p>
        </w:tc>
        <w:tc>
          <w:tcPr>
            <w:tcW w:w="1834" w:type="dxa"/>
            <w:noWrap w:val="0"/>
            <w:vAlign w:val="top"/>
          </w:tcPr>
          <w:p w14:paraId="4B99DF5F">
            <w:pPr>
              <w:pStyle w:val="27"/>
              <w:spacing w:line="600" w:lineRule="exact"/>
              <w:rPr>
                <w:rFonts w:hint="eastAsia" w:hAnsi="宋体" w:cs="Courier New"/>
                <w:color w:val="000000" w:themeColor="text1"/>
                <w:kern w:val="2"/>
                <w:sz w:val="24"/>
                <w:szCs w:val="24"/>
                <w:highlight w:val="none"/>
                <w:lang w:val="en-US" w:eastAsia="zh-CN"/>
                <w14:textFill>
                  <w14:solidFill>
                    <w14:schemeClr w14:val="tx1"/>
                  </w14:solidFill>
                </w14:textFill>
              </w:rPr>
            </w:pPr>
          </w:p>
        </w:tc>
        <w:tc>
          <w:tcPr>
            <w:tcW w:w="2181" w:type="dxa"/>
            <w:noWrap w:val="0"/>
            <w:vAlign w:val="top"/>
          </w:tcPr>
          <w:p w14:paraId="0C998D25">
            <w:pPr>
              <w:pStyle w:val="27"/>
              <w:spacing w:line="600" w:lineRule="exact"/>
              <w:rPr>
                <w:rFonts w:hint="eastAsia" w:hAnsi="宋体" w:cs="Courier New"/>
                <w:color w:val="000000" w:themeColor="text1"/>
                <w:kern w:val="2"/>
                <w:sz w:val="24"/>
                <w:szCs w:val="24"/>
                <w:highlight w:val="none"/>
                <w:lang w:val="en-US" w:eastAsia="zh-CN"/>
                <w14:textFill>
                  <w14:solidFill>
                    <w14:schemeClr w14:val="tx1"/>
                  </w14:solidFill>
                </w14:textFill>
              </w:rPr>
            </w:pPr>
          </w:p>
        </w:tc>
        <w:tc>
          <w:tcPr>
            <w:tcW w:w="1934" w:type="dxa"/>
            <w:noWrap w:val="0"/>
            <w:vAlign w:val="top"/>
          </w:tcPr>
          <w:p w14:paraId="7A86E51D">
            <w:pPr>
              <w:pStyle w:val="27"/>
              <w:spacing w:line="600" w:lineRule="exact"/>
              <w:rPr>
                <w:rFonts w:hint="eastAsia" w:hAnsi="宋体" w:cs="Courier New"/>
                <w:color w:val="000000" w:themeColor="text1"/>
                <w:kern w:val="2"/>
                <w:sz w:val="24"/>
                <w:szCs w:val="24"/>
                <w:highlight w:val="none"/>
                <w:lang w:val="en-US" w:eastAsia="zh-CN"/>
                <w14:textFill>
                  <w14:solidFill>
                    <w14:schemeClr w14:val="tx1"/>
                  </w14:solidFill>
                </w14:textFill>
              </w:rPr>
            </w:pPr>
          </w:p>
        </w:tc>
      </w:tr>
      <w:tr w14:paraId="59CCE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602DD8F9">
            <w:pPr>
              <w:pStyle w:val="27"/>
              <w:spacing w:line="600" w:lineRule="exact"/>
              <w:rPr>
                <w:rFonts w:hint="eastAsia" w:hAnsi="宋体" w:cs="Courier New"/>
                <w:color w:val="000000" w:themeColor="text1"/>
                <w:kern w:val="2"/>
                <w:sz w:val="24"/>
                <w:szCs w:val="24"/>
                <w:highlight w:val="none"/>
                <w:lang w:val="en-US" w:eastAsia="zh-CN"/>
                <w14:textFill>
                  <w14:solidFill>
                    <w14:schemeClr w14:val="tx1"/>
                  </w14:solidFill>
                </w14:textFill>
              </w:rPr>
            </w:pPr>
          </w:p>
        </w:tc>
        <w:tc>
          <w:tcPr>
            <w:tcW w:w="2143" w:type="dxa"/>
            <w:noWrap w:val="0"/>
            <w:vAlign w:val="top"/>
          </w:tcPr>
          <w:p w14:paraId="5B52DB9F">
            <w:pPr>
              <w:pStyle w:val="27"/>
              <w:spacing w:line="600" w:lineRule="exact"/>
              <w:rPr>
                <w:rFonts w:hint="eastAsia" w:hAnsi="宋体" w:cs="Courier New"/>
                <w:color w:val="000000" w:themeColor="text1"/>
                <w:kern w:val="2"/>
                <w:sz w:val="24"/>
                <w:szCs w:val="24"/>
                <w:highlight w:val="none"/>
                <w:lang w:val="en-US" w:eastAsia="zh-CN"/>
                <w14:textFill>
                  <w14:solidFill>
                    <w14:schemeClr w14:val="tx1"/>
                  </w14:solidFill>
                </w14:textFill>
              </w:rPr>
            </w:pPr>
          </w:p>
        </w:tc>
        <w:tc>
          <w:tcPr>
            <w:tcW w:w="1834" w:type="dxa"/>
            <w:noWrap w:val="0"/>
            <w:vAlign w:val="top"/>
          </w:tcPr>
          <w:p w14:paraId="07426D61">
            <w:pPr>
              <w:pStyle w:val="27"/>
              <w:spacing w:line="600" w:lineRule="exact"/>
              <w:rPr>
                <w:rFonts w:hint="eastAsia" w:hAnsi="宋体" w:cs="Courier New"/>
                <w:color w:val="000000" w:themeColor="text1"/>
                <w:kern w:val="2"/>
                <w:sz w:val="24"/>
                <w:szCs w:val="24"/>
                <w:highlight w:val="none"/>
                <w:lang w:val="en-US" w:eastAsia="zh-CN"/>
                <w14:textFill>
                  <w14:solidFill>
                    <w14:schemeClr w14:val="tx1"/>
                  </w14:solidFill>
                </w14:textFill>
              </w:rPr>
            </w:pPr>
          </w:p>
        </w:tc>
        <w:tc>
          <w:tcPr>
            <w:tcW w:w="2181" w:type="dxa"/>
            <w:noWrap w:val="0"/>
            <w:vAlign w:val="top"/>
          </w:tcPr>
          <w:p w14:paraId="6EE4213D">
            <w:pPr>
              <w:pStyle w:val="27"/>
              <w:spacing w:line="600" w:lineRule="exact"/>
              <w:rPr>
                <w:rFonts w:hint="eastAsia" w:hAnsi="宋体" w:cs="Courier New"/>
                <w:color w:val="000000" w:themeColor="text1"/>
                <w:kern w:val="2"/>
                <w:sz w:val="24"/>
                <w:szCs w:val="24"/>
                <w:highlight w:val="none"/>
                <w:lang w:val="en-US" w:eastAsia="zh-CN"/>
                <w14:textFill>
                  <w14:solidFill>
                    <w14:schemeClr w14:val="tx1"/>
                  </w14:solidFill>
                </w14:textFill>
              </w:rPr>
            </w:pPr>
          </w:p>
        </w:tc>
        <w:tc>
          <w:tcPr>
            <w:tcW w:w="1934" w:type="dxa"/>
            <w:noWrap w:val="0"/>
            <w:vAlign w:val="top"/>
          </w:tcPr>
          <w:p w14:paraId="4D3CAC7C">
            <w:pPr>
              <w:pStyle w:val="27"/>
              <w:spacing w:line="600" w:lineRule="exact"/>
              <w:rPr>
                <w:rFonts w:hint="eastAsia" w:hAnsi="宋体" w:cs="Courier New"/>
                <w:color w:val="000000" w:themeColor="text1"/>
                <w:kern w:val="2"/>
                <w:sz w:val="24"/>
                <w:szCs w:val="24"/>
                <w:highlight w:val="none"/>
                <w:lang w:val="en-US" w:eastAsia="zh-CN"/>
                <w14:textFill>
                  <w14:solidFill>
                    <w14:schemeClr w14:val="tx1"/>
                  </w14:solidFill>
                </w14:textFill>
              </w:rPr>
            </w:pPr>
          </w:p>
        </w:tc>
      </w:tr>
    </w:tbl>
    <w:p w14:paraId="2CCCD418">
      <w:pPr>
        <w:pStyle w:val="2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注：</w:t>
      </w:r>
    </w:p>
    <w:p w14:paraId="7910A710">
      <w:pPr>
        <w:pStyle w:val="22"/>
        <w:spacing w:line="360" w:lineRule="auto"/>
        <w:ind w:firstLine="0" w:firstLineChars="0"/>
        <w:rPr>
          <w:rFonts w:hint="eastAsia" w:hAnsi="仿宋_GB2312" w:cs="仿宋_GB2312"/>
          <w:color w:val="000000" w:themeColor="text1"/>
          <w:szCs w:val="32"/>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 说明：应对照招标文件“第二章 采购需求”中的“技术要求”逐条作明确的投标响应，并作出偏离说明。</w:t>
      </w:r>
    </w:p>
    <w:p w14:paraId="372B546E">
      <w:pPr>
        <w:pStyle w:val="20"/>
        <w:spacing w:line="360" w:lineRule="auto"/>
        <w:rPr>
          <w:rFonts w:hint="eastAsia" w:ascii="宋体" w:hAnsi="宋体"/>
          <w:b w:val="0"/>
          <w:bCs w:val="0"/>
          <w:color w:val="000000" w:themeColor="text1"/>
          <w:highlight w:val="none"/>
          <w14:textFill>
            <w14:solidFill>
              <w14:schemeClr w14:val="tx1"/>
            </w14:solidFill>
          </w14:textFill>
        </w:rPr>
      </w:pPr>
      <w:r>
        <w:rPr>
          <w:rFonts w:ascii="宋体" w:hAnsi="宋体"/>
          <w:b w:val="0"/>
          <w:bCs w:val="0"/>
          <w:color w:val="000000" w:themeColor="text1"/>
          <w:highlight w:val="none"/>
          <w14:textFill>
            <w14:solidFill>
              <w14:schemeClr w14:val="tx1"/>
            </w14:solidFill>
          </w14:textFill>
        </w:rPr>
        <w:t>2.</w:t>
      </w:r>
      <w:r>
        <w:rPr>
          <w:rFonts w:hint="eastAsia" w:ascii="宋体" w:hAnsi="宋体"/>
          <w:b w:val="0"/>
          <w:bCs w:val="0"/>
          <w:color w:val="000000" w:themeColor="text1"/>
          <w:highlight w:val="none"/>
          <w14:textFill>
            <w14:solidFill>
              <w14:schemeClr w14:val="tx1"/>
            </w14:solidFill>
          </w14:textFill>
        </w:rPr>
        <w:t>投标人根据投标货物的性能指标，对照招标文件技术要求，在“偏离说明”中注明“</w:t>
      </w:r>
      <w:r>
        <w:rPr>
          <w:rFonts w:hint="eastAsia" w:ascii="宋体" w:hAnsi="宋体"/>
          <w:color w:val="000000" w:themeColor="text1"/>
          <w:highlight w:val="none"/>
          <w14:textFill>
            <w14:solidFill>
              <w14:schemeClr w14:val="tx1"/>
            </w14:solidFill>
          </w14:textFill>
        </w:rPr>
        <w:t>正偏离</w:t>
      </w:r>
      <w:r>
        <w:rPr>
          <w:rFonts w:hint="eastAsia" w:ascii="宋体" w:hAnsi="宋体"/>
          <w:b w:val="0"/>
          <w:bCs w:val="0"/>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负偏离</w:t>
      </w:r>
      <w:r>
        <w:rPr>
          <w:rFonts w:hint="eastAsia" w:ascii="宋体" w:hAnsi="宋体"/>
          <w:b w:val="0"/>
          <w:bCs w:val="0"/>
          <w:color w:val="000000" w:themeColor="text1"/>
          <w:highlight w:val="none"/>
          <w14:textFill>
            <w14:solidFill>
              <w14:schemeClr w14:val="tx1"/>
            </w14:solidFill>
          </w14:textFill>
        </w:rPr>
        <w:t>”或者“</w:t>
      </w:r>
      <w:r>
        <w:rPr>
          <w:rFonts w:hint="eastAsia" w:ascii="宋体" w:hAnsi="宋体"/>
          <w:color w:val="000000" w:themeColor="text1"/>
          <w:highlight w:val="none"/>
          <w14:textFill>
            <w14:solidFill>
              <w14:schemeClr w14:val="tx1"/>
            </w14:solidFill>
          </w14:textFill>
        </w:rPr>
        <w:t>无偏离</w:t>
      </w:r>
      <w:r>
        <w:rPr>
          <w:rFonts w:hint="eastAsia" w:ascii="宋体" w:hAnsi="宋体"/>
          <w:b w:val="0"/>
          <w:bCs w:val="0"/>
          <w:color w:val="000000" w:themeColor="text1"/>
          <w:highlight w:val="none"/>
          <w14:textFill>
            <w14:solidFill>
              <w14:schemeClr w14:val="tx1"/>
            </w14:solidFill>
          </w14:textFill>
        </w:rPr>
        <w:t>”。既不属于“</w:t>
      </w:r>
      <w:r>
        <w:rPr>
          <w:rFonts w:hint="eastAsia" w:ascii="宋体" w:hAnsi="宋体"/>
          <w:color w:val="000000" w:themeColor="text1"/>
          <w:highlight w:val="none"/>
          <w14:textFill>
            <w14:solidFill>
              <w14:schemeClr w14:val="tx1"/>
            </w14:solidFill>
          </w14:textFill>
        </w:rPr>
        <w:t>正偏离</w:t>
      </w:r>
      <w:r>
        <w:rPr>
          <w:rFonts w:hint="eastAsia" w:ascii="宋体" w:hAnsi="宋体"/>
          <w:b w:val="0"/>
          <w:bCs w:val="0"/>
          <w:color w:val="000000" w:themeColor="text1"/>
          <w:highlight w:val="none"/>
          <w14:textFill>
            <w14:solidFill>
              <w14:schemeClr w14:val="tx1"/>
            </w14:solidFill>
          </w14:textFill>
        </w:rPr>
        <w:t>”也不属于“</w:t>
      </w:r>
      <w:r>
        <w:rPr>
          <w:rFonts w:hint="eastAsia" w:ascii="宋体" w:hAnsi="宋体"/>
          <w:color w:val="000000" w:themeColor="text1"/>
          <w:highlight w:val="none"/>
          <w14:textFill>
            <w14:solidFill>
              <w14:schemeClr w14:val="tx1"/>
            </w14:solidFill>
          </w14:textFill>
        </w:rPr>
        <w:t>负偏离</w:t>
      </w:r>
      <w:r>
        <w:rPr>
          <w:rFonts w:hint="eastAsia" w:ascii="宋体" w:hAnsi="宋体"/>
          <w:b w:val="0"/>
          <w:bCs w:val="0"/>
          <w:color w:val="000000" w:themeColor="text1"/>
          <w:highlight w:val="none"/>
          <w14:textFill>
            <w14:solidFill>
              <w14:schemeClr w14:val="tx1"/>
            </w14:solidFill>
          </w14:textFill>
        </w:rPr>
        <w:t>”即为“</w:t>
      </w:r>
      <w:r>
        <w:rPr>
          <w:rFonts w:hint="eastAsia" w:ascii="宋体" w:hAnsi="宋体"/>
          <w:color w:val="000000" w:themeColor="text1"/>
          <w:highlight w:val="none"/>
          <w14:textFill>
            <w14:solidFill>
              <w14:schemeClr w14:val="tx1"/>
            </w14:solidFill>
          </w14:textFill>
        </w:rPr>
        <w:t>无偏离</w:t>
      </w:r>
      <w:r>
        <w:rPr>
          <w:rFonts w:hint="eastAsia" w:ascii="宋体" w:hAnsi="宋体"/>
          <w:b w:val="0"/>
          <w:bCs w:val="0"/>
          <w:color w:val="000000" w:themeColor="text1"/>
          <w:highlight w:val="none"/>
          <w14:textFill>
            <w14:solidFill>
              <w14:schemeClr w14:val="tx1"/>
            </w14:solidFill>
          </w14:textFill>
        </w:rPr>
        <w:t>”。</w:t>
      </w:r>
    </w:p>
    <w:p w14:paraId="7CF6577C">
      <w:pPr>
        <w:pStyle w:val="22"/>
        <w:spacing w:line="360" w:lineRule="auto"/>
        <w:ind w:firstLine="0" w:firstLineChars="0"/>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3</w:t>
      </w:r>
      <w:r>
        <w:rPr>
          <w:rFonts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 xml:space="preserve"> 如技术要求偏离表中的投标响应与佐证材料不一致的，以佐证材料为准。</w:t>
      </w:r>
    </w:p>
    <w:p w14:paraId="5996BB17">
      <w:pPr>
        <w:snapToGrid w:val="0"/>
        <w:spacing w:before="50" w:after="50" w:line="360" w:lineRule="auto"/>
        <w:rPr>
          <w:rFonts w:ascii="宋体" w:hAnsi="宋体"/>
          <w:color w:val="000000" w:themeColor="text1"/>
          <w:sz w:val="24"/>
          <w:highlight w:val="none"/>
          <w14:textFill>
            <w14:solidFill>
              <w14:schemeClr w14:val="tx1"/>
            </w14:solidFill>
          </w14:textFill>
        </w:rPr>
      </w:pPr>
    </w:p>
    <w:p w14:paraId="064FCC77">
      <w:pPr>
        <w:snapToGrid w:val="0"/>
        <w:spacing w:before="50" w:after="50" w:line="360" w:lineRule="auto"/>
        <w:rPr>
          <w:rFonts w:hint="eastAsia" w:ascii="宋体" w:hAnsi="宋体"/>
          <w:color w:val="000000" w:themeColor="text1"/>
          <w:spacing w:val="20"/>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法定代表人或者委托代理人</w:t>
      </w:r>
      <w:r>
        <w:rPr>
          <w:rFonts w:hint="eastAsia" w:ascii="宋体" w:hAnsi="宋体"/>
          <w:color w:val="000000" w:themeColor="text1"/>
          <w:spacing w:val="20"/>
          <w:sz w:val="24"/>
          <w:highlight w:val="none"/>
          <w14:textFill>
            <w14:solidFill>
              <w14:schemeClr w14:val="tx1"/>
            </w14:solidFill>
          </w14:textFill>
        </w:rPr>
        <w:t>（签字或者电子签名）：</w:t>
      </w:r>
      <w:r>
        <w:rPr>
          <w:rFonts w:hint="eastAsia" w:ascii="宋体" w:hAnsi="宋体"/>
          <w:color w:val="000000" w:themeColor="text1"/>
          <w:spacing w:val="20"/>
          <w:sz w:val="24"/>
          <w:highlight w:val="none"/>
          <w:u w:val="single"/>
          <w14:textFill>
            <w14:solidFill>
              <w14:schemeClr w14:val="tx1"/>
            </w14:solidFill>
          </w14:textFill>
        </w:rPr>
        <w:t xml:space="preserve">        </w:t>
      </w:r>
    </w:p>
    <w:p w14:paraId="451A4E41">
      <w:pPr>
        <w:snapToGrid w:val="0"/>
        <w:spacing w:before="50" w:after="50" w:line="360" w:lineRule="auto"/>
        <w:rPr>
          <w:rFonts w:hint="eastAsia" w:ascii="宋体" w:hAnsi="宋体"/>
          <w:color w:val="000000" w:themeColor="text1"/>
          <w:spacing w:val="20"/>
          <w:sz w:val="24"/>
          <w:highlight w:val="none"/>
          <w14:textFill>
            <w14:solidFill>
              <w14:schemeClr w14:val="tx1"/>
            </w14:solidFill>
          </w14:textFill>
        </w:rPr>
      </w:pPr>
      <w:r>
        <w:rPr>
          <w:rFonts w:hint="eastAsia" w:ascii="宋体" w:hAnsi="宋体"/>
          <w:color w:val="000000" w:themeColor="text1"/>
          <w:spacing w:val="20"/>
          <w:sz w:val="24"/>
          <w:highlight w:val="none"/>
          <w14:textFill>
            <w14:solidFill>
              <w14:schemeClr w14:val="tx1"/>
            </w14:solidFill>
          </w14:textFill>
        </w:rPr>
        <w:t>投标人名称（电子签章）：</w:t>
      </w:r>
      <w:r>
        <w:rPr>
          <w:rFonts w:hint="eastAsia" w:ascii="宋体" w:hAnsi="宋体"/>
          <w:color w:val="000000" w:themeColor="text1"/>
          <w:spacing w:val="20"/>
          <w:sz w:val="24"/>
          <w:highlight w:val="none"/>
          <w:u w:val="single"/>
          <w14:textFill>
            <w14:solidFill>
              <w14:schemeClr w14:val="tx1"/>
            </w14:solidFill>
          </w14:textFill>
        </w:rPr>
        <w:t xml:space="preserve">            </w:t>
      </w:r>
      <w:r>
        <w:rPr>
          <w:rFonts w:hint="eastAsia" w:ascii="宋体" w:hAnsi="宋体"/>
          <w:color w:val="000000" w:themeColor="text1"/>
          <w:spacing w:val="20"/>
          <w:sz w:val="24"/>
          <w:highlight w:val="none"/>
          <w14:textFill>
            <w14:solidFill>
              <w14:schemeClr w14:val="tx1"/>
            </w14:solidFill>
          </w14:textFill>
        </w:rPr>
        <w:t xml:space="preserve">              </w:t>
      </w:r>
    </w:p>
    <w:p w14:paraId="4F477E43">
      <w:pPr>
        <w:snapToGrid w:val="0"/>
        <w:spacing w:before="50" w:after="50" w:line="360" w:lineRule="auto"/>
        <w:rPr>
          <w:rFonts w:hint="eastAsia" w:ascii="宋体" w:hAnsi="宋体"/>
          <w:color w:val="000000" w:themeColor="text1"/>
          <w:spacing w:val="20"/>
          <w:sz w:val="24"/>
          <w:highlight w:val="none"/>
          <w:u w:val="single"/>
          <w14:textFill>
            <w14:solidFill>
              <w14:schemeClr w14:val="tx1"/>
            </w14:solidFill>
          </w14:textFill>
        </w:rPr>
      </w:pPr>
      <w:r>
        <w:rPr>
          <w:rFonts w:hint="eastAsia" w:ascii="宋体" w:hAnsi="宋体"/>
          <w:color w:val="000000" w:themeColor="text1"/>
          <w:spacing w:val="20"/>
          <w:sz w:val="24"/>
          <w:highlight w:val="none"/>
          <w14:textFill>
            <w14:solidFill>
              <w14:schemeClr w14:val="tx1"/>
            </w14:solidFill>
          </w14:textFill>
        </w:rPr>
        <w:t>日 期：</w:t>
      </w:r>
      <w:r>
        <w:rPr>
          <w:rFonts w:hint="eastAsia" w:ascii="宋体" w:hAnsi="宋体"/>
          <w:color w:val="000000" w:themeColor="text1"/>
          <w:spacing w:val="20"/>
          <w:sz w:val="24"/>
          <w:highlight w:val="none"/>
          <w:u w:val="single"/>
          <w14:textFill>
            <w14:solidFill>
              <w14:schemeClr w14:val="tx1"/>
            </w14:solidFill>
          </w14:textFill>
        </w:rPr>
        <w:t xml:space="preserve">        </w:t>
      </w:r>
    </w:p>
    <w:p w14:paraId="618A60FE">
      <w:pPr>
        <w:snapToGrid w:val="0"/>
        <w:spacing w:before="50" w:after="50" w:line="360" w:lineRule="auto"/>
        <w:rPr>
          <w:rFonts w:hint="eastAsia" w:ascii="宋体" w:hAnsi="宋体"/>
          <w:color w:val="000000" w:themeColor="text1"/>
          <w:sz w:val="24"/>
          <w:szCs w:val="20"/>
          <w:highlight w:val="none"/>
          <w14:textFill>
            <w14:solidFill>
              <w14:schemeClr w14:val="tx1"/>
            </w14:solidFill>
          </w14:textFill>
        </w:rPr>
      </w:pPr>
    </w:p>
    <w:p w14:paraId="0D91BF24">
      <w:pPr>
        <w:snapToGrid w:val="0"/>
        <w:spacing w:before="120" w:beforeLines="50" w:after="50"/>
        <w:ind w:left="142"/>
        <w:jc w:val="left"/>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11. 项目实施人员一览表格式</w:t>
      </w:r>
    </w:p>
    <w:p w14:paraId="21963515">
      <w:pPr>
        <w:snapToGrid w:val="0"/>
        <w:spacing w:before="120" w:beforeLines="50" w:after="50"/>
        <w:ind w:left="142"/>
        <w:jc w:val="left"/>
        <w:rPr>
          <w:rFonts w:hint="eastAsia" w:ascii="宋体" w:hAnsi="宋体"/>
          <w:b/>
          <w:color w:val="000000" w:themeColor="text1"/>
          <w:sz w:val="24"/>
          <w:highlight w:val="none"/>
          <w14:textFill>
            <w14:solidFill>
              <w14:schemeClr w14:val="tx1"/>
            </w14:solidFill>
          </w14:textFill>
        </w:rPr>
      </w:pPr>
    </w:p>
    <w:p w14:paraId="3D5113CB">
      <w:pPr>
        <w:snapToGrid w:val="0"/>
        <w:spacing w:before="120" w:beforeLines="50" w:after="50"/>
        <w:ind w:left="142"/>
        <w:jc w:val="center"/>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项目实施人员一览表</w:t>
      </w:r>
    </w:p>
    <w:p w14:paraId="7D715D6E">
      <w:pPr>
        <w:pStyle w:val="27"/>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所投分标：</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分标</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35FF9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7F72E762">
            <w:pPr>
              <w:snapToGrid w:val="0"/>
              <w:spacing w:before="50" w:after="120" w:afterLines="50"/>
              <w:jc w:val="center"/>
              <w:rPr>
                <w:rFonts w:hint="eastAsia"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姓名</w:t>
            </w:r>
          </w:p>
        </w:tc>
        <w:tc>
          <w:tcPr>
            <w:tcW w:w="709" w:type="dxa"/>
            <w:noWrap w:val="0"/>
            <w:vAlign w:val="center"/>
          </w:tcPr>
          <w:p w14:paraId="656F3096">
            <w:pPr>
              <w:snapToGrid w:val="0"/>
              <w:spacing w:before="50" w:after="120" w:afterLines="50"/>
              <w:jc w:val="center"/>
              <w:rPr>
                <w:rFonts w:hint="eastAsia"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职务</w:t>
            </w:r>
          </w:p>
        </w:tc>
        <w:tc>
          <w:tcPr>
            <w:tcW w:w="1701" w:type="dxa"/>
            <w:noWrap w:val="0"/>
            <w:vAlign w:val="center"/>
          </w:tcPr>
          <w:p w14:paraId="212827A2">
            <w:pPr>
              <w:snapToGrid w:val="0"/>
              <w:spacing w:before="50" w:after="120" w:afterLines="50"/>
              <w:jc w:val="center"/>
              <w:rPr>
                <w:rFonts w:hint="eastAsia"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专业技术资格（职称）或者职业资格或者执业资格证或者其他证书</w:t>
            </w:r>
          </w:p>
        </w:tc>
        <w:tc>
          <w:tcPr>
            <w:tcW w:w="1420" w:type="dxa"/>
            <w:noWrap w:val="0"/>
            <w:vAlign w:val="center"/>
          </w:tcPr>
          <w:p w14:paraId="4B4E6EF9">
            <w:pPr>
              <w:snapToGrid w:val="0"/>
              <w:spacing w:before="50" w:after="120" w:afterLines="50"/>
              <w:jc w:val="center"/>
              <w:rPr>
                <w:rFonts w:hint="eastAsia"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证书编号</w:t>
            </w:r>
          </w:p>
        </w:tc>
        <w:tc>
          <w:tcPr>
            <w:tcW w:w="1698" w:type="dxa"/>
            <w:noWrap w:val="0"/>
            <w:vAlign w:val="center"/>
          </w:tcPr>
          <w:p w14:paraId="153706D3">
            <w:pPr>
              <w:snapToGrid w:val="0"/>
              <w:spacing w:before="50" w:after="120" w:afterLines="50"/>
              <w:jc w:val="center"/>
              <w:rPr>
                <w:rFonts w:hint="eastAsia"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参加本单位</w:t>
            </w:r>
          </w:p>
          <w:p w14:paraId="20456ECF">
            <w:pPr>
              <w:snapToGrid w:val="0"/>
              <w:spacing w:before="50" w:after="120" w:afterLines="50"/>
              <w:jc w:val="center"/>
              <w:rPr>
                <w:rFonts w:hint="eastAsia"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工作时间</w:t>
            </w:r>
          </w:p>
        </w:tc>
        <w:tc>
          <w:tcPr>
            <w:tcW w:w="1843" w:type="dxa"/>
            <w:noWrap w:val="0"/>
            <w:vAlign w:val="center"/>
          </w:tcPr>
          <w:p w14:paraId="114EE5AC">
            <w:pPr>
              <w:snapToGrid w:val="0"/>
              <w:spacing w:before="50" w:after="120" w:afterLines="50"/>
              <w:jc w:val="center"/>
              <w:rPr>
                <w:rFonts w:hint="eastAsia"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劳动合同编号</w:t>
            </w:r>
          </w:p>
        </w:tc>
      </w:tr>
      <w:tr w14:paraId="16472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2939C6DD">
            <w:pPr>
              <w:snapToGrid w:val="0"/>
              <w:spacing w:before="50" w:after="120" w:afterLines="50"/>
              <w:jc w:val="center"/>
              <w:rPr>
                <w:rFonts w:hint="eastAsia" w:ascii="宋体" w:hAnsi="宋体"/>
                <w:color w:val="000000" w:themeColor="text1"/>
                <w:sz w:val="24"/>
                <w:szCs w:val="20"/>
                <w:highlight w:val="none"/>
                <w14:textFill>
                  <w14:solidFill>
                    <w14:schemeClr w14:val="tx1"/>
                  </w14:solidFill>
                </w14:textFill>
              </w:rPr>
            </w:pPr>
          </w:p>
        </w:tc>
        <w:tc>
          <w:tcPr>
            <w:tcW w:w="709" w:type="dxa"/>
            <w:noWrap w:val="0"/>
            <w:vAlign w:val="center"/>
          </w:tcPr>
          <w:p w14:paraId="00A7FD9F">
            <w:pPr>
              <w:snapToGrid w:val="0"/>
              <w:spacing w:before="50" w:after="120" w:afterLines="50"/>
              <w:jc w:val="center"/>
              <w:rPr>
                <w:rFonts w:hint="eastAsia" w:ascii="宋体" w:hAnsi="宋体"/>
                <w:color w:val="000000" w:themeColor="text1"/>
                <w:sz w:val="24"/>
                <w:szCs w:val="20"/>
                <w:highlight w:val="none"/>
                <w14:textFill>
                  <w14:solidFill>
                    <w14:schemeClr w14:val="tx1"/>
                  </w14:solidFill>
                </w14:textFill>
              </w:rPr>
            </w:pPr>
          </w:p>
        </w:tc>
        <w:tc>
          <w:tcPr>
            <w:tcW w:w="1701" w:type="dxa"/>
            <w:noWrap w:val="0"/>
            <w:vAlign w:val="center"/>
          </w:tcPr>
          <w:p w14:paraId="499B9C71">
            <w:pPr>
              <w:snapToGrid w:val="0"/>
              <w:spacing w:before="50" w:after="120" w:afterLines="50"/>
              <w:jc w:val="center"/>
              <w:rPr>
                <w:rFonts w:hint="eastAsia" w:ascii="宋体" w:hAnsi="宋体"/>
                <w:color w:val="000000" w:themeColor="text1"/>
                <w:sz w:val="24"/>
                <w:szCs w:val="20"/>
                <w:highlight w:val="none"/>
                <w14:textFill>
                  <w14:solidFill>
                    <w14:schemeClr w14:val="tx1"/>
                  </w14:solidFill>
                </w14:textFill>
              </w:rPr>
            </w:pPr>
          </w:p>
        </w:tc>
        <w:tc>
          <w:tcPr>
            <w:tcW w:w="1420" w:type="dxa"/>
            <w:noWrap w:val="0"/>
            <w:vAlign w:val="center"/>
          </w:tcPr>
          <w:p w14:paraId="1E612499">
            <w:pPr>
              <w:snapToGrid w:val="0"/>
              <w:spacing w:before="50" w:after="120" w:afterLines="50"/>
              <w:jc w:val="center"/>
              <w:rPr>
                <w:rFonts w:hint="eastAsia" w:ascii="宋体" w:hAnsi="宋体"/>
                <w:color w:val="000000" w:themeColor="text1"/>
                <w:sz w:val="24"/>
                <w:szCs w:val="20"/>
                <w:highlight w:val="none"/>
                <w14:textFill>
                  <w14:solidFill>
                    <w14:schemeClr w14:val="tx1"/>
                  </w14:solidFill>
                </w14:textFill>
              </w:rPr>
            </w:pPr>
          </w:p>
        </w:tc>
        <w:tc>
          <w:tcPr>
            <w:tcW w:w="1698" w:type="dxa"/>
            <w:noWrap w:val="0"/>
            <w:vAlign w:val="center"/>
          </w:tcPr>
          <w:p w14:paraId="15E32172">
            <w:pPr>
              <w:snapToGrid w:val="0"/>
              <w:spacing w:before="50" w:after="120" w:afterLines="50"/>
              <w:jc w:val="center"/>
              <w:rPr>
                <w:rFonts w:hint="eastAsia" w:ascii="宋体" w:hAnsi="宋体"/>
                <w:color w:val="000000" w:themeColor="text1"/>
                <w:sz w:val="24"/>
                <w:szCs w:val="20"/>
                <w:highlight w:val="none"/>
                <w14:textFill>
                  <w14:solidFill>
                    <w14:schemeClr w14:val="tx1"/>
                  </w14:solidFill>
                </w14:textFill>
              </w:rPr>
            </w:pPr>
          </w:p>
        </w:tc>
        <w:tc>
          <w:tcPr>
            <w:tcW w:w="1843" w:type="dxa"/>
            <w:noWrap w:val="0"/>
            <w:vAlign w:val="center"/>
          </w:tcPr>
          <w:p w14:paraId="42A3E323">
            <w:pPr>
              <w:snapToGrid w:val="0"/>
              <w:spacing w:before="50" w:after="120" w:afterLines="50"/>
              <w:jc w:val="center"/>
              <w:rPr>
                <w:rFonts w:hint="eastAsia" w:ascii="宋体" w:hAnsi="宋体"/>
                <w:color w:val="000000" w:themeColor="text1"/>
                <w:sz w:val="24"/>
                <w:szCs w:val="20"/>
                <w:highlight w:val="none"/>
                <w14:textFill>
                  <w14:solidFill>
                    <w14:schemeClr w14:val="tx1"/>
                  </w14:solidFill>
                </w14:textFill>
              </w:rPr>
            </w:pPr>
          </w:p>
        </w:tc>
      </w:tr>
      <w:tr w14:paraId="1836D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1D3FC00F">
            <w:pPr>
              <w:snapToGrid w:val="0"/>
              <w:spacing w:before="50" w:after="120" w:afterLines="50"/>
              <w:jc w:val="center"/>
              <w:rPr>
                <w:rFonts w:hint="eastAsia" w:ascii="宋体" w:hAnsi="宋体"/>
                <w:color w:val="000000" w:themeColor="text1"/>
                <w:sz w:val="24"/>
                <w:szCs w:val="20"/>
                <w:highlight w:val="none"/>
                <w14:textFill>
                  <w14:solidFill>
                    <w14:schemeClr w14:val="tx1"/>
                  </w14:solidFill>
                </w14:textFill>
              </w:rPr>
            </w:pPr>
          </w:p>
        </w:tc>
        <w:tc>
          <w:tcPr>
            <w:tcW w:w="709" w:type="dxa"/>
            <w:noWrap w:val="0"/>
            <w:vAlign w:val="center"/>
          </w:tcPr>
          <w:p w14:paraId="7DD9AFF0">
            <w:pPr>
              <w:snapToGrid w:val="0"/>
              <w:spacing w:before="50" w:after="120" w:afterLines="50"/>
              <w:jc w:val="center"/>
              <w:rPr>
                <w:rFonts w:hint="eastAsia" w:ascii="宋体" w:hAnsi="宋体"/>
                <w:color w:val="000000" w:themeColor="text1"/>
                <w:sz w:val="24"/>
                <w:szCs w:val="20"/>
                <w:highlight w:val="none"/>
                <w14:textFill>
                  <w14:solidFill>
                    <w14:schemeClr w14:val="tx1"/>
                  </w14:solidFill>
                </w14:textFill>
              </w:rPr>
            </w:pPr>
          </w:p>
        </w:tc>
        <w:tc>
          <w:tcPr>
            <w:tcW w:w="1701" w:type="dxa"/>
            <w:noWrap w:val="0"/>
            <w:vAlign w:val="center"/>
          </w:tcPr>
          <w:p w14:paraId="0E9E66BD">
            <w:pPr>
              <w:snapToGrid w:val="0"/>
              <w:spacing w:before="50" w:after="120" w:afterLines="50"/>
              <w:jc w:val="center"/>
              <w:rPr>
                <w:rFonts w:hint="eastAsia" w:ascii="宋体" w:hAnsi="宋体"/>
                <w:color w:val="000000" w:themeColor="text1"/>
                <w:sz w:val="24"/>
                <w:szCs w:val="20"/>
                <w:highlight w:val="none"/>
                <w14:textFill>
                  <w14:solidFill>
                    <w14:schemeClr w14:val="tx1"/>
                  </w14:solidFill>
                </w14:textFill>
              </w:rPr>
            </w:pPr>
          </w:p>
        </w:tc>
        <w:tc>
          <w:tcPr>
            <w:tcW w:w="1420" w:type="dxa"/>
            <w:noWrap w:val="0"/>
            <w:vAlign w:val="center"/>
          </w:tcPr>
          <w:p w14:paraId="1485B75F">
            <w:pPr>
              <w:snapToGrid w:val="0"/>
              <w:spacing w:before="50" w:after="120" w:afterLines="50"/>
              <w:jc w:val="center"/>
              <w:rPr>
                <w:rFonts w:hint="eastAsia" w:ascii="宋体" w:hAnsi="宋体"/>
                <w:color w:val="000000" w:themeColor="text1"/>
                <w:sz w:val="24"/>
                <w:szCs w:val="20"/>
                <w:highlight w:val="none"/>
                <w14:textFill>
                  <w14:solidFill>
                    <w14:schemeClr w14:val="tx1"/>
                  </w14:solidFill>
                </w14:textFill>
              </w:rPr>
            </w:pPr>
          </w:p>
        </w:tc>
        <w:tc>
          <w:tcPr>
            <w:tcW w:w="1698" w:type="dxa"/>
            <w:noWrap w:val="0"/>
            <w:vAlign w:val="center"/>
          </w:tcPr>
          <w:p w14:paraId="6E5B8CB4">
            <w:pPr>
              <w:snapToGrid w:val="0"/>
              <w:spacing w:before="50" w:after="120" w:afterLines="50"/>
              <w:jc w:val="center"/>
              <w:rPr>
                <w:rFonts w:hint="eastAsia" w:ascii="宋体" w:hAnsi="宋体"/>
                <w:color w:val="000000" w:themeColor="text1"/>
                <w:sz w:val="24"/>
                <w:szCs w:val="20"/>
                <w:highlight w:val="none"/>
                <w14:textFill>
                  <w14:solidFill>
                    <w14:schemeClr w14:val="tx1"/>
                  </w14:solidFill>
                </w14:textFill>
              </w:rPr>
            </w:pPr>
          </w:p>
        </w:tc>
        <w:tc>
          <w:tcPr>
            <w:tcW w:w="1843" w:type="dxa"/>
            <w:noWrap w:val="0"/>
            <w:vAlign w:val="center"/>
          </w:tcPr>
          <w:p w14:paraId="1799CD40">
            <w:pPr>
              <w:snapToGrid w:val="0"/>
              <w:spacing w:before="50" w:after="120" w:afterLines="50"/>
              <w:jc w:val="center"/>
              <w:rPr>
                <w:rFonts w:hint="eastAsia" w:ascii="宋体" w:hAnsi="宋体"/>
                <w:color w:val="000000" w:themeColor="text1"/>
                <w:sz w:val="24"/>
                <w:szCs w:val="20"/>
                <w:highlight w:val="none"/>
                <w14:textFill>
                  <w14:solidFill>
                    <w14:schemeClr w14:val="tx1"/>
                  </w14:solidFill>
                </w14:textFill>
              </w:rPr>
            </w:pPr>
          </w:p>
        </w:tc>
      </w:tr>
      <w:tr w14:paraId="62386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448605C9">
            <w:pPr>
              <w:snapToGrid w:val="0"/>
              <w:spacing w:before="50" w:after="120" w:afterLines="50"/>
              <w:jc w:val="center"/>
              <w:rPr>
                <w:rFonts w:hint="eastAsia" w:ascii="宋体" w:hAnsi="宋体"/>
                <w:color w:val="000000" w:themeColor="text1"/>
                <w:sz w:val="24"/>
                <w:szCs w:val="20"/>
                <w:highlight w:val="none"/>
                <w14:textFill>
                  <w14:solidFill>
                    <w14:schemeClr w14:val="tx1"/>
                  </w14:solidFill>
                </w14:textFill>
              </w:rPr>
            </w:pPr>
          </w:p>
        </w:tc>
        <w:tc>
          <w:tcPr>
            <w:tcW w:w="709" w:type="dxa"/>
            <w:noWrap w:val="0"/>
            <w:vAlign w:val="center"/>
          </w:tcPr>
          <w:p w14:paraId="11DB03A2">
            <w:pPr>
              <w:snapToGrid w:val="0"/>
              <w:spacing w:before="50" w:after="120" w:afterLines="50"/>
              <w:jc w:val="center"/>
              <w:rPr>
                <w:rFonts w:hint="eastAsia" w:ascii="宋体" w:hAnsi="宋体"/>
                <w:color w:val="000000" w:themeColor="text1"/>
                <w:sz w:val="24"/>
                <w:szCs w:val="20"/>
                <w:highlight w:val="none"/>
                <w14:textFill>
                  <w14:solidFill>
                    <w14:schemeClr w14:val="tx1"/>
                  </w14:solidFill>
                </w14:textFill>
              </w:rPr>
            </w:pPr>
          </w:p>
        </w:tc>
        <w:tc>
          <w:tcPr>
            <w:tcW w:w="1701" w:type="dxa"/>
            <w:noWrap w:val="0"/>
            <w:vAlign w:val="center"/>
          </w:tcPr>
          <w:p w14:paraId="21E5E58E">
            <w:pPr>
              <w:snapToGrid w:val="0"/>
              <w:spacing w:before="50" w:after="120" w:afterLines="50"/>
              <w:jc w:val="center"/>
              <w:rPr>
                <w:rFonts w:hint="eastAsia" w:ascii="宋体" w:hAnsi="宋体"/>
                <w:color w:val="000000" w:themeColor="text1"/>
                <w:sz w:val="24"/>
                <w:szCs w:val="20"/>
                <w:highlight w:val="none"/>
                <w14:textFill>
                  <w14:solidFill>
                    <w14:schemeClr w14:val="tx1"/>
                  </w14:solidFill>
                </w14:textFill>
              </w:rPr>
            </w:pPr>
          </w:p>
        </w:tc>
        <w:tc>
          <w:tcPr>
            <w:tcW w:w="1420" w:type="dxa"/>
            <w:noWrap w:val="0"/>
            <w:vAlign w:val="center"/>
          </w:tcPr>
          <w:p w14:paraId="74F72E81">
            <w:pPr>
              <w:snapToGrid w:val="0"/>
              <w:spacing w:before="50" w:after="120" w:afterLines="50"/>
              <w:jc w:val="center"/>
              <w:rPr>
                <w:rFonts w:hint="eastAsia" w:ascii="宋体" w:hAnsi="宋体"/>
                <w:color w:val="000000" w:themeColor="text1"/>
                <w:sz w:val="24"/>
                <w:szCs w:val="20"/>
                <w:highlight w:val="none"/>
                <w14:textFill>
                  <w14:solidFill>
                    <w14:schemeClr w14:val="tx1"/>
                  </w14:solidFill>
                </w14:textFill>
              </w:rPr>
            </w:pPr>
          </w:p>
        </w:tc>
        <w:tc>
          <w:tcPr>
            <w:tcW w:w="1698" w:type="dxa"/>
            <w:noWrap w:val="0"/>
            <w:vAlign w:val="center"/>
          </w:tcPr>
          <w:p w14:paraId="59696F5E">
            <w:pPr>
              <w:snapToGrid w:val="0"/>
              <w:spacing w:before="50" w:after="120" w:afterLines="50"/>
              <w:jc w:val="center"/>
              <w:rPr>
                <w:rFonts w:hint="eastAsia" w:ascii="宋体" w:hAnsi="宋体"/>
                <w:color w:val="000000" w:themeColor="text1"/>
                <w:sz w:val="24"/>
                <w:szCs w:val="20"/>
                <w:highlight w:val="none"/>
                <w14:textFill>
                  <w14:solidFill>
                    <w14:schemeClr w14:val="tx1"/>
                  </w14:solidFill>
                </w14:textFill>
              </w:rPr>
            </w:pPr>
          </w:p>
        </w:tc>
        <w:tc>
          <w:tcPr>
            <w:tcW w:w="1843" w:type="dxa"/>
            <w:noWrap w:val="0"/>
            <w:vAlign w:val="center"/>
          </w:tcPr>
          <w:p w14:paraId="31001F21">
            <w:pPr>
              <w:snapToGrid w:val="0"/>
              <w:spacing w:before="50" w:after="120" w:afterLines="50"/>
              <w:jc w:val="center"/>
              <w:rPr>
                <w:rFonts w:hint="eastAsia" w:ascii="宋体" w:hAnsi="宋体"/>
                <w:color w:val="000000" w:themeColor="text1"/>
                <w:sz w:val="24"/>
                <w:szCs w:val="20"/>
                <w:highlight w:val="none"/>
                <w14:textFill>
                  <w14:solidFill>
                    <w14:schemeClr w14:val="tx1"/>
                  </w14:solidFill>
                </w14:textFill>
              </w:rPr>
            </w:pPr>
          </w:p>
        </w:tc>
      </w:tr>
    </w:tbl>
    <w:p w14:paraId="7A1E53C2">
      <w:pPr>
        <w:snapToGrid w:val="0"/>
        <w:spacing w:before="50" w:after="120" w:afterLines="50"/>
        <w:jc w:val="left"/>
        <w:rPr>
          <w:rFonts w:hint="eastAsia" w:ascii="宋体" w:hAnsi="宋体"/>
          <w:color w:val="000000" w:themeColor="text1"/>
          <w:sz w:val="24"/>
          <w:szCs w:val="20"/>
          <w:highlight w:val="none"/>
          <w14:textFill>
            <w14:solidFill>
              <w14:schemeClr w14:val="tx1"/>
            </w14:solidFill>
          </w14:textFill>
        </w:rPr>
      </w:pPr>
    </w:p>
    <w:p w14:paraId="6CD7389B">
      <w:pPr>
        <w:spacing w:line="360" w:lineRule="auto"/>
        <w:contextualSpacing/>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注：</w:t>
      </w:r>
    </w:p>
    <w:p w14:paraId="269815D9">
      <w:pPr>
        <w:spacing w:line="360" w:lineRule="auto"/>
        <w:contextualSpacing/>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1</w:t>
      </w:r>
      <w:r>
        <w:rPr>
          <w:rFonts w:ascii="宋体" w:hAnsi="宋体"/>
          <w:color w:val="000000" w:themeColor="text1"/>
          <w:sz w:val="24"/>
          <w:szCs w:val="20"/>
          <w:highlight w:val="none"/>
          <w14:textFill>
            <w14:solidFill>
              <w14:schemeClr w14:val="tx1"/>
            </w14:solidFill>
          </w14:textFill>
        </w:rPr>
        <w:t>.</w:t>
      </w:r>
      <w:r>
        <w:rPr>
          <w:rFonts w:hint="eastAsia" w:ascii="宋体" w:hAnsi="宋体"/>
          <w:color w:val="000000" w:themeColor="text1"/>
          <w:sz w:val="24"/>
          <w:szCs w:val="20"/>
          <w:highlight w:val="none"/>
          <w14:textFill>
            <w14:solidFill>
              <w14:schemeClr w14:val="tx1"/>
            </w14:solidFill>
          </w14:textFill>
        </w:rPr>
        <w:t>在填写时，如本表格不适合投标单位的实际情况，可根据本表格式自行制表填写。</w:t>
      </w:r>
    </w:p>
    <w:p w14:paraId="594DDAA6">
      <w:pPr>
        <w:spacing w:line="360" w:lineRule="auto"/>
        <w:contextualSpacing/>
        <w:jc w:val="left"/>
        <w:rPr>
          <w:rFonts w:hint="eastAsia"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2.</w:t>
      </w:r>
      <w:r>
        <w:rPr>
          <w:rFonts w:hint="eastAsia" w:ascii="宋体" w:hAnsi="宋体"/>
          <w:color w:val="000000" w:themeColor="text1"/>
          <w:sz w:val="24"/>
          <w:szCs w:val="20"/>
          <w:highlight w:val="none"/>
          <w14:textFill>
            <w14:solidFill>
              <w14:schemeClr w14:val="tx1"/>
            </w14:solidFill>
          </w14:textFill>
        </w:rPr>
        <w:t>投标人应当附本表所列证书的复印件并加盖投标人电子签章。</w:t>
      </w:r>
    </w:p>
    <w:p w14:paraId="076D258F">
      <w:pPr>
        <w:spacing w:line="360" w:lineRule="auto"/>
        <w:contextualSpacing/>
        <w:jc w:val="left"/>
        <w:rPr>
          <w:rFonts w:hint="eastAsia" w:ascii="宋体" w:hAnsi="宋体"/>
          <w:color w:val="000000" w:themeColor="text1"/>
          <w:sz w:val="24"/>
          <w:szCs w:val="20"/>
          <w:highlight w:val="none"/>
          <w14:textFill>
            <w14:solidFill>
              <w14:schemeClr w14:val="tx1"/>
            </w14:solidFill>
          </w14:textFill>
        </w:rPr>
      </w:pPr>
    </w:p>
    <w:p w14:paraId="214E9257">
      <w:pPr>
        <w:spacing w:line="360" w:lineRule="auto"/>
        <w:contextualSpacing/>
        <w:jc w:val="left"/>
        <w:rPr>
          <w:rFonts w:hint="eastAsia" w:ascii="宋体" w:hAnsi="宋体"/>
          <w:color w:val="000000" w:themeColor="text1"/>
          <w:sz w:val="24"/>
          <w:szCs w:val="20"/>
          <w:highlight w:val="none"/>
          <w14:textFill>
            <w14:solidFill>
              <w14:schemeClr w14:val="tx1"/>
            </w14:solidFill>
          </w14:textFill>
        </w:rPr>
      </w:pPr>
    </w:p>
    <w:p w14:paraId="4CAB15E3">
      <w:pPr>
        <w:spacing w:line="360" w:lineRule="auto"/>
        <w:contextualSpacing/>
        <w:rPr>
          <w:rFonts w:hint="eastAsia" w:ascii="宋体" w:hAnsi="宋体"/>
          <w:color w:val="000000" w:themeColor="text1"/>
          <w:spacing w:val="20"/>
          <w:sz w:val="24"/>
          <w:szCs w:val="20"/>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法定代表人或者委托代理人</w:t>
      </w:r>
      <w:r>
        <w:rPr>
          <w:rFonts w:hint="eastAsia" w:ascii="宋体" w:hAnsi="宋体"/>
          <w:color w:val="000000" w:themeColor="text1"/>
          <w:spacing w:val="20"/>
          <w:sz w:val="24"/>
          <w:highlight w:val="none"/>
          <w14:textFill>
            <w14:solidFill>
              <w14:schemeClr w14:val="tx1"/>
            </w14:solidFill>
          </w14:textFill>
        </w:rPr>
        <w:t>（签字或者电子签名）：</w:t>
      </w:r>
      <w:r>
        <w:rPr>
          <w:rFonts w:hint="eastAsia" w:ascii="宋体" w:hAnsi="宋体"/>
          <w:color w:val="000000" w:themeColor="text1"/>
          <w:spacing w:val="20"/>
          <w:sz w:val="24"/>
          <w:highlight w:val="none"/>
          <w:u w:val="single"/>
          <w14:textFill>
            <w14:solidFill>
              <w14:schemeClr w14:val="tx1"/>
            </w14:solidFill>
          </w14:textFill>
        </w:rPr>
        <w:t xml:space="preserve">        </w:t>
      </w:r>
    </w:p>
    <w:p w14:paraId="13404F28">
      <w:pPr>
        <w:spacing w:line="360" w:lineRule="auto"/>
        <w:contextualSpacing/>
        <w:jc w:val="left"/>
        <w:rPr>
          <w:rFonts w:hint="eastAsia" w:ascii="宋体" w:hAnsi="宋体"/>
          <w:color w:val="000000" w:themeColor="text1"/>
          <w:spacing w:val="20"/>
          <w:sz w:val="24"/>
          <w:highlight w:val="none"/>
          <w14:textFill>
            <w14:solidFill>
              <w14:schemeClr w14:val="tx1"/>
            </w14:solidFill>
          </w14:textFill>
        </w:rPr>
      </w:pPr>
      <w:r>
        <w:rPr>
          <w:rFonts w:hint="eastAsia" w:ascii="宋体" w:hAnsi="宋体"/>
          <w:color w:val="000000" w:themeColor="text1"/>
          <w:spacing w:val="20"/>
          <w:sz w:val="24"/>
          <w:highlight w:val="none"/>
          <w14:textFill>
            <w14:solidFill>
              <w14:schemeClr w14:val="tx1"/>
            </w14:solidFill>
          </w14:textFill>
        </w:rPr>
        <w:t>投标人名称（电子签章）：</w:t>
      </w:r>
      <w:r>
        <w:rPr>
          <w:rFonts w:hint="eastAsia" w:ascii="宋体" w:hAnsi="宋体"/>
          <w:color w:val="000000" w:themeColor="text1"/>
          <w:spacing w:val="20"/>
          <w:sz w:val="24"/>
          <w:highlight w:val="none"/>
          <w:u w:val="single"/>
          <w14:textFill>
            <w14:solidFill>
              <w14:schemeClr w14:val="tx1"/>
            </w14:solidFill>
          </w14:textFill>
        </w:rPr>
        <w:t xml:space="preserve">            </w:t>
      </w:r>
      <w:r>
        <w:rPr>
          <w:rFonts w:hint="eastAsia" w:ascii="宋体" w:hAnsi="宋体"/>
          <w:color w:val="000000" w:themeColor="text1"/>
          <w:spacing w:val="20"/>
          <w:sz w:val="24"/>
          <w:highlight w:val="none"/>
          <w14:textFill>
            <w14:solidFill>
              <w14:schemeClr w14:val="tx1"/>
            </w14:solidFill>
          </w14:textFill>
        </w:rPr>
        <w:t xml:space="preserve">              </w:t>
      </w:r>
    </w:p>
    <w:p w14:paraId="3CEF12E4">
      <w:pPr>
        <w:spacing w:line="360" w:lineRule="auto"/>
        <w:contextualSpacing/>
        <w:jc w:val="left"/>
        <w:rPr>
          <w:rFonts w:hint="eastAsia"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pacing w:val="20"/>
          <w:sz w:val="24"/>
          <w:highlight w:val="none"/>
          <w14:textFill>
            <w14:solidFill>
              <w14:schemeClr w14:val="tx1"/>
            </w14:solidFill>
          </w14:textFill>
        </w:rPr>
        <w:t>日 期：</w:t>
      </w:r>
      <w:r>
        <w:rPr>
          <w:rFonts w:hint="eastAsia" w:ascii="宋体" w:hAnsi="宋体"/>
          <w:color w:val="000000" w:themeColor="text1"/>
          <w:spacing w:val="20"/>
          <w:sz w:val="24"/>
          <w:highlight w:val="none"/>
          <w:u w:val="single"/>
          <w14:textFill>
            <w14:solidFill>
              <w14:schemeClr w14:val="tx1"/>
            </w14:solidFill>
          </w14:textFill>
        </w:rPr>
        <w:t xml:space="preserve">         </w:t>
      </w:r>
    </w:p>
    <w:p w14:paraId="244CDF06">
      <w:pPr>
        <w:snapToGrid w:val="0"/>
        <w:spacing w:before="50" w:after="120" w:afterLines="50"/>
        <w:jc w:val="left"/>
        <w:rPr>
          <w:rFonts w:hint="eastAsia" w:ascii="宋体" w:hAnsi="宋体"/>
          <w:color w:val="000000" w:themeColor="text1"/>
          <w:sz w:val="24"/>
          <w:szCs w:val="20"/>
          <w:highlight w:val="none"/>
          <w14:textFill>
            <w14:solidFill>
              <w14:schemeClr w14:val="tx1"/>
            </w14:solidFill>
          </w14:textFill>
        </w:rPr>
      </w:pPr>
    </w:p>
    <w:p w14:paraId="489FCD35">
      <w:pPr>
        <w:snapToGrid w:val="0"/>
        <w:spacing w:before="120" w:beforeLines="50" w:after="50"/>
        <w:ind w:left="142"/>
        <w:jc w:val="left"/>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12. 选配件、专用耗材、售后服务优惠表格式（注：按项目需求表具体项目修改）</w:t>
      </w:r>
    </w:p>
    <w:p w14:paraId="01179BD0">
      <w:pPr>
        <w:snapToGrid w:val="0"/>
        <w:spacing w:before="120" w:beforeLines="50" w:after="50"/>
        <w:ind w:left="142"/>
        <w:jc w:val="left"/>
        <w:rPr>
          <w:rFonts w:hint="eastAsia" w:ascii="宋体" w:hAnsi="宋体"/>
          <w:b/>
          <w:color w:val="000000" w:themeColor="text1"/>
          <w:sz w:val="24"/>
          <w:highlight w:val="none"/>
          <w14:textFill>
            <w14:solidFill>
              <w14:schemeClr w14:val="tx1"/>
            </w14:solidFill>
          </w14:textFill>
        </w:rPr>
      </w:pPr>
    </w:p>
    <w:p w14:paraId="7C63DBF5">
      <w:pPr>
        <w:snapToGrid w:val="0"/>
        <w:spacing w:before="120" w:beforeLines="50" w:after="50"/>
        <w:ind w:left="142"/>
        <w:jc w:val="center"/>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选配件、专用耗材、售后服务优惠表</w:t>
      </w:r>
    </w:p>
    <w:p w14:paraId="2EAFDBB7">
      <w:pPr>
        <w:pStyle w:val="27"/>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所投分标：</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分标</w:t>
      </w:r>
    </w:p>
    <w:tbl>
      <w:tblPr>
        <w:tblStyle w:val="4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2340"/>
      </w:tblGrid>
      <w:tr w14:paraId="0CA316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trPr>
        <w:tc>
          <w:tcPr>
            <w:tcW w:w="73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DADAB9C">
            <w:pPr>
              <w:pStyle w:val="27"/>
              <w:snapToGrid w:val="0"/>
              <w:spacing w:before="295" w:after="295"/>
              <w:jc w:val="center"/>
              <w:rPr>
                <w:rFonts w:hint="eastAsia" w:hAnsi="宋体" w:cs="Courier New"/>
                <w:color w:val="000000" w:themeColor="text1"/>
                <w:kern w:val="2"/>
                <w:sz w:val="24"/>
                <w:szCs w:val="24"/>
                <w:highlight w:val="none"/>
                <w:lang w:val="en-US" w:eastAsia="zh-CN"/>
                <w14:textFill>
                  <w14:solidFill>
                    <w14:schemeClr w14:val="tx1"/>
                  </w14:solidFill>
                </w14:textFill>
              </w:rPr>
            </w:pPr>
            <w:r>
              <w:rPr>
                <w:rFonts w:hint="eastAsia" w:hAnsi="宋体" w:cs="Courier New"/>
                <w:color w:val="000000" w:themeColor="text1"/>
                <w:kern w:val="2"/>
                <w:sz w:val="24"/>
                <w:szCs w:val="24"/>
                <w:highlight w:val="none"/>
                <w:lang w:val="en-US" w:eastAsia="zh-CN"/>
                <w14:textFill>
                  <w14:solidFill>
                    <w14:schemeClr w14:val="tx1"/>
                  </w14:solidFill>
                </w14:textFill>
              </w:rPr>
              <w:t>序号</w:t>
            </w:r>
          </w:p>
        </w:tc>
        <w:tc>
          <w:tcPr>
            <w:tcW w:w="2700" w:type="dxa"/>
            <w:tcBorders>
              <w:top w:val="single" w:color="auto" w:sz="4" w:space="0"/>
              <w:left w:val="single" w:color="auto" w:sz="4" w:space="0"/>
              <w:bottom w:val="single" w:color="auto" w:sz="2" w:space="0"/>
              <w:right w:val="single" w:color="auto" w:sz="4" w:space="0"/>
            </w:tcBorders>
            <w:noWrap w:val="0"/>
            <w:vAlign w:val="center"/>
          </w:tcPr>
          <w:p w14:paraId="4C35B39B">
            <w:pPr>
              <w:pStyle w:val="27"/>
              <w:snapToGrid w:val="0"/>
              <w:spacing w:before="295" w:after="295"/>
              <w:jc w:val="center"/>
              <w:rPr>
                <w:rFonts w:hint="eastAsia" w:hAnsi="宋体" w:cs="Courier New"/>
                <w:color w:val="000000" w:themeColor="text1"/>
                <w:kern w:val="2"/>
                <w:sz w:val="24"/>
                <w:szCs w:val="24"/>
                <w:highlight w:val="none"/>
                <w:lang w:val="en-US" w:eastAsia="zh-CN"/>
                <w14:textFill>
                  <w14:solidFill>
                    <w14:schemeClr w14:val="tx1"/>
                  </w14:solidFill>
                </w14:textFill>
              </w:rPr>
            </w:pPr>
            <w:r>
              <w:rPr>
                <w:rFonts w:hint="eastAsia" w:hAnsi="宋体" w:cs="Courier New"/>
                <w:color w:val="000000" w:themeColor="text1"/>
                <w:kern w:val="2"/>
                <w:sz w:val="24"/>
                <w:szCs w:val="24"/>
                <w:highlight w:val="none"/>
                <w:lang w:val="en-US" w:eastAsia="zh-CN"/>
                <w14:textFill>
                  <w14:solidFill>
                    <w14:schemeClr w14:val="tx1"/>
                  </w14:solidFill>
                </w14:textFill>
              </w:rPr>
              <w:t>优惠内容</w:t>
            </w:r>
          </w:p>
        </w:tc>
        <w:tc>
          <w:tcPr>
            <w:tcW w:w="1440" w:type="dxa"/>
            <w:tcBorders>
              <w:top w:val="single" w:color="auto" w:sz="4" w:space="0"/>
              <w:left w:val="single" w:color="auto" w:sz="4" w:space="0"/>
              <w:bottom w:val="single" w:color="auto" w:sz="2" w:space="0"/>
              <w:right w:val="single" w:color="auto" w:sz="4" w:space="0"/>
            </w:tcBorders>
            <w:noWrap w:val="0"/>
            <w:vAlign w:val="center"/>
          </w:tcPr>
          <w:p w14:paraId="420D5315">
            <w:pPr>
              <w:pStyle w:val="27"/>
              <w:snapToGrid w:val="0"/>
              <w:spacing w:before="295" w:after="295"/>
              <w:jc w:val="center"/>
              <w:rPr>
                <w:rFonts w:hint="eastAsia" w:hAnsi="宋体" w:cs="Courier New"/>
                <w:color w:val="000000" w:themeColor="text1"/>
                <w:kern w:val="2"/>
                <w:sz w:val="24"/>
                <w:szCs w:val="24"/>
                <w:highlight w:val="none"/>
                <w:lang w:val="en-US" w:eastAsia="zh-CN"/>
                <w14:textFill>
                  <w14:solidFill>
                    <w14:schemeClr w14:val="tx1"/>
                  </w14:solidFill>
                </w14:textFill>
              </w:rPr>
            </w:pPr>
            <w:r>
              <w:rPr>
                <w:rFonts w:hint="eastAsia" w:hAnsi="宋体" w:cs="Courier New"/>
                <w:color w:val="000000" w:themeColor="text1"/>
                <w:kern w:val="2"/>
                <w:sz w:val="24"/>
                <w:szCs w:val="24"/>
                <w:highlight w:val="none"/>
                <w:lang w:val="en-US" w:eastAsia="zh-CN"/>
                <w14:textFill>
                  <w14:solidFill>
                    <w14:schemeClr w14:val="tx1"/>
                  </w14:solidFill>
                </w14:textFill>
              </w:rPr>
              <w:t>适用机型</w:t>
            </w:r>
          </w:p>
        </w:tc>
        <w:tc>
          <w:tcPr>
            <w:tcW w:w="1440" w:type="dxa"/>
            <w:tcBorders>
              <w:top w:val="single" w:color="auto" w:sz="4" w:space="0"/>
              <w:left w:val="single" w:color="auto" w:sz="4" w:space="0"/>
              <w:bottom w:val="single" w:color="auto" w:sz="2" w:space="0"/>
              <w:right w:val="single" w:color="auto" w:sz="4" w:space="0"/>
            </w:tcBorders>
            <w:noWrap w:val="0"/>
            <w:tcMar>
              <w:top w:w="15" w:type="dxa"/>
              <w:left w:w="15" w:type="dxa"/>
              <w:bottom w:w="0" w:type="dxa"/>
              <w:right w:w="15" w:type="dxa"/>
            </w:tcMar>
            <w:vAlign w:val="center"/>
          </w:tcPr>
          <w:p w14:paraId="738784A2">
            <w:pPr>
              <w:pStyle w:val="27"/>
              <w:snapToGrid w:val="0"/>
              <w:spacing w:before="295" w:after="295"/>
              <w:jc w:val="center"/>
              <w:rPr>
                <w:rFonts w:hint="eastAsia" w:hAnsi="宋体" w:cs="Courier New"/>
                <w:color w:val="000000" w:themeColor="text1"/>
                <w:kern w:val="2"/>
                <w:sz w:val="24"/>
                <w:szCs w:val="24"/>
                <w:highlight w:val="none"/>
                <w:lang w:val="en-US" w:eastAsia="zh-CN"/>
                <w14:textFill>
                  <w14:solidFill>
                    <w14:schemeClr w14:val="tx1"/>
                  </w14:solidFill>
                </w14:textFill>
              </w:rPr>
            </w:pPr>
            <w:r>
              <w:rPr>
                <w:rFonts w:hint="eastAsia" w:hAnsi="宋体" w:cs="Courier New"/>
                <w:color w:val="000000" w:themeColor="text1"/>
                <w:kern w:val="2"/>
                <w:sz w:val="24"/>
                <w:szCs w:val="24"/>
                <w:highlight w:val="none"/>
                <w:lang w:val="en-US" w:eastAsia="zh-CN"/>
                <w14:textFill>
                  <w14:solidFill>
                    <w14:schemeClr w14:val="tx1"/>
                  </w14:solidFill>
                </w14:textFill>
              </w:rPr>
              <w:t>单价</w:t>
            </w:r>
          </w:p>
        </w:tc>
        <w:tc>
          <w:tcPr>
            <w:tcW w:w="2340" w:type="dxa"/>
            <w:tcBorders>
              <w:top w:val="single" w:color="auto" w:sz="4" w:space="0"/>
              <w:left w:val="single" w:color="auto" w:sz="4" w:space="0"/>
              <w:bottom w:val="single" w:color="auto" w:sz="2" w:space="0"/>
              <w:right w:val="single" w:color="auto" w:sz="4" w:space="0"/>
            </w:tcBorders>
            <w:noWrap w:val="0"/>
            <w:vAlign w:val="center"/>
          </w:tcPr>
          <w:p w14:paraId="4B79520C">
            <w:pPr>
              <w:pStyle w:val="27"/>
              <w:snapToGrid w:val="0"/>
              <w:spacing w:before="295" w:after="295"/>
              <w:jc w:val="center"/>
              <w:rPr>
                <w:rFonts w:hint="eastAsia" w:hAnsi="宋体" w:cs="Courier New"/>
                <w:color w:val="000000" w:themeColor="text1"/>
                <w:kern w:val="2"/>
                <w:sz w:val="24"/>
                <w:szCs w:val="24"/>
                <w:highlight w:val="none"/>
                <w:lang w:val="en-US" w:eastAsia="zh-CN"/>
                <w14:textFill>
                  <w14:solidFill>
                    <w14:schemeClr w14:val="tx1"/>
                  </w14:solidFill>
                </w14:textFill>
              </w:rPr>
            </w:pPr>
            <w:r>
              <w:rPr>
                <w:rFonts w:hint="eastAsia" w:hAnsi="宋体" w:cs="Courier New"/>
                <w:color w:val="000000" w:themeColor="text1"/>
                <w:kern w:val="2"/>
                <w:sz w:val="24"/>
                <w:szCs w:val="24"/>
                <w:highlight w:val="none"/>
                <w:lang w:val="en-US" w:eastAsia="zh-CN"/>
                <w14:textFill>
                  <w14:solidFill>
                    <w14:schemeClr w14:val="tx1"/>
                  </w14:solidFill>
                </w14:textFill>
              </w:rPr>
              <w:t>比市场价优惠率</w:t>
            </w:r>
          </w:p>
        </w:tc>
      </w:tr>
      <w:tr w14:paraId="205455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52FE062C">
            <w:pPr>
              <w:pStyle w:val="27"/>
              <w:snapToGrid w:val="0"/>
              <w:spacing w:before="295" w:after="295"/>
              <w:jc w:val="center"/>
              <w:rPr>
                <w:rFonts w:hint="eastAsia" w:hAnsi="宋体"/>
                <w:color w:val="000000" w:themeColor="text1"/>
                <w:kern w:val="2"/>
                <w:sz w:val="24"/>
                <w:szCs w:val="24"/>
                <w:highlight w:val="none"/>
                <w:lang w:val="en-US" w:eastAsia="zh-CN"/>
                <w14:textFill>
                  <w14:solidFill>
                    <w14:schemeClr w14:val="tx1"/>
                  </w14:solidFill>
                </w14:textFill>
              </w:rPr>
            </w:pPr>
            <w:r>
              <w:rPr>
                <w:rFonts w:hint="eastAsia" w:hAnsi="宋体"/>
                <w:color w:val="000000" w:themeColor="text1"/>
                <w:kern w:val="2"/>
                <w:sz w:val="24"/>
                <w:szCs w:val="24"/>
                <w:highlight w:val="none"/>
                <w:lang w:val="en-US" w:eastAsia="zh-CN"/>
                <w14:textFill>
                  <w14:solidFill>
                    <w14:schemeClr w14:val="tx1"/>
                  </w14:solidFill>
                </w14:textFill>
              </w:rPr>
              <w:t>1</w:t>
            </w:r>
          </w:p>
        </w:tc>
        <w:tc>
          <w:tcPr>
            <w:tcW w:w="2700" w:type="dxa"/>
            <w:tcBorders>
              <w:top w:val="single" w:color="auto" w:sz="2" w:space="0"/>
              <w:left w:val="single" w:color="auto" w:sz="2" w:space="0"/>
              <w:bottom w:val="single" w:color="auto" w:sz="6" w:space="0"/>
              <w:right w:val="single" w:color="auto" w:sz="4" w:space="0"/>
            </w:tcBorders>
            <w:noWrap w:val="0"/>
            <w:vAlign w:val="center"/>
          </w:tcPr>
          <w:p w14:paraId="76F6AFCF">
            <w:pPr>
              <w:pStyle w:val="27"/>
              <w:snapToGrid w:val="0"/>
              <w:spacing w:before="295" w:after="295"/>
              <w:jc w:val="center"/>
              <w:rPr>
                <w:rFonts w:hint="eastAsia" w:hAnsi="宋体"/>
                <w:color w:val="000000" w:themeColor="text1"/>
                <w:kern w:val="2"/>
                <w:sz w:val="24"/>
                <w:szCs w:val="24"/>
                <w:highlight w:val="none"/>
                <w:lang w:val="en-US" w:eastAsia="zh-CN"/>
                <w14:textFill>
                  <w14:solidFill>
                    <w14:schemeClr w14:val="tx1"/>
                  </w14:solidFill>
                </w14:textFill>
              </w:rPr>
            </w:pPr>
          </w:p>
        </w:tc>
        <w:tc>
          <w:tcPr>
            <w:tcW w:w="1440" w:type="dxa"/>
            <w:tcBorders>
              <w:top w:val="single" w:color="auto" w:sz="2" w:space="0"/>
              <w:left w:val="single" w:color="auto" w:sz="4" w:space="0"/>
              <w:bottom w:val="single" w:color="auto" w:sz="6" w:space="0"/>
              <w:right w:val="single" w:color="auto" w:sz="6" w:space="0"/>
            </w:tcBorders>
            <w:noWrap w:val="0"/>
            <w:vAlign w:val="center"/>
          </w:tcPr>
          <w:p w14:paraId="731B2909">
            <w:pPr>
              <w:pStyle w:val="27"/>
              <w:snapToGrid w:val="0"/>
              <w:spacing w:before="295" w:after="295"/>
              <w:jc w:val="center"/>
              <w:rPr>
                <w:rFonts w:hint="eastAsia" w:hAnsi="宋体"/>
                <w:color w:val="000000" w:themeColor="text1"/>
                <w:kern w:val="2"/>
                <w:sz w:val="24"/>
                <w:szCs w:val="24"/>
                <w:highlight w:val="none"/>
                <w:lang w:val="en-US" w:eastAsia="zh-CN"/>
                <w14:textFill>
                  <w14:solidFill>
                    <w14:schemeClr w14:val="tx1"/>
                  </w14:solidFill>
                </w14:textFill>
              </w:rPr>
            </w:pPr>
          </w:p>
        </w:tc>
        <w:tc>
          <w:tcPr>
            <w:tcW w:w="1440" w:type="dxa"/>
            <w:tcBorders>
              <w:top w:val="single" w:color="auto" w:sz="2"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0B094E6A">
            <w:pPr>
              <w:pStyle w:val="27"/>
              <w:snapToGrid w:val="0"/>
              <w:spacing w:before="295" w:after="295"/>
              <w:jc w:val="center"/>
              <w:rPr>
                <w:rFonts w:hint="eastAsia" w:hAnsi="宋体"/>
                <w:color w:val="000000" w:themeColor="text1"/>
                <w:kern w:val="2"/>
                <w:sz w:val="24"/>
                <w:szCs w:val="24"/>
                <w:highlight w:val="none"/>
                <w:lang w:val="en-US" w:eastAsia="zh-CN"/>
                <w14:textFill>
                  <w14:solidFill>
                    <w14:schemeClr w14:val="tx1"/>
                  </w14:solidFill>
                </w14:textFill>
              </w:rPr>
            </w:pPr>
          </w:p>
        </w:tc>
        <w:tc>
          <w:tcPr>
            <w:tcW w:w="2340" w:type="dxa"/>
            <w:tcBorders>
              <w:top w:val="single" w:color="auto" w:sz="2" w:space="0"/>
              <w:left w:val="single" w:color="auto" w:sz="6" w:space="0"/>
              <w:bottom w:val="single" w:color="auto" w:sz="6" w:space="0"/>
              <w:right w:val="single" w:color="auto" w:sz="2" w:space="0"/>
            </w:tcBorders>
            <w:noWrap w:val="0"/>
            <w:vAlign w:val="center"/>
          </w:tcPr>
          <w:p w14:paraId="1F99CFE0">
            <w:pPr>
              <w:pStyle w:val="27"/>
              <w:snapToGrid w:val="0"/>
              <w:spacing w:before="295" w:after="295"/>
              <w:jc w:val="center"/>
              <w:rPr>
                <w:rFonts w:hint="eastAsia" w:hAnsi="宋体"/>
                <w:color w:val="000000" w:themeColor="text1"/>
                <w:kern w:val="2"/>
                <w:sz w:val="24"/>
                <w:szCs w:val="24"/>
                <w:highlight w:val="none"/>
                <w:lang w:val="en-US" w:eastAsia="zh-CN"/>
                <w14:textFill>
                  <w14:solidFill>
                    <w14:schemeClr w14:val="tx1"/>
                  </w14:solidFill>
                </w14:textFill>
              </w:rPr>
            </w:pPr>
            <w:r>
              <w:rPr>
                <w:rFonts w:hint="eastAsia" w:hAnsi="宋体"/>
                <w:color w:val="000000" w:themeColor="text1"/>
                <w:kern w:val="2"/>
                <w:sz w:val="24"/>
                <w:szCs w:val="24"/>
                <w:highlight w:val="none"/>
                <w:lang w:val="en-US" w:eastAsia="zh-CN"/>
                <w14:textFill>
                  <w14:solidFill>
                    <w14:schemeClr w14:val="tx1"/>
                  </w14:solidFill>
                </w14:textFill>
              </w:rPr>
              <w:t xml:space="preserve"> </w:t>
            </w:r>
            <w:r>
              <w:rPr>
                <w:rFonts w:hint="eastAsia" w:hAnsi="宋体"/>
                <w:color w:val="000000" w:themeColor="text1"/>
                <w:kern w:val="2"/>
                <w:sz w:val="24"/>
                <w:szCs w:val="24"/>
                <w:highlight w:val="none"/>
                <w:u w:val="single"/>
                <w:lang w:val="en-US" w:eastAsia="zh-CN"/>
                <w14:textFill>
                  <w14:solidFill>
                    <w14:schemeClr w14:val="tx1"/>
                  </w14:solidFill>
                </w14:textFill>
              </w:rPr>
              <w:t xml:space="preserve">           </w:t>
            </w:r>
            <w:r>
              <w:rPr>
                <w:rFonts w:hint="eastAsia" w:hAnsi="宋体"/>
                <w:color w:val="000000" w:themeColor="text1"/>
                <w:kern w:val="2"/>
                <w:sz w:val="24"/>
                <w:szCs w:val="24"/>
                <w:highlight w:val="none"/>
                <w:lang w:val="en-US" w:eastAsia="zh-CN"/>
                <w14:textFill>
                  <w14:solidFill>
                    <w14:schemeClr w14:val="tx1"/>
                  </w14:solidFill>
                </w14:textFill>
              </w:rPr>
              <w:t>%</w:t>
            </w:r>
          </w:p>
        </w:tc>
      </w:tr>
      <w:tr w14:paraId="6900E6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3F3FCC26">
            <w:pPr>
              <w:pStyle w:val="27"/>
              <w:snapToGrid w:val="0"/>
              <w:spacing w:before="295" w:after="295"/>
              <w:jc w:val="center"/>
              <w:rPr>
                <w:rFonts w:hint="eastAsia" w:hAnsi="宋体"/>
                <w:color w:val="000000" w:themeColor="text1"/>
                <w:kern w:val="2"/>
                <w:sz w:val="24"/>
                <w:szCs w:val="24"/>
                <w:highlight w:val="none"/>
                <w:lang w:val="en-US" w:eastAsia="zh-CN"/>
                <w14:textFill>
                  <w14:solidFill>
                    <w14:schemeClr w14:val="tx1"/>
                  </w14:solidFill>
                </w14:textFill>
              </w:rPr>
            </w:pPr>
            <w:r>
              <w:rPr>
                <w:rFonts w:hint="eastAsia" w:hAnsi="宋体"/>
                <w:color w:val="000000" w:themeColor="text1"/>
                <w:kern w:val="2"/>
                <w:sz w:val="24"/>
                <w:szCs w:val="24"/>
                <w:highlight w:val="none"/>
                <w:lang w:val="en-US" w:eastAsia="zh-CN"/>
                <w14:textFill>
                  <w14:solidFill>
                    <w14:schemeClr w14:val="tx1"/>
                  </w14:solidFill>
                </w14:textFill>
              </w:rPr>
              <w:t>2</w:t>
            </w:r>
          </w:p>
        </w:tc>
        <w:tc>
          <w:tcPr>
            <w:tcW w:w="2700" w:type="dxa"/>
            <w:tcBorders>
              <w:top w:val="single" w:color="auto" w:sz="6" w:space="0"/>
              <w:left w:val="single" w:color="auto" w:sz="2" w:space="0"/>
              <w:bottom w:val="single" w:color="auto" w:sz="6" w:space="0"/>
              <w:right w:val="single" w:color="auto" w:sz="4" w:space="0"/>
            </w:tcBorders>
            <w:noWrap w:val="0"/>
            <w:vAlign w:val="center"/>
          </w:tcPr>
          <w:p w14:paraId="7AE37E97">
            <w:pPr>
              <w:pStyle w:val="27"/>
              <w:snapToGrid w:val="0"/>
              <w:spacing w:before="295" w:after="295"/>
              <w:jc w:val="center"/>
              <w:rPr>
                <w:rFonts w:hint="eastAsia" w:hAnsi="宋体"/>
                <w:color w:val="000000" w:themeColor="text1"/>
                <w:kern w:val="2"/>
                <w:sz w:val="24"/>
                <w:szCs w:val="24"/>
                <w:highlight w:val="none"/>
                <w:lang w:val="en-US" w:eastAsia="zh-CN"/>
                <w14:textFill>
                  <w14:solidFill>
                    <w14:schemeClr w14:val="tx1"/>
                  </w14:solidFill>
                </w14:textFill>
              </w:rPr>
            </w:pPr>
          </w:p>
        </w:tc>
        <w:tc>
          <w:tcPr>
            <w:tcW w:w="1440" w:type="dxa"/>
            <w:tcBorders>
              <w:top w:val="single" w:color="auto" w:sz="6" w:space="0"/>
              <w:left w:val="single" w:color="auto" w:sz="4" w:space="0"/>
              <w:bottom w:val="single" w:color="auto" w:sz="6" w:space="0"/>
              <w:right w:val="single" w:color="auto" w:sz="6" w:space="0"/>
            </w:tcBorders>
            <w:noWrap w:val="0"/>
            <w:vAlign w:val="center"/>
          </w:tcPr>
          <w:p w14:paraId="015BBEDB">
            <w:pPr>
              <w:pStyle w:val="27"/>
              <w:snapToGrid w:val="0"/>
              <w:spacing w:before="295" w:after="295"/>
              <w:jc w:val="center"/>
              <w:rPr>
                <w:rFonts w:hint="eastAsia" w:hAnsi="宋体"/>
                <w:color w:val="000000" w:themeColor="text1"/>
                <w:kern w:val="2"/>
                <w:sz w:val="24"/>
                <w:szCs w:val="24"/>
                <w:highlight w:val="none"/>
                <w:lang w:val="en-US" w:eastAsia="zh-CN"/>
                <w14:textFill>
                  <w14:solidFill>
                    <w14:schemeClr w14:val="tx1"/>
                  </w14:solidFill>
                </w14:textFill>
              </w:rPr>
            </w:pPr>
          </w:p>
        </w:tc>
        <w:tc>
          <w:tcPr>
            <w:tcW w:w="1440"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39256888">
            <w:pPr>
              <w:pStyle w:val="27"/>
              <w:snapToGrid w:val="0"/>
              <w:spacing w:before="295" w:after="295"/>
              <w:jc w:val="center"/>
              <w:rPr>
                <w:rFonts w:hint="eastAsia" w:hAnsi="宋体"/>
                <w:color w:val="000000" w:themeColor="text1"/>
                <w:kern w:val="2"/>
                <w:sz w:val="24"/>
                <w:szCs w:val="24"/>
                <w:highlight w:val="none"/>
                <w:lang w:val="en-US" w:eastAsia="zh-CN"/>
                <w14:textFill>
                  <w14:solidFill>
                    <w14:schemeClr w14:val="tx1"/>
                  </w14:solidFill>
                </w14:textFill>
              </w:rPr>
            </w:pPr>
          </w:p>
        </w:tc>
        <w:tc>
          <w:tcPr>
            <w:tcW w:w="2340" w:type="dxa"/>
            <w:tcBorders>
              <w:top w:val="single" w:color="auto" w:sz="6" w:space="0"/>
              <w:left w:val="single" w:color="auto" w:sz="6" w:space="0"/>
              <w:bottom w:val="single" w:color="auto" w:sz="6" w:space="0"/>
              <w:right w:val="single" w:color="auto" w:sz="2" w:space="0"/>
            </w:tcBorders>
            <w:noWrap w:val="0"/>
            <w:vAlign w:val="center"/>
          </w:tcPr>
          <w:p w14:paraId="1E8DCD9B">
            <w:pPr>
              <w:pStyle w:val="27"/>
              <w:snapToGrid w:val="0"/>
              <w:spacing w:before="295" w:after="295"/>
              <w:jc w:val="center"/>
              <w:rPr>
                <w:rFonts w:hint="eastAsia" w:hAnsi="宋体"/>
                <w:color w:val="000000" w:themeColor="text1"/>
                <w:kern w:val="2"/>
                <w:sz w:val="24"/>
                <w:szCs w:val="24"/>
                <w:highlight w:val="none"/>
                <w:lang w:val="en-US" w:eastAsia="zh-CN"/>
                <w14:textFill>
                  <w14:solidFill>
                    <w14:schemeClr w14:val="tx1"/>
                  </w14:solidFill>
                </w14:textFill>
              </w:rPr>
            </w:pPr>
            <w:r>
              <w:rPr>
                <w:rFonts w:hint="eastAsia" w:hAnsi="宋体"/>
                <w:color w:val="000000" w:themeColor="text1"/>
                <w:kern w:val="2"/>
                <w:sz w:val="24"/>
                <w:szCs w:val="24"/>
                <w:highlight w:val="none"/>
                <w:lang w:val="en-US" w:eastAsia="zh-CN"/>
                <w14:textFill>
                  <w14:solidFill>
                    <w14:schemeClr w14:val="tx1"/>
                  </w14:solidFill>
                </w14:textFill>
              </w:rPr>
              <w:t xml:space="preserve"> </w:t>
            </w:r>
            <w:r>
              <w:rPr>
                <w:rFonts w:hint="eastAsia" w:hAnsi="宋体"/>
                <w:color w:val="000000" w:themeColor="text1"/>
                <w:kern w:val="2"/>
                <w:sz w:val="24"/>
                <w:szCs w:val="24"/>
                <w:highlight w:val="none"/>
                <w:u w:val="single"/>
                <w:lang w:val="en-US" w:eastAsia="zh-CN"/>
                <w14:textFill>
                  <w14:solidFill>
                    <w14:schemeClr w14:val="tx1"/>
                  </w14:solidFill>
                </w14:textFill>
              </w:rPr>
              <w:t xml:space="preserve">           </w:t>
            </w:r>
            <w:r>
              <w:rPr>
                <w:rFonts w:hint="eastAsia" w:hAnsi="宋体"/>
                <w:color w:val="000000" w:themeColor="text1"/>
                <w:kern w:val="2"/>
                <w:sz w:val="24"/>
                <w:szCs w:val="24"/>
                <w:highlight w:val="none"/>
                <w:lang w:val="en-US" w:eastAsia="zh-CN"/>
                <w14:textFill>
                  <w14:solidFill>
                    <w14:schemeClr w14:val="tx1"/>
                  </w14:solidFill>
                </w14:textFill>
              </w:rPr>
              <w:t>%</w:t>
            </w:r>
          </w:p>
        </w:tc>
      </w:tr>
      <w:tr w14:paraId="2D1D77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39F2DADC">
            <w:pPr>
              <w:pStyle w:val="27"/>
              <w:snapToGrid w:val="0"/>
              <w:spacing w:before="295" w:after="295"/>
              <w:jc w:val="center"/>
              <w:rPr>
                <w:rFonts w:hint="eastAsia" w:hAnsi="宋体"/>
                <w:color w:val="000000" w:themeColor="text1"/>
                <w:kern w:val="2"/>
                <w:sz w:val="24"/>
                <w:szCs w:val="24"/>
                <w:highlight w:val="none"/>
                <w:lang w:val="en-US" w:eastAsia="zh-CN"/>
                <w14:textFill>
                  <w14:solidFill>
                    <w14:schemeClr w14:val="tx1"/>
                  </w14:solidFill>
                </w14:textFill>
              </w:rPr>
            </w:pPr>
            <w:r>
              <w:rPr>
                <w:rFonts w:hint="eastAsia" w:hAnsi="宋体"/>
                <w:color w:val="000000" w:themeColor="text1"/>
                <w:kern w:val="2"/>
                <w:sz w:val="24"/>
                <w:szCs w:val="24"/>
                <w:highlight w:val="none"/>
                <w:lang w:val="en-US" w:eastAsia="zh-CN"/>
                <w14:textFill>
                  <w14:solidFill>
                    <w14:schemeClr w14:val="tx1"/>
                  </w14:solidFill>
                </w14:textFill>
              </w:rPr>
              <w:t>3</w:t>
            </w:r>
          </w:p>
        </w:tc>
        <w:tc>
          <w:tcPr>
            <w:tcW w:w="2700" w:type="dxa"/>
            <w:tcBorders>
              <w:top w:val="single" w:color="auto" w:sz="6" w:space="0"/>
              <w:left w:val="single" w:color="auto" w:sz="2" w:space="0"/>
              <w:bottom w:val="single" w:color="auto" w:sz="6" w:space="0"/>
              <w:right w:val="single" w:color="auto" w:sz="4" w:space="0"/>
            </w:tcBorders>
            <w:noWrap w:val="0"/>
            <w:vAlign w:val="center"/>
          </w:tcPr>
          <w:p w14:paraId="29FF65F3">
            <w:pPr>
              <w:pStyle w:val="27"/>
              <w:snapToGrid w:val="0"/>
              <w:spacing w:before="295" w:after="295"/>
              <w:jc w:val="center"/>
              <w:rPr>
                <w:rFonts w:hint="eastAsia" w:hAnsi="宋体"/>
                <w:color w:val="000000" w:themeColor="text1"/>
                <w:kern w:val="2"/>
                <w:sz w:val="24"/>
                <w:szCs w:val="24"/>
                <w:highlight w:val="none"/>
                <w:lang w:val="en-US" w:eastAsia="zh-CN"/>
                <w14:textFill>
                  <w14:solidFill>
                    <w14:schemeClr w14:val="tx1"/>
                  </w14:solidFill>
                </w14:textFill>
              </w:rPr>
            </w:pPr>
          </w:p>
        </w:tc>
        <w:tc>
          <w:tcPr>
            <w:tcW w:w="1440" w:type="dxa"/>
            <w:tcBorders>
              <w:top w:val="single" w:color="auto" w:sz="6" w:space="0"/>
              <w:left w:val="single" w:color="auto" w:sz="4" w:space="0"/>
              <w:bottom w:val="single" w:color="auto" w:sz="6" w:space="0"/>
              <w:right w:val="single" w:color="auto" w:sz="6" w:space="0"/>
            </w:tcBorders>
            <w:noWrap w:val="0"/>
            <w:vAlign w:val="center"/>
          </w:tcPr>
          <w:p w14:paraId="41F4FDF6">
            <w:pPr>
              <w:pStyle w:val="27"/>
              <w:snapToGrid w:val="0"/>
              <w:spacing w:before="295" w:after="295"/>
              <w:jc w:val="center"/>
              <w:rPr>
                <w:rFonts w:hint="eastAsia" w:hAnsi="宋体"/>
                <w:color w:val="000000" w:themeColor="text1"/>
                <w:kern w:val="2"/>
                <w:sz w:val="24"/>
                <w:szCs w:val="24"/>
                <w:highlight w:val="none"/>
                <w:lang w:val="en-US" w:eastAsia="zh-CN"/>
                <w14:textFill>
                  <w14:solidFill>
                    <w14:schemeClr w14:val="tx1"/>
                  </w14:solidFill>
                </w14:textFill>
              </w:rPr>
            </w:pPr>
          </w:p>
        </w:tc>
        <w:tc>
          <w:tcPr>
            <w:tcW w:w="1440"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4F01D3EA">
            <w:pPr>
              <w:pStyle w:val="27"/>
              <w:snapToGrid w:val="0"/>
              <w:spacing w:before="295" w:after="295"/>
              <w:jc w:val="center"/>
              <w:rPr>
                <w:rFonts w:hint="eastAsia" w:hAnsi="宋体"/>
                <w:color w:val="000000" w:themeColor="text1"/>
                <w:kern w:val="2"/>
                <w:sz w:val="24"/>
                <w:szCs w:val="24"/>
                <w:highlight w:val="none"/>
                <w:lang w:val="en-US" w:eastAsia="zh-CN"/>
                <w14:textFill>
                  <w14:solidFill>
                    <w14:schemeClr w14:val="tx1"/>
                  </w14:solidFill>
                </w14:textFill>
              </w:rPr>
            </w:pPr>
          </w:p>
        </w:tc>
        <w:tc>
          <w:tcPr>
            <w:tcW w:w="2340" w:type="dxa"/>
            <w:tcBorders>
              <w:top w:val="single" w:color="auto" w:sz="6" w:space="0"/>
              <w:left w:val="single" w:color="auto" w:sz="6" w:space="0"/>
              <w:bottom w:val="single" w:color="auto" w:sz="6" w:space="0"/>
              <w:right w:val="single" w:color="auto" w:sz="2" w:space="0"/>
            </w:tcBorders>
            <w:noWrap w:val="0"/>
            <w:vAlign w:val="center"/>
          </w:tcPr>
          <w:p w14:paraId="26C22462">
            <w:pPr>
              <w:pStyle w:val="27"/>
              <w:snapToGrid w:val="0"/>
              <w:spacing w:before="295" w:after="295"/>
              <w:jc w:val="center"/>
              <w:rPr>
                <w:rFonts w:hint="eastAsia" w:hAnsi="宋体"/>
                <w:color w:val="000000" w:themeColor="text1"/>
                <w:kern w:val="2"/>
                <w:sz w:val="24"/>
                <w:szCs w:val="24"/>
                <w:highlight w:val="none"/>
                <w:lang w:val="en-US" w:eastAsia="zh-CN"/>
                <w14:textFill>
                  <w14:solidFill>
                    <w14:schemeClr w14:val="tx1"/>
                  </w14:solidFill>
                </w14:textFill>
              </w:rPr>
            </w:pPr>
            <w:r>
              <w:rPr>
                <w:rFonts w:hint="eastAsia" w:hAnsi="宋体"/>
                <w:color w:val="000000" w:themeColor="text1"/>
                <w:kern w:val="2"/>
                <w:sz w:val="24"/>
                <w:szCs w:val="24"/>
                <w:highlight w:val="none"/>
                <w:lang w:val="en-US" w:eastAsia="zh-CN"/>
                <w14:textFill>
                  <w14:solidFill>
                    <w14:schemeClr w14:val="tx1"/>
                  </w14:solidFill>
                </w14:textFill>
              </w:rPr>
              <w:t xml:space="preserve"> </w:t>
            </w:r>
            <w:r>
              <w:rPr>
                <w:rFonts w:hint="eastAsia" w:hAnsi="宋体"/>
                <w:color w:val="000000" w:themeColor="text1"/>
                <w:kern w:val="2"/>
                <w:sz w:val="24"/>
                <w:szCs w:val="24"/>
                <w:highlight w:val="none"/>
                <w:u w:val="single"/>
                <w:lang w:val="en-US" w:eastAsia="zh-CN"/>
                <w14:textFill>
                  <w14:solidFill>
                    <w14:schemeClr w14:val="tx1"/>
                  </w14:solidFill>
                </w14:textFill>
              </w:rPr>
              <w:t xml:space="preserve">           </w:t>
            </w:r>
            <w:r>
              <w:rPr>
                <w:rFonts w:hint="eastAsia" w:hAnsi="宋体"/>
                <w:color w:val="000000" w:themeColor="text1"/>
                <w:kern w:val="2"/>
                <w:sz w:val="24"/>
                <w:szCs w:val="24"/>
                <w:highlight w:val="none"/>
                <w:lang w:val="en-US" w:eastAsia="zh-CN"/>
                <w14:textFill>
                  <w14:solidFill>
                    <w14:schemeClr w14:val="tx1"/>
                  </w14:solidFill>
                </w14:textFill>
              </w:rPr>
              <w:t>%</w:t>
            </w:r>
          </w:p>
        </w:tc>
      </w:tr>
    </w:tbl>
    <w:p w14:paraId="7020F4DB">
      <w:pPr>
        <w:spacing w:line="360" w:lineRule="auto"/>
        <w:contextualSpacing/>
        <w:rPr>
          <w:rFonts w:hint="eastAsia" w:ascii="宋体" w:hAnsi="宋体"/>
          <w:color w:val="000000" w:themeColor="text1"/>
          <w:sz w:val="24"/>
          <w:highlight w:val="none"/>
          <w14:textFill>
            <w14:solidFill>
              <w14:schemeClr w14:val="tx1"/>
            </w14:solidFill>
          </w14:textFill>
        </w:rPr>
      </w:pPr>
    </w:p>
    <w:p w14:paraId="704B95F0">
      <w:pPr>
        <w:spacing w:line="360" w:lineRule="auto"/>
        <w:contextualSpacing/>
        <w:rPr>
          <w:rFonts w:hint="eastAsia" w:ascii="宋体" w:hAnsi="宋体"/>
          <w:color w:val="000000" w:themeColor="text1"/>
          <w:spacing w:val="20"/>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法定代表人或者委托代理人</w:t>
      </w:r>
      <w:r>
        <w:rPr>
          <w:rFonts w:hint="eastAsia" w:ascii="宋体" w:hAnsi="宋体"/>
          <w:color w:val="000000" w:themeColor="text1"/>
          <w:spacing w:val="20"/>
          <w:sz w:val="24"/>
          <w:highlight w:val="none"/>
          <w14:textFill>
            <w14:solidFill>
              <w14:schemeClr w14:val="tx1"/>
            </w14:solidFill>
          </w14:textFill>
        </w:rPr>
        <w:t>（签字或者电子签名）：</w:t>
      </w:r>
      <w:r>
        <w:rPr>
          <w:rFonts w:hint="eastAsia" w:ascii="宋体" w:hAnsi="宋体"/>
          <w:color w:val="000000" w:themeColor="text1"/>
          <w:spacing w:val="20"/>
          <w:sz w:val="24"/>
          <w:highlight w:val="none"/>
          <w:u w:val="single"/>
          <w14:textFill>
            <w14:solidFill>
              <w14:schemeClr w14:val="tx1"/>
            </w14:solidFill>
          </w14:textFill>
        </w:rPr>
        <w:t xml:space="preserve">        </w:t>
      </w:r>
    </w:p>
    <w:p w14:paraId="24CD3CEB">
      <w:pPr>
        <w:spacing w:line="360" w:lineRule="auto"/>
        <w:contextualSpacing/>
        <w:jc w:val="left"/>
        <w:rPr>
          <w:rFonts w:hint="eastAsia" w:ascii="宋体" w:hAnsi="宋体"/>
          <w:color w:val="000000" w:themeColor="text1"/>
          <w:spacing w:val="20"/>
          <w:sz w:val="24"/>
          <w:highlight w:val="none"/>
          <w14:textFill>
            <w14:solidFill>
              <w14:schemeClr w14:val="tx1"/>
            </w14:solidFill>
          </w14:textFill>
        </w:rPr>
      </w:pPr>
      <w:r>
        <w:rPr>
          <w:rFonts w:hint="eastAsia" w:ascii="宋体" w:hAnsi="宋体"/>
          <w:color w:val="000000" w:themeColor="text1"/>
          <w:spacing w:val="20"/>
          <w:sz w:val="24"/>
          <w:highlight w:val="none"/>
          <w14:textFill>
            <w14:solidFill>
              <w14:schemeClr w14:val="tx1"/>
            </w14:solidFill>
          </w14:textFill>
        </w:rPr>
        <w:t>投标人名称（电子签章）：</w:t>
      </w:r>
      <w:r>
        <w:rPr>
          <w:rFonts w:hint="eastAsia" w:ascii="宋体" w:hAnsi="宋体"/>
          <w:color w:val="000000" w:themeColor="text1"/>
          <w:spacing w:val="20"/>
          <w:sz w:val="24"/>
          <w:highlight w:val="none"/>
          <w:u w:val="single"/>
          <w14:textFill>
            <w14:solidFill>
              <w14:schemeClr w14:val="tx1"/>
            </w14:solidFill>
          </w14:textFill>
        </w:rPr>
        <w:t xml:space="preserve">            </w:t>
      </w:r>
      <w:r>
        <w:rPr>
          <w:rFonts w:hint="eastAsia" w:ascii="宋体" w:hAnsi="宋体"/>
          <w:color w:val="000000" w:themeColor="text1"/>
          <w:spacing w:val="20"/>
          <w:sz w:val="24"/>
          <w:highlight w:val="none"/>
          <w14:textFill>
            <w14:solidFill>
              <w14:schemeClr w14:val="tx1"/>
            </w14:solidFill>
          </w14:textFill>
        </w:rPr>
        <w:t xml:space="preserve">              </w:t>
      </w:r>
    </w:p>
    <w:p w14:paraId="37249BED">
      <w:pPr>
        <w:spacing w:line="360" w:lineRule="auto"/>
        <w:contextualSpacing/>
        <w:jc w:val="left"/>
        <w:rPr>
          <w:rFonts w:hint="eastAsia"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pacing w:val="20"/>
          <w:sz w:val="24"/>
          <w:highlight w:val="none"/>
          <w14:textFill>
            <w14:solidFill>
              <w14:schemeClr w14:val="tx1"/>
            </w14:solidFill>
          </w14:textFill>
        </w:rPr>
        <w:t>日 期：</w:t>
      </w:r>
      <w:r>
        <w:rPr>
          <w:rFonts w:hint="eastAsia" w:ascii="宋体" w:hAnsi="宋体"/>
          <w:color w:val="000000" w:themeColor="text1"/>
          <w:spacing w:val="20"/>
          <w:sz w:val="24"/>
          <w:highlight w:val="none"/>
          <w:u w:val="single"/>
          <w14:textFill>
            <w14:solidFill>
              <w14:schemeClr w14:val="tx1"/>
            </w14:solidFill>
          </w14:textFill>
        </w:rPr>
        <w:t xml:space="preserve">            </w:t>
      </w:r>
    </w:p>
    <w:p w14:paraId="19FC840C">
      <w:pPr>
        <w:snapToGrid w:val="0"/>
        <w:spacing w:before="50" w:after="120" w:afterLines="50"/>
        <w:jc w:val="left"/>
        <w:rPr>
          <w:rFonts w:hint="eastAsia" w:ascii="宋体" w:hAnsi="宋体"/>
          <w:color w:val="000000" w:themeColor="text1"/>
          <w:sz w:val="24"/>
          <w:szCs w:val="20"/>
          <w:highlight w:val="none"/>
          <w14:textFill>
            <w14:solidFill>
              <w14:schemeClr w14:val="tx1"/>
            </w14:solidFill>
          </w14:textFill>
        </w:rPr>
      </w:pPr>
    </w:p>
    <w:p w14:paraId="7B45A7FD">
      <w:pPr>
        <w:rPr>
          <w:b/>
          <w:color w:val="000000" w:themeColor="text1"/>
          <w:sz w:val="28"/>
          <w:szCs w:val="28"/>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br w:type="page"/>
      </w:r>
      <w:r>
        <w:rPr>
          <w:rFonts w:hint="eastAsia"/>
          <w:b/>
          <w:color w:val="000000" w:themeColor="text1"/>
          <w:sz w:val="28"/>
          <w:szCs w:val="28"/>
          <w:highlight w:val="none"/>
          <w14:textFill>
            <w14:solidFill>
              <w14:schemeClr w14:val="tx1"/>
            </w14:solidFill>
          </w14:textFill>
        </w:rPr>
        <w:t>四、其他文书、文件格式</w:t>
      </w:r>
    </w:p>
    <w:p w14:paraId="63F26FB7">
      <w:pPr>
        <w:snapToGrid w:val="0"/>
        <w:spacing w:before="120" w:beforeLines="50" w:after="50"/>
        <w:jc w:val="left"/>
        <w:rPr>
          <w:rFonts w:hint="eastAsia"/>
          <w:color w:val="000000" w:themeColor="text1"/>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1.中小企业声明函格式</w:t>
      </w:r>
    </w:p>
    <w:p w14:paraId="065F6837">
      <w:pPr>
        <w:rPr>
          <w:rFonts w:hint="eastAsia"/>
          <w:color w:val="000000" w:themeColor="text1"/>
          <w:highlight w:val="none"/>
          <w14:textFill>
            <w14:solidFill>
              <w14:schemeClr w14:val="tx1"/>
            </w14:solidFill>
          </w14:textFill>
        </w:rPr>
      </w:pPr>
    </w:p>
    <w:p w14:paraId="1D3E8C10">
      <w:pPr>
        <w:jc w:val="cente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中小企业声明函（货物）</w:t>
      </w:r>
    </w:p>
    <w:p w14:paraId="7DFC89D4">
      <w:pPr>
        <w:spacing w:before="2" w:line="500" w:lineRule="exact"/>
        <w:rPr>
          <w:rFonts w:ascii="宋体" w:hAnsi="宋体" w:cs="宋体"/>
          <w:b/>
          <w:bCs/>
          <w:color w:val="000000" w:themeColor="text1"/>
          <w:sz w:val="27"/>
          <w:szCs w:val="27"/>
          <w:highlight w:val="none"/>
          <w14:textFill>
            <w14:solidFill>
              <w14:schemeClr w14:val="tx1"/>
            </w14:solidFill>
          </w14:textFill>
        </w:rPr>
      </w:pPr>
    </w:p>
    <w:p w14:paraId="05AFF1DF">
      <w:pPr>
        <w:pStyle w:val="21"/>
        <w:spacing w:line="360" w:lineRule="auto"/>
        <w:ind w:left="-426" w:leftChars="-203" w:right="142" w:firstLine="480" w:firstLineChars="200"/>
        <w:contextualSpacing/>
        <w:rPr>
          <w:rFonts w:ascii="宋体" w:hAnsi="宋体"/>
          <w:color w:val="000000" w:themeColor="text1"/>
          <w:kern w:val="24"/>
          <w:highlight w:val="none"/>
          <w14:textFill>
            <w14:solidFill>
              <w14:schemeClr w14:val="tx1"/>
            </w14:solidFill>
          </w14:textFill>
        </w:rPr>
      </w:pPr>
      <w:r>
        <w:rPr>
          <w:rFonts w:ascii="宋体" w:hAnsi="宋体"/>
          <w:color w:val="000000" w:themeColor="text1"/>
          <w:kern w:val="24"/>
          <w:highlight w:val="none"/>
          <w14:textFill>
            <w14:solidFill>
              <w14:schemeClr w14:val="tx1"/>
            </w14:solidFill>
          </w14:textFill>
        </w:rPr>
        <w:t>本公司（联合体）郑重声明，根据《政府采购促进中小企业发展管理办法》（财库﹝2020﹞46号）的规定，本公司（联合体）参加</w:t>
      </w:r>
      <w:r>
        <w:rPr>
          <w:rFonts w:ascii="宋体" w:hAnsi="宋体"/>
          <w:color w:val="000000" w:themeColor="text1"/>
          <w:kern w:val="24"/>
          <w:highlight w:val="none"/>
          <w:u w:val="single"/>
          <w14:textFill>
            <w14:solidFill>
              <w14:schemeClr w14:val="tx1"/>
            </w14:solidFill>
          </w14:textFill>
        </w:rPr>
        <w:t>（单位名称）</w:t>
      </w:r>
      <w:r>
        <w:rPr>
          <w:rFonts w:ascii="宋体" w:hAnsi="宋体"/>
          <w:color w:val="000000" w:themeColor="text1"/>
          <w:kern w:val="24"/>
          <w:highlight w:val="none"/>
          <w14:textFill>
            <w14:solidFill>
              <w14:schemeClr w14:val="tx1"/>
            </w14:solidFill>
          </w14:textFill>
        </w:rPr>
        <w:t>的</w:t>
      </w:r>
      <w:r>
        <w:rPr>
          <w:rFonts w:ascii="宋体" w:hAnsi="宋体"/>
          <w:color w:val="000000" w:themeColor="text1"/>
          <w:kern w:val="24"/>
          <w:highlight w:val="none"/>
          <w:u w:val="single"/>
          <w14:textFill>
            <w14:solidFill>
              <w14:schemeClr w14:val="tx1"/>
            </w14:solidFill>
          </w14:textFill>
        </w:rPr>
        <w:t>（项目名称）</w:t>
      </w:r>
      <w:r>
        <w:rPr>
          <w:rFonts w:ascii="宋体" w:hAnsi="宋体"/>
          <w:color w:val="000000" w:themeColor="text1"/>
          <w:kern w:val="24"/>
          <w:highlight w:val="none"/>
          <w14:textFill>
            <w14:solidFill>
              <w14:schemeClr w14:val="tx1"/>
            </w14:solidFill>
          </w14:textFill>
        </w:rPr>
        <w:t>采购活动，提供的货物全部由符合政策要求的中小企业制造。相关企业（含联合体中的中小企业、签订分包意向协议的中小企业）的具体情况如下：</w:t>
      </w:r>
    </w:p>
    <w:p w14:paraId="184099FF">
      <w:pPr>
        <w:tabs>
          <w:tab w:val="left" w:pos="1384"/>
          <w:tab w:val="left" w:pos="4562"/>
          <w:tab w:val="left" w:pos="6803"/>
        </w:tabs>
        <w:spacing w:line="360" w:lineRule="auto"/>
        <w:ind w:left="-426" w:right="-58" w:firstLine="655"/>
        <w:contextualSpacing/>
        <w:rPr>
          <w:rFonts w:ascii="宋体" w:hAnsi="宋体"/>
          <w:color w:val="000000" w:themeColor="text1"/>
          <w:kern w:val="24"/>
          <w:sz w:val="24"/>
          <w:highlight w:val="none"/>
          <w14:textFill>
            <w14:solidFill>
              <w14:schemeClr w14:val="tx1"/>
            </w14:solidFill>
          </w14:textFill>
        </w:rPr>
      </w:pPr>
      <w:r>
        <w:rPr>
          <w:rFonts w:ascii="宋体" w:hAnsi="宋体"/>
          <w:color w:val="000000" w:themeColor="text1"/>
          <w:kern w:val="24"/>
          <w:sz w:val="24"/>
          <w:highlight w:val="none"/>
          <w14:textFill>
            <w14:solidFill>
              <w14:schemeClr w14:val="tx1"/>
            </w14:solidFill>
          </w14:textFill>
        </w:rPr>
        <w:t>1.</w:t>
      </w:r>
      <w:r>
        <w:rPr>
          <w:rFonts w:ascii="宋体" w:hAnsi="宋体"/>
          <w:color w:val="000000" w:themeColor="text1"/>
          <w:kern w:val="24"/>
          <w:sz w:val="24"/>
          <w:highlight w:val="none"/>
          <w:u w:val="single"/>
          <w14:textFill>
            <w14:solidFill>
              <w14:schemeClr w14:val="tx1"/>
            </w14:solidFill>
          </w14:textFill>
        </w:rPr>
        <w:t>（标的名称）</w:t>
      </w:r>
      <w:r>
        <w:rPr>
          <w:rFonts w:ascii="宋体" w:hAnsi="宋体"/>
          <w:color w:val="000000" w:themeColor="text1"/>
          <w:kern w:val="24"/>
          <w:sz w:val="24"/>
          <w:highlight w:val="none"/>
          <w14:textFill>
            <w14:solidFill>
              <w14:schemeClr w14:val="tx1"/>
            </w14:solidFill>
          </w14:textFill>
        </w:rPr>
        <w:t>，属于</w:t>
      </w:r>
      <w:r>
        <w:rPr>
          <w:rFonts w:ascii="宋体" w:hAnsi="宋体"/>
          <w:color w:val="000000" w:themeColor="text1"/>
          <w:kern w:val="24"/>
          <w:sz w:val="24"/>
          <w:highlight w:val="none"/>
          <w:u w:val="single"/>
          <w14:textFill>
            <w14:solidFill>
              <w14:schemeClr w14:val="tx1"/>
            </w14:solidFill>
          </w14:textFill>
        </w:rPr>
        <w:t>（采购文件中明确的所属行业）</w:t>
      </w:r>
      <w:r>
        <w:rPr>
          <w:rFonts w:ascii="宋体" w:hAnsi="宋体"/>
          <w:color w:val="000000" w:themeColor="text1"/>
          <w:kern w:val="24"/>
          <w:sz w:val="24"/>
          <w:highlight w:val="none"/>
          <w14:textFill>
            <w14:solidFill>
              <w14:schemeClr w14:val="tx1"/>
            </w14:solidFill>
          </w14:textFill>
        </w:rPr>
        <w:t>行业；制造商为</w:t>
      </w:r>
      <w:r>
        <w:rPr>
          <w:rFonts w:ascii="宋体" w:hAnsi="宋体"/>
          <w:color w:val="000000" w:themeColor="text1"/>
          <w:kern w:val="24"/>
          <w:sz w:val="24"/>
          <w:highlight w:val="none"/>
          <w:u w:val="single"/>
          <w14:textFill>
            <w14:solidFill>
              <w14:schemeClr w14:val="tx1"/>
            </w14:solidFill>
          </w14:textFill>
        </w:rPr>
        <w:t>（企业名称）</w:t>
      </w:r>
      <w:r>
        <w:rPr>
          <w:rFonts w:ascii="宋体" w:hAnsi="宋体"/>
          <w:color w:val="000000" w:themeColor="text1"/>
          <w:kern w:val="24"/>
          <w:sz w:val="24"/>
          <w:highlight w:val="none"/>
          <w14:textFill>
            <w14:solidFill>
              <w14:schemeClr w14:val="tx1"/>
            </w14:solidFill>
          </w14:textFill>
        </w:rPr>
        <w:t>，从业人员</w:t>
      </w:r>
      <w:r>
        <w:rPr>
          <w:rFonts w:hint="eastAsia" w:ascii="宋体" w:hAnsi="宋体"/>
          <w:color w:val="000000" w:themeColor="text1"/>
          <w:kern w:val="24"/>
          <w:sz w:val="24"/>
          <w:highlight w:val="none"/>
          <w:u w:val="single"/>
          <w14:textFill>
            <w14:solidFill>
              <w14:schemeClr w14:val="tx1"/>
            </w14:solidFill>
          </w14:textFill>
        </w:rPr>
        <w:t xml:space="preserve"> </w:t>
      </w:r>
      <w:r>
        <w:rPr>
          <w:rFonts w:ascii="宋体" w:hAnsi="宋体"/>
          <w:color w:val="000000" w:themeColor="text1"/>
          <w:kern w:val="24"/>
          <w:sz w:val="24"/>
          <w:highlight w:val="none"/>
          <w:u w:val="single"/>
          <w14:textFill>
            <w14:solidFill>
              <w14:schemeClr w14:val="tx1"/>
            </w14:solidFill>
          </w14:textFill>
        </w:rPr>
        <w:t xml:space="preserve">     </w:t>
      </w:r>
      <w:r>
        <w:rPr>
          <w:rFonts w:ascii="宋体" w:hAnsi="宋体"/>
          <w:color w:val="000000" w:themeColor="text1"/>
          <w:kern w:val="24"/>
          <w:sz w:val="24"/>
          <w:highlight w:val="none"/>
          <w14:textFill>
            <w14:solidFill>
              <w14:schemeClr w14:val="tx1"/>
            </w14:solidFill>
          </w14:textFill>
        </w:rPr>
        <w:t>人，营业收入为</w:t>
      </w:r>
      <w:r>
        <w:rPr>
          <w:rFonts w:hint="eastAsia" w:ascii="宋体" w:hAnsi="宋体"/>
          <w:color w:val="000000" w:themeColor="text1"/>
          <w:kern w:val="24"/>
          <w:sz w:val="24"/>
          <w:highlight w:val="none"/>
          <w:u w:val="single"/>
          <w14:textFill>
            <w14:solidFill>
              <w14:schemeClr w14:val="tx1"/>
            </w14:solidFill>
          </w14:textFill>
        </w:rPr>
        <w:t xml:space="preserve"> </w:t>
      </w:r>
      <w:r>
        <w:rPr>
          <w:rFonts w:ascii="宋体" w:hAnsi="宋体"/>
          <w:color w:val="000000" w:themeColor="text1"/>
          <w:kern w:val="24"/>
          <w:sz w:val="24"/>
          <w:highlight w:val="none"/>
          <w:u w:val="single"/>
          <w14:textFill>
            <w14:solidFill>
              <w14:schemeClr w14:val="tx1"/>
            </w14:solidFill>
          </w14:textFill>
        </w:rPr>
        <w:t xml:space="preserve">     </w:t>
      </w:r>
      <w:r>
        <w:rPr>
          <w:rFonts w:ascii="宋体" w:hAnsi="宋体"/>
          <w:color w:val="000000" w:themeColor="text1"/>
          <w:kern w:val="24"/>
          <w:sz w:val="24"/>
          <w:highlight w:val="none"/>
          <w14:textFill>
            <w14:solidFill>
              <w14:schemeClr w14:val="tx1"/>
            </w14:solidFill>
          </w14:textFill>
        </w:rPr>
        <w:t>万元，资产总额为</w:t>
      </w:r>
      <w:r>
        <w:rPr>
          <w:rFonts w:hint="eastAsia" w:ascii="宋体" w:hAnsi="宋体"/>
          <w:color w:val="000000" w:themeColor="text1"/>
          <w:kern w:val="24"/>
          <w:sz w:val="24"/>
          <w:highlight w:val="none"/>
          <w:u w:val="single"/>
          <w14:textFill>
            <w14:solidFill>
              <w14:schemeClr w14:val="tx1"/>
            </w14:solidFill>
          </w14:textFill>
        </w:rPr>
        <w:t xml:space="preserve"> </w:t>
      </w:r>
      <w:r>
        <w:rPr>
          <w:rFonts w:ascii="宋体" w:hAnsi="宋体"/>
          <w:color w:val="000000" w:themeColor="text1"/>
          <w:kern w:val="24"/>
          <w:sz w:val="24"/>
          <w:highlight w:val="none"/>
          <w:u w:val="single"/>
          <w14:textFill>
            <w14:solidFill>
              <w14:schemeClr w14:val="tx1"/>
            </w14:solidFill>
          </w14:textFill>
        </w:rPr>
        <w:t xml:space="preserve">     </w:t>
      </w:r>
      <w:r>
        <w:rPr>
          <w:rFonts w:ascii="宋体" w:hAnsi="宋体"/>
          <w:color w:val="000000" w:themeColor="text1"/>
          <w:kern w:val="24"/>
          <w:sz w:val="24"/>
          <w:highlight w:val="none"/>
          <w14:textFill>
            <w14:solidFill>
              <w14:schemeClr w14:val="tx1"/>
            </w14:solidFill>
          </w14:textFill>
        </w:rPr>
        <w:t>万元，属于</w:t>
      </w:r>
      <w:r>
        <w:rPr>
          <w:rFonts w:ascii="宋体" w:hAnsi="宋体"/>
          <w:color w:val="000000" w:themeColor="text1"/>
          <w:kern w:val="24"/>
          <w:sz w:val="24"/>
          <w:highlight w:val="none"/>
          <w:u w:val="single"/>
          <w14:textFill>
            <w14:solidFill>
              <w14:schemeClr w14:val="tx1"/>
            </w14:solidFill>
          </w14:textFill>
        </w:rPr>
        <w:t>（中型企业、小型企业、微型企业）</w:t>
      </w:r>
      <w:r>
        <w:rPr>
          <w:rFonts w:ascii="宋体" w:hAnsi="宋体"/>
          <w:color w:val="000000" w:themeColor="text1"/>
          <w:kern w:val="24"/>
          <w:sz w:val="24"/>
          <w:highlight w:val="none"/>
          <w14:textFill>
            <w14:solidFill>
              <w14:schemeClr w14:val="tx1"/>
            </w14:solidFill>
          </w14:textFill>
        </w:rPr>
        <w:t>；</w:t>
      </w:r>
    </w:p>
    <w:p w14:paraId="0EF94108">
      <w:pPr>
        <w:tabs>
          <w:tab w:val="left" w:pos="1065"/>
          <w:tab w:val="left" w:pos="6477"/>
        </w:tabs>
        <w:spacing w:line="360" w:lineRule="auto"/>
        <w:ind w:left="-426" w:right="-58" w:firstLine="655"/>
        <w:contextualSpacing/>
        <w:rPr>
          <w:rFonts w:ascii="宋体" w:hAnsi="宋体"/>
          <w:color w:val="000000" w:themeColor="text1"/>
          <w:kern w:val="24"/>
          <w:sz w:val="24"/>
          <w:highlight w:val="none"/>
          <w14:textFill>
            <w14:solidFill>
              <w14:schemeClr w14:val="tx1"/>
            </w14:solidFill>
          </w14:textFill>
        </w:rPr>
      </w:pPr>
      <w:r>
        <w:rPr>
          <w:rFonts w:ascii="宋体" w:hAnsi="宋体"/>
          <w:color w:val="000000" w:themeColor="text1"/>
          <w:kern w:val="24"/>
          <w:sz w:val="24"/>
          <w:highlight w:val="none"/>
          <w14:textFill>
            <w14:solidFill>
              <w14:schemeClr w14:val="tx1"/>
            </w14:solidFill>
          </w14:textFill>
        </w:rPr>
        <w:t>2.</w:t>
      </w:r>
      <w:r>
        <w:rPr>
          <w:rFonts w:ascii="宋体" w:hAnsi="宋体"/>
          <w:color w:val="000000" w:themeColor="text1"/>
          <w:kern w:val="24"/>
          <w:sz w:val="24"/>
          <w:highlight w:val="none"/>
          <w:u w:val="single"/>
          <w14:textFill>
            <w14:solidFill>
              <w14:schemeClr w14:val="tx1"/>
            </w14:solidFill>
          </w14:textFill>
        </w:rPr>
        <w:t>（标的名称）</w:t>
      </w:r>
      <w:r>
        <w:rPr>
          <w:rFonts w:ascii="宋体" w:hAnsi="宋体"/>
          <w:color w:val="000000" w:themeColor="text1"/>
          <w:kern w:val="24"/>
          <w:sz w:val="24"/>
          <w:highlight w:val="none"/>
          <w14:textFill>
            <w14:solidFill>
              <w14:schemeClr w14:val="tx1"/>
            </w14:solidFill>
          </w14:textFill>
        </w:rPr>
        <w:t>，属于</w:t>
      </w:r>
      <w:r>
        <w:rPr>
          <w:rFonts w:ascii="宋体" w:hAnsi="宋体"/>
          <w:color w:val="000000" w:themeColor="text1"/>
          <w:kern w:val="24"/>
          <w:sz w:val="24"/>
          <w:highlight w:val="none"/>
          <w:u w:val="single"/>
          <w14:textFill>
            <w14:solidFill>
              <w14:schemeClr w14:val="tx1"/>
            </w14:solidFill>
          </w14:textFill>
        </w:rPr>
        <w:t>（采购文件中明确的所属行业）</w:t>
      </w:r>
      <w:r>
        <w:rPr>
          <w:rFonts w:ascii="宋体" w:hAnsi="宋体"/>
          <w:color w:val="000000" w:themeColor="text1"/>
          <w:kern w:val="24"/>
          <w:sz w:val="24"/>
          <w:highlight w:val="none"/>
          <w14:textFill>
            <w14:solidFill>
              <w14:schemeClr w14:val="tx1"/>
            </w14:solidFill>
          </w14:textFill>
        </w:rPr>
        <w:t>行业；制造商为</w:t>
      </w:r>
      <w:r>
        <w:rPr>
          <w:rFonts w:ascii="宋体" w:hAnsi="宋体"/>
          <w:color w:val="000000" w:themeColor="text1"/>
          <w:kern w:val="24"/>
          <w:sz w:val="24"/>
          <w:highlight w:val="none"/>
          <w:u w:val="single"/>
          <w14:textFill>
            <w14:solidFill>
              <w14:schemeClr w14:val="tx1"/>
            </w14:solidFill>
          </w14:textFill>
        </w:rPr>
        <w:t>（企业名称）</w:t>
      </w:r>
      <w:r>
        <w:rPr>
          <w:rFonts w:ascii="宋体" w:hAnsi="宋体"/>
          <w:color w:val="000000" w:themeColor="text1"/>
          <w:kern w:val="24"/>
          <w:sz w:val="24"/>
          <w:highlight w:val="none"/>
          <w14:textFill>
            <w14:solidFill>
              <w14:schemeClr w14:val="tx1"/>
            </w14:solidFill>
          </w14:textFill>
        </w:rPr>
        <w:t>，从业人员</w:t>
      </w:r>
      <w:r>
        <w:rPr>
          <w:rFonts w:hint="eastAsia" w:ascii="宋体" w:hAnsi="宋体"/>
          <w:color w:val="000000" w:themeColor="text1"/>
          <w:kern w:val="24"/>
          <w:sz w:val="24"/>
          <w:highlight w:val="none"/>
          <w:u w:val="single"/>
          <w14:textFill>
            <w14:solidFill>
              <w14:schemeClr w14:val="tx1"/>
            </w14:solidFill>
          </w14:textFill>
        </w:rPr>
        <w:t xml:space="preserve"> </w:t>
      </w:r>
      <w:r>
        <w:rPr>
          <w:rFonts w:ascii="宋体" w:hAnsi="宋体"/>
          <w:color w:val="000000" w:themeColor="text1"/>
          <w:kern w:val="24"/>
          <w:sz w:val="24"/>
          <w:highlight w:val="none"/>
          <w:u w:val="single"/>
          <w14:textFill>
            <w14:solidFill>
              <w14:schemeClr w14:val="tx1"/>
            </w14:solidFill>
          </w14:textFill>
        </w:rPr>
        <w:t xml:space="preserve">     </w:t>
      </w:r>
      <w:r>
        <w:rPr>
          <w:rFonts w:ascii="宋体" w:hAnsi="宋体"/>
          <w:color w:val="000000" w:themeColor="text1"/>
          <w:kern w:val="24"/>
          <w:sz w:val="24"/>
          <w:highlight w:val="none"/>
          <w14:textFill>
            <w14:solidFill>
              <w14:schemeClr w14:val="tx1"/>
            </w14:solidFill>
          </w14:textFill>
        </w:rPr>
        <w:t>人，营业收入为</w:t>
      </w:r>
      <w:r>
        <w:rPr>
          <w:rFonts w:hint="eastAsia" w:ascii="宋体" w:hAnsi="宋体"/>
          <w:color w:val="000000" w:themeColor="text1"/>
          <w:kern w:val="24"/>
          <w:sz w:val="24"/>
          <w:highlight w:val="none"/>
          <w:u w:val="single"/>
          <w14:textFill>
            <w14:solidFill>
              <w14:schemeClr w14:val="tx1"/>
            </w14:solidFill>
          </w14:textFill>
        </w:rPr>
        <w:t xml:space="preserve"> </w:t>
      </w:r>
      <w:r>
        <w:rPr>
          <w:rFonts w:ascii="宋体" w:hAnsi="宋体"/>
          <w:color w:val="000000" w:themeColor="text1"/>
          <w:kern w:val="24"/>
          <w:sz w:val="24"/>
          <w:highlight w:val="none"/>
          <w:u w:val="single"/>
          <w14:textFill>
            <w14:solidFill>
              <w14:schemeClr w14:val="tx1"/>
            </w14:solidFill>
          </w14:textFill>
        </w:rPr>
        <w:t xml:space="preserve">     </w:t>
      </w:r>
      <w:r>
        <w:rPr>
          <w:rFonts w:ascii="宋体" w:hAnsi="宋体"/>
          <w:color w:val="000000" w:themeColor="text1"/>
          <w:kern w:val="24"/>
          <w:sz w:val="24"/>
          <w:highlight w:val="none"/>
          <w14:textFill>
            <w14:solidFill>
              <w14:schemeClr w14:val="tx1"/>
            </w14:solidFill>
          </w14:textFill>
        </w:rPr>
        <w:t>万元，资产总额为</w:t>
      </w:r>
      <w:r>
        <w:rPr>
          <w:rFonts w:hint="eastAsia" w:ascii="宋体" w:hAnsi="宋体"/>
          <w:color w:val="000000" w:themeColor="text1"/>
          <w:kern w:val="24"/>
          <w:sz w:val="24"/>
          <w:highlight w:val="none"/>
          <w:u w:val="single"/>
          <w14:textFill>
            <w14:solidFill>
              <w14:schemeClr w14:val="tx1"/>
            </w14:solidFill>
          </w14:textFill>
        </w:rPr>
        <w:t xml:space="preserve"> </w:t>
      </w:r>
      <w:r>
        <w:rPr>
          <w:rFonts w:ascii="宋体" w:hAnsi="宋体"/>
          <w:color w:val="000000" w:themeColor="text1"/>
          <w:kern w:val="24"/>
          <w:sz w:val="24"/>
          <w:highlight w:val="none"/>
          <w:u w:val="single"/>
          <w14:textFill>
            <w14:solidFill>
              <w14:schemeClr w14:val="tx1"/>
            </w14:solidFill>
          </w14:textFill>
        </w:rPr>
        <w:t xml:space="preserve">     </w:t>
      </w:r>
      <w:r>
        <w:rPr>
          <w:rFonts w:ascii="宋体" w:hAnsi="宋体"/>
          <w:color w:val="000000" w:themeColor="text1"/>
          <w:kern w:val="24"/>
          <w:sz w:val="24"/>
          <w:highlight w:val="none"/>
          <w14:textFill>
            <w14:solidFill>
              <w14:schemeClr w14:val="tx1"/>
            </w14:solidFill>
          </w14:textFill>
        </w:rPr>
        <w:t>万元，属于</w:t>
      </w:r>
      <w:r>
        <w:rPr>
          <w:rFonts w:ascii="宋体" w:hAnsi="宋体"/>
          <w:color w:val="000000" w:themeColor="text1"/>
          <w:kern w:val="24"/>
          <w:sz w:val="24"/>
          <w:highlight w:val="none"/>
          <w:u w:val="single"/>
          <w14:textFill>
            <w14:solidFill>
              <w14:schemeClr w14:val="tx1"/>
            </w14:solidFill>
          </w14:textFill>
        </w:rPr>
        <w:t>（中型企业、小型企业、微型企业）</w:t>
      </w:r>
      <w:r>
        <w:rPr>
          <w:rFonts w:ascii="宋体" w:hAnsi="宋体"/>
          <w:color w:val="000000" w:themeColor="text1"/>
          <w:kern w:val="24"/>
          <w:sz w:val="24"/>
          <w:highlight w:val="none"/>
          <w14:textFill>
            <w14:solidFill>
              <w14:schemeClr w14:val="tx1"/>
            </w14:solidFill>
          </w14:textFill>
        </w:rPr>
        <w:t>；</w:t>
      </w:r>
    </w:p>
    <w:p w14:paraId="29E24C00">
      <w:pPr>
        <w:pStyle w:val="21"/>
        <w:spacing w:line="360" w:lineRule="auto"/>
        <w:ind w:left="142" w:right="142"/>
        <w:contextualSpacing/>
        <w:rPr>
          <w:rFonts w:ascii="宋体" w:hAnsi="宋体"/>
          <w:color w:val="000000" w:themeColor="text1"/>
          <w:kern w:val="24"/>
          <w:highlight w:val="none"/>
          <w14:textFill>
            <w14:solidFill>
              <w14:schemeClr w14:val="tx1"/>
            </w14:solidFill>
          </w14:textFill>
        </w:rPr>
      </w:pPr>
      <w:r>
        <w:rPr>
          <w:rFonts w:ascii="宋体" w:hAnsi="宋体"/>
          <w:color w:val="000000" w:themeColor="text1"/>
          <w:kern w:val="24"/>
          <w:highlight w:val="none"/>
          <w14:textFill>
            <w14:solidFill>
              <w14:schemeClr w14:val="tx1"/>
            </w14:solidFill>
          </w14:textFill>
        </w:rPr>
        <w:t xml:space="preserve">…… </w:t>
      </w:r>
    </w:p>
    <w:p w14:paraId="4F9B9ECC">
      <w:pPr>
        <w:pStyle w:val="21"/>
        <w:spacing w:line="360" w:lineRule="auto"/>
        <w:ind w:left="-405" w:leftChars="-193" w:right="142" w:firstLine="453" w:firstLineChars="189"/>
        <w:contextualSpacing/>
        <w:rPr>
          <w:rFonts w:ascii="宋体" w:hAnsi="宋体"/>
          <w:color w:val="000000" w:themeColor="text1"/>
          <w:kern w:val="24"/>
          <w:highlight w:val="none"/>
          <w14:textFill>
            <w14:solidFill>
              <w14:schemeClr w14:val="tx1"/>
            </w14:solidFill>
          </w14:textFill>
        </w:rPr>
      </w:pPr>
      <w:r>
        <w:rPr>
          <w:rFonts w:ascii="宋体" w:hAnsi="宋体"/>
          <w:color w:val="000000" w:themeColor="text1"/>
          <w:kern w:val="24"/>
          <w:highlight w:val="none"/>
          <w14:textFill>
            <w14:solidFill>
              <w14:schemeClr w14:val="tx1"/>
            </w14:solidFill>
          </w14:textFill>
        </w:rPr>
        <w:t>以上企业，不属于大企业的分支机构，不存在控股股东为大企业的情形，也不存在与大企业的负责人为同一人的情形。</w:t>
      </w:r>
    </w:p>
    <w:p w14:paraId="12EDB369">
      <w:pPr>
        <w:pStyle w:val="21"/>
        <w:spacing w:line="360" w:lineRule="auto"/>
        <w:ind w:left="-426" w:right="142" w:firstLine="567"/>
        <w:contextualSpacing/>
        <w:rPr>
          <w:rFonts w:ascii="宋体" w:hAnsi="宋体"/>
          <w:color w:val="000000" w:themeColor="text1"/>
          <w:kern w:val="24"/>
          <w:highlight w:val="none"/>
          <w14:textFill>
            <w14:solidFill>
              <w14:schemeClr w14:val="tx1"/>
            </w14:solidFill>
          </w14:textFill>
        </w:rPr>
      </w:pPr>
      <w:r>
        <w:rPr>
          <w:rFonts w:ascii="宋体" w:hAnsi="宋体"/>
          <w:color w:val="000000" w:themeColor="text1"/>
          <w:kern w:val="24"/>
          <w:highlight w:val="none"/>
          <w14:textFill>
            <w14:solidFill>
              <w14:schemeClr w14:val="tx1"/>
            </w14:solidFill>
          </w14:textFill>
        </w:rPr>
        <w:t>本企业对上述声明内容的真实性负责。如有虚假，将依法承担相应责任。</w:t>
      </w:r>
    </w:p>
    <w:p w14:paraId="59D30A54">
      <w:pPr>
        <w:pStyle w:val="21"/>
        <w:spacing w:line="360" w:lineRule="auto"/>
        <w:ind w:left="3960" w:right="1808"/>
        <w:contextualSpacing/>
        <w:rPr>
          <w:rFonts w:hint="eastAsia" w:ascii="宋体" w:hAnsi="宋体"/>
          <w:color w:val="000000" w:themeColor="text1"/>
          <w:kern w:val="24"/>
          <w:highlight w:val="none"/>
          <w14:textFill>
            <w14:solidFill>
              <w14:schemeClr w14:val="tx1"/>
            </w14:solidFill>
          </w14:textFill>
        </w:rPr>
      </w:pPr>
    </w:p>
    <w:p w14:paraId="240221E1">
      <w:pPr>
        <w:pStyle w:val="21"/>
        <w:spacing w:line="360" w:lineRule="auto"/>
        <w:ind w:left="3960" w:right="1808"/>
        <w:contextualSpacing/>
        <w:rPr>
          <w:rFonts w:ascii="宋体" w:hAnsi="宋体"/>
          <w:color w:val="000000" w:themeColor="text1"/>
          <w:kern w:val="24"/>
          <w:highlight w:val="none"/>
          <w14:textFill>
            <w14:solidFill>
              <w14:schemeClr w14:val="tx1"/>
            </w14:solidFill>
          </w14:textFill>
        </w:rPr>
      </w:pPr>
      <w:r>
        <w:rPr>
          <w:rFonts w:ascii="宋体" w:hAnsi="宋体"/>
          <w:color w:val="000000" w:themeColor="text1"/>
          <w:kern w:val="24"/>
          <w:highlight w:val="none"/>
          <w14:textFill>
            <w14:solidFill>
              <w14:schemeClr w14:val="tx1"/>
            </w14:solidFill>
          </w14:textFill>
        </w:rPr>
        <w:t>企业名称（</w:t>
      </w:r>
      <w:r>
        <w:rPr>
          <w:rFonts w:hint="eastAsia" w:ascii="宋体" w:hAnsi="宋体"/>
          <w:color w:val="000000" w:themeColor="text1"/>
          <w:kern w:val="24"/>
          <w:highlight w:val="none"/>
          <w14:textFill>
            <w14:solidFill>
              <w14:schemeClr w14:val="tx1"/>
            </w14:solidFill>
          </w14:textFill>
        </w:rPr>
        <w:t>电子签章</w:t>
      </w:r>
      <w:r>
        <w:rPr>
          <w:rFonts w:ascii="宋体" w:hAnsi="宋体"/>
          <w:color w:val="000000" w:themeColor="text1"/>
          <w:kern w:val="24"/>
          <w:highlight w:val="none"/>
          <w14:textFill>
            <w14:solidFill>
              <w14:schemeClr w14:val="tx1"/>
            </w14:solidFill>
          </w14:textFill>
        </w:rPr>
        <w:t xml:space="preserve">）： </w:t>
      </w:r>
    </w:p>
    <w:p w14:paraId="4C10D8A2">
      <w:pPr>
        <w:pStyle w:val="21"/>
        <w:spacing w:line="360" w:lineRule="auto"/>
        <w:ind w:left="3960" w:right="1808"/>
        <w:contextualSpacing/>
        <w:rPr>
          <w:rFonts w:ascii="宋体" w:hAnsi="宋体"/>
          <w:color w:val="000000" w:themeColor="text1"/>
          <w:kern w:val="24"/>
          <w:highlight w:val="none"/>
          <w14:textFill>
            <w14:solidFill>
              <w14:schemeClr w14:val="tx1"/>
            </w14:solidFill>
          </w14:textFill>
        </w:rPr>
      </w:pPr>
      <w:r>
        <w:rPr>
          <w:rFonts w:ascii="宋体" w:hAnsi="宋体"/>
          <w:color w:val="000000" w:themeColor="text1"/>
          <w:kern w:val="24"/>
          <w:highlight w:val="none"/>
          <w14:textFill>
            <w14:solidFill>
              <w14:schemeClr w14:val="tx1"/>
            </w14:solidFill>
          </w14:textFill>
        </w:rPr>
        <w:t>日</w:t>
      </w:r>
      <w:r>
        <w:rPr>
          <w:rFonts w:hint="eastAsia" w:ascii="宋体" w:hAnsi="宋体"/>
          <w:color w:val="000000" w:themeColor="text1"/>
          <w:kern w:val="24"/>
          <w:highlight w:val="none"/>
          <w14:textFill>
            <w14:solidFill>
              <w14:schemeClr w14:val="tx1"/>
            </w14:solidFill>
          </w14:textFill>
        </w:rPr>
        <w:t xml:space="preserve"> </w:t>
      </w:r>
      <w:r>
        <w:rPr>
          <w:rFonts w:ascii="宋体" w:hAnsi="宋体"/>
          <w:color w:val="000000" w:themeColor="text1"/>
          <w:kern w:val="24"/>
          <w:highlight w:val="none"/>
          <w14:textFill>
            <w14:solidFill>
              <w14:schemeClr w14:val="tx1"/>
            </w14:solidFill>
          </w14:textFill>
        </w:rPr>
        <w:t>期：</w:t>
      </w:r>
    </w:p>
    <w:p w14:paraId="71B8FE46">
      <w:pPr>
        <w:pStyle w:val="21"/>
        <w:spacing w:line="360" w:lineRule="auto"/>
        <w:ind w:left="3960" w:right="1808"/>
        <w:contextualSpacing/>
        <w:rPr>
          <w:rFonts w:ascii="宋体" w:hAnsi="宋体"/>
          <w:color w:val="000000" w:themeColor="text1"/>
          <w:kern w:val="24"/>
          <w:highlight w:val="none"/>
          <w14:textFill>
            <w14:solidFill>
              <w14:schemeClr w14:val="tx1"/>
            </w14:solidFill>
          </w14:textFill>
        </w:rPr>
      </w:pPr>
    </w:p>
    <w:p w14:paraId="6B7DABED">
      <w:pPr>
        <w:pStyle w:val="21"/>
        <w:spacing w:line="360" w:lineRule="auto"/>
        <w:ind w:left="3960" w:right="1808"/>
        <w:contextualSpacing/>
        <w:rPr>
          <w:rFonts w:ascii="宋体" w:hAnsi="宋体"/>
          <w:color w:val="000000" w:themeColor="text1"/>
          <w:kern w:val="24"/>
          <w:highlight w:val="none"/>
          <w14:textFill>
            <w14:solidFill>
              <w14:schemeClr w14:val="tx1"/>
            </w14:solidFill>
          </w14:textFill>
        </w:rPr>
      </w:pPr>
    </w:p>
    <w:p w14:paraId="03F658BF">
      <w:pPr>
        <w:pStyle w:val="21"/>
        <w:spacing w:line="360" w:lineRule="auto"/>
        <w:ind w:left="-426" w:right="142" w:firstLine="567"/>
        <w:contextualSpacing/>
        <w:rPr>
          <w:rFonts w:hint="eastAsia" w:ascii="宋体" w:hAnsi="宋体"/>
          <w:color w:val="000000" w:themeColor="text1"/>
          <w:kern w:val="24"/>
          <w:highlight w:val="none"/>
          <w14:textFill>
            <w14:solidFill>
              <w14:schemeClr w14:val="tx1"/>
            </w14:solidFill>
          </w14:textFill>
        </w:rPr>
      </w:pPr>
      <w:r>
        <w:rPr>
          <w:rFonts w:hint="eastAsia" w:ascii="宋体" w:hAnsi="宋体"/>
          <w:color w:val="000000" w:themeColor="text1"/>
          <w:kern w:val="24"/>
          <w:highlight w:val="none"/>
          <w14:textFill>
            <w14:solidFill>
              <w14:schemeClr w14:val="tx1"/>
            </w14:solidFill>
          </w14:textFill>
        </w:rPr>
        <w:t>注：享受《政府采购促进中小企业发展管理办法》（财库〔2020〕46号）规定的中小企业扶持政策的，采购人、采购代理机构应当随中标结果公开中标人的《中小企业声明函》。从业人员、营业收入、资产总额填报上一年度数据，无上一年度数据的新成立企业可不填报。</w:t>
      </w:r>
    </w:p>
    <w:p w14:paraId="10AD7295">
      <w:pPr>
        <w:snapToGrid w:val="0"/>
        <w:spacing w:before="120" w:beforeLines="50" w:after="50"/>
        <w:ind w:left="142"/>
        <w:jc w:val="left"/>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2.残疾人福利性单位声明函格式</w:t>
      </w:r>
    </w:p>
    <w:p w14:paraId="23FF7260">
      <w:pPr>
        <w:spacing w:line="588" w:lineRule="exact"/>
        <w:jc w:val="center"/>
        <w:rPr>
          <w:rFonts w:hint="eastAsia" w:ascii="仿宋_GB2312" w:eastAsia="仿宋_GB2312"/>
          <w:b/>
          <w:color w:val="000000" w:themeColor="text1"/>
          <w:spacing w:val="6"/>
          <w:sz w:val="32"/>
          <w:szCs w:val="32"/>
          <w:highlight w:val="none"/>
          <w14:textFill>
            <w14:solidFill>
              <w14:schemeClr w14:val="tx1"/>
            </w14:solidFill>
          </w14:textFill>
        </w:rPr>
      </w:pPr>
    </w:p>
    <w:p w14:paraId="394BF186">
      <w:pPr>
        <w:spacing w:line="588" w:lineRule="exact"/>
        <w:jc w:val="center"/>
        <w:rPr>
          <w:rFonts w:hint="eastAsia" w:ascii="方正小标宋简体" w:hAnsi="方正小标宋简体" w:eastAsia="方正小标宋简体" w:cs="方正小标宋简体"/>
          <w:bCs/>
          <w:color w:val="000000" w:themeColor="text1"/>
          <w:spacing w:val="6"/>
          <w:sz w:val="44"/>
          <w:szCs w:val="44"/>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pacing w:val="6"/>
          <w:sz w:val="44"/>
          <w:szCs w:val="44"/>
          <w:highlight w:val="none"/>
          <w14:textFill>
            <w14:solidFill>
              <w14:schemeClr w14:val="tx1"/>
            </w14:solidFill>
          </w14:textFill>
        </w:rPr>
        <w:t>残疾人福利性单位声明函</w:t>
      </w:r>
    </w:p>
    <w:p w14:paraId="6D80672F">
      <w:pPr>
        <w:spacing w:line="360" w:lineRule="auto"/>
        <w:contextualSpacing/>
        <w:rPr>
          <w:rFonts w:ascii="仿宋_GB2312" w:eastAsia="仿宋_GB2312"/>
          <w:bCs/>
          <w:color w:val="000000" w:themeColor="text1"/>
          <w:spacing w:val="6"/>
          <w:sz w:val="30"/>
          <w:szCs w:val="30"/>
          <w:highlight w:val="none"/>
          <w14:textFill>
            <w14:solidFill>
              <w14:schemeClr w14:val="tx1"/>
            </w14:solidFill>
          </w14:textFill>
        </w:rPr>
      </w:pPr>
    </w:p>
    <w:p w14:paraId="07FD713E">
      <w:pPr>
        <w:spacing w:line="360" w:lineRule="auto"/>
        <w:ind w:firstLine="504" w:firstLineChars="200"/>
        <w:contextualSpacing/>
        <w:rPr>
          <w:rFonts w:ascii="宋体" w:hAnsi="宋体"/>
          <w:color w:val="000000" w:themeColor="text1"/>
          <w:spacing w:val="6"/>
          <w:sz w:val="24"/>
          <w:highlight w:val="none"/>
          <w14:textFill>
            <w14:solidFill>
              <w14:schemeClr w14:val="tx1"/>
            </w14:solidFill>
          </w14:textFill>
        </w:rPr>
      </w:pPr>
      <w:r>
        <w:rPr>
          <w:rFonts w:hint="eastAsia" w:ascii="宋体" w:hAnsi="宋体"/>
          <w:color w:val="000000" w:themeColor="text1"/>
          <w:spacing w:val="6"/>
          <w:sz w:val="24"/>
          <w:highlight w:val="none"/>
          <w14:textFill>
            <w14:solidFill>
              <w14:schemeClr w14:val="tx1"/>
            </w14:solidFill>
          </w14:textFill>
        </w:rPr>
        <w:t>本单位郑重声明，根据《财政部 民政部 中国残疾人联合会关于促进残疾人就业政府采购政策的通知》（财库</w:t>
      </w:r>
      <w:r>
        <w:rPr>
          <w:rFonts w:hint="eastAsia" w:ascii="宋体" w:hAnsi="宋体"/>
          <w:color w:val="000000" w:themeColor="text1"/>
          <w:sz w:val="24"/>
          <w:highlight w:val="none"/>
          <w14:textFill>
            <w14:solidFill>
              <w14:schemeClr w14:val="tx1"/>
            </w14:solidFill>
          </w14:textFill>
        </w:rPr>
        <w:t>〔2017〕 141</w:t>
      </w:r>
      <w:r>
        <w:rPr>
          <w:rFonts w:hint="eastAsia" w:ascii="宋体" w:hAnsi="宋体"/>
          <w:color w:val="000000" w:themeColor="text1"/>
          <w:spacing w:val="6"/>
          <w:sz w:val="24"/>
          <w:highlight w:val="none"/>
          <w14:textFill>
            <w14:solidFill>
              <w14:schemeClr w14:val="tx1"/>
            </w14:solidFill>
          </w14:textFill>
        </w:rPr>
        <w:t>号）的规定，本单位为符合条件的残疾人福利性单位，且本单位参加______单位的______项目采购活动提供本单位制造的货物（由本单位承担工程/提供服务），或者提供其他残</w:t>
      </w:r>
      <w:r>
        <w:rPr>
          <w:rFonts w:hint="eastAsia" w:ascii="宋体" w:hAnsi="宋体"/>
          <w:color w:val="000000" w:themeColor="text1"/>
          <w:spacing w:val="-6"/>
          <w:sz w:val="24"/>
          <w:highlight w:val="none"/>
          <w14:textFill>
            <w14:solidFill>
              <w14:schemeClr w14:val="tx1"/>
            </w14:solidFill>
          </w14:textFill>
        </w:rPr>
        <w:t>疾人福利性单位制造的货物（不包括使用非残疾人福利性单位注册商标的货物）。</w:t>
      </w:r>
    </w:p>
    <w:p w14:paraId="6D979835">
      <w:pPr>
        <w:spacing w:line="360" w:lineRule="auto"/>
        <w:ind w:firstLine="504" w:firstLineChars="200"/>
        <w:contextualSpacing/>
        <w:rPr>
          <w:rFonts w:ascii="宋体" w:hAnsi="宋体"/>
          <w:color w:val="000000" w:themeColor="text1"/>
          <w:spacing w:val="6"/>
          <w:sz w:val="24"/>
          <w:highlight w:val="none"/>
          <w14:textFill>
            <w14:solidFill>
              <w14:schemeClr w14:val="tx1"/>
            </w14:solidFill>
          </w14:textFill>
        </w:rPr>
      </w:pPr>
      <w:r>
        <w:rPr>
          <w:rFonts w:hint="eastAsia" w:ascii="宋体" w:hAnsi="宋体"/>
          <w:color w:val="000000" w:themeColor="text1"/>
          <w:spacing w:val="6"/>
          <w:sz w:val="24"/>
          <w:highlight w:val="none"/>
          <w14:textFill>
            <w14:solidFill>
              <w14:schemeClr w14:val="tx1"/>
            </w14:solidFill>
          </w14:textFill>
        </w:rPr>
        <w:t>本单位对上述声明的真实性负责。如有虚假，将依法承担相应责任。</w:t>
      </w:r>
    </w:p>
    <w:p w14:paraId="648AFE88">
      <w:pPr>
        <w:spacing w:line="360" w:lineRule="auto"/>
        <w:ind w:firstLine="504" w:firstLineChars="200"/>
        <w:contextualSpacing/>
        <w:rPr>
          <w:rFonts w:ascii="宋体" w:hAnsi="宋体"/>
          <w:color w:val="000000" w:themeColor="text1"/>
          <w:spacing w:val="6"/>
          <w:sz w:val="24"/>
          <w:highlight w:val="none"/>
          <w14:textFill>
            <w14:solidFill>
              <w14:schemeClr w14:val="tx1"/>
            </w14:solidFill>
          </w14:textFill>
        </w:rPr>
      </w:pPr>
    </w:p>
    <w:p w14:paraId="0E203743">
      <w:pPr>
        <w:spacing w:line="360" w:lineRule="auto"/>
        <w:ind w:firstLine="504" w:firstLineChars="200"/>
        <w:contextualSpacing/>
        <w:rPr>
          <w:rFonts w:ascii="宋体" w:hAnsi="宋体"/>
          <w:color w:val="000000" w:themeColor="text1"/>
          <w:spacing w:val="6"/>
          <w:sz w:val="24"/>
          <w:highlight w:val="none"/>
          <w14:textFill>
            <w14:solidFill>
              <w14:schemeClr w14:val="tx1"/>
            </w14:solidFill>
          </w14:textFill>
        </w:rPr>
      </w:pPr>
    </w:p>
    <w:p w14:paraId="3E0C4592">
      <w:pPr>
        <w:tabs>
          <w:tab w:val="left" w:pos="4860"/>
        </w:tabs>
        <w:spacing w:line="360" w:lineRule="auto"/>
        <w:ind w:right="1560" w:firstLine="504" w:firstLineChars="200"/>
        <w:contextualSpacing/>
        <w:jc w:val="center"/>
        <w:rPr>
          <w:rFonts w:ascii="宋体" w:hAnsi="宋体"/>
          <w:color w:val="000000" w:themeColor="text1"/>
          <w:spacing w:val="6"/>
          <w:sz w:val="24"/>
          <w:highlight w:val="none"/>
          <w14:textFill>
            <w14:solidFill>
              <w14:schemeClr w14:val="tx1"/>
            </w14:solidFill>
          </w14:textFill>
        </w:rPr>
      </w:pPr>
      <w:r>
        <w:rPr>
          <w:rFonts w:hint="eastAsia" w:ascii="宋体" w:hAnsi="宋体"/>
          <w:color w:val="000000" w:themeColor="text1"/>
          <w:spacing w:val="6"/>
          <w:sz w:val="24"/>
          <w:highlight w:val="none"/>
          <w14:textFill>
            <w14:solidFill>
              <w14:schemeClr w14:val="tx1"/>
            </w14:solidFill>
          </w14:textFill>
        </w:rPr>
        <w:t>单位名称（电子签章）：</w:t>
      </w:r>
    </w:p>
    <w:p w14:paraId="6B1BE94D">
      <w:pPr>
        <w:tabs>
          <w:tab w:val="left" w:pos="4860"/>
        </w:tabs>
        <w:spacing w:line="360" w:lineRule="auto"/>
        <w:ind w:right="1560" w:firstLine="504" w:firstLineChars="200"/>
        <w:contextualSpacing/>
        <w:jc w:val="center"/>
        <w:rPr>
          <w:rFonts w:ascii="宋体" w:hAnsi="宋体"/>
          <w:color w:val="000000" w:themeColor="text1"/>
          <w:spacing w:val="6"/>
          <w:sz w:val="24"/>
          <w:highlight w:val="none"/>
          <w14:textFill>
            <w14:solidFill>
              <w14:schemeClr w14:val="tx1"/>
            </w14:solidFill>
          </w14:textFill>
        </w:rPr>
      </w:pPr>
      <w:r>
        <w:rPr>
          <w:rFonts w:hint="eastAsia" w:ascii="宋体" w:hAnsi="宋体"/>
          <w:color w:val="000000" w:themeColor="text1"/>
          <w:spacing w:val="6"/>
          <w:sz w:val="24"/>
          <w:highlight w:val="none"/>
          <w14:textFill>
            <w14:solidFill>
              <w14:schemeClr w14:val="tx1"/>
            </w14:solidFill>
          </w14:textFill>
        </w:rPr>
        <w:t>日  期：</w:t>
      </w:r>
    </w:p>
    <w:p w14:paraId="4D01434C">
      <w:pPr>
        <w:spacing w:line="360" w:lineRule="auto"/>
        <w:contextualSpacing/>
        <w:rPr>
          <w:rFonts w:ascii="宋体" w:hAnsi="宋体"/>
          <w:color w:val="000000" w:themeColor="text1"/>
          <w:sz w:val="24"/>
          <w:highlight w:val="none"/>
          <w14:textFill>
            <w14:solidFill>
              <w14:schemeClr w14:val="tx1"/>
            </w14:solidFill>
          </w14:textFill>
        </w:rPr>
      </w:pPr>
    </w:p>
    <w:p w14:paraId="5C8B4624">
      <w:pPr>
        <w:spacing w:line="360" w:lineRule="auto"/>
        <w:contextualSpacing/>
        <w:rPr>
          <w:rFonts w:hint="eastAsia" w:ascii="宋体" w:hAnsi="宋体"/>
          <w:color w:val="000000" w:themeColor="text1"/>
          <w:sz w:val="24"/>
          <w:highlight w:val="none"/>
          <w14:textFill>
            <w14:solidFill>
              <w14:schemeClr w14:val="tx1"/>
            </w14:solidFill>
          </w14:textFill>
        </w:rPr>
      </w:pPr>
    </w:p>
    <w:p w14:paraId="196D7DBE">
      <w:pPr>
        <w:spacing w:line="360" w:lineRule="auto"/>
        <w:contextualSpacing/>
        <w:rPr>
          <w:rFonts w:ascii="宋体" w:hAnsi="宋体"/>
          <w:color w:val="000000" w:themeColor="text1"/>
          <w:sz w:val="24"/>
          <w:highlight w:val="none"/>
          <w14:textFill>
            <w14:solidFill>
              <w14:schemeClr w14:val="tx1"/>
            </w14:solidFill>
          </w14:textFill>
        </w:rPr>
      </w:pPr>
    </w:p>
    <w:p w14:paraId="078B21D6">
      <w:pPr>
        <w:spacing w:line="360" w:lineRule="auto"/>
        <w:contextualSpacing/>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注：请根据自己的真实情况出具《残疾人福利性单位声明函》。依法享受中小企业优惠政策的，采购人或者采购代理机构在公告中标结果时，同时公告其《残疾人福利性单位声明函》，接受社会监督。</w:t>
      </w:r>
    </w:p>
    <w:p w14:paraId="46C2F240">
      <w:pP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p>
    <w:p w14:paraId="09FD6A3B">
      <w:pPr>
        <w:pStyle w:val="21"/>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lang w:val="en-US" w:eastAsia="zh-CN"/>
          <w14:textFill>
            <w14:solidFill>
              <w14:schemeClr w14:val="tx1"/>
            </w14:solidFill>
          </w14:textFill>
        </w:rPr>
        <w:t>3</w:t>
      </w:r>
      <w:r>
        <w:rPr>
          <w:rFonts w:hint="eastAsia" w:ascii="宋体" w:hAnsi="宋体"/>
          <w:b/>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 xml:space="preserve"> </w:t>
      </w:r>
      <w:r>
        <w:rPr>
          <w:rFonts w:hint="eastAsia" w:ascii="宋体" w:hAnsi="宋体"/>
          <w:b/>
          <w:color w:val="000000" w:themeColor="text1"/>
          <w:highlight w:val="none"/>
          <w14:textFill>
            <w14:solidFill>
              <w14:schemeClr w14:val="tx1"/>
            </w14:solidFill>
          </w14:textFill>
        </w:rPr>
        <w:t>关于符合本国产品标准的声明函格式</w:t>
      </w:r>
    </w:p>
    <w:p w14:paraId="6288D662">
      <w:pPr>
        <w:pStyle w:val="21"/>
        <w:rPr>
          <w:color w:val="000000" w:themeColor="text1"/>
          <w:highlight w:val="none"/>
          <w14:textFill>
            <w14:solidFill>
              <w14:schemeClr w14:val="tx1"/>
            </w14:solidFill>
          </w14:textFill>
        </w:rPr>
      </w:pPr>
    </w:p>
    <w:p w14:paraId="1B9D31F4">
      <w:pPr>
        <w:widowControl/>
        <w:shd w:val="clear" w:color="auto" w:fill="FFFFFF"/>
        <w:jc w:val="center"/>
        <w:rPr>
          <w:rFonts w:ascii="宋体" w:hAnsi="宋体" w:cs="宋体"/>
          <w:color w:val="000000" w:themeColor="text1"/>
          <w:kern w:val="0"/>
          <w:sz w:val="36"/>
          <w:szCs w:val="36"/>
          <w:highlight w:val="none"/>
          <w14:textFill>
            <w14:solidFill>
              <w14:schemeClr w14:val="tx1"/>
            </w14:solidFill>
          </w14:textFill>
        </w:rPr>
      </w:pPr>
      <w:r>
        <w:rPr>
          <w:rFonts w:hint="eastAsia" w:ascii="宋体" w:hAnsi="宋体" w:cs="宋体"/>
          <w:b/>
          <w:bCs/>
          <w:color w:val="000000" w:themeColor="text1"/>
          <w:kern w:val="0"/>
          <w:sz w:val="36"/>
          <w:szCs w:val="36"/>
          <w:highlight w:val="none"/>
          <w14:textFill>
            <w14:solidFill>
              <w14:schemeClr w14:val="tx1"/>
            </w14:solidFill>
          </w14:textFill>
        </w:rPr>
        <w:t>关于符合本国产品标准的声明函</w:t>
      </w:r>
    </w:p>
    <w:p w14:paraId="1F539F31">
      <w:pPr>
        <w:widowControl/>
        <w:shd w:val="clear" w:color="auto" w:fill="FFFFFF"/>
        <w:spacing w:before="30" w:after="30"/>
        <w:ind w:firstLine="48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p w14:paraId="5017F8A2">
      <w:pPr>
        <w:widowControl/>
        <w:shd w:val="clear" w:color="auto" w:fill="FFFFFF"/>
        <w:spacing w:before="30" w:after="30"/>
        <w:ind w:firstLine="48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本公司（单位）郑重声明，根据《国务院办公厅关于在政府采购中实施本国产品标准及相关政策的通知》（国办发〔2025〕34号）的规定，本公司（单位）提供的以下产品属于本国产品。具体情况如下：</w:t>
      </w:r>
    </w:p>
    <w:p w14:paraId="2DEBF39E">
      <w:pPr>
        <w:widowControl/>
        <w:shd w:val="clear" w:color="auto" w:fill="FFFFFF"/>
        <w:ind w:firstLine="48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r>
        <w:rPr>
          <w:rFonts w:hint="eastAsia" w:ascii="宋体" w:hAnsi="宋体" w:cs="宋体"/>
          <w:i/>
          <w:iCs/>
          <w:color w:val="000000" w:themeColor="text1"/>
          <w:kern w:val="0"/>
          <w:sz w:val="24"/>
          <w:highlight w:val="none"/>
          <w14:textFill>
            <w14:solidFill>
              <w14:schemeClr w14:val="tx1"/>
            </w14:solidFill>
          </w14:textFill>
        </w:rPr>
        <w:t>（产品名称1）</w:t>
      </w:r>
      <w:r>
        <w:rPr>
          <w:rFonts w:hint="eastAsia" w:ascii="宋体" w:hAnsi="宋体" w:cs="宋体"/>
          <w:i/>
          <w:iCs/>
          <w:color w:val="000000" w:themeColor="text1"/>
          <w:kern w:val="0"/>
          <w:sz w:val="18"/>
          <w:szCs w:val="18"/>
          <w:highlight w:val="none"/>
          <w:vertAlign w:val="superscript"/>
          <w14:textFill>
            <w14:solidFill>
              <w14:schemeClr w14:val="tx1"/>
            </w14:solidFill>
          </w14:textFill>
        </w:rPr>
        <w:t>1</w:t>
      </w:r>
      <w:r>
        <w:rPr>
          <w:rFonts w:hint="eastAsia" w:ascii="宋体" w:hAnsi="宋体" w:cs="宋体"/>
          <w:color w:val="000000" w:themeColor="text1"/>
          <w:kern w:val="0"/>
          <w:sz w:val="24"/>
          <w:highlight w:val="none"/>
          <w14:textFill>
            <w14:solidFill>
              <w14:schemeClr w14:val="tx1"/>
            </w14:solidFill>
          </w14:textFill>
        </w:rPr>
        <w:t>，生产厂为</w:t>
      </w:r>
      <w:r>
        <w:rPr>
          <w:rFonts w:hint="eastAsia" w:ascii="宋体" w:hAnsi="宋体" w:cs="宋体"/>
          <w:i/>
          <w:iCs/>
          <w:color w:val="000000" w:themeColor="text1"/>
          <w:kern w:val="0"/>
          <w:sz w:val="24"/>
          <w:highlight w:val="none"/>
          <w14:textFill>
            <w14:solidFill>
              <w14:schemeClr w14:val="tx1"/>
            </w14:solidFill>
          </w14:textFill>
        </w:rPr>
        <w:t>（厂名）</w:t>
      </w:r>
      <w:r>
        <w:rPr>
          <w:rFonts w:hint="eastAsia" w:ascii="宋体" w:hAnsi="宋体" w:cs="宋体"/>
          <w:i/>
          <w:iCs/>
          <w:color w:val="000000" w:themeColor="text1"/>
          <w:kern w:val="0"/>
          <w:sz w:val="18"/>
          <w:szCs w:val="18"/>
          <w:highlight w:val="none"/>
          <w:vertAlign w:val="superscript"/>
          <w14:textFill>
            <w14:solidFill>
              <w14:schemeClr w14:val="tx1"/>
            </w14:solidFill>
          </w14:textFill>
        </w:rPr>
        <w:t>2</w:t>
      </w:r>
      <w:r>
        <w:rPr>
          <w:rFonts w:hint="eastAsia" w:ascii="宋体" w:hAnsi="宋体" w:cs="宋体"/>
          <w:color w:val="000000" w:themeColor="text1"/>
          <w:kern w:val="0"/>
          <w:sz w:val="24"/>
          <w:highlight w:val="none"/>
          <w14:textFill>
            <w14:solidFill>
              <w14:schemeClr w14:val="tx1"/>
            </w14:solidFill>
          </w14:textFill>
        </w:rPr>
        <w:t>，厂址为</w:t>
      </w:r>
      <w:r>
        <w:rPr>
          <w:rFonts w:hint="eastAsia" w:ascii="宋体" w:hAnsi="宋体" w:cs="宋体"/>
          <w:i/>
          <w:iCs/>
          <w:color w:val="000000" w:themeColor="text1"/>
          <w:kern w:val="0"/>
          <w:sz w:val="24"/>
          <w:highlight w:val="none"/>
          <w14:textFill>
            <w14:solidFill>
              <w14:schemeClr w14:val="tx1"/>
            </w14:solidFill>
          </w14:textFill>
        </w:rPr>
        <w:t>（生产厂址）</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i/>
          <w:iCs/>
          <w:color w:val="000000" w:themeColor="text1"/>
          <w:kern w:val="0"/>
          <w:sz w:val="24"/>
          <w:highlight w:val="none"/>
          <w14:textFill>
            <w14:solidFill>
              <w14:schemeClr w14:val="tx1"/>
            </w14:solidFill>
          </w14:textFill>
        </w:rPr>
        <w:t>（产品名称1）</w:t>
      </w:r>
      <w:r>
        <w:rPr>
          <w:rFonts w:hint="eastAsia" w:ascii="宋体" w:hAnsi="宋体" w:cs="宋体"/>
          <w:color w:val="000000" w:themeColor="text1"/>
          <w:kern w:val="0"/>
          <w:sz w:val="24"/>
          <w:highlight w:val="none"/>
          <w14:textFill>
            <w14:solidFill>
              <w14:schemeClr w14:val="tx1"/>
            </w14:solidFill>
          </w14:textFill>
        </w:rPr>
        <w:t>的中国境内生产的组件成本占比≥</w:t>
      </w:r>
      <w:r>
        <w:rPr>
          <w:rFonts w:hint="eastAsia" w:ascii="宋体" w:hAnsi="宋体" w:cs="宋体"/>
          <w:i/>
          <w:iCs/>
          <w:color w:val="000000" w:themeColor="text1"/>
          <w:kern w:val="0"/>
          <w:sz w:val="24"/>
          <w:highlight w:val="none"/>
          <w14:textFill>
            <w14:solidFill>
              <w14:schemeClr w14:val="tx1"/>
            </w14:solidFill>
          </w14:textFill>
        </w:rPr>
        <w:t>（规定比例）</w:t>
      </w:r>
      <w:r>
        <w:rPr>
          <w:rFonts w:hint="eastAsia" w:ascii="宋体" w:hAnsi="宋体" w:cs="宋体"/>
          <w:i/>
          <w:iCs/>
          <w:color w:val="000000" w:themeColor="text1"/>
          <w:kern w:val="0"/>
          <w:sz w:val="18"/>
          <w:szCs w:val="18"/>
          <w:highlight w:val="none"/>
          <w:vertAlign w:val="superscript"/>
          <w14:textFill>
            <w14:solidFill>
              <w14:schemeClr w14:val="tx1"/>
            </w14:solidFill>
          </w14:textFill>
        </w:rPr>
        <w:t>3</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i/>
          <w:iCs/>
          <w:color w:val="000000" w:themeColor="text1"/>
          <w:kern w:val="0"/>
          <w:sz w:val="24"/>
          <w:highlight w:val="none"/>
          <w14:textFill>
            <w14:solidFill>
              <w14:schemeClr w14:val="tx1"/>
            </w14:solidFill>
          </w14:textFill>
        </w:rPr>
        <w:t>（产品名称1）</w:t>
      </w:r>
      <w:r>
        <w:rPr>
          <w:rFonts w:hint="eastAsia" w:ascii="宋体" w:hAnsi="宋体" w:cs="宋体"/>
          <w:color w:val="000000" w:themeColor="text1"/>
          <w:kern w:val="0"/>
          <w:sz w:val="24"/>
          <w:highlight w:val="none"/>
          <w14:textFill>
            <w14:solidFill>
              <w14:schemeClr w14:val="tx1"/>
            </w14:solidFill>
          </w14:textFill>
        </w:rPr>
        <w:t>的</w:t>
      </w:r>
      <w:r>
        <w:rPr>
          <w:rFonts w:hint="eastAsia" w:ascii="宋体" w:hAnsi="宋体" w:cs="宋体"/>
          <w:i/>
          <w:iCs/>
          <w:color w:val="000000" w:themeColor="text1"/>
          <w:kern w:val="0"/>
          <w:sz w:val="24"/>
          <w:highlight w:val="none"/>
          <w14:textFill>
            <w14:solidFill>
              <w14:schemeClr w14:val="tx1"/>
            </w14:solidFill>
          </w14:textFill>
        </w:rPr>
        <w:t>（关键组件）</w:t>
      </w:r>
      <w:r>
        <w:rPr>
          <w:rFonts w:hint="eastAsia" w:ascii="宋体" w:hAnsi="宋体" w:cs="宋体"/>
          <w:i/>
          <w:iCs/>
          <w:color w:val="000000" w:themeColor="text1"/>
          <w:kern w:val="0"/>
          <w:sz w:val="18"/>
          <w:szCs w:val="18"/>
          <w:highlight w:val="none"/>
          <w:vertAlign w:val="superscript"/>
          <w14:textFill>
            <w14:solidFill>
              <w14:schemeClr w14:val="tx1"/>
            </w14:solidFill>
          </w14:textFill>
        </w:rPr>
        <w:t>4</w:t>
      </w:r>
      <w:r>
        <w:rPr>
          <w:rFonts w:hint="eastAsia" w:ascii="宋体" w:hAnsi="宋体" w:cs="宋体"/>
          <w:color w:val="000000" w:themeColor="text1"/>
          <w:kern w:val="0"/>
          <w:sz w:val="24"/>
          <w:highlight w:val="none"/>
          <w14:textFill>
            <w14:solidFill>
              <w14:schemeClr w14:val="tx1"/>
            </w14:solidFill>
          </w14:textFill>
        </w:rPr>
        <w:t>在中国境内生产。</w:t>
      </w:r>
      <w:r>
        <w:rPr>
          <w:rFonts w:hint="eastAsia" w:ascii="宋体" w:hAnsi="宋体" w:cs="宋体"/>
          <w:i/>
          <w:iCs/>
          <w:color w:val="000000" w:themeColor="text1"/>
          <w:kern w:val="0"/>
          <w:sz w:val="24"/>
          <w:highlight w:val="none"/>
          <w14:textFill>
            <w14:solidFill>
              <w14:schemeClr w14:val="tx1"/>
            </w14:solidFill>
          </w14:textFill>
        </w:rPr>
        <w:t>（产品名称1）</w:t>
      </w:r>
      <w:r>
        <w:rPr>
          <w:rFonts w:hint="eastAsia" w:ascii="宋体" w:hAnsi="宋体" w:cs="宋体"/>
          <w:color w:val="000000" w:themeColor="text1"/>
          <w:kern w:val="0"/>
          <w:sz w:val="24"/>
          <w:highlight w:val="none"/>
          <w14:textFill>
            <w14:solidFill>
              <w14:schemeClr w14:val="tx1"/>
            </w14:solidFill>
          </w14:textFill>
        </w:rPr>
        <w:t>的</w:t>
      </w:r>
      <w:r>
        <w:rPr>
          <w:rFonts w:hint="eastAsia" w:ascii="宋体" w:hAnsi="宋体" w:cs="宋体"/>
          <w:i/>
          <w:iCs/>
          <w:color w:val="000000" w:themeColor="text1"/>
          <w:kern w:val="0"/>
          <w:sz w:val="24"/>
          <w:highlight w:val="none"/>
          <w14:textFill>
            <w14:solidFill>
              <w14:schemeClr w14:val="tx1"/>
            </w14:solidFill>
          </w14:textFill>
        </w:rPr>
        <w:t>（关键工序）</w:t>
      </w:r>
      <w:r>
        <w:rPr>
          <w:rFonts w:hint="eastAsia" w:ascii="宋体" w:hAnsi="宋体" w:cs="宋体"/>
          <w:i/>
          <w:iCs/>
          <w:color w:val="000000" w:themeColor="text1"/>
          <w:kern w:val="0"/>
          <w:sz w:val="18"/>
          <w:szCs w:val="18"/>
          <w:highlight w:val="none"/>
          <w:vertAlign w:val="superscript"/>
          <w14:textFill>
            <w14:solidFill>
              <w14:schemeClr w14:val="tx1"/>
            </w14:solidFill>
          </w14:textFill>
        </w:rPr>
        <w:t>5</w:t>
      </w:r>
      <w:r>
        <w:rPr>
          <w:rFonts w:hint="eastAsia" w:ascii="宋体" w:hAnsi="宋体" w:cs="宋体"/>
          <w:color w:val="000000" w:themeColor="text1"/>
          <w:kern w:val="0"/>
          <w:sz w:val="24"/>
          <w:highlight w:val="none"/>
          <w14:textFill>
            <w14:solidFill>
              <w14:schemeClr w14:val="tx1"/>
            </w14:solidFill>
          </w14:textFill>
        </w:rPr>
        <w:t>在中国境内完成。</w:t>
      </w:r>
    </w:p>
    <w:p w14:paraId="10618EE7">
      <w:pPr>
        <w:widowControl/>
        <w:shd w:val="clear" w:color="auto" w:fill="FFFFFF"/>
        <w:ind w:firstLine="48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r>
        <w:rPr>
          <w:rFonts w:hint="eastAsia" w:ascii="宋体" w:hAnsi="宋体" w:cs="宋体"/>
          <w:i/>
          <w:iCs/>
          <w:color w:val="000000" w:themeColor="text1"/>
          <w:kern w:val="0"/>
          <w:sz w:val="24"/>
          <w:highlight w:val="none"/>
          <w14:textFill>
            <w14:solidFill>
              <w14:schemeClr w14:val="tx1"/>
            </w14:solidFill>
          </w14:textFill>
        </w:rPr>
        <w:t>（产品名称2）</w:t>
      </w:r>
      <w:r>
        <w:rPr>
          <w:rFonts w:hint="eastAsia" w:ascii="宋体" w:hAnsi="宋体" w:cs="宋体"/>
          <w:color w:val="000000" w:themeColor="text1"/>
          <w:kern w:val="0"/>
          <w:sz w:val="24"/>
          <w:highlight w:val="none"/>
          <w14:textFill>
            <w14:solidFill>
              <w14:schemeClr w14:val="tx1"/>
            </w14:solidFill>
          </w14:textFill>
        </w:rPr>
        <w:t>，生产厂为</w:t>
      </w:r>
      <w:r>
        <w:rPr>
          <w:rFonts w:hint="eastAsia" w:ascii="宋体" w:hAnsi="宋体" w:cs="宋体"/>
          <w:i/>
          <w:iCs/>
          <w:color w:val="000000" w:themeColor="text1"/>
          <w:kern w:val="0"/>
          <w:sz w:val="24"/>
          <w:highlight w:val="none"/>
          <w14:textFill>
            <w14:solidFill>
              <w14:schemeClr w14:val="tx1"/>
            </w14:solidFill>
          </w14:textFill>
        </w:rPr>
        <w:t>（厂名）</w:t>
      </w:r>
      <w:r>
        <w:rPr>
          <w:rFonts w:hint="eastAsia" w:ascii="宋体" w:hAnsi="宋体" w:cs="宋体"/>
          <w:color w:val="000000" w:themeColor="text1"/>
          <w:kern w:val="0"/>
          <w:sz w:val="24"/>
          <w:highlight w:val="none"/>
          <w14:textFill>
            <w14:solidFill>
              <w14:schemeClr w14:val="tx1"/>
            </w14:solidFill>
          </w14:textFill>
        </w:rPr>
        <w:t>，厂址为</w:t>
      </w:r>
      <w:r>
        <w:rPr>
          <w:rFonts w:hint="eastAsia" w:ascii="宋体" w:hAnsi="宋体" w:cs="宋体"/>
          <w:i/>
          <w:iCs/>
          <w:color w:val="000000" w:themeColor="text1"/>
          <w:kern w:val="0"/>
          <w:sz w:val="24"/>
          <w:highlight w:val="none"/>
          <w14:textFill>
            <w14:solidFill>
              <w14:schemeClr w14:val="tx1"/>
            </w14:solidFill>
          </w14:textFill>
        </w:rPr>
        <w:t>（生产厂址）</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i/>
          <w:iCs/>
          <w:color w:val="000000" w:themeColor="text1"/>
          <w:kern w:val="0"/>
          <w:sz w:val="24"/>
          <w:highlight w:val="none"/>
          <w14:textFill>
            <w14:solidFill>
              <w14:schemeClr w14:val="tx1"/>
            </w14:solidFill>
          </w14:textFill>
        </w:rPr>
        <w:t>（产品名称2）</w:t>
      </w:r>
      <w:r>
        <w:rPr>
          <w:rFonts w:hint="eastAsia" w:ascii="宋体" w:hAnsi="宋体" w:cs="宋体"/>
          <w:color w:val="000000" w:themeColor="text1"/>
          <w:kern w:val="0"/>
          <w:sz w:val="24"/>
          <w:highlight w:val="none"/>
          <w14:textFill>
            <w14:solidFill>
              <w14:schemeClr w14:val="tx1"/>
            </w14:solidFill>
          </w14:textFill>
        </w:rPr>
        <w:t>的中国境内生产的组件成本占比≥</w:t>
      </w:r>
      <w:r>
        <w:rPr>
          <w:rFonts w:hint="eastAsia" w:ascii="宋体" w:hAnsi="宋体" w:cs="宋体"/>
          <w:i/>
          <w:iCs/>
          <w:color w:val="000000" w:themeColor="text1"/>
          <w:kern w:val="0"/>
          <w:sz w:val="24"/>
          <w:highlight w:val="none"/>
          <w14:textFill>
            <w14:solidFill>
              <w14:schemeClr w14:val="tx1"/>
            </w14:solidFill>
          </w14:textFill>
        </w:rPr>
        <w:t>（规定比例）</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i/>
          <w:iCs/>
          <w:color w:val="000000" w:themeColor="text1"/>
          <w:kern w:val="0"/>
          <w:sz w:val="24"/>
          <w:highlight w:val="none"/>
          <w14:textFill>
            <w14:solidFill>
              <w14:schemeClr w14:val="tx1"/>
            </w14:solidFill>
          </w14:textFill>
        </w:rPr>
        <w:t>（产品名称2）</w:t>
      </w:r>
      <w:r>
        <w:rPr>
          <w:rFonts w:hint="eastAsia" w:ascii="宋体" w:hAnsi="宋体" w:cs="宋体"/>
          <w:color w:val="000000" w:themeColor="text1"/>
          <w:kern w:val="0"/>
          <w:sz w:val="24"/>
          <w:highlight w:val="none"/>
          <w14:textFill>
            <w14:solidFill>
              <w14:schemeClr w14:val="tx1"/>
            </w14:solidFill>
          </w14:textFill>
        </w:rPr>
        <w:t>的</w:t>
      </w:r>
      <w:r>
        <w:rPr>
          <w:rFonts w:hint="eastAsia" w:ascii="宋体" w:hAnsi="宋体" w:cs="宋体"/>
          <w:i/>
          <w:iCs/>
          <w:color w:val="000000" w:themeColor="text1"/>
          <w:kern w:val="0"/>
          <w:sz w:val="24"/>
          <w:highlight w:val="none"/>
          <w14:textFill>
            <w14:solidFill>
              <w14:schemeClr w14:val="tx1"/>
            </w14:solidFill>
          </w14:textFill>
        </w:rPr>
        <w:t>（关键组件）</w:t>
      </w:r>
      <w:r>
        <w:rPr>
          <w:rFonts w:hint="eastAsia" w:ascii="宋体" w:hAnsi="宋体" w:cs="宋体"/>
          <w:color w:val="000000" w:themeColor="text1"/>
          <w:kern w:val="0"/>
          <w:sz w:val="24"/>
          <w:highlight w:val="none"/>
          <w14:textFill>
            <w14:solidFill>
              <w14:schemeClr w14:val="tx1"/>
            </w14:solidFill>
          </w14:textFill>
        </w:rPr>
        <w:t>在中国境内生产。</w:t>
      </w:r>
      <w:r>
        <w:rPr>
          <w:rFonts w:hint="eastAsia" w:ascii="宋体" w:hAnsi="宋体" w:cs="宋体"/>
          <w:i/>
          <w:iCs/>
          <w:color w:val="000000" w:themeColor="text1"/>
          <w:kern w:val="0"/>
          <w:sz w:val="24"/>
          <w:highlight w:val="none"/>
          <w14:textFill>
            <w14:solidFill>
              <w14:schemeClr w14:val="tx1"/>
            </w14:solidFill>
          </w14:textFill>
        </w:rPr>
        <w:t>（产品名称2）</w:t>
      </w:r>
      <w:r>
        <w:rPr>
          <w:rFonts w:hint="eastAsia" w:ascii="宋体" w:hAnsi="宋体" w:cs="宋体"/>
          <w:color w:val="000000" w:themeColor="text1"/>
          <w:kern w:val="0"/>
          <w:sz w:val="24"/>
          <w:highlight w:val="none"/>
          <w14:textFill>
            <w14:solidFill>
              <w14:schemeClr w14:val="tx1"/>
            </w14:solidFill>
          </w14:textFill>
        </w:rPr>
        <w:t>的</w:t>
      </w:r>
      <w:r>
        <w:rPr>
          <w:rFonts w:hint="eastAsia" w:ascii="宋体" w:hAnsi="宋体" w:cs="宋体"/>
          <w:i/>
          <w:iCs/>
          <w:color w:val="000000" w:themeColor="text1"/>
          <w:kern w:val="0"/>
          <w:sz w:val="24"/>
          <w:highlight w:val="none"/>
          <w14:textFill>
            <w14:solidFill>
              <w14:schemeClr w14:val="tx1"/>
            </w14:solidFill>
          </w14:textFill>
        </w:rPr>
        <w:t>（关键工序）</w:t>
      </w:r>
      <w:r>
        <w:rPr>
          <w:rFonts w:hint="eastAsia" w:ascii="宋体" w:hAnsi="宋体" w:cs="宋体"/>
          <w:color w:val="000000" w:themeColor="text1"/>
          <w:kern w:val="0"/>
          <w:sz w:val="24"/>
          <w:highlight w:val="none"/>
          <w14:textFill>
            <w14:solidFill>
              <w14:schemeClr w14:val="tx1"/>
            </w14:solidFill>
          </w14:textFill>
        </w:rPr>
        <w:t>在中国境内完成。</w:t>
      </w:r>
    </w:p>
    <w:p w14:paraId="02FFA62E">
      <w:pPr>
        <w:widowControl/>
        <w:shd w:val="clear" w:color="auto" w:fill="FFFFFF"/>
        <w:spacing w:before="30" w:after="30"/>
        <w:ind w:firstLine="48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p w14:paraId="3FB50E32">
      <w:pPr>
        <w:widowControl/>
        <w:shd w:val="clear" w:color="auto" w:fill="FFFFFF"/>
        <w:spacing w:before="30" w:after="30"/>
        <w:ind w:firstLine="48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本公司（单位）对上述声明内容的真实性负责。如有虚假，愿承担相应法律责任。</w:t>
      </w:r>
    </w:p>
    <w:p w14:paraId="011C96C1">
      <w:pPr>
        <w:widowControl/>
        <w:shd w:val="clear" w:color="auto" w:fill="FFFFFF"/>
        <w:spacing w:before="30" w:after="3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p w14:paraId="4850255F">
      <w:pPr>
        <w:widowControl/>
        <w:shd w:val="clear" w:color="auto" w:fill="FFFFFF"/>
        <w:spacing w:before="30" w:after="30"/>
        <w:jc w:val="righ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公司（单位）名称（盖章）：　        </w:t>
      </w:r>
    </w:p>
    <w:p w14:paraId="56C830F5">
      <w:pPr>
        <w:widowControl/>
        <w:shd w:val="clear" w:color="auto" w:fill="FFFFFF"/>
        <w:jc w:val="righ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日期：　     年　  月　  日         </w:t>
      </w:r>
    </w:p>
    <w:p w14:paraId="07819F96">
      <w:pPr>
        <w:widowControl/>
        <w:shd w:val="clear" w:color="auto" w:fill="FFFFFF"/>
        <w:spacing w:before="30" w:after="3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__________________</w:t>
      </w:r>
    </w:p>
    <w:p w14:paraId="2CDFEDA3">
      <w:pPr>
        <w:widowControl/>
        <w:shd w:val="clear" w:color="auto" w:fill="FFFFFF"/>
        <w:ind w:firstLine="48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1.产品如有型号，请在“产品名称”栏一并填写。</w:t>
      </w:r>
    </w:p>
    <w:p w14:paraId="3C436CB3">
      <w:pPr>
        <w:widowControl/>
        <w:shd w:val="clear" w:color="auto" w:fill="FFFFFF"/>
        <w:ind w:firstLine="48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2.生产厂名与厂址应与生产厂营业执照载明的相关信息保持一致。</w:t>
      </w:r>
    </w:p>
    <w:p w14:paraId="043ACCCD">
      <w:pPr>
        <w:widowControl/>
        <w:shd w:val="clear" w:color="auto" w:fill="FFFFFF"/>
        <w:ind w:firstLine="48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3.该产品的中国境内生产的组件成本占比相关要求实施前，“规定比例”栏可不填，下同。</w:t>
      </w:r>
    </w:p>
    <w:p w14:paraId="6C548644">
      <w:pPr>
        <w:widowControl/>
        <w:shd w:val="clear" w:color="auto" w:fill="FFFFFF"/>
        <w:ind w:firstLine="48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4.该产品的关键组件要求实施前，“关键组件”栏可不填，下同。</w:t>
      </w:r>
    </w:p>
    <w:p w14:paraId="0F61247A">
      <w:pPr>
        <w:widowControl/>
        <w:shd w:val="clear" w:color="auto" w:fill="FFFFFF"/>
        <w:ind w:firstLine="48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5.该产品的关键工序要求实施前，“关键工序”栏可不填，下同。</w:t>
      </w:r>
    </w:p>
    <w:p w14:paraId="459C0E64">
      <w:pPr>
        <w:spacing w:line="360" w:lineRule="auto"/>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r>
        <w:rPr>
          <w:rFonts w:hint="eastAsia" w:ascii="宋体" w:hAnsi="宋体"/>
          <w:b/>
          <w:color w:val="000000" w:themeColor="text1"/>
          <w:sz w:val="24"/>
          <w:highlight w:val="none"/>
          <w:lang w:val="en-US" w:eastAsia="zh-CN"/>
          <w14:textFill>
            <w14:solidFill>
              <w14:schemeClr w14:val="tx1"/>
            </w14:solidFill>
          </w14:textFill>
        </w:rPr>
        <w:t>4</w:t>
      </w:r>
      <w:r>
        <w:rPr>
          <w:rFonts w:hint="eastAsia" w:ascii="宋体" w:hAnsi="宋体"/>
          <w:b/>
          <w:color w:val="000000" w:themeColor="text1"/>
          <w:sz w:val="24"/>
          <w:highlight w:val="none"/>
          <w14:textFill>
            <w14:solidFill>
              <w14:schemeClr w14:val="tx1"/>
            </w14:solidFill>
          </w14:textFill>
        </w:rPr>
        <w:t>.质疑函（格式）</w:t>
      </w:r>
    </w:p>
    <w:p w14:paraId="7720BE67">
      <w:pPr>
        <w:spacing w:line="360" w:lineRule="auto"/>
        <w:jc w:val="cente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质疑函（格式）</w:t>
      </w:r>
    </w:p>
    <w:p w14:paraId="493CCD63">
      <w:pPr>
        <w:pStyle w:val="27"/>
        <w:snapToGrid w:val="0"/>
        <w:spacing w:line="360" w:lineRule="auto"/>
        <w:ind w:firstLine="482" w:firstLineChars="200"/>
        <w:rPr>
          <w:rFonts w:hAnsi="宋体"/>
          <w:b/>
          <w:bCs/>
          <w:color w:val="000000" w:themeColor="text1"/>
          <w:sz w:val="24"/>
          <w:szCs w:val="24"/>
          <w:highlight w:val="none"/>
          <w14:textFill>
            <w14:solidFill>
              <w14:schemeClr w14:val="tx1"/>
            </w14:solidFill>
          </w14:textFill>
        </w:rPr>
      </w:pPr>
      <w:r>
        <w:rPr>
          <w:rFonts w:hint="eastAsia" w:hAnsi="宋体"/>
          <w:b/>
          <w:bCs/>
          <w:color w:val="000000" w:themeColor="text1"/>
          <w:sz w:val="24"/>
          <w:szCs w:val="24"/>
          <w:highlight w:val="none"/>
          <w14:textFill>
            <w14:solidFill>
              <w14:schemeClr w14:val="tx1"/>
            </w14:solidFill>
          </w14:textFill>
        </w:rPr>
        <w:t>一、质疑供应商基本信息：</w:t>
      </w:r>
    </w:p>
    <w:p w14:paraId="2688BA2A">
      <w:pPr>
        <w:pStyle w:val="27"/>
        <w:snapToGrid w:val="0"/>
        <w:spacing w:line="360" w:lineRule="auto"/>
        <w:ind w:firstLine="480" w:firstLineChars="200"/>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质疑供应商：</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00672ECD">
      <w:pPr>
        <w:pStyle w:val="27"/>
        <w:snapToGrid w:val="0"/>
        <w:spacing w:line="360" w:lineRule="auto"/>
        <w:ind w:firstLine="480" w:firstLineChars="200"/>
        <w:rPr>
          <w:rFonts w:hint="eastAsia"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地址</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邮编</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4B5285A6">
      <w:pPr>
        <w:pStyle w:val="27"/>
        <w:snapToGrid w:val="0"/>
        <w:spacing w:line="360" w:lineRule="auto"/>
        <w:ind w:firstLine="480" w:firstLineChars="200"/>
        <w:rPr>
          <w:rFonts w:hint="eastAsia"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联系人</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联系电话</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p>
    <w:p w14:paraId="0476A07A">
      <w:pPr>
        <w:pStyle w:val="27"/>
        <w:snapToGrid w:val="0"/>
        <w:spacing w:line="360" w:lineRule="auto"/>
        <w:ind w:firstLine="480" w:firstLineChars="200"/>
        <w:rPr>
          <w:rFonts w:hint="eastAsia"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授权代表：</w:t>
      </w:r>
      <w:r>
        <w:rPr>
          <w:rFonts w:hint="eastAsia" w:hAnsi="宋体"/>
          <w:bCs/>
          <w:color w:val="000000" w:themeColor="text1"/>
          <w:sz w:val="24"/>
          <w:szCs w:val="24"/>
          <w:highlight w:val="none"/>
          <w:u w:val="single"/>
          <w14:textFill>
            <w14:solidFill>
              <w14:schemeClr w14:val="tx1"/>
            </w14:solidFill>
          </w14:textFill>
        </w:rPr>
        <w:t xml:space="preserve">                      </w:t>
      </w:r>
    </w:p>
    <w:p w14:paraId="6C50F0D5">
      <w:pPr>
        <w:pStyle w:val="27"/>
        <w:snapToGrid w:val="0"/>
        <w:spacing w:line="360" w:lineRule="auto"/>
        <w:ind w:firstLine="480" w:firstLineChars="200"/>
        <w:rPr>
          <w:rFonts w:hint="eastAsia" w:hAnsi="宋体"/>
          <w:bCs/>
          <w:color w:val="000000" w:themeColor="text1"/>
          <w:sz w:val="24"/>
          <w:szCs w:val="24"/>
          <w:highlight w:val="none"/>
          <w:u w:val="single"/>
          <w14:textFill>
            <w14:solidFill>
              <w14:schemeClr w14:val="tx1"/>
            </w14:solidFill>
          </w14:textFill>
        </w:rPr>
      </w:pPr>
      <w:r>
        <w:rPr>
          <w:rFonts w:hAnsi="宋体"/>
          <w:bCs/>
          <w:color w:val="000000" w:themeColor="text1"/>
          <w:sz w:val="24"/>
          <w:szCs w:val="24"/>
          <w:highlight w:val="none"/>
          <w14:textFill>
            <w14:solidFill>
              <w14:schemeClr w14:val="tx1"/>
            </w14:solidFill>
          </w14:textFill>
        </w:rPr>
        <w:t>联系</w:t>
      </w:r>
      <w:r>
        <w:rPr>
          <w:rFonts w:hint="eastAsia" w:hAnsi="宋体"/>
          <w:bCs/>
          <w:color w:val="000000" w:themeColor="text1"/>
          <w:sz w:val="24"/>
          <w:szCs w:val="24"/>
          <w:highlight w:val="none"/>
          <w14:textFill>
            <w14:solidFill>
              <w14:schemeClr w14:val="tx1"/>
            </w14:solidFill>
          </w14:textFill>
        </w:rPr>
        <w:t>电话：</w:t>
      </w:r>
      <w:r>
        <w:rPr>
          <w:rFonts w:hint="eastAsia" w:hAnsi="宋体"/>
          <w:bCs/>
          <w:color w:val="000000" w:themeColor="text1"/>
          <w:sz w:val="24"/>
          <w:szCs w:val="24"/>
          <w:highlight w:val="none"/>
          <w:u w:val="single"/>
          <w14:textFill>
            <w14:solidFill>
              <w14:schemeClr w14:val="tx1"/>
            </w14:solidFill>
          </w14:textFill>
        </w:rPr>
        <w:t xml:space="preserve">                      </w:t>
      </w:r>
    </w:p>
    <w:p w14:paraId="11EF76F1">
      <w:pPr>
        <w:pStyle w:val="27"/>
        <w:snapToGrid w:val="0"/>
        <w:spacing w:line="360" w:lineRule="auto"/>
        <w:ind w:firstLine="480" w:firstLineChars="200"/>
        <w:rPr>
          <w:rFonts w:hint="eastAsia"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地址</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邮编</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14A6E824">
      <w:pPr>
        <w:pStyle w:val="27"/>
        <w:snapToGrid w:val="0"/>
        <w:spacing w:line="360" w:lineRule="auto"/>
        <w:ind w:firstLine="482" w:firstLineChars="200"/>
        <w:rPr>
          <w:rFonts w:hint="eastAsia" w:hAnsi="宋体"/>
          <w:b/>
          <w:bCs/>
          <w:color w:val="000000" w:themeColor="text1"/>
          <w:sz w:val="24"/>
          <w:szCs w:val="24"/>
          <w:highlight w:val="none"/>
          <w14:textFill>
            <w14:solidFill>
              <w14:schemeClr w14:val="tx1"/>
            </w14:solidFill>
          </w14:textFill>
        </w:rPr>
      </w:pPr>
      <w:r>
        <w:rPr>
          <w:rFonts w:hint="eastAsia" w:hAnsi="宋体"/>
          <w:b/>
          <w:bCs/>
          <w:color w:val="000000" w:themeColor="text1"/>
          <w:sz w:val="24"/>
          <w:szCs w:val="24"/>
          <w:highlight w:val="none"/>
          <w14:textFill>
            <w14:solidFill>
              <w14:schemeClr w14:val="tx1"/>
            </w14:solidFill>
          </w14:textFill>
        </w:rPr>
        <w:t>二、质疑项目基本情况：</w:t>
      </w:r>
    </w:p>
    <w:p w14:paraId="6D043C77">
      <w:pPr>
        <w:pStyle w:val="27"/>
        <w:spacing w:line="360" w:lineRule="auto"/>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质疑</w:t>
      </w:r>
      <w:r>
        <w:rPr>
          <w:rFonts w:hint="eastAsia" w:hAnsi="宋体"/>
          <w:color w:val="000000" w:themeColor="text1"/>
          <w:sz w:val="24"/>
          <w:szCs w:val="24"/>
          <w:highlight w:val="none"/>
          <w14:textFill>
            <w14:solidFill>
              <w14:schemeClr w14:val="tx1"/>
            </w14:solidFill>
          </w14:textFill>
        </w:rPr>
        <w:t>项目的名称：</w:t>
      </w:r>
      <w:r>
        <w:rPr>
          <w:rFonts w:hint="eastAsia" w:hAnsi="宋体"/>
          <w:bCs/>
          <w:color w:val="000000" w:themeColor="text1"/>
          <w:sz w:val="24"/>
          <w:szCs w:val="24"/>
          <w:highlight w:val="none"/>
          <w:u w:val="single"/>
          <w14:textFill>
            <w14:solidFill>
              <w14:schemeClr w14:val="tx1"/>
            </w14:solidFill>
          </w14:textFill>
        </w:rPr>
        <w:t xml:space="preserve">                                     </w:t>
      </w:r>
    </w:p>
    <w:p w14:paraId="634F914F">
      <w:pPr>
        <w:pStyle w:val="27"/>
        <w:spacing w:line="360" w:lineRule="auto"/>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质疑</w:t>
      </w:r>
      <w:r>
        <w:rPr>
          <w:rFonts w:hint="eastAsia" w:hAnsi="宋体"/>
          <w:color w:val="000000" w:themeColor="text1"/>
          <w:sz w:val="24"/>
          <w:szCs w:val="24"/>
          <w:highlight w:val="none"/>
          <w14:textFill>
            <w14:solidFill>
              <w14:schemeClr w14:val="tx1"/>
            </w14:solidFill>
          </w14:textFill>
        </w:rPr>
        <w:t>项目的编号：</w:t>
      </w:r>
      <w:r>
        <w:rPr>
          <w:rFonts w:hint="eastAsia" w:hAnsi="宋体"/>
          <w:bCs/>
          <w:color w:val="000000" w:themeColor="text1"/>
          <w:sz w:val="24"/>
          <w:szCs w:val="24"/>
          <w:highlight w:val="none"/>
          <w:u w:val="single"/>
          <w14:textFill>
            <w14:solidFill>
              <w14:schemeClr w14:val="tx1"/>
            </w14:solidFill>
          </w14:textFill>
        </w:rPr>
        <w:t xml:space="preserve">                                     </w:t>
      </w:r>
    </w:p>
    <w:p w14:paraId="4C092376">
      <w:pPr>
        <w:pStyle w:val="27"/>
        <w:spacing w:line="360" w:lineRule="auto"/>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采购人名称：</w:t>
      </w:r>
      <w:r>
        <w:rPr>
          <w:rFonts w:hint="eastAsia" w:hAnsi="宋体"/>
          <w:bCs/>
          <w:color w:val="000000" w:themeColor="text1"/>
          <w:sz w:val="24"/>
          <w:szCs w:val="24"/>
          <w:highlight w:val="none"/>
          <w:u w:val="single"/>
          <w14:textFill>
            <w14:solidFill>
              <w14:schemeClr w14:val="tx1"/>
            </w14:solidFill>
          </w14:textFill>
        </w:rPr>
        <w:t xml:space="preserve">                                         </w:t>
      </w:r>
    </w:p>
    <w:p w14:paraId="6AC6FFC3">
      <w:pPr>
        <w:pStyle w:val="27"/>
        <w:spacing w:line="360" w:lineRule="auto"/>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质疑事项：</w:t>
      </w:r>
    </w:p>
    <w:p w14:paraId="5F39458C">
      <w:pPr>
        <w:pStyle w:val="27"/>
        <w:spacing w:line="360" w:lineRule="auto"/>
        <w:ind w:left="25" w:leftChars="12" w:firstLine="352" w:firstLineChars="147"/>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□招标文件   招标文件获取日期：</w:t>
      </w:r>
      <w:r>
        <w:rPr>
          <w:rFonts w:hint="eastAsia" w:hAnsi="宋体"/>
          <w:bCs/>
          <w:color w:val="000000" w:themeColor="text1"/>
          <w:sz w:val="24"/>
          <w:szCs w:val="24"/>
          <w:highlight w:val="none"/>
          <w:u w:val="single"/>
          <w14:textFill>
            <w14:solidFill>
              <w14:schemeClr w14:val="tx1"/>
            </w14:solidFill>
          </w14:textFill>
        </w:rPr>
        <w:t xml:space="preserve">                                   </w:t>
      </w:r>
    </w:p>
    <w:p w14:paraId="3AFD6BDD">
      <w:pPr>
        <w:pStyle w:val="27"/>
        <w:spacing w:line="360" w:lineRule="auto"/>
        <w:ind w:left="25" w:leftChars="12" w:firstLine="352" w:firstLineChars="147"/>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□招标过程   </w:t>
      </w:r>
    </w:p>
    <w:p w14:paraId="64F6DF66">
      <w:pPr>
        <w:pStyle w:val="27"/>
        <w:spacing w:line="360" w:lineRule="auto"/>
        <w:ind w:left="25" w:leftChars="12" w:firstLine="352" w:firstLineChars="147"/>
        <w:rPr>
          <w:rFonts w:hint="eastAsia" w:hAnsi="宋体"/>
          <w:bCs/>
          <w:color w:val="000000" w:themeColor="text1"/>
          <w:sz w:val="24"/>
          <w:szCs w:val="24"/>
          <w:highlight w:val="none"/>
          <w:u w:val="singl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□招标结果   </w:t>
      </w:r>
    </w:p>
    <w:p w14:paraId="6B6B6899">
      <w:pPr>
        <w:pStyle w:val="27"/>
        <w:spacing w:line="360" w:lineRule="auto"/>
        <w:ind w:left="25" w:leftChars="12" w:firstLine="472" w:firstLineChars="196"/>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三、质疑事项具体内容</w:t>
      </w:r>
    </w:p>
    <w:p w14:paraId="6F6FF035">
      <w:pPr>
        <w:pStyle w:val="27"/>
        <w:spacing w:line="360" w:lineRule="auto"/>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质疑事项1：</w:t>
      </w:r>
      <w:r>
        <w:rPr>
          <w:rFonts w:hint="eastAsia" w:hAnsi="宋体"/>
          <w:bCs/>
          <w:color w:val="000000" w:themeColor="text1"/>
          <w:sz w:val="24"/>
          <w:szCs w:val="24"/>
          <w:highlight w:val="none"/>
          <w:u w:val="single"/>
          <w14:textFill>
            <w14:solidFill>
              <w14:schemeClr w14:val="tx1"/>
            </w14:solidFill>
          </w14:textFill>
        </w:rPr>
        <w:t xml:space="preserve">                                                                    </w:t>
      </w:r>
    </w:p>
    <w:p w14:paraId="5D68453E">
      <w:pPr>
        <w:pStyle w:val="27"/>
        <w:spacing w:line="360" w:lineRule="auto"/>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事实依据：</w:t>
      </w:r>
      <w:r>
        <w:rPr>
          <w:rFonts w:hint="eastAsia" w:hAnsi="宋体"/>
          <w:bCs/>
          <w:color w:val="000000" w:themeColor="text1"/>
          <w:sz w:val="24"/>
          <w:szCs w:val="24"/>
          <w:highlight w:val="none"/>
          <w:u w:val="single"/>
          <w14:textFill>
            <w14:solidFill>
              <w14:schemeClr w14:val="tx1"/>
            </w14:solidFill>
          </w14:textFill>
        </w:rPr>
        <w:t xml:space="preserve">                                                                      </w:t>
      </w:r>
    </w:p>
    <w:p w14:paraId="2B3B3EAB">
      <w:pPr>
        <w:pStyle w:val="27"/>
        <w:spacing w:line="360" w:lineRule="auto"/>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法律依据：</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u w:val="single"/>
          <w14:textFill>
            <w14:solidFill>
              <w14:schemeClr w14:val="tx1"/>
            </w14:solidFill>
          </w14:textFill>
        </w:rPr>
        <w:t xml:space="preserve">               </w:t>
      </w:r>
    </w:p>
    <w:p w14:paraId="4888F4A7">
      <w:pPr>
        <w:pStyle w:val="27"/>
        <w:spacing w:line="360" w:lineRule="auto"/>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质疑事项2</w:t>
      </w:r>
    </w:p>
    <w:p w14:paraId="5BDA3B3F">
      <w:pPr>
        <w:pStyle w:val="27"/>
        <w:spacing w:line="360" w:lineRule="auto"/>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w:t>
      </w:r>
    </w:p>
    <w:p w14:paraId="314220CD">
      <w:pPr>
        <w:pStyle w:val="27"/>
        <w:spacing w:line="360" w:lineRule="auto"/>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四、与质疑事项相关的质疑请求：</w:t>
      </w:r>
    </w:p>
    <w:p w14:paraId="419681CB">
      <w:pPr>
        <w:pStyle w:val="27"/>
        <w:spacing w:line="360" w:lineRule="auto"/>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请求：</w:t>
      </w:r>
      <w:r>
        <w:rPr>
          <w:rFonts w:hint="eastAsia" w:hAnsi="宋体"/>
          <w:bCs/>
          <w:color w:val="000000" w:themeColor="text1"/>
          <w:sz w:val="24"/>
          <w:szCs w:val="24"/>
          <w:highlight w:val="none"/>
          <w:u w:val="single"/>
          <w14:textFill>
            <w14:solidFill>
              <w14:schemeClr w14:val="tx1"/>
            </w14:solidFill>
          </w14:textFill>
        </w:rPr>
        <w:t xml:space="preserve">                                                                </w:t>
      </w:r>
    </w:p>
    <w:p w14:paraId="3707E5F9">
      <w:pPr>
        <w:pStyle w:val="27"/>
        <w:spacing w:line="360" w:lineRule="auto"/>
        <w:ind w:left="25" w:leftChars="12" w:firstLine="352" w:firstLineChars="147"/>
        <w:rPr>
          <w:rFonts w:hint="eastAsia" w:hAnsi="宋体"/>
          <w:color w:val="000000" w:themeColor="text1"/>
          <w:sz w:val="24"/>
          <w:szCs w:val="24"/>
          <w:highlight w:val="none"/>
          <w14:textFill>
            <w14:solidFill>
              <w14:schemeClr w14:val="tx1"/>
            </w14:solidFill>
          </w14:textFill>
        </w:rPr>
      </w:pPr>
    </w:p>
    <w:p w14:paraId="0CACBD71">
      <w:pPr>
        <w:pStyle w:val="27"/>
        <w:spacing w:line="360" w:lineRule="auto"/>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签字（签章）：                                       公章：</w:t>
      </w:r>
    </w:p>
    <w:p w14:paraId="1B2E95E9">
      <w:pPr>
        <w:pStyle w:val="27"/>
        <w:spacing w:line="360" w:lineRule="auto"/>
        <w:ind w:left="25" w:leftChars="12" w:firstLine="352" w:firstLineChars="147"/>
        <w:rPr>
          <w:rFonts w:hint="eastAsia" w:hAnsi="宋体"/>
          <w:color w:val="000000" w:themeColor="text1"/>
          <w:sz w:val="24"/>
          <w:szCs w:val="24"/>
          <w:highlight w:val="none"/>
          <w14:textFill>
            <w14:solidFill>
              <w14:schemeClr w14:val="tx1"/>
            </w14:solidFill>
          </w14:textFill>
        </w:rPr>
      </w:pPr>
    </w:p>
    <w:p w14:paraId="7192CCFA">
      <w:pPr>
        <w:pStyle w:val="27"/>
        <w:spacing w:line="360" w:lineRule="auto"/>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日期：</w:t>
      </w:r>
    </w:p>
    <w:p w14:paraId="46813968">
      <w:pPr>
        <w:pStyle w:val="27"/>
        <w:snapToGrid w:val="0"/>
        <w:spacing w:line="360" w:lineRule="auto"/>
        <w:rPr>
          <w:rFonts w:hint="eastAsia" w:hAnsi="宋体"/>
          <w:b/>
          <w:color w:val="000000" w:themeColor="text1"/>
          <w:sz w:val="24"/>
          <w:szCs w:val="24"/>
          <w:highlight w:val="none"/>
          <w14:textFill>
            <w14:solidFill>
              <w14:schemeClr w14:val="tx1"/>
            </w14:solidFill>
          </w14:textFill>
        </w:rPr>
      </w:pPr>
    </w:p>
    <w:p w14:paraId="15178C73">
      <w:pPr>
        <w:pStyle w:val="27"/>
        <w:snapToGrid w:val="0"/>
        <w:spacing w:line="360" w:lineRule="auto"/>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说明：</w:t>
      </w:r>
    </w:p>
    <w:p w14:paraId="64FDF210">
      <w:pPr>
        <w:pStyle w:val="27"/>
        <w:spacing w:line="360" w:lineRule="auto"/>
        <w:ind w:left="25" w:leftChars="12" w:firstLine="354" w:firstLineChars="147"/>
        <w:rPr>
          <w:rFonts w:hint="eastAsia" w:hAnsi="宋体"/>
          <w:b/>
          <w:bCs/>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1.供应商提出质疑时，应提交质疑函和必要的证明材料</w:t>
      </w:r>
      <w:r>
        <w:rPr>
          <w:rFonts w:hint="eastAsia" w:hAnsi="宋体"/>
          <w:b/>
          <w:bCs/>
          <w:color w:val="000000" w:themeColor="text1"/>
          <w:sz w:val="24"/>
          <w:szCs w:val="24"/>
          <w:highlight w:val="none"/>
          <w14:textFill>
            <w14:solidFill>
              <w14:schemeClr w14:val="tx1"/>
            </w14:solidFill>
          </w14:textFill>
        </w:rPr>
        <w:t>。</w:t>
      </w:r>
    </w:p>
    <w:p w14:paraId="6BAA8241">
      <w:pPr>
        <w:pStyle w:val="27"/>
        <w:spacing w:line="360" w:lineRule="auto"/>
        <w:ind w:left="25" w:leftChars="12" w:firstLine="354" w:firstLineChars="147"/>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C8A81A4">
      <w:pPr>
        <w:pStyle w:val="27"/>
        <w:spacing w:line="360" w:lineRule="auto"/>
        <w:ind w:left="25" w:leftChars="12" w:firstLine="354" w:firstLineChars="147"/>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3.质疑函的质疑事项应具体、明确，并有必要的事实依据和法律依据。</w:t>
      </w:r>
    </w:p>
    <w:p w14:paraId="04BC7A08">
      <w:pPr>
        <w:pStyle w:val="27"/>
        <w:spacing w:line="360" w:lineRule="auto"/>
        <w:ind w:left="25" w:leftChars="12" w:firstLine="354" w:firstLineChars="147"/>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4.质疑函的质疑请求应与质疑事项相关。</w:t>
      </w:r>
    </w:p>
    <w:p w14:paraId="460CD1F5">
      <w:pPr>
        <w:pStyle w:val="27"/>
        <w:spacing w:line="360" w:lineRule="auto"/>
        <w:ind w:left="25" w:leftChars="12" w:firstLine="354" w:firstLineChars="147"/>
        <w:rPr>
          <w:rFonts w:hint="eastAsia" w:hAnsi="宋体"/>
          <w:b/>
          <w:color w:val="000000" w:themeColor="text1"/>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5.质疑供应商为法人或者其他组织的，质疑函应由法定代表人、主要负责人，或者其授权代表签字或者盖章，并加盖公章。</w:t>
      </w:r>
    </w:p>
    <w:p w14:paraId="1ABF5111">
      <w:pPr>
        <w:pStyle w:val="27"/>
        <w:snapToGrid w:val="0"/>
        <w:rPr>
          <w:rFonts w:hint="eastAsia"/>
          <w:b/>
          <w:color w:val="000000" w:themeColor="text1"/>
          <w:sz w:val="24"/>
          <w:szCs w:val="24"/>
          <w:highlight w:val="none"/>
          <w14:textFill>
            <w14:solidFill>
              <w14:schemeClr w14:val="tx1"/>
            </w14:solidFill>
          </w14:textFill>
        </w:rPr>
      </w:pPr>
    </w:p>
    <w:p w14:paraId="5E0CE7A0">
      <w:pPr>
        <w:spacing w:line="360" w:lineRule="auto"/>
        <w:jc w:val="left"/>
        <w:rPr>
          <w:rFonts w:hint="eastAsia" w:ascii="宋体" w:hAnsi="宋体"/>
          <w:b/>
          <w:bCs/>
          <w:color w:val="000000" w:themeColor="text1"/>
          <w:sz w:val="32"/>
          <w:szCs w:val="32"/>
          <w:highlight w:val="none"/>
          <w14:textFill>
            <w14:solidFill>
              <w14:schemeClr w14:val="tx1"/>
            </w14:solidFill>
          </w14:textFill>
        </w:rPr>
      </w:pPr>
      <w:r>
        <w:rPr>
          <w:rFonts w:eastAsia="隶书"/>
          <w:color w:val="000000" w:themeColor="text1"/>
          <w:sz w:val="44"/>
          <w:highlight w:val="none"/>
          <w14:textFill>
            <w14:solidFill>
              <w14:schemeClr w14:val="tx1"/>
            </w14:solidFill>
          </w14:textFill>
        </w:rPr>
        <w:br w:type="page"/>
      </w:r>
      <w:r>
        <w:rPr>
          <w:rFonts w:hint="eastAsia" w:ascii="宋体" w:hAnsi="宋体" w:eastAsia="隶书"/>
          <w:b/>
          <w:color w:val="000000" w:themeColor="text1"/>
          <w:sz w:val="24"/>
          <w:highlight w:val="none"/>
          <w:lang w:val="en-US" w:eastAsia="zh-CN"/>
          <w14:textFill>
            <w14:solidFill>
              <w14:schemeClr w14:val="tx1"/>
            </w14:solidFill>
          </w14:textFill>
        </w:rPr>
        <w:t>5</w:t>
      </w:r>
      <w:r>
        <w:rPr>
          <w:rFonts w:hint="eastAsia" w:ascii="宋体" w:hAnsi="宋体"/>
          <w:b/>
          <w:color w:val="000000" w:themeColor="text1"/>
          <w:sz w:val="24"/>
          <w:highlight w:val="none"/>
          <w14:textFill>
            <w14:solidFill>
              <w14:schemeClr w14:val="tx1"/>
            </w14:solidFill>
          </w14:textFill>
        </w:rPr>
        <w:t>.投诉书（格式）</w:t>
      </w:r>
    </w:p>
    <w:p w14:paraId="59768ECE">
      <w:pPr>
        <w:spacing w:line="360" w:lineRule="auto"/>
        <w:jc w:val="cente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投诉书（格式）</w:t>
      </w:r>
    </w:p>
    <w:p w14:paraId="76293670">
      <w:pPr>
        <w:pStyle w:val="27"/>
        <w:snapToGrid w:val="0"/>
        <w:spacing w:line="360" w:lineRule="auto"/>
        <w:ind w:firstLine="482" w:firstLineChars="200"/>
        <w:rPr>
          <w:rFonts w:hAnsi="宋体"/>
          <w:b/>
          <w:bCs/>
          <w:color w:val="000000" w:themeColor="text1"/>
          <w:sz w:val="24"/>
          <w:szCs w:val="24"/>
          <w:highlight w:val="none"/>
          <w14:textFill>
            <w14:solidFill>
              <w14:schemeClr w14:val="tx1"/>
            </w14:solidFill>
          </w14:textFill>
        </w:rPr>
      </w:pPr>
      <w:r>
        <w:rPr>
          <w:rFonts w:hint="eastAsia" w:hAnsi="宋体"/>
          <w:b/>
          <w:bCs/>
          <w:color w:val="000000" w:themeColor="text1"/>
          <w:sz w:val="24"/>
          <w:szCs w:val="24"/>
          <w:highlight w:val="none"/>
          <w14:textFill>
            <w14:solidFill>
              <w14:schemeClr w14:val="tx1"/>
            </w14:solidFill>
          </w14:textFill>
        </w:rPr>
        <w:t>一、投诉相关主体基本情况：</w:t>
      </w:r>
    </w:p>
    <w:p w14:paraId="04BB36F8">
      <w:pPr>
        <w:pStyle w:val="27"/>
        <w:snapToGrid w:val="0"/>
        <w:spacing w:line="360" w:lineRule="auto"/>
        <w:ind w:firstLine="480" w:firstLineChars="200"/>
        <w:jc w:val="left"/>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投标人：</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2706BEB8">
      <w:pPr>
        <w:pStyle w:val="27"/>
        <w:snapToGrid w:val="0"/>
        <w:spacing w:line="360" w:lineRule="auto"/>
        <w:ind w:firstLine="480" w:firstLineChars="200"/>
        <w:jc w:val="left"/>
        <w:rPr>
          <w:rFonts w:hint="eastAsia"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地址</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邮编</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22E5BE47">
      <w:pPr>
        <w:pStyle w:val="27"/>
        <w:snapToGrid w:val="0"/>
        <w:spacing w:line="360" w:lineRule="auto"/>
        <w:ind w:firstLine="480" w:firstLineChars="200"/>
        <w:jc w:val="left"/>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法定代表人/主要负责人：</w:t>
      </w:r>
      <w:r>
        <w:rPr>
          <w:rFonts w:hint="eastAsia" w:hAnsi="宋体"/>
          <w:bCs/>
          <w:color w:val="000000" w:themeColor="text1"/>
          <w:sz w:val="24"/>
          <w:szCs w:val="24"/>
          <w:highlight w:val="none"/>
          <w:u w:val="single"/>
          <w14:textFill>
            <w14:solidFill>
              <w14:schemeClr w14:val="tx1"/>
            </w14:solidFill>
          </w14:textFill>
        </w:rPr>
        <w:t xml:space="preserve">                                                         </w:t>
      </w:r>
    </w:p>
    <w:p w14:paraId="10FC6B1B">
      <w:pPr>
        <w:pStyle w:val="27"/>
        <w:snapToGrid w:val="0"/>
        <w:spacing w:line="360" w:lineRule="auto"/>
        <w:ind w:firstLine="480" w:firstLineChars="200"/>
        <w:jc w:val="left"/>
        <w:rPr>
          <w:rFonts w:hint="eastAsia"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联系电话</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p>
    <w:p w14:paraId="21910051">
      <w:pPr>
        <w:pStyle w:val="27"/>
        <w:snapToGrid w:val="0"/>
        <w:spacing w:line="360" w:lineRule="auto"/>
        <w:ind w:firstLine="480" w:firstLineChars="200"/>
        <w:jc w:val="left"/>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授权代表：</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联系</w:t>
      </w:r>
      <w:r>
        <w:rPr>
          <w:rFonts w:hint="eastAsia" w:hAnsi="宋体"/>
          <w:bCs/>
          <w:color w:val="000000" w:themeColor="text1"/>
          <w:sz w:val="24"/>
          <w:szCs w:val="24"/>
          <w:highlight w:val="none"/>
          <w14:textFill>
            <w14:solidFill>
              <w14:schemeClr w14:val="tx1"/>
            </w14:solidFill>
          </w14:textFill>
        </w:rPr>
        <w:t>电话：</w:t>
      </w:r>
      <w:r>
        <w:rPr>
          <w:rFonts w:hint="eastAsia" w:hAnsi="宋体"/>
          <w:bCs/>
          <w:color w:val="000000" w:themeColor="text1"/>
          <w:sz w:val="24"/>
          <w:szCs w:val="24"/>
          <w:highlight w:val="none"/>
          <w:u w:val="single"/>
          <w14:textFill>
            <w14:solidFill>
              <w14:schemeClr w14:val="tx1"/>
            </w14:solidFill>
          </w14:textFill>
        </w:rPr>
        <w:t xml:space="preserve">                   </w:t>
      </w:r>
    </w:p>
    <w:p w14:paraId="6815CCDE">
      <w:pPr>
        <w:pStyle w:val="27"/>
        <w:snapToGrid w:val="0"/>
        <w:spacing w:line="360" w:lineRule="auto"/>
        <w:ind w:firstLine="480" w:firstLineChars="200"/>
        <w:jc w:val="left"/>
        <w:rPr>
          <w:rFonts w:hint="eastAsia" w:hAnsi="宋体"/>
          <w:bCs/>
          <w:color w:val="000000" w:themeColor="text1"/>
          <w:sz w:val="24"/>
          <w:szCs w:val="24"/>
          <w:highlight w:val="none"/>
          <w:u w:val="single"/>
          <w14:textFill>
            <w14:solidFill>
              <w14:schemeClr w14:val="tx1"/>
            </w14:solidFill>
          </w14:textFill>
        </w:rPr>
      </w:pPr>
      <w:r>
        <w:rPr>
          <w:rFonts w:hAnsi="宋体"/>
          <w:bCs/>
          <w:color w:val="000000" w:themeColor="text1"/>
          <w:sz w:val="24"/>
          <w:szCs w:val="24"/>
          <w:highlight w:val="none"/>
          <w14:textFill>
            <w14:solidFill>
              <w14:schemeClr w14:val="tx1"/>
            </w14:solidFill>
          </w14:textFill>
        </w:rPr>
        <w:t>地址</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p>
    <w:p w14:paraId="6896A185">
      <w:pPr>
        <w:pStyle w:val="27"/>
        <w:snapToGrid w:val="0"/>
        <w:spacing w:line="360" w:lineRule="auto"/>
        <w:ind w:firstLine="480" w:firstLineChars="200"/>
        <w:jc w:val="left"/>
        <w:rPr>
          <w:rFonts w:hint="eastAsia"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邮编</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5C1FC33C">
      <w:pPr>
        <w:pStyle w:val="27"/>
        <w:snapToGrid w:val="0"/>
        <w:spacing w:line="360" w:lineRule="auto"/>
        <w:ind w:firstLine="480" w:firstLineChars="200"/>
        <w:jc w:val="left"/>
        <w:rPr>
          <w:rFonts w:hint="eastAsia"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被投诉人1：</w:t>
      </w:r>
    </w:p>
    <w:p w14:paraId="6369CC3F">
      <w:pPr>
        <w:pStyle w:val="27"/>
        <w:snapToGrid w:val="0"/>
        <w:spacing w:line="360" w:lineRule="auto"/>
        <w:ind w:firstLine="480" w:firstLineChars="200"/>
        <w:jc w:val="left"/>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地址：</w:t>
      </w:r>
      <w:r>
        <w:rPr>
          <w:rFonts w:hint="eastAsia" w:hAnsi="宋体"/>
          <w:bCs/>
          <w:color w:val="000000" w:themeColor="text1"/>
          <w:sz w:val="24"/>
          <w:szCs w:val="24"/>
          <w:highlight w:val="none"/>
          <w:u w:val="single"/>
          <w14:textFill>
            <w14:solidFill>
              <w14:schemeClr w14:val="tx1"/>
            </w14:solidFill>
          </w14:textFill>
        </w:rPr>
        <w:t xml:space="preserve">                                                            </w:t>
      </w:r>
    </w:p>
    <w:p w14:paraId="53C7564C">
      <w:pPr>
        <w:pStyle w:val="27"/>
        <w:snapToGrid w:val="0"/>
        <w:spacing w:line="360" w:lineRule="auto"/>
        <w:ind w:firstLine="480" w:firstLineChars="200"/>
        <w:jc w:val="left"/>
        <w:rPr>
          <w:rFonts w:hint="eastAsia"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邮编</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7BEC84AD">
      <w:pPr>
        <w:pStyle w:val="27"/>
        <w:snapToGrid w:val="0"/>
        <w:spacing w:line="360" w:lineRule="auto"/>
        <w:ind w:firstLine="480" w:firstLineChars="200"/>
        <w:jc w:val="left"/>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联系人：</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联系</w:t>
      </w:r>
      <w:r>
        <w:rPr>
          <w:rFonts w:hint="eastAsia" w:hAnsi="宋体"/>
          <w:bCs/>
          <w:color w:val="000000" w:themeColor="text1"/>
          <w:sz w:val="24"/>
          <w:szCs w:val="24"/>
          <w:highlight w:val="none"/>
          <w14:textFill>
            <w14:solidFill>
              <w14:schemeClr w14:val="tx1"/>
            </w14:solidFill>
          </w14:textFill>
        </w:rPr>
        <w:t>电话：</w:t>
      </w:r>
      <w:r>
        <w:rPr>
          <w:rFonts w:hint="eastAsia" w:hAnsi="宋体"/>
          <w:bCs/>
          <w:color w:val="000000" w:themeColor="text1"/>
          <w:sz w:val="24"/>
          <w:szCs w:val="24"/>
          <w:highlight w:val="none"/>
          <w:u w:val="single"/>
          <w14:textFill>
            <w14:solidFill>
              <w14:schemeClr w14:val="tx1"/>
            </w14:solidFill>
          </w14:textFill>
        </w:rPr>
        <w:t xml:space="preserve">                </w:t>
      </w:r>
    </w:p>
    <w:p w14:paraId="67610776">
      <w:pPr>
        <w:pStyle w:val="27"/>
        <w:snapToGrid w:val="0"/>
        <w:spacing w:line="360" w:lineRule="auto"/>
        <w:ind w:firstLine="480" w:firstLineChars="200"/>
        <w:jc w:val="left"/>
        <w:rPr>
          <w:rFonts w:hint="eastAsia"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被投诉人2：</w:t>
      </w:r>
    </w:p>
    <w:p w14:paraId="0489FC40">
      <w:pPr>
        <w:pStyle w:val="27"/>
        <w:snapToGrid w:val="0"/>
        <w:spacing w:line="360" w:lineRule="auto"/>
        <w:ind w:firstLine="480" w:firstLineChars="200"/>
        <w:jc w:val="left"/>
        <w:rPr>
          <w:rFonts w:hint="eastAsia"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w:t>
      </w:r>
    </w:p>
    <w:p w14:paraId="05069719">
      <w:pPr>
        <w:pStyle w:val="27"/>
        <w:snapToGrid w:val="0"/>
        <w:spacing w:line="360" w:lineRule="auto"/>
        <w:ind w:firstLine="480" w:firstLineChars="200"/>
        <w:jc w:val="left"/>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相关供应商：</w:t>
      </w:r>
      <w:r>
        <w:rPr>
          <w:rFonts w:hint="eastAsia" w:hAnsi="宋体"/>
          <w:bCs/>
          <w:color w:val="000000" w:themeColor="text1"/>
          <w:sz w:val="24"/>
          <w:szCs w:val="24"/>
          <w:highlight w:val="none"/>
          <w:u w:val="single"/>
          <w14:textFill>
            <w14:solidFill>
              <w14:schemeClr w14:val="tx1"/>
            </w14:solidFill>
          </w14:textFill>
        </w:rPr>
        <w:t xml:space="preserve">                                                                       </w:t>
      </w:r>
    </w:p>
    <w:p w14:paraId="13A1D3A0">
      <w:pPr>
        <w:pStyle w:val="27"/>
        <w:snapToGrid w:val="0"/>
        <w:spacing w:line="360" w:lineRule="auto"/>
        <w:ind w:firstLine="480" w:firstLineChars="200"/>
        <w:jc w:val="left"/>
        <w:rPr>
          <w:rFonts w:hint="eastAsia" w:hAnsi="宋体"/>
          <w:bCs/>
          <w:color w:val="000000" w:themeColor="text1"/>
          <w:sz w:val="24"/>
          <w:szCs w:val="24"/>
          <w:highlight w:val="none"/>
          <w:u w:val="single"/>
          <w14:textFill>
            <w14:solidFill>
              <w14:schemeClr w14:val="tx1"/>
            </w14:solidFill>
          </w14:textFill>
        </w:rPr>
      </w:pPr>
      <w:r>
        <w:rPr>
          <w:rFonts w:hAnsi="宋体"/>
          <w:bCs/>
          <w:color w:val="000000" w:themeColor="text1"/>
          <w:sz w:val="24"/>
          <w:szCs w:val="24"/>
          <w:highlight w:val="none"/>
          <w14:textFill>
            <w14:solidFill>
              <w14:schemeClr w14:val="tx1"/>
            </w14:solidFill>
          </w14:textFill>
        </w:rPr>
        <w:t>地址</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邮编</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p>
    <w:p w14:paraId="79610024">
      <w:pPr>
        <w:pStyle w:val="27"/>
        <w:snapToGrid w:val="0"/>
        <w:spacing w:line="360" w:lineRule="auto"/>
        <w:ind w:firstLine="480" w:firstLineChars="200"/>
        <w:jc w:val="left"/>
        <w:rPr>
          <w:rFonts w:hint="eastAsia"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联系人：</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联系</w:t>
      </w:r>
      <w:r>
        <w:rPr>
          <w:rFonts w:hint="eastAsia" w:hAnsi="宋体"/>
          <w:bCs/>
          <w:color w:val="000000" w:themeColor="text1"/>
          <w:sz w:val="24"/>
          <w:szCs w:val="24"/>
          <w:highlight w:val="none"/>
          <w14:textFill>
            <w14:solidFill>
              <w14:schemeClr w14:val="tx1"/>
            </w14:solidFill>
          </w14:textFill>
        </w:rPr>
        <w:t>电话：</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644C5637">
      <w:pPr>
        <w:pStyle w:val="27"/>
        <w:snapToGrid w:val="0"/>
        <w:spacing w:line="360" w:lineRule="auto"/>
        <w:ind w:firstLine="482" w:firstLineChars="200"/>
        <w:rPr>
          <w:rFonts w:hint="eastAsia" w:hAnsi="宋体"/>
          <w:b/>
          <w:bCs/>
          <w:color w:val="000000" w:themeColor="text1"/>
          <w:sz w:val="24"/>
          <w:szCs w:val="24"/>
          <w:highlight w:val="none"/>
          <w14:textFill>
            <w14:solidFill>
              <w14:schemeClr w14:val="tx1"/>
            </w14:solidFill>
          </w14:textFill>
        </w:rPr>
      </w:pPr>
      <w:r>
        <w:rPr>
          <w:rFonts w:hint="eastAsia" w:hAnsi="宋体"/>
          <w:b/>
          <w:bCs/>
          <w:color w:val="000000" w:themeColor="text1"/>
          <w:sz w:val="24"/>
          <w:szCs w:val="24"/>
          <w:highlight w:val="none"/>
          <w14:textFill>
            <w14:solidFill>
              <w14:schemeClr w14:val="tx1"/>
            </w14:solidFill>
          </w14:textFill>
        </w:rPr>
        <w:t>二、投诉项目基本情况：</w:t>
      </w:r>
    </w:p>
    <w:p w14:paraId="49F8702D">
      <w:pPr>
        <w:pStyle w:val="27"/>
        <w:spacing w:line="360" w:lineRule="auto"/>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招标项目的名称：</w:t>
      </w:r>
      <w:r>
        <w:rPr>
          <w:rFonts w:hint="eastAsia" w:hAnsi="宋体"/>
          <w:bCs/>
          <w:color w:val="000000" w:themeColor="text1"/>
          <w:sz w:val="24"/>
          <w:szCs w:val="24"/>
          <w:highlight w:val="none"/>
          <w:u w:val="single"/>
          <w14:textFill>
            <w14:solidFill>
              <w14:schemeClr w14:val="tx1"/>
            </w14:solidFill>
          </w14:textFill>
        </w:rPr>
        <w:t xml:space="preserve">                                                                   </w:t>
      </w:r>
    </w:p>
    <w:p w14:paraId="5074D805">
      <w:pPr>
        <w:pStyle w:val="27"/>
        <w:spacing w:line="360" w:lineRule="auto"/>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招标项目的编号：</w:t>
      </w:r>
      <w:r>
        <w:rPr>
          <w:rFonts w:hint="eastAsia" w:hAnsi="宋体"/>
          <w:bCs/>
          <w:color w:val="000000" w:themeColor="text1"/>
          <w:sz w:val="24"/>
          <w:szCs w:val="24"/>
          <w:highlight w:val="none"/>
          <w:u w:val="single"/>
          <w14:textFill>
            <w14:solidFill>
              <w14:schemeClr w14:val="tx1"/>
            </w14:solidFill>
          </w14:textFill>
        </w:rPr>
        <w:t xml:space="preserve">                                          </w:t>
      </w:r>
    </w:p>
    <w:p w14:paraId="6956A8F6">
      <w:pPr>
        <w:pStyle w:val="27"/>
        <w:spacing w:line="360" w:lineRule="auto"/>
        <w:ind w:left="25" w:leftChars="12" w:firstLine="472" w:firstLineChars="197"/>
        <w:rPr>
          <w:rFonts w:hint="eastAsia" w:hAnsi="宋体"/>
          <w:bCs/>
          <w:color w:val="000000" w:themeColor="text1"/>
          <w:sz w:val="24"/>
          <w:szCs w:val="24"/>
          <w:highlight w:val="none"/>
          <w:u w:val="singl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采购人名称：</w:t>
      </w:r>
      <w:r>
        <w:rPr>
          <w:rFonts w:hint="eastAsia" w:hAnsi="宋体"/>
          <w:bCs/>
          <w:color w:val="000000" w:themeColor="text1"/>
          <w:sz w:val="24"/>
          <w:szCs w:val="24"/>
          <w:highlight w:val="none"/>
          <w:u w:val="single"/>
          <w14:textFill>
            <w14:solidFill>
              <w14:schemeClr w14:val="tx1"/>
            </w14:solidFill>
          </w14:textFill>
        </w:rPr>
        <w:t xml:space="preserve">                                                                        </w:t>
      </w:r>
    </w:p>
    <w:p w14:paraId="74DCF9BD">
      <w:pPr>
        <w:pStyle w:val="27"/>
        <w:spacing w:line="360" w:lineRule="auto"/>
        <w:ind w:left="25" w:leftChars="12" w:firstLine="472" w:firstLineChars="197"/>
        <w:rPr>
          <w:rFonts w:hint="eastAsia" w:hAnsi="宋体"/>
          <w:bCs/>
          <w:color w:val="000000" w:themeColor="text1"/>
          <w:sz w:val="24"/>
          <w:szCs w:val="24"/>
          <w:highlight w:val="none"/>
          <w:u w:val="singl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代理机构名称：</w:t>
      </w:r>
      <w:r>
        <w:rPr>
          <w:rFonts w:hint="eastAsia" w:hAnsi="宋体"/>
          <w:bCs/>
          <w:color w:val="000000" w:themeColor="text1"/>
          <w:sz w:val="24"/>
          <w:szCs w:val="24"/>
          <w:highlight w:val="none"/>
          <w:u w:val="single"/>
          <w14:textFill>
            <w14:solidFill>
              <w14:schemeClr w14:val="tx1"/>
            </w14:solidFill>
          </w14:textFill>
        </w:rPr>
        <w:t xml:space="preserve">                                                                      </w:t>
      </w:r>
    </w:p>
    <w:p w14:paraId="64EB3F94">
      <w:pPr>
        <w:pStyle w:val="27"/>
        <w:spacing w:line="360" w:lineRule="auto"/>
        <w:ind w:left="25" w:leftChars="12" w:firstLine="472" w:firstLineChars="197"/>
        <w:rPr>
          <w:rFonts w:hint="eastAsia" w:hAnsi="宋体"/>
          <w:bCs/>
          <w:color w:val="000000" w:themeColor="text1"/>
          <w:sz w:val="24"/>
          <w:szCs w:val="24"/>
          <w:highlight w:val="none"/>
          <w:u w:val="singl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招标</w:t>
      </w:r>
      <w:r>
        <w:rPr>
          <w:rFonts w:hint="eastAsia" w:hAnsi="宋体"/>
          <w:bCs/>
          <w:color w:val="000000" w:themeColor="text1"/>
          <w:sz w:val="24"/>
          <w:szCs w:val="24"/>
          <w:highlight w:val="none"/>
          <w14:textFill>
            <w14:solidFill>
              <w14:schemeClr w14:val="tx1"/>
            </w14:solidFill>
          </w14:textFill>
        </w:rPr>
        <w:t>文件公告：</w:t>
      </w:r>
      <w:r>
        <w:rPr>
          <w:rFonts w:hint="eastAsia" w:hAnsi="宋体"/>
          <w:bCs/>
          <w:color w:val="000000" w:themeColor="text1"/>
          <w:sz w:val="24"/>
          <w:szCs w:val="24"/>
          <w:highlight w:val="none"/>
          <w:u w:val="single"/>
          <w14:textFill>
            <w14:solidFill>
              <w14:schemeClr w14:val="tx1"/>
            </w14:solidFill>
          </w14:textFill>
        </w:rPr>
        <w:t>是/否</w:t>
      </w:r>
      <w:r>
        <w:rPr>
          <w:rFonts w:hint="eastAsia" w:hAnsi="宋体"/>
          <w:bCs/>
          <w:color w:val="000000" w:themeColor="text1"/>
          <w:sz w:val="24"/>
          <w:szCs w:val="24"/>
          <w:highlight w:val="none"/>
          <w14:textFill>
            <w14:solidFill>
              <w14:schemeClr w14:val="tx1"/>
            </w14:solidFill>
          </w14:textFill>
        </w:rPr>
        <w:t>公告期限：</w:t>
      </w:r>
      <w:r>
        <w:rPr>
          <w:rFonts w:hint="eastAsia" w:hAnsi="宋体"/>
          <w:bCs/>
          <w:color w:val="000000" w:themeColor="text1"/>
          <w:sz w:val="24"/>
          <w:szCs w:val="24"/>
          <w:highlight w:val="none"/>
          <w:u w:val="single"/>
          <w14:textFill>
            <w14:solidFill>
              <w14:schemeClr w14:val="tx1"/>
            </w14:solidFill>
          </w14:textFill>
        </w:rPr>
        <w:t xml:space="preserve">                                                       </w:t>
      </w:r>
    </w:p>
    <w:p w14:paraId="04729DE3">
      <w:pPr>
        <w:pStyle w:val="27"/>
        <w:spacing w:line="360" w:lineRule="auto"/>
        <w:ind w:left="25" w:leftChars="12" w:firstLine="472" w:firstLineChars="197"/>
        <w:rPr>
          <w:rFonts w:hint="eastAsia" w:hAnsi="宋体"/>
          <w:b/>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招标</w:t>
      </w:r>
      <w:r>
        <w:rPr>
          <w:rFonts w:hint="eastAsia" w:hAnsi="宋体"/>
          <w:bCs/>
          <w:color w:val="000000" w:themeColor="text1"/>
          <w:sz w:val="24"/>
          <w:szCs w:val="24"/>
          <w:highlight w:val="none"/>
          <w14:textFill>
            <w14:solidFill>
              <w14:schemeClr w14:val="tx1"/>
            </w14:solidFill>
          </w14:textFill>
        </w:rPr>
        <w:t>结果公告：</w:t>
      </w:r>
      <w:r>
        <w:rPr>
          <w:rFonts w:hint="eastAsia" w:hAnsi="宋体"/>
          <w:bCs/>
          <w:color w:val="000000" w:themeColor="text1"/>
          <w:sz w:val="24"/>
          <w:szCs w:val="24"/>
          <w:highlight w:val="none"/>
          <w:u w:val="single"/>
          <w14:textFill>
            <w14:solidFill>
              <w14:schemeClr w14:val="tx1"/>
            </w14:solidFill>
          </w14:textFill>
        </w:rPr>
        <w:t>是/否</w:t>
      </w:r>
      <w:r>
        <w:rPr>
          <w:rFonts w:hint="eastAsia" w:hAnsi="宋体"/>
          <w:bCs/>
          <w:color w:val="000000" w:themeColor="text1"/>
          <w:sz w:val="24"/>
          <w:szCs w:val="24"/>
          <w:highlight w:val="none"/>
          <w14:textFill>
            <w14:solidFill>
              <w14:schemeClr w14:val="tx1"/>
            </w14:solidFill>
          </w14:textFill>
        </w:rPr>
        <w:t>公告期限：</w:t>
      </w:r>
      <w:r>
        <w:rPr>
          <w:rFonts w:hint="eastAsia" w:hAnsi="宋体"/>
          <w:bCs/>
          <w:color w:val="000000" w:themeColor="text1"/>
          <w:sz w:val="24"/>
          <w:szCs w:val="24"/>
          <w:highlight w:val="none"/>
          <w:u w:val="single"/>
          <w14:textFill>
            <w14:solidFill>
              <w14:schemeClr w14:val="tx1"/>
            </w14:solidFill>
          </w14:textFill>
        </w:rPr>
        <w:t xml:space="preserve">                                                       </w:t>
      </w:r>
    </w:p>
    <w:p w14:paraId="50807A80">
      <w:pPr>
        <w:pStyle w:val="27"/>
        <w:spacing w:line="360" w:lineRule="auto"/>
        <w:ind w:left="25" w:leftChars="12" w:firstLine="472" w:firstLineChars="196"/>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三、质疑基本情况</w:t>
      </w:r>
    </w:p>
    <w:p w14:paraId="5A8C96A2">
      <w:pPr>
        <w:pStyle w:val="27"/>
        <w:spacing w:line="360" w:lineRule="auto"/>
        <w:ind w:left="25" w:leftChars="12" w:firstLine="480" w:firstLineChars="200"/>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投诉人于</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年</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月</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日，向</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提出质疑，质疑事项为：</w:t>
      </w:r>
    </w:p>
    <w:p w14:paraId="1ABFF870">
      <w:pPr>
        <w:pStyle w:val="27"/>
        <w:spacing w:line="360" w:lineRule="auto"/>
        <w:ind w:firstLine="241"/>
        <w:rPr>
          <w:rFonts w:hint="eastAsia" w:hAnsi="宋体"/>
          <w:bCs/>
          <w:color w:val="000000" w:themeColor="text1"/>
          <w:sz w:val="24"/>
          <w:szCs w:val="24"/>
          <w:highlight w:val="none"/>
          <w:u w:val="singl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    </w:t>
      </w:r>
      <w:r>
        <w:rPr>
          <w:rFonts w:hint="eastAsia" w:hAnsi="宋体"/>
          <w:bCs/>
          <w:color w:val="000000" w:themeColor="text1"/>
          <w:sz w:val="24"/>
          <w:szCs w:val="24"/>
          <w:highlight w:val="none"/>
          <w:u w:val="single"/>
          <w14:textFill>
            <w14:solidFill>
              <w14:schemeClr w14:val="tx1"/>
            </w14:solidFill>
          </w14:textFill>
        </w:rPr>
        <w:t xml:space="preserve">                                                                                      </w:t>
      </w:r>
    </w:p>
    <w:p w14:paraId="7087929E">
      <w:pPr>
        <w:pStyle w:val="27"/>
        <w:spacing w:line="360" w:lineRule="auto"/>
        <w:ind w:firstLine="241"/>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 xml:space="preserve">    </w:t>
      </w:r>
      <w:r>
        <w:rPr>
          <w:rFonts w:hint="eastAsia" w:hAnsi="宋体"/>
          <w:bCs/>
          <w:color w:val="000000" w:themeColor="text1"/>
          <w:sz w:val="24"/>
          <w:szCs w:val="24"/>
          <w:highlight w:val="none"/>
          <w:u w:val="single"/>
          <w14:textFill>
            <w14:solidFill>
              <w14:schemeClr w14:val="tx1"/>
            </w14:solidFill>
          </w14:textFill>
        </w:rPr>
        <w:t xml:space="preserve">                                                                                      </w:t>
      </w:r>
    </w:p>
    <w:p w14:paraId="5C963D1F">
      <w:pPr>
        <w:pStyle w:val="27"/>
        <w:spacing w:line="360" w:lineRule="auto"/>
        <w:ind w:firstLine="480" w:firstLineChars="200"/>
        <w:rPr>
          <w:rFonts w:hint="eastAsia"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u w:val="single"/>
          <w14:textFill>
            <w14:solidFill>
              <w14:schemeClr w14:val="tx1"/>
            </w14:solidFill>
          </w14:textFill>
        </w:rPr>
        <w:t>采购人/代理机构</w:t>
      </w:r>
      <w:r>
        <w:rPr>
          <w:rFonts w:hint="eastAsia" w:hAnsi="宋体"/>
          <w:bCs/>
          <w:color w:val="000000" w:themeColor="text1"/>
          <w:sz w:val="24"/>
          <w:szCs w:val="24"/>
          <w:highlight w:val="none"/>
          <w14:textFill>
            <w14:solidFill>
              <w14:schemeClr w14:val="tx1"/>
            </w14:solidFill>
          </w14:textFill>
        </w:rPr>
        <w:t>于</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年</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月</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日，</w:t>
      </w:r>
      <w:r>
        <w:rPr>
          <w:rFonts w:hint="eastAsia" w:hAnsi="宋体"/>
          <w:bCs/>
          <w:color w:val="000000" w:themeColor="text1"/>
          <w:sz w:val="24"/>
          <w:szCs w:val="24"/>
          <w:highlight w:val="none"/>
          <w14:textFill>
            <w14:solidFill>
              <w14:schemeClr w14:val="tx1"/>
            </w14:solidFill>
          </w14:textFill>
        </w:rPr>
        <w:t xml:space="preserve">就质疑事项作出了答复/没有在法定期限内作出答复。                                                                                             </w:t>
      </w:r>
    </w:p>
    <w:p w14:paraId="0DA3EC2B">
      <w:pPr>
        <w:pStyle w:val="27"/>
        <w:spacing w:line="360" w:lineRule="auto"/>
        <w:ind w:left="25" w:leftChars="12" w:firstLine="472" w:firstLineChars="196"/>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四、投诉事项具体内容</w:t>
      </w:r>
    </w:p>
    <w:p w14:paraId="1CC60339">
      <w:pPr>
        <w:pStyle w:val="27"/>
        <w:spacing w:line="360" w:lineRule="auto"/>
        <w:ind w:left="25" w:leftChars="12" w:firstLine="472" w:firstLineChars="197"/>
        <w:rPr>
          <w:rFonts w:hint="eastAsia" w:hAnsi="宋体"/>
          <w:bCs/>
          <w:color w:val="000000" w:themeColor="text1"/>
          <w:sz w:val="24"/>
          <w:szCs w:val="24"/>
          <w:highlight w:val="none"/>
          <w:u w:val="singl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投诉事项1：</w:t>
      </w:r>
      <w:r>
        <w:rPr>
          <w:rFonts w:hint="eastAsia" w:hAnsi="宋体"/>
          <w:bCs/>
          <w:color w:val="000000" w:themeColor="text1"/>
          <w:sz w:val="24"/>
          <w:szCs w:val="24"/>
          <w:highlight w:val="none"/>
          <w:u w:val="single"/>
          <w14:textFill>
            <w14:solidFill>
              <w14:schemeClr w14:val="tx1"/>
            </w14:solidFill>
          </w14:textFill>
        </w:rPr>
        <w:t xml:space="preserve">                                                                           </w:t>
      </w:r>
    </w:p>
    <w:p w14:paraId="70FF063B">
      <w:pPr>
        <w:pStyle w:val="27"/>
        <w:spacing w:line="360" w:lineRule="auto"/>
        <w:ind w:firstLine="480" w:firstLineChars="200"/>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事实依据：</w:t>
      </w:r>
      <w:r>
        <w:rPr>
          <w:rFonts w:hint="eastAsia" w:hAnsi="宋体"/>
          <w:color w:val="000000" w:themeColor="text1"/>
          <w:sz w:val="24"/>
          <w:szCs w:val="24"/>
          <w:highlight w:val="none"/>
          <w14:textFill>
            <w14:solidFill>
              <w14:schemeClr w14:val="tx1"/>
            </w14:solidFill>
          </w14:textFill>
        </w:rPr>
        <w:t xml:space="preserve"> </w:t>
      </w:r>
      <w:r>
        <w:rPr>
          <w:rFonts w:hint="eastAsia" w:hAnsi="宋体"/>
          <w:bCs/>
          <w:color w:val="000000" w:themeColor="text1"/>
          <w:sz w:val="24"/>
          <w:szCs w:val="24"/>
          <w:highlight w:val="none"/>
          <w:u w:val="single"/>
          <w14:textFill>
            <w14:solidFill>
              <w14:schemeClr w14:val="tx1"/>
            </w14:solidFill>
          </w14:textFill>
        </w:rPr>
        <w:t xml:space="preserve">                                                                                      </w:t>
      </w:r>
    </w:p>
    <w:p w14:paraId="29F0DC7C">
      <w:pPr>
        <w:pStyle w:val="27"/>
        <w:spacing w:line="360" w:lineRule="auto"/>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u w:val="single"/>
          <w14:textFill>
            <w14:solidFill>
              <w14:schemeClr w14:val="tx1"/>
            </w14:solidFill>
          </w14:textFill>
        </w:rPr>
        <w:t xml:space="preserve">                                                                                        </w:t>
      </w:r>
    </w:p>
    <w:p w14:paraId="7CDE437C">
      <w:pPr>
        <w:pStyle w:val="27"/>
        <w:spacing w:line="360" w:lineRule="auto"/>
        <w:ind w:firstLine="480" w:firstLineChars="200"/>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法律依据：</w:t>
      </w:r>
      <w:r>
        <w:rPr>
          <w:rFonts w:hint="eastAsia" w:hAnsi="宋体"/>
          <w:color w:val="000000" w:themeColor="text1"/>
          <w:sz w:val="24"/>
          <w:szCs w:val="24"/>
          <w:highlight w:val="none"/>
          <w14:textFill>
            <w14:solidFill>
              <w14:schemeClr w14:val="tx1"/>
            </w14:solidFill>
          </w14:textFill>
        </w:rPr>
        <w:t xml:space="preserve"> </w:t>
      </w:r>
      <w:r>
        <w:rPr>
          <w:rFonts w:hint="eastAsia" w:hAnsi="宋体"/>
          <w:bCs/>
          <w:color w:val="000000" w:themeColor="text1"/>
          <w:sz w:val="24"/>
          <w:szCs w:val="24"/>
          <w:highlight w:val="none"/>
          <w:u w:val="single"/>
          <w14:textFill>
            <w14:solidFill>
              <w14:schemeClr w14:val="tx1"/>
            </w14:solidFill>
          </w14:textFill>
        </w:rPr>
        <w:t xml:space="preserve">                                                                                      </w:t>
      </w:r>
    </w:p>
    <w:p w14:paraId="4A0BEF6F">
      <w:pPr>
        <w:pStyle w:val="27"/>
        <w:spacing w:line="360" w:lineRule="auto"/>
        <w:ind w:left="25" w:leftChars="12" w:firstLine="352" w:firstLineChars="147"/>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 xml:space="preserve"> </w:t>
      </w:r>
      <w:r>
        <w:rPr>
          <w:rFonts w:hint="eastAsia" w:hAnsi="宋体"/>
          <w:bCs/>
          <w:color w:val="000000" w:themeColor="text1"/>
          <w:sz w:val="24"/>
          <w:szCs w:val="24"/>
          <w:highlight w:val="none"/>
          <w:u w:val="single"/>
          <w14:textFill>
            <w14:solidFill>
              <w14:schemeClr w14:val="tx1"/>
            </w14:solidFill>
          </w14:textFill>
        </w:rPr>
        <w:t xml:space="preserve">                                                                                        </w:t>
      </w:r>
    </w:p>
    <w:p w14:paraId="588D88B6">
      <w:pPr>
        <w:pStyle w:val="27"/>
        <w:spacing w:line="360" w:lineRule="auto"/>
        <w:ind w:left="25" w:leftChars="12" w:firstLine="472" w:firstLineChars="197"/>
        <w:rPr>
          <w:rFonts w:hint="eastAsia" w:hAnsi="宋体"/>
          <w:bCs/>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投诉事项2  </w:t>
      </w:r>
      <w:r>
        <w:rPr>
          <w:rFonts w:hint="eastAsia" w:hAnsi="宋体"/>
          <w:bCs/>
          <w:color w:val="000000" w:themeColor="text1"/>
          <w:sz w:val="24"/>
          <w:szCs w:val="24"/>
          <w:highlight w:val="none"/>
          <w14:textFill>
            <w14:solidFill>
              <w14:schemeClr w14:val="tx1"/>
            </w14:solidFill>
          </w14:textFill>
        </w:rPr>
        <w:t xml:space="preserve">   </w:t>
      </w:r>
    </w:p>
    <w:p w14:paraId="4E8D3413">
      <w:pPr>
        <w:pStyle w:val="27"/>
        <w:spacing w:line="360" w:lineRule="auto"/>
        <w:ind w:left="25" w:leftChars="12" w:firstLine="472" w:firstLineChars="197"/>
        <w:rPr>
          <w:rFonts w:hint="eastAsia"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w:t>
      </w:r>
    </w:p>
    <w:p w14:paraId="263E5AB8">
      <w:pPr>
        <w:pStyle w:val="27"/>
        <w:spacing w:line="360" w:lineRule="auto"/>
        <w:ind w:left="25" w:leftChars="12" w:firstLine="472" w:firstLineChars="196"/>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五、与投诉事项相关的投诉请求：</w:t>
      </w:r>
    </w:p>
    <w:p w14:paraId="6D344076">
      <w:pPr>
        <w:pStyle w:val="27"/>
        <w:spacing w:line="360" w:lineRule="auto"/>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请求：</w:t>
      </w:r>
      <w:r>
        <w:rPr>
          <w:rFonts w:hint="eastAsia" w:hAnsi="宋体"/>
          <w:bCs/>
          <w:color w:val="000000" w:themeColor="text1"/>
          <w:sz w:val="24"/>
          <w:szCs w:val="24"/>
          <w:highlight w:val="none"/>
          <w:u w:val="single"/>
          <w14:textFill>
            <w14:solidFill>
              <w14:schemeClr w14:val="tx1"/>
            </w14:solidFill>
          </w14:textFill>
        </w:rPr>
        <w:t xml:space="preserve">                                                                                 </w:t>
      </w:r>
    </w:p>
    <w:p w14:paraId="780C737C">
      <w:pPr>
        <w:pStyle w:val="27"/>
        <w:spacing w:line="360" w:lineRule="auto"/>
        <w:ind w:left="25" w:leftChars="12" w:firstLine="352" w:firstLineChars="147"/>
        <w:rPr>
          <w:rFonts w:hint="eastAsia" w:hAnsi="宋体"/>
          <w:color w:val="000000" w:themeColor="text1"/>
          <w:sz w:val="24"/>
          <w:szCs w:val="24"/>
          <w:highlight w:val="none"/>
          <w14:textFill>
            <w14:solidFill>
              <w14:schemeClr w14:val="tx1"/>
            </w14:solidFill>
          </w14:textFill>
        </w:rPr>
      </w:pPr>
    </w:p>
    <w:p w14:paraId="6A53788C">
      <w:pPr>
        <w:pStyle w:val="27"/>
        <w:spacing w:line="360" w:lineRule="auto"/>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签字（签章）：                                       公章：</w:t>
      </w:r>
    </w:p>
    <w:p w14:paraId="19D82366">
      <w:pPr>
        <w:pStyle w:val="27"/>
        <w:spacing w:line="360" w:lineRule="auto"/>
        <w:ind w:left="25" w:leftChars="12" w:firstLine="352" w:firstLineChars="147"/>
        <w:rPr>
          <w:rFonts w:hint="eastAsia" w:hAnsi="宋体"/>
          <w:color w:val="000000" w:themeColor="text1"/>
          <w:sz w:val="24"/>
          <w:szCs w:val="24"/>
          <w:highlight w:val="none"/>
          <w14:textFill>
            <w14:solidFill>
              <w14:schemeClr w14:val="tx1"/>
            </w14:solidFill>
          </w14:textFill>
        </w:rPr>
      </w:pPr>
    </w:p>
    <w:p w14:paraId="45A675FF">
      <w:pPr>
        <w:pStyle w:val="27"/>
        <w:spacing w:line="360" w:lineRule="auto"/>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日期：</w:t>
      </w:r>
    </w:p>
    <w:p w14:paraId="4C9141D0">
      <w:pPr>
        <w:pStyle w:val="27"/>
        <w:spacing w:line="360" w:lineRule="auto"/>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 xml:space="preserve">                                                                              </w:t>
      </w:r>
    </w:p>
    <w:p w14:paraId="2603601D">
      <w:pPr>
        <w:pStyle w:val="27"/>
        <w:snapToGrid w:val="0"/>
        <w:spacing w:line="360" w:lineRule="auto"/>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说明：</w:t>
      </w:r>
    </w:p>
    <w:p w14:paraId="3E736451">
      <w:pPr>
        <w:pStyle w:val="27"/>
        <w:spacing w:line="360" w:lineRule="auto"/>
        <w:ind w:left="25" w:leftChars="12" w:firstLine="354" w:firstLineChars="147"/>
        <w:rPr>
          <w:rFonts w:hint="eastAsia" w:hAnsi="宋体"/>
          <w:b/>
          <w:bCs/>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1.投诉人提起投诉时，应当提交投诉书和必要的证明材料，并按照被投诉人和与投诉事项有关的供应商数量提供投诉书副本</w:t>
      </w:r>
      <w:r>
        <w:rPr>
          <w:rFonts w:hint="eastAsia" w:hAnsi="宋体"/>
          <w:b/>
          <w:bCs/>
          <w:color w:val="000000" w:themeColor="text1"/>
          <w:sz w:val="24"/>
          <w:szCs w:val="24"/>
          <w:highlight w:val="none"/>
          <w14:textFill>
            <w14:solidFill>
              <w14:schemeClr w14:val="tx1"/>
            </w14:solidFill>
          </w14:textFill>
        </w:rPr>
        <w:t>。</w:t>
      </w:r>
    </w:p>
    <w:p w14:paraId="3AADFC1C">
      <w:pPr>
        <w:pStyle w:val="27"/>
        <w:spacing w:line="360" w:lineRule="auto"/>
        <w:ind w:left="25" w:leftChars="12" w:firstLine="354" w:firstLineChars="147"/>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759BD5A1">
      <w:pPr>
        <w:pStyle w:val="27"/>
        <w:spacing w:line="360" w:lineRule="auto"/>
        <w:ind w:left="25" w:leftChars="12" w:firstLine="354" w:firstLineChars="147"/>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3.投诉书应简要列明质疑事项，质疑函、质疑答复等作为附件材料提供。</w:t>
      </w:r>
    </w:p>
    <w:p w14:paraId="169124EA">
      <w:pPr>
        <w:pStyle w:val="27"/>
        <w:spacing w:line="360" w:lineRule="auto"/>
        <w:ind w:left="25" w:leftChars="12" w:firstLine="354" w:firstLineChars="147"/>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4.投诉书的投诉事项应具体、明确，并有必要的事实依据和法律依据。</w:t>
      </w:r>
    </w:p>
    <w:p w14:paraId="75649F14">
      <w:pPr>
        <w:pStyle w:val="27"/>
        <w:spacing w:line="360" w:lineRule="auto"/>
        <w:ind w:left="25" w:leftChars="12" w:firstLine="354" w:firstLineChars="147"/>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5.投诉书的投诉请求应与投诉事项相关。</w:t>
      </w:r>
    </w:p>
    <w:p w14:paraId="0329F412">
      <w:pPr>
        <w:pStyle w:val="27"/>
        <w:spacing w:line="360" w:lineRule="auto"/>
        <w:ind w:left="25" w:leftChars="12" w:firstLine="354" w:firstLineChars="147"/>
        <w:rPr>
          <w:rFonts w:hint="eastAsia" w:hAnsi="宋体"/>
          <w:b/>
          <w:color w:val="000000" w:themeColor="text1"/>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6.投诉人为法人或者其他组织的，投诉书应由法定代表人、主要负责人，或者其授权代表签字或者盖章，并加盖公章。</w:t>
      </w:r>
    </w:p>
    <w:sectPr>
      <w:footerReference r:id="rId10" w:type="first"/>
      <w:headerReference r:id="rId7" w:type="default"/>
      <w:footerReference r:id="rId8" w:type="default"/>
      <w:footerReference r:id="rId9" w:type="even"/>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DB8EB85-796C-4AA8-92B3-45A813467DB0}"/>
  </w:font>
  <w:font w:name="黑体">
    <w:panose1 w:val="02010609060101010101"/>
    <w:charset w:val="86"/>
    <w:family w:val="auto"/>
    <w:pitch w:val="default"/>
    <w:sig w:usb0="800002BF" w:usb1="38CF7CFA" w:usb2="00000016" w:usb3="00000000" w:csb0="00040001" w:csb1="00000000"/>
    <w:embedRegular r:id="rId2" w:fontKey="{9DA3E79B-53D3-44F5-9B44-4FBAE581F768}"/>
  </w:font>
  <w:font w:name="Courier New">
    <w:panose1 w:val="02070309020205020404"/>
    <w:charset w:val="01"/>
    <w:family w:val="modern"/>
    <w:pitch w:val="default"/>
    <w:sig w:usb0="E0002EFF" w:usb1="C0007843" w:usb2="00000009" w:usb3="00000000" w:csb0="400001FF" w:csb1="FFFF0000"/>
    <w:embedRegular r:id="rId3" w:fontKey="{BAFB2CA1-DB84-4F3A-991E-3A7E7567F3A4}"/>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D085715A-4562-43B5-B53E-97408E7BC5AA}"/>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5" w:fontKey="{C3ED580C-AE3F-4D4C-81C6-BD417AFB3E1F}"/>
  </w:font>
  <w:font w:name="Cambria">
    <w:panose1 w:val="02040503050406030204"/>
    <w:charset w:val="00"/>
    <w:family w:val="roman"/>
    <w:pitch w:val="default"/>
    <w:sig w:usb0="E00006FF" w:usb1="420024FF" w:usb2="02000000" w:usb3="00000000" w:csb0="2000019F" w:csb1="00000000"/>
  </w:font>
  <w:font w:name="ActionIcon ! importa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onospace">
    <w:altName w:val="Segoe Print"/>
    <w:panose1 w:val="00000000000000000000"/>
    <w:charset w:val="00"/>
    <w:family w:val="auto"/>
    <w:pitch w:val="default"/>
    <w:sig w:usb0="00000000" w:usb1="00000000" w:usb2="00000000" w:usb3="00000000" w:csb0="00000000" w:csb1="00000000"/>
  </w:font>
  <w:font w:name="_x000B__x000C_">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embedRegular r:id="rId6" w:fontKey="{0AE9CC98-C705-4F27-B706-BD47E4640EB9}"/>
  </w:font>
  <w:font w:name="Tahoma">
    <w:panose1 w:val="020B0604030504040204"/>
    <w:charset w:val="00"/>
    <w:family w:val="swiss"/>
    <w:pitch w:val="default"/>
    <w:sig w:usb0="E1002EFF" w:usb1="C000605B" w:usb2="00000029" w:usb3="00000000" w:csb0="200101FF" w:csb1="20280000"/>
  </w:font>
  <w:font w:name="Century">
    <w:panose1 w:val="02040604050505020304"/>
    <w:charset w:val="00"/>
    <w:family w:val="roman"/>
    <w:pitch w:val="default"/>
    <w:sig w:usb0="00000287" w:usb1="00000000" w:usb2="00000000" w:usb3="00000000" w:csb0="2000009F" w:csb1="DFD70000"/>
  </w:font>
  <w:font w:name="Arial Unicode MS">
    <w:panose1 w:val="020B0604020202020204"/>
    <w:charset w:val="86"/>
    <w:family w:val="swiss"/>
    <w:pitch w:val="default"/>
    <w:sig w:usb0="FFFFFFFF" w:usb1="E9FFFFFF" w:usb2="0000003F" w:usb3="00000000" w:csb0="603F01FF" w:csb1="FFFF0000"/>
    <w:embedRegular r:id="rId7" w:fontKey="{D3635999-0FA7-4883-97EF-93BF77ED8B12}"/>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方正小标宋简体">
    <w:panose1 w:val="02000000000000000000"/>
    <w:charset w:val="86"/>
    <w:family w:val="script"/>
    <w:pitch w:val="default"/>
    <w:sig w:usb0="00000001" w:usb1="08000000" w:usb2="00000000" w:usb3="00000000" w:csb0="00040000" w:csb1="00000000"/>
    <w:embedRegular r:id="rId8" w:fontKey="{E4DF7DE3-A199-4E9A-B41B-30BE7C3B627B}"/>
  </w:font>
  <w:font w:name="华文新魏">
    <w:panose1 w:val="02010800040101010101"/>
    <w:charset w:val="86"/>
    <w:family w:val="auto"/>
    <w:pitch w:val="default"/>
    <w:sig w:usb0="00000001" w:usb1="080F0000" w:usb2="00000000" w:usb3="00000000" w:csb0="00040000" w:csb1="00000000"/>
    <w:embedRegular r:id="rId9" w:fontKey="{7B8C8B15-5E9C-47F6-A200-91F671EF1A39}"/>
  </w:font>
  <w:font w:name="Wingdings 2">
    <w:panose1 w:val="05020102010507070707"/>
    <w:charset w:val="02"/>
    <w:family w:val="roman"/>
    <w:pitch w:val="default"/>
    <w:sig w:usb0="00000000" w:usb1="00000000" w:usb2="00000000" w:usb3="00000000" w:csb0="80000000" w:csb1="00000000"/>
    <w:embedRegular r:id="rId10" w:fontKey="{7347026B-F697-4A6E-9200-679D07CFAD00}"/>
  </w:font>
  <w:font w:name="Malgun Gothic">
    <w:panose1 w:val="020B0503020000020004"/>
    <w:charset w:val="81"/>
    <w:family w:val="swiss"/>
    <w:pitch w:val="default"/>
    <w:sig w:usb0="9000002F" w:usb1="29D77CFB" w:usb2="00000012" w:usb3="00000000" w:csb0="00080001" w:csb1="00000000"/>
    <w:embedRegular r:id="rId11" w:fontKey="{42B4DE50-E22B-49D2-BF76-4520672C05B6}"/>
  </w:font>
  <w:font w:name="仿宋">
    <w:panose1 w:val="02010609060101010101"/>
    <w:charset w:val="86"/>
    <w:family w:val="modern"/>
    <w:pitch w:val="default"/>
    <w:sig w:usb0="800002BF" w:usb1="38CF7CFA" w:usb2="00000016" w:usb3="00000000" w:csb0="00040001" w:csb1="00000000"/>
    <w:embedRegular r:id="rId12" w:fontKey="{C613A6FF-496F-4EAD-B5F1-93B9A425D575}"/>
  </w:font>
  <w:font w:name="隶书">
    <w:panose1 w:val="02010509060101010101"/>
    <w:charset w:val="86"/>
    <w:family w:val="modern"/>
    <w:pitch w:val="default"/>
    <w:sig w:usb0="00000001" w:usb1="080E0000" w:usb2="00000000" w:usb3="00000000" w:csb0="00040000" w:csb1="00000000"/>
    <w:embedRegular r:id="rId13" w:fontKey="{91732891-E2F9-416B-90B6-0D2900BDAA5D}"/>
  </w:font>
  <w:font w:name="WPSEMBED1">
    <w:panose1 w:val="02000000000000000000"/>
    <w:charset w:val="86"/>
    <w:family w:val="auto"/>
    <w:pitch w:val="default"/>
    <w:sig w:usb0="00000001" w:usb1="08000000" w:usb2="00000000" w:usb3="00000000" w:csb0="00040000" w:csb1="00000000"/>
  </w:font>
  <w:font w:name="ModIcon">
    <w:altName w:val="Segoe Print"/>
    <w:panose1 w:val="00000000000000000000"/>
    <w:charset w:val="00"/>
    <w:family w:val="auto"/>
    <w:pitch w:val="default"/>
    <w:sig w:usb0="00000000" w:usb1="00000000" w:usb2="00000000" w:usb3="00000000" w:csb0="00000000" w:csb1="00000000"/>
  </w:font>
  <w:font w:name="ActionIcon">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61C99">
    <w:pPr>
      <w:pStyle w:val="3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C84BAA">
                          <w:pPr>
                            <w:pStyle w:val="33"/>
                            <w:jc w:val="center"/>
                          </w:pPr>
                          <w:r>
                            <w:fldChar w:fldCharType="begin"/>
                          </w:r>
                          <w:r>
                            <w:instrText xml:space="preserve"> PAGE   \* MERGEFORMAT </w:instrText>
                          </w:r>
                          <w:r>
                            <w:fldChar w:fldCharType="separate"/>
                          </w:r>
                          <w:r>
                            <w:rPr>
                              <w:lang w:val="zh-CN"/>
                            </w:rP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2C84BAA">
                    <w:pPr>
                      <w:pStyle w:val="33"/>
                      <w:jc w:val="center"/>
                    </w:pPr>
                    <w:r>
                      <w:fldChar w:fldCharType="begin"/>
                    </w:r>
                    <w:r>
                      <w:instrText xml:space="preserve"> PAGE   \* MERGEFORMAT </w:instrText>
                    </w:r>
                    <w:r>
                      <w:fldChar w:fldCharType="separate"/>
                    </w:r>
                    <w:r>
                      <w:rPr>
                        <w:lang w:val="zh-CN"/>
                      </w:rPr>
                      <w:t>8</w:t>
                    </w:r>
                    <w:r>
                      <w:fldChar w:fldCharType="end"/>
                    </w:r>
                  </w:p>
                </w:txbxContent>
              </v:textbox>
            </v:shape>
          </w:pict>
        </mc:Fallback>
      </mc:AlternateContent>
    </w:r>
  </w:p>
  <w:p w14:paraId="003AD3F9">
    <w:pPr>
      <w:pStyle w:val="3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E9608">
    <w:pPr>
      <w:pStyle w:val="33"/>
      <w:framePr w:wrap="around" w:vAnchor="text" w:hAnchor="margin" w:xAlign="center" w:y="1"/>
      <w:rPr>
        <w:rStyle w:val="53"/>
      </w:rPr>
    </w:pPr>
    <w:r>
      <w:fldChar w:fldCharType="begin"/>
    </w:r>
    <w:r>
      <w:rPr>
        <w:rStyle w:val="53"/>
      </w:rPr>
      <w:instrText xml:space="preserve">PAGE  </w:instrText>
    </w:r>
    <w:r>
      <w:fldChar w:fldCharType="end"/>
    </w:r>
  </w:p>
  <w:p w14:paraId="59376E94">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42C2C">
    <w:pPr>
      <w:pStyle w:val="33"/>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E676D9">
                          <w:pPr>
                            <w:pStyle w:val="33"/>
                            <w:jc w:val="center"/>
                          </w:pPr>
                          <w:r>
                            <w:fldChar w:fldCharType="begin"/>
                          </w:r>
                          <w:r>
                            <w:instrText xml:space="preserve">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9E676D9">
                    <w:pPr>
                      <w:pStyle w:val="33"/>
                      <w:jc w:val="center"/>
                    </w:pPr>
                    <w:r>
                      <w:fldChar w:fldCharType="begin"/>
                    </w:r>
                    <w:r>
                      <w:instrText xml:space="preserve">PAGE   \* MERGEFORMAT</w:instrText>
                    </w:r>
                    <w:r>
                      <w:fldChar w:fldCharType="separate"/>
                    </w:r>
                    <w:r>
                      <w:rPr>
                        <w:lang w:val="zh-CN"/>
                      </w:rPr>
                      <w:t>1</w:t>
                    </w:r>
                    <w:r>
                      <w:fldChar w:fldCharType="end"/>
                    </w:r>
                  </w:p>
                </w:txbxContent>
              </v:textbox>
            </v:shape>
          </w:pict>
        </mc:Fallback>
      </mc:AlternateContent>
    </w:r>
  </w:p>
  <w:p w14:paraId="56A06F53">
    <w:pPr>
      <w:pStyle w:val="33"/>
      <w:ind w:right="360"/>
      <w:jc w:val="both"/>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9C98F">
    <w:pPr>
      <w:pStyle w:val="33"/>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88AAD3">
                          <w:pPr>
                            <w:pStyle w:val="33"/>
                            <w:jc w:val="center"/>
                          </w:pPr>
                          <w:r>
                            <w:fldChar w:fldCharType="begin"/>
                          </w:r>
                          <w:r>
                            <w:instrText xml:space="preserve"> PAGE   \* MERGEFORMAT </w:instrText>
                          </w:r>
                          <w:r>
                            <w:fldChar w:fldCharType="separate"/>
                          </w:r>
                          <w:r>
                            <w:rPr>
                              <w:lang w:val="zh-CN"/>
                            </w:rPr>
                            <w:t>120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088AAD3">
                    <w:pPr>
                      <w:pStyle w:val="33"/>
                      <w:jc w:val="center"/>
                    </w:pPr>
                    <w:r>
                      <w:fldChar w:fldCharType="begin"/>
                    </w:r>
                    <w:r>
                      <w:instrText xml:space="preserve"> PAGE   \* MERGEFORMAT </w:instrText>
                    </w:r>
                    <w:r>
                      <w:fldChar w:fldCharType="separate"/>
                    </w:r>
                    <w:r>
                      <w:rPr>
                        <w:lang w:val="zh-CN"/>
                      </w:rPr>
                      <w:t>120</w:t>
                    </w:r>
                    <w:r>
                      <w:fldChar w:fldCharType="end"/>
                    </w:r>
                  </w:p>
                </w:txbxContent>
              </v:textbox>
            </v:shape>
          </w:pict>
        </mc:Fallback>
      </mc:AlternateContent>
    </w:r>
  </w:p>
  <w:p w14:paraId="18028FA8">
    <w:pPr>
      <w:pStyle w:val="3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5E315">
    <w:pPr>
      <w:pStyle w:val="33"/>
      <w:framePr w:wrap="around" w:vAnchor="text" w:hAnchor="margin" w:xAlign="center" w:y="1"/>
      <w:rPr>
        <w:rStyle w:val="53"/>
      </w:rPr>
    </w:pPr>
    <w:r>
      <w:fldChar w:fldCharType="begin"/>
    </w:r>
    <w:r>
      <w:rPr>
        <w:rStyle w:val="53"/>
      </w:rPr>
      <w:instrText xml:space="preserve">PAGE  </w:instrText>
    </w:r>
    <w:r>
      <w:fldChar w:fldCharType="end"/>
    </w:r>
  </w:p>
  <w:p w14:paraId="346D19B9">
    <w:pPr>
      <w:pStyle w:val="3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A34B1">
    <w:pPr>
      <w:pStyle w:val="33"/>
      <w:ind w:right="360"/>
      <w:jc w:val="both"/>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A7E06">
    <w:pPr>
      <w:pStyle w:val="3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FBECE">
    <w:pPr>
      <w:pStyle w:val="3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8140DE"/>
    <w:multiLevelType w:val="singleLevel"/>
    <w:tmpl w:val="928140DE"/>
    <w:lvl w:ilvl="0" w:tentative="0">
      <w:start w:val="1"/>
      <w:numFmt w:val="decimal"/>
      <w:lvlText w:val="%1."/>
      <w:lvlJc w:val="left"/>
      <w:pPr>
        <w:tabs>
          <w:tab w:val="left" w:pos="312"/>
        </w:tabs>
      </w:pPr>
    </w:lvl>
  </w:abstractNum>
  <w:abstractNum w:abstractNumId="1">
    <w:nsid w:val="A8FFB33C"/>
    <w:multiLevelType w:val="singleLevel"/>
    <w:tmpl w:val="A8FFB33C"/>
    <w:lvl w:ilvl="0" w:tentative="0">
      <w:start w:val="1"/>
      <w:numFmt w:val="decimal"/>
      <w:suff w:val="nothing"/>
      <w:lvlText w:val="（%1）"/>
      <w:lvlJc w:val="left"/>
    </w:lvl>
  </w:abstractNum>
  <w:abstractNum w:abstractNumId="2">
    <w:nsid w:val="F921CBBE"/>
    <w:multiLevelType w:val="singleLevel"/>
    <w:tmpl w:val="F921CBBE"/>
    <w:lvl w:ilvl="0" w:tentative="0">
      <w:start w:val="1"/>
      <w:numFmt w:val="decimal"/>
      <w:suff w:val="nothing"/>
      <w:lvlText w:val="（%1）"/>
      <w:lvlJc w:val="left"/>
    </w:lvl>
  </w:abstractNum>
  <w:abstractNum w:abstractNumId="3">
    <w:nsid w:val="FFFFFF7E"/>
    <w:multiLevelType w:val="singleLevel"/>
    <w:tmpl w:val="FFFFFF7E"/>
    <w:lvl w:ilvl="0" w:tentative="0">
      <w:start w:val="1"/>
      <w:numFmt w:val="decimal"/>
      <w:pStyle w:val="23"/>
      <w:lvlText w:val="%1."/>
      <w:lvlJc w:val="left"/>
      <w:pPr>
        <w:tabs>
          <w:tab w:val="left" w:pos="1200"/>
        </w:tabs>
        <w:ind w:left="1200" w:hanging="360"/>
      </w:pPr>
    </w:lvl>
  </w:abstractNum>
  <w:abstractNum w:abstractNumId="4">
    <w:nsid w:val="0CFF4BE6"/>
    <w:multiLevelType w:val="multilevel"/>
    <w:tmpl w:val="0CFF4BE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BF97468"/>
    <w:multiLevelType w:val="singleLevel"/>
    <w:tmpl w:val="1BF97468"/>
    <w:lvl w:ilvl="0" w:tentative="0">
      <w:start w:val="1"/>
      <w:numFmt w:val="decimal"/>
      <w:lvlText w:val="%1."/>
      <w:lvlJc w:val="left"/>
      <w:pPr>
        <w:tabs>
          <w:tab w:val="left" w:pos="312"/>
        </w:tabs>
      </w:pPr>
    </w:lvl>
  </w:abstractNum>
  <w:abstractNum w:abstractNumId="6">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8"/>
      <w:suff w:val="nothing"/>
      <w:lvlText w:val=""/>
      <w:lvlJc w:val="left"/>
      <w:pPr>
        <w:ind w:left="0" w:firstLine="0"/>
      </w:pPr>
      <w:rPr>
        <w:rFonts w:hint="eastAsia"/>
      </w:rPr>
    </w:lvl>
    <w:lvl w:ilvl="5" w:tentative="0">
      <w:start w:val="1"/>
      <w:numFmt w:val="none"/>
      <w:pStyle w:val="10"/>
      <w:suff w:val="nothing"/>
      <w:lvlText w:val=""/>
      <w:lvlJc w:val="left"/>
      <w:pPr>
        <w:ind w:left="0" w:firstLine="0"/>
      </w:pPr>
      <w:rPr>
        <w:rFonts w:hint="eastAsia"/>
      </w:rPr>
    </w:lvl>
    <w:lvl w:ilvl="6" w:tentative="0">
      <w:start w:val="1"/>
      <w:numFmt w:val="none"/>
      <w:pStyle w:val="11"/>
      <w:suff w:val="nothing"/>
      <w:lvlText w:val=""/>
      <w:lvlJc w:val="left"/>
      <w:pPr>
        <w:ind w:left="0" w:firstLine="0"/>
      </w:pPr>
      <w:rPr>
        <w:rFonts w:hint="eastAsia"/>
      </w:rPr>
    </w:lvl>
    <w:lvl w:ilvl="7" w:tentative="0">
      <w:start w:val="1"/>
      <w:numFmt w:val="none"/>
      <w:pStyle w:val="12"/>
      <w:suff w:val="nothing"/>
      <w:lvlText w:val=""/>
      <w:lvlJc w:val="left"/>
      <w:pPr>
        <w:ind w:left="0" w:firstLine="0"/>
      </w:pPr>
      <w:rPr>
        <w:rFonts w:hint="eastAsia"/>
      </w:rPr>
    </w:lvl>
    <w:lvl w:ilvl="8" w:tentative="0">
      <w:start w:val="1"/>
      <w:numFmt w:val="none"/>
      <w:pStyle w:val="13"/>
      <w:suff w:val="nothing"/>
      <w:lvlText w:val=""/>
      <w:lvlJc w:val="left"/>
      <w:pPr>
        <w:ind w:left="0" w:firstLine="0"/>
      </w:pPr>
      <w:rPr>
        <w:rFonts w:hint="eastAsia"/>
      </w:rPr>
    </w:lvl>
  </w:abstractNum>
  <w:abstractNum w:abstractNumId="7">
    <w:nsid w:val="34BA04B6"/>
    <w:multiLevelType w:val="multilevel"/>
    <w:tmpl w:val="34BA04B6"/>
    <w:lvl w:ilvl="0" w:tentative="0">
      <w:start w:val="1"/>
      <w:numFmt w:val="decimal"/>
      <w:lvlText w:val="%1."/>
      <w:lvlJc w:val="left"/>
      <w:pPr>
        <w:ind w:left="792" w:hanging="360"/>
      </w:pPr>
      <w:rPr>
        <w:rFonts w:hint="default"/>
      </w:rPr>
    </w:lvl>
    <w:lvl w:ilvl="1" w:tentative="0">
      <w:start w:val="1"/>
      <w:numFmt w:val="lowerLetter"/>
      <w:lvlText w:val="%2)"/>
      <w:lvlJc w:val="left"/>
      <w:pPr>
        <w:ind w:left="1312" w:hanging="440"/>
      </w:pPr>
    </w:lvl>
    <w:lvl w:ilvl="2" w:tentative="0">
      <w:start w:val="1"/>
      <w:numFmt w:val="lowerRoman"/>
      <w:lvlText w:val="%3."/>
      <w:lvlJc w:val="right"/>
      <w:pPr>
        <w:ind w:left="1752" w:hanging="440"/>
      </w:pPr>
    </w:lvl>
    <w:lvl w:ilvl="3" w:tentative="0">
      <w:start w:val="1"/>
      <w:numFmt w:val="decimal"/>
      <w:lvlText w:val="%4."/>
      <w:lvlJc w:val="left"/>
      <w:pPr>
        <w:ind w:left="2192" w:hanging="440"/>
      </w:pPr>
    </w:lvl>
    <w:lvl w:ilvl="4" w:tentative="0">
      <w:start w:val="1"/>
      <w:numFmt w:val="lowerLetter"/>
      <w:lvlText w:val="%5)"/>
      <w:lvlJc w:val="left"/>
      <w:pPr>
        <w:ind w:left="2632" w:hanging="440"/>
      </w:pPr>
    </w:lvl>
    <w:lvl w:ilvl="5" w:tentative="0">
      <w:start w:val="1"/>
      <w:numFmt w:val="lowerRoman"/>
      <w:lvlText w:val="%6."/>
      <w:lvlJc w:val="right"/>
      <w:pPr>
        <w:ind w:left="3072" w:hanging="440"/>
      </w:pPr>
    </w:lvl>
    <w:lvl w:ilvl="6" w:tentative="0">
      <w:start w:val="1"/>
      <w:numFmt w:val="decimal"/>
      <w:lvlText w:val="%7."/>
      <w:lvlJc w:val="left"/>
      <w:pPr>
        <w:ind w:left="3512" w:hanging="440"/>
      </w:pPr>
    </w:lvl>
    <w:lvl w:ilvl="7" w:tentative="0">
      <w:start w:val="1"/>
      <w:numFmt w:val="lowerLetter"/>
      <w:lvlText w:val="%8)"/>
      <w:lvlJc w:val="left"/>
      <w:pPr>
        <w:ind w:left="3952" w:hanging="440"/>
      </w:pPr>
    </w:lvl>
    <w:lvl w:ilvl="8" w:tentative="0">
      <w:start w:val="1"/>
      <w:numFmt w:val="lowerRoman"/>
      <w:lvlText w:val="%9."/>
      <w:lvlJc w:val="right"/>
      <w:pPr>
        <w:ind w:left="4392" w:hanging="440"/>
      </w:pPr>
    </w:lvl>
  </w:abstractNum>
  <w:abstractNum w:abstractNumId="8">
    <w:nsid w:val="460B528D"/>
    <w:multiLevelType w:val="multilevel"/>
    <w:tmpl w:val="460B528D"/>
    <w:lvl w:ilvl="0" w:tentative="0">
      <w:start w:val="1"/>
      <w:numFmt w:val="decimal"/>
      <w:lvlText w:val="%1．"/>
      <w:lvlJc w:val="left"/>
      <w:pPr>
        <w:ind w:left="780" w:hanging="36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9">
    <w:nsid w:val="4C601917"/>
    <w:multiLevelType w:val="singleLevel"/>
    <w:tmpl w:val="4C601917"/>
    <w:lvl w:ilvl="0" w:tentative="0">
      <w:start w:val="1"/>
      <w:numFmt w:val="decimal"/>
      <w:suff w:val="nothing"/>
      <w:lvlText w:val="（%1）"/>
      <w:lvlJc w:val="left"/>
      <w:pPr>
        <w:ind w:left="-2"/>
      </w:pPr>
    </w:lvl>
  </w:abstractNum>
  <w:abstractNum w:abstractNumId="10">
    <w:nsid w:val="5FABD14B"/>
    <w:multiLevelType w:val="singleLevel"/>
    <w:tmpl w:val="5FABD14B"/>
    <w:lvl w:ilvl="0" w:tentative="0">
      <w:start w:val="1"/>
      <w:numFmt w:val="decimal"/>
      <w:suff w:val="nothing"/>
      <w:lvlText w:val="（%1）"/>
      <w:lvlJc w:val="left"/>
    </w:lvl>
  </w:abstractNum>
  <w:abstractNum w:abstractNumId="11">
    <w:nsid w:val="617D3534"/>
    <w:multiLevelType w:val="multilevel"/>
    <w:tmpl w:val="617D3534"/>
    <w:lvl w:ilvl="0" w:tentative="0">
      <w:start w:val="1"/>
      <w:numFmt w:val="decimal"/>
      <w:lvlText w:val="%1."/>
      <w:lvlJc w:val="left"/>
      <w:pPr>
        <w:ind w:left="792" w:hanging="360"/>
      </w:pPr>
      <w:rPr>
        <w:rFonts w:hint="default"/>
      </w:rPr>
    </w:lvl>
    <w:lvl w:ilvl="1" w:tentative="0">
      <w:start w:val="1"/>
      <w:numFmt w:val="lowerLetter"/>
      <w:lvlText w:val="%2)"/>
      <w:lvlJc w:val="left"/>
      <w:pPr>
        <w:ind w:left="1312" w:hanging="440"/>
      </w:pPr>
    </w:lvl>
    <w:lvl w:ilvl="2" w:tentative="0">
      <w:start w:val="1"/>
      <w:numFmt w:val="lowerRoman"/>
      <w:lvlText w:val="%3."/>
      <w:lvlJc w:val="right"/>
      <w:pPr>
        <w:ind w:left="1752" w:hanging="440"/>
      </w:pPr>
    </w:lvl>
    <w:lvl w:ilvl="3" w:tentative="0">
      <w:start w:val="1"/>
      <w:numFmt w:val="decimal"/>
      <w:lvlText w:val="%4."/>
      <w:lvlJc w:val="left"/>
      <w:pPr>
        <w:ind w:left="2192" w:hanging="440"/>
      </w:pPr>
    </w:lvl>
    <w:lvl w:ilvl="4" w:tentative="0">
      <w:start w:val="1"/>
      <w:numFmt w:val="lowerLetter"/>
      <w:lvlText w:val="%5)"/>
      <w:lvlJc w:val="left"/>
      <w:pPr>
        <w:ind w:left="2632" w:hanging="440"/>
      </w:pPr>
    </w:lvl>
    <w:lvl w:ilvl="5" w:tentative="0">
      <w:start w:val="1"/>
      <w:numFmt w:val="lowerRoman"/>
      <w:lvlText w:val="%6."/>
      <w:lvlJc w:val="right"/>
      <w:pPr>
        <w:ind w:left="3072" w:hanging="440"/>
      </w:pPr>
    </w:lvl>
    <w:lvl w:ilvl="6" w:tentative="0">
      <w:start w:val="1"/>
      <w:numFmt w:val="decimal"/>
      <w:lvlText w:val="%7."/>
      <w:lvlJc w:val="left"/>
      <w:pPr>
        <w:ind w:left="3512" w:hanging="440"/>
      </w:pPr>
    </w:lvl>
    <w:lvl w:ilvl="7" w:tentative="0">
      <w:start w:val="1"/>
      <w:numFmt w:val="lowerLetter"/>
      <w:lvlText w:val="%8)"/>
      <w:lvlJc w:val="left"/>
      <w:pPr>
        <w:ind w:left="3952" w:hanging="440"/>
      </w:pPr>
    </w:lvl>
    <w:lvl w:ilvl="8" w:tentative="0">
      <w:start w:val="1"/>
      <w:numFmt w:val="lowerRoman"/>
      <w:lvlText w:val="%9."/>
      <w:lvlJc w:val="right"/>
      <w:pPr>
        <w:ind w:left="4392" w:hanging="440"/>
      </w:pPr>
    </w:lvl>
  </w:abstractNum>
  <w:abstractNum w:abstractNumId="12">
    <w:nsid w:val="7A96D95B"/>
    <w:multiLevelType w:val="singleLevel"/>
    <w:tmpl w:val="7A96D95B"/>
    <w:lvl w:ilvl="0" w:tentative="0">
      <w:start w:val="1"/>
      <w:numFmt w:val="decimal"/>
      <w:lvlText w:val="%1."/>
      <w:lvlJc w:val="left"/>
      <w:pPr>
        <w:tabs>
          <w:tab w:val="left" w:pos="312"/>
        </w:tabs>
      </w:pPr>
    </w:lvl>
  </w:abstractNum>
  <w:num w:numId="1">
    <w:abstractNumId w:val="6"/>
  </w:num>
  <w:num w:numId="2">
    <w:abstractNumId w:val="3"/>
  </w:num>
  <w:num w:numId="3">
    <w:abstractNumId w:val="0"/>
  </w:num>
  <w:num w:numId="4">
    <w:abstractNumId w:val="12"/>
  </w:num>
  <w:num w:numId="5">
    <w:abstractNumId w:val="11"/>
  </w:num>
  <w:num w:numId="6">
    <w:abstractNumId w:val="7"/>
  </w:num>
  <w:num w:numId="7">
    <w:abstractNumId w:val="8"/>
  </w:num>
  <w:num w:numId="8">
    <w:abstractNumId w:val="4"/>
  </w:num>
  <w:num w:numId="9">
    <w:abstractNumId w:val="5"/>
  </w:num>
  <w:num w:numId="10">
    <w:abstractNumId w:val="1"/>
  </w:num>
  <w:num w:numId="11">
    <w:abstractNumId w:val="2"/>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D01" w:allStyles="1" w:customStyles="0" w:latentStyles="0" w:stylesInUse="0" w:headingStyles="0" w:numberingStyles="0" w:tableStyles="0" w:directFormattingOnRuns="1" w:directFormattingOnParagraphs="0"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wZDc4MGU3MmVjMWYyY2ZlMWY1ZTI2YTEwYzg4NjQifQ=="/>
  </w:docVars>
  <w:rsids>
    <w:rsidRoot w:val="00F9008B"/>
    <w:rsid w:val="0000010C"/>
    <w:rsid w:val="00000266"/>
    <w:rsid w:val="000002AD"/>
    <w:rsid w:val="000004FE"/>
    <w:rsid w:val="00000FE0"/>
    <w:rsid w:val="00001068"/>
    <w:rsid w:val="0000114A"/>
    <w:rsid w:val="000011FA"/>
    <w:rsid w:val="00001731"/>
    <w:rsid w:val="00001C2D"/>
    <w:rsid w:val="00001C55"/>
    <w:rsid w:val="00001CA8"/>
    <w:rsid w:val="00001FAE"/>
    <w:rsid w:val="00002291"/>
    <w:rsid w:val="0000257D"/>
    <w:rsid w:val="00002DBF"/>
    <w:rsid w:val="00002EC0"/>
    <w:rsid w:val="00003224"/>
    <w:rsid w:val="000033F5"/>
    <w:rsid w:val="0000358C"/>
    <w:rsid w:val="000035A4"/>
    <w:rsid w:val="00003BEF"/>
    <w:rsid w:val="00003D90"/>
    <w:rsid w:val="00004130"/>
    <w:rsid w:val="0000431F"/>
    <w:rsid w:val="00004634"/>
    <w:rsid w:val="0000494E"/>
    <w:rsid w:val="00004D8B"/>
    <w:rsid w:val="000059E2"/>
    <w:rsid w:val="000061EA"/>
    <w:rsid w:val="00006AE7"/>
    <w:rsid w:val="00006B9B"/>
    <w:rsid w:val="00006BCA"/>
    <w:rsid w:val="00006C35"/>
    <w:rsid w:val="000072B1"/>
    <w:rsid w:val="00007329"/>
    <w:rsid w:val="00007E28"/>
    <w:rsid w:val="00007E84"/>
    <w:rsid w:val="00010401"/>
    <w:rsid w:val="000105A1"/>
    <w:rsid w:val="000107AD"/>
    <w:rsid w:val="00010835"/>
    <w:rsid w:val="000117D5"/>
    <w:rsid w:val="00011842"/>
    <w:rsid w:val="00012137"/>
    <w:rsid w:val="000121FF"/>
    <w:rsid w:val="00012456"/>
    <w:rsid w:val="000125B8"/>
    <w:rsid w:val="00012692"/>
    <w:rsid w:val="00012CBA"/>
    <w:rsid w:val="00013446"/>
    <w:rsid w:val="00013509"/>
    <w:rsid w:val="000135BC"/>
    <w:rsid w:val="000135DC"/>
    <w:rsid w:val="000136D6"/>
    <w:rsid w:val="00014085"/>
    <w:rsid w:val="00014D89"/>
    <w:rsid w:val="00014DD9"/>
    <w:rsid w:val="00014EE0"/>
    <w:rsid w:val="000151E4"/>
    <w:rsid w:val="00015577"/>
    <w:rsid w:val="000156E4"/>
    <w:rsid w:val="000159A7"/>
    <w:rsid w:val="00015FB8"/>
    <w:rsid w:val="0001609F"/>
    <w:rsid w:val="0001635B"/>
    <w:rsid w:val="00016549"/>
    <w:rsid w:val="00016814"/>
    <w:rsid w:val="00016BF7"/>
    <w:rsid w:val="000170A9"/>
    <w:rsid w:val="0001720C"/>
    <w:rsid w:val="0001767E"/>
    <w:rsid w:val="0001776D"/>
    <w:rsid w:val="00017F31"/>
    <w:rsid w:val="00020607"/>
    <w:rsid w:val="0002103A"/>
    <w:rsid w:val="000217E4"/>
    <w:rsid w:val="00021852"/>
    <w:rsid w:val="00021A12"/>
    <w:rsid w:val="000222B4"/>
    <w:rsid w:val="00022524"/>
    <w:rsid w:val="00022622"/>
    <w:rsid w:val="00022B0F"/>
    <w:rsid w:val="0002316F"/>
    <w:rsid w:val="00023363"/>
    <w:rsid w:val="000235F3"/>
    <w:rsid w:val="00023644"/>
    <w:rsid w:val="00023712"/>
    <w:rsid w:val="00023A03"/>
    <w:rsid w:val="00024E3C"/>
    <w:rsid w:val="00024EB0"/>
    <w:rsid w:val="0002646A"/>
    <w:rsid w:val="0002651D"/>
    <w:rsid w:val="00026CFD"/>
    <w:rsid w:val="00027C8B"/>
    <w:rsid w:val="00027CD9"/>
    <w:rsid w:val="00030242"/>
    <w:rsid w:val="00030B06"/>
    <w:rsid w:val="0003183A"/>
    <w:rsid w:val="00031A60"/>
    <w:rsid w:val="00031CDC"/>
    <w:rsid w:val="000323D8"/>
    <w:rsid w:val="00032461"/>
    <w:rsid w:val="0003263B"/>
    <w:rsid w:val="0003282C"/>
    <w:rsid w:val="00032F6D"/>
    <w:rsid w:val="0003304A"/>
    <w:rsid w:val="0003317E"/>
    <w:rsid w:val="00033413"/>
    <w:rsid w:val="000337F3"/>
    <w:rsid w:val="00033B93"/>
    <w:rsid w:val="00034B24"/>
    <w:rsid w:val="00034C27"/>
    <w:rsid w:val="00034E2A"/>
    <w:rsid w:val="0003577F"/>
    <w:rsid w:val="00036466"/>
    <w:rsid w:val="0003675E"/>
    <w:rsid w:val="00036BAC"/>
    <w:rsid w:val="00037939"/>
    <w:rsid w:val="00037F87"/>
    <w:rsid w:val="00037FA2"/>
    <w:rsid w:val="000400D0"/>
    <w:rsid w:val="00040343"/>
    <w:rsid w:val="000408C4"/>
    <w:rsid w:val="00041DFA"/>
    <w:rsid w:val="000425AC"/>
    <w:rsid w:val="00042E77"/>
    <w:rsid w:val="00042F4A"/>
    <w:rsid w:val="00043AC8"/>
    <w:rsid w:val="00043BE5"/>
    <w:rsid w:val="00044003"/>
    <w:rsid w:val="00044527"/>
    <w:rsid w:val="00044897"/>
    <w:rsid w:val="00044ACF"/>
    <w:rsid w:val="00044FD5"/>
    <w:rsid w:val="000454F4"/>
    <w:rsid w:val="00045D1E"/>
    <w:rsid w:val="00045E69"/>
    <w:rsid w:val="00045EF4"/>
    <w:rsid w:val="00046547"/>
    <w:rsid w:val="000466D7"/>
    <w:rsid w:val="00046753"/>
    <w:rsid w:val="00047254"/>
    <w:rsid w:val="00047E41"/>
    <w:rsid w:val="0005022B"/>
    <w:rsid w:val="00050525"/>
    <w:rsid w:val="00050771"/>
    <w:rsid w:val="000509BA"/>
    <w:rsid w:val="000513F3"/>
    <w:rsid w:val="00052287"/>
    <w:rsid w:val="000522E0"/>
    <w:rsid w:val="000532F4"/>
    <w:rsid w:val="000535A9"/>
    <w:rsid w:val="000536AE"/>
    <w:rsid w:val="000539AF"/>
    <w:rsid w:val="00054CD5"/>
    <w:rsid w:val="00054D03"/>
    <w:rsid w:val="00054E61"/>
    <w:rsid w:val="000550AC"/>
    <w:rsid w:val="0005584D"/>
    <w:rsid w:val="00055CC3"/>
    <w:rsid w:val="00055CD8"/>
    <w:rsid w:val="00055CEE"/>
    <w:rsid w:val="00055FB7"/>
    <w:rsid w:val="000566FA"/>
    <w:rsid w:val="00056A2B"/>
    <w:rsid w:val="00056D18"/>
    <w:rsid w:val="00056DA8"/>
    <w:rsid w:val="00056E37"/>
    <w:rsid w:val="00056EE2"/>
    <w:rsid w:val="00056F3A"/>
    <w:rsid w:val="00056FE2"/>
    <w:rsid w:val="000570FB"/>
    <w:rsid w:val="000575B8"/>
    <w:rsid w:val="00060131"/>
    <w:rsid w:val="0006026B"/>
    <w:rsid w:val="00060293"/>
    <w:rsid w:val="00061341"/>
    <w:rsid w:val="00061BD3"/>
    <w:rsid w:val="00061BDA"/>
    <w:rsid w:val="000621FE"/>
    <w:rsid w:val="00062B90"/>
    <w:rsid w:val="00062C70"/>
    <w:rsid w:val="00062DD0"/>
    <w:rsid w:val="00062E6F"/>
    <w:rsid w:val="000630C7"/>
    <w:rsid w:val="0006400F"/>
    <w:rsid w:val="000645DD"/>
    <w:rsid w:val="00064D7E"/>
    <w:rsid w:val="00064F65"/>
    <w:rsid w:val="00064FD0"/>
    <w:rsid w:val="0006534A"/>
    <w:rsid w:val="00065A5D"/>
    <w:rsid w:val="00065BA2"/>
    <w:rsid w:val="000661CA"/>
    <w:rsid w:val="0006668D"/>
    <w:rsid w:val="00066896"/>
    <w:rsid w:val="00066FE3"/>
    <w:rsid w:val="00067002"/>
    <w:rsid w:val="00067993"/>
    <w:rsid w:val="00067B1C"/>
    <w:rsid w:val="00067CED"/>
    <w:rsid w:val="00067F66"/>
    <w:rsid w:val="0007041A"/>
    <w:rsid w:val="00070634"/>
    <w:rsid w:val="00070883"/>
    <w:rsid w:val="000708D1"/>
    <w:rsid w:val="00070C3F"/>
    <w:rsid w:val="0007102C"/>
    <w:rsid w:val="00071D68"/>
    <w:rsid w:val="00071FCE"/>
    <w:rsid w:val="00072661"/>
    <w:rsid w:val="00072CCC"/>
    <w:rsid w:val="0007315D"/>
    <w:rsid w:val="00073549"/>
    <w:rsid w:val="0007483E"/>
    <w:rsid w:val="000751DB"/>
    <w:rsid w:val="0007542D"/>
    <w:rsid w:val="0007578F"/>
    <w:rsid w:val="00075E43"/>
    <w:rsid w:val="00077706"/>
    <w:rsid w:val="00077878"/>
    <w:rsid w:val="000804EF"/>
    <w:rsid w:val="00080558"/>
    <w:rsid w:val="00080998"/>
    <w:rsid w:val="00081230"/>
    <w:rsid w:val="000814E2"/>
    <w:rsid w:val="000818C9"/>
    <w:rsid w:val="00081A21"/>
    <w:rsid w:val="00081CBB"/>
    <w:rsid w:val="00081D42"/>
    <w:rsid w:val="000822EF"/>
    <w:rsid w:val="0008241E"/>
    <w:rsid w:val="000826F5"/>
    <w:rsid w:val="000829B1"/>
    <w:rsid w:val="00082AAB"/>
    <w:rsid w:val="0008307D"/>
    <w:rsid w:val="000831E9"/>
    <w:rsid w:val="000833BB"/>
    <w:rsid w:val="00083A4C"/>
    <w:rsid w:val="00084483"/>
    <w:rsid w:val="0008452D"/>
    <w:rsid w:val="0008467B"/>
    <w:rsid w:val="000850FA"/>
    <w:rsid w:val="00085719"/>
    <w:rsid w:val="000857A6"/>
    <w:rsid w:val="0008599A"/>
    <w:rsid w:val="00085C12"/>
    <w:rsid w:val="00085DA0"/>
    <w:rsid w:val="00085F82"/>
    <w:rsid w:val="00086506"/>
    <w:rsid w:val="00086B6E"/>
    <w:rsid w:val="00086C2F"/>
    <w:rsid w:val="00086C64"/>
    <w:rsid w:val="000874BB"/>
    <w:rsid w:val="0008781A"/>
    <w:rsid w:val="00090951"/>
    <w:rsid w:val="00090A61"/>
    <w:rsid w:val="000918F5"/>
    <w:rsid w:val="000919B5"/>
    <w:rsid w:val="00091C1D"/>
    <w:rsid w:val="00091E08"/>
    <w:rsid w:val="00092100"/>
    <w:rsid w:val="000922D8"/>
    <w:rsid w:val="000932E7"/>
    <w:rsid w:val="0009333A"/>
    <w:rsid w:val="000933C3"/>
    <w:rsid w:val="00093459"/>
    <w:rsid w:val="00093B8B"/>
    <w:rsid w:val="000951E7"/>
    <w:rsid w:val="00095B82"/>
    <w:rsid w:val="00096098"/>
    <w:rsid w:val="000961B2"/>
    <w:rsid w:val="000969D5"/>
    <w:rsid w:val="000969D9"/>
    <w:rsid w:val="000969ED"/>
    <w:rsid w:val="00096F37"/>
    <w:rsid w:val="00097FE5"/>
    <w:rsid w:val="000A0354"/>
    <w:rsid w:val="000A091F"/>
    <w:rsid w:val="000A0958"/>
    <w:rsid w:val="000A0FCC"/>
    <w:rsid w:val="000A1033"/>
    <w:rsid w:val="000A2712"/>
    <w:rsid w:val="000A2877"/>
    <w:rsid w:val="000A28E5"/>
    <w:rsid w:val="000A3145"/>
    <w:rsid w:val="000A355D"/>
    <w:rsid w:val="000A35DA"/>
    <w:rsid w:val="000A371E"/>
    <w:rsid w:val="000A3DE5"/>
    <w:rsid w:val="000A4011"/>
    <w:rsid w:val="000A45D5"/>
    <w:rsid w:val="000A490E"/>
    <w:rsid w:val="000A529E"/>
    <w:rsid w:val="000A5B49"/>
    <w:rsid w:val="000A5FE5"/>
    <w:rsid w:val="000A6684"/>
    <w:rsid w:val="000A7194"/>
    <w:rsid w:val="000A7218"/>
    <w:rsid w:val="000A740A"/>
    <w:rsid w:val="000A7446"/>
    <w:rsid w:val="000A7D9A"/>
    <w:rsid w:val="000A7E7F"/>
    <w:rsid w:val="000A7ECD"/>
    <w:rsid w:val="000B01AB"/>
    <w:rsid w:val="000B049B"/>
    <w:rsid w:val="000B04DD"/>
    <w:rsid w:val="000B0F01"/>
    <w:rsid w:val="000B1346"/>
    <w:rsid w:val="000B1914"/>
    <w:rsid w:val="000B19DC"/>
    <w:rsid w:val="000B1CA2"/>
    <w:rsid w:val="000B202E"/>
    <w:rsid w:val="000B2293"/>
    <w:rsid w:val="000B24A4"/>
    <w:rsid w:val="000B255C"/>
    <w:rsid w:val="000B395E"/>
    <w:rsid w:val="000B39C3"/>
    <w:rsid w:val="000B3A00"/>
    <w:rsid w:val="000B4840"/>
    <w:rsid w:val="000B4D79"/>
    <w:rsid w:val="000B5272"/>
    <w:rsid w:val="000B5627"/>
    <w:rsid w:val="000B5671"/>
    <w:rsid w:val="000B6BF0"/>
    <w:rsid w:val="000B6CE8"/>
    <w:rsid w:val="000B7DAF"/>
    <w:rsid w:val="000C0026"/>
    <w:rsid w:val="000C0091"/>
    <w:rsid w:val="000C071C"/>
    <w:rsid w:val="000C0BB4"/>
    <w:rsid w:val="000C0BEE"/>
    <w:rsid w:val="000C1CB9"/>
    <w:rsid w:val="000C2159"/>
    <w:rsid w:val="000C21BB"/>
    <w:rsid w:val="000C289B"/>
    <w:rsid w:val="000C352F"/>
    <w:rsid w:val="000C3805"/>
    <w:rsid w:val="000C3948"/>
    <w:rsid w:val="000C3F01"/>
    <w:rsid w:val="000C410D"/>
    <w:rsid w:val="000C420D"/>
    <w:rsid w:val="000C4773"/>
    <w:rsid w:val="000C4944"/>
    <w:rsid w:val="000C4E24"/>
    <w:rsid w:val="000C5C4A"/>
    <w:rsid w:val="000C5F01"/>
    <w:rsid w:val="000C5F95"/>
    <w:rsid w:val="000C63C4"/>
    <w:rsid w:val="000C66C1"/>
    <w:rsid w:val="000C6F0B"/>
    <w:rsid w:val="000C6F32"/>
    <w:rsid w:val="000C6FEF"/>
    <w:rsid w:val="000C778C"/>
    <w:rsid w:val="000C7833"/>
    <w:rsid w:val="000C7E1B"/>
    <w:rsid w:val="000C7E73"/>
    <w:rsid w:val="000D001B"/>
    <w:rsid w:val="000D0A45"/>
    <w:rsid w:val="000D136E"/>
    <w:rsid w:val="000D14AC"/>
    <w:rsid w:val="000D15BA"/>
    <w:rsid w:val="000D15BE"/>
    <w:rsid w:val="000D2BCC"/>
    <w:rsid w:val="000D2C9B"/>
    <w:rsid w:val="000D32CC"/>
    <w:rsid w:val="000D35FD"/>
    <w:rsid w:val="000D3D2D"/>
    <w:rsid w:val="000D3D99"/>
    <w:rsid w:val="000D4653"/>
    <w:rsid w:val="000D4696"/>
    <w:rsid w:val="000D4817"/>
    <w:rsid w:val="000D4D0C"/>
    <w:rsid w:val="000D4FB9"/>
    <w:rsid w:val="000D54B4"/>
    <w:rsid w:val="000D584B"/>
    <w:rsid w:val="000D5EE9"/>
    <w:rsid w:val="000D5F55"/>
    <w:rsid w:val="000D6372"/>
    <w:rsid w:val="000D6979"/>
    <w:rsid w:val="000D6C0E"/>
    <w:rsid w:val="000D6CE7"/>
    <w:rsid w:val="000D6E38"/>
    <w:rsid w:val="000D6E63"/>
    <w:rsid w:val="000D711C"/>
    <w:rsid w:val="000D7B6E"/>
    <w:rsid w:val="000E0644"/>
    <w:rsid w:val="000E076D"/>
    <w:rsid w:val="000E087C"/>
    <w:rsid w:val="000E1516"/>
    <w:rsid w:val="000E187C"/>
    <w:rsid w:val="000E1B28"/>
    <w:rsid w:val="000E1E8D"/>
    <w:rsid w:val="000E1EBC"/>
    <w:rsid w:val="000E2173"/>
    <w:rsid w:val="000E220B"/>
    <w:rsid w:val="000E2266"/>
    <w:rsid w:val="000E2A50"/>
    <w:rsid w:val="000E30F2"/>
    <w:rsid w:val="000E316B"/>
    <w:rsid w:val="000E3D08"/>
    <w:rsid w:val="000E4728"/>
    <w:rsid w:val="000E4D1F"/>
    <w:rsid w:val="000E5658"/>
    <w:rsid w:val="000E5698"/>
    <w:rsid w:val="000E5723"/>
    <w:rsid w:val="000E57BF"/>
    <w:rsid w:val="000E581B"/>
    <w:rsid w:val="000E60DF"/>
    <w:rsid w:val="000E64B2"/>
    <w:rsid w:val="000E65D2"/>
    <w:rsid w:val="000E6919"/>
    <w:rsid w:val="000E6B1B"/>
    <w:rsid w:val="000E6F0C"/>
    <w:rsid w:val="000E732D"/>
    <w:rsid w:val="000F07ED"/>
    <w:rsid w:val="000F0C34"/>
    <w:rsid w:val="000F0CB8"/>
    <w:rsid w:val="000F0CF2"/>
    <w:rsid w:val="000F1401"/>
    <w:rsid w:val="000F1A32"/>
    <w:rsid w:val="000F1CC2"/>
    <w:rsid w:val="000F1D15"/>
    <w:rsid w:val="000F270A"/>
    <w:rsid w:val="000F34C8"/>
    <w:rsid w:val="000F38BC"/>
    <w:rsid w:val="000F3E2A"/>
    <w:rsid w:val="000F4D26"/>
    <w:rsid w:val="000F5639"/>
    <w:rsid w:val="000F58A4"/>
    <w:rsid w:val="000F5F99"/>
    <w:rsid w:val="000F6833"/>
    <w:rsid w:val="000F6A24"/>
    <w:rsid w:val="000F7616"/>
    <w:rsid w:val="000F7DE9"/>
    <w:rsid w:val="000F7E1F"/>
    <w:rsid w:val="000F7F7A"/>
    <w:rsid w:val="001002F4"/>
    <w:rsid w:val="001011FC"/>
    <w:rsid w:val="001014BD"/>
    <w:rsid w:val="0010165F"/>
    <w:rsid w:val="00101E7C"/>
    <w:rsid w:val="001023DC"/>
    <w:rsid w:val="00102572"/>
    <w:rsid w:val="00102946"/>
    <w:rsid w:val="00102FBF"/>
    <w:rsid w:val="0010333D"/>
    <w:rsid w:val="0010372A"/>
    <w:rsid w:val="00103F41"/>
    <w:rsid w:val="00104662"/>
    <w:rsid w:val="00104F0C"/>
    <w:rsid w:val="00104F34"/>
    <w:rsid w:val="001053C5"/>
    <w:rsid w:val="001055AD"/>
    <w:rsid w:val="00105B3E"/>
    <w:rsid w:val="00105C14"/>
    <w:rsid w:val="0010627F"/>
    <w:rsid w:val="001065A3"/>
    <w:rsid w:val="00106610"/>
    <w:rsid w:val="00106831"/>
    <w:rsid w:val="0010683E"/>
    <w:rsid w:val="0010691D"/>
    <w:rsid w:val="00106B33"/>
    <w:rsid w:val="00106E69"/>
    <w:rsid w:val="00110AC5"/>
    <w:rsid w:val="00110F0B"/>
    <w:rsid w:val="0011108B"/>
    <w:rsid w:val="00111136"/>
    <w:rsid w:val="00111164"/>
    <w:rsid w:val="00111761"/>
    <w:rsid w:val="00112040"/>
    <w:rsid w:val="00112164"/>
    <w:rsid w:val="0011241F"/>
    <w:rsid w:val="001128BF"/>
    <w:rsid w:val="00112D09"/>
    <w:rsid w:val="00112E8F"/>
    <w:rsid w:val="00112F03"/>
    <w:rsid w:val="00112F38"/>
    <w:rsid w:val="00113821"/>
    <w:rsid w:val="00114058"/>
    <w:rsid w:val="0011449E"/>
    <w:rsid w:val="001153EF"/>
    <w:rsid w:val="00115D55"/>
    <w:rsid w:val="00115E45"/>
    <w:rsid w:val="00115F85"/>
    <w:rsid w:val="0011688E"/>
    <w:rsid w:val="00116ACD"/>
    <w:rsid w:val="00116D94"/>
    <w:rsid w:val="0011718F"/>
    <w:rsid w:val="00117B7D"/>
    <w:rsid w:val="00117EFC"/>
    <w:rsid w:val="001205A8"/>
    <w:rsid w:val="00121301"/>
    <w:rsid w:val="00121766"/>
    <w:rsid w:val="00122A64"/>
    <w:rsid w:val="00123694"/>
    <w:rsid w:val="0012388A"/>
    <w:rsid w:val="0012388C"/>
    <w:rsid w:val="00123AFA"/>
    <w:rsid w:val="00123C8C"/>
    <w:rsid w:val="00123E8B"/>
    <w:rsid w:val="00124B43"/>
    <w:rsid w:val="00124DF8"/>
    <w:rsid w:val="00125398"/>
    <w:rsid w:val="001253EA"/>
    <w:rsid w:val="00125B99"/>
    <w:rsid w:val="00126160"/>
    <w:rsid w:val="00126DB5"/>
    <w:rsid w:val="00127178"/>
    <w:rsid w:val="00127F09"/>
    <w:rsid w:val="0013002A"/>
    <w:rsid w:val="0013085D"/>
    <w:rsid w:val="0013089C"/>
    <w:rsid w:val="00130A2D"/>
    <w:rsid w:val="00130F54"/>
    <w:rsid w:val="001310EE"/>
    <w:rsid w:val="00131888"/>
    <w:rsid w:val="00131F17"/>
    <w:rsid w:val="0013212F"/>
    <w:rsid w:val="001323F9"/>
    <w:rsid w:val="0013251F"/>
    <w:rsid w:val="00133088"/>
    <w:rsid w:val="0013321E"/>
    <w:rsid w:val="00133346"/>
    <w:rsid w:val="001335B1"/>
    <w:rsid w:val="00133B4E"/>
    <w:rsid w:val="0013410F"/>
    <w:rsid w:val="001346A7"/>
    <w:rsid w:val="001346AF"/>
    <w:rsid w:val="00134990"/>
    <w:rsid w:val="00134FB4"/>
    <w:rsid w:val="001354D1"/>
    <w:rsid w:val="00135840"/>
    <w:rsid w:val="00135A0A"/>
    <w:rsid w:val="00135BB9"/>
    <w:rsid w:val="0013621D"/>
    <w:rsid w:val="00136354"/>
    <w:rsid w:val="00136674"/>
    <w:rsid w:val="00136B0E"/>
    <w:rsid w:val="00136C3B"/>
    <w:rsid w:val="001376AB"/>
    <w:rsid w:val="0013777C"/>
    <w:rsid w:val="00137D5F"/>
    <w:rsid w:val="00140082"/>
    <w:rsid w:val="00140175"/>
    <w:rsid w:val="00140757"/>
    <w:rsid w:val="00140D07"/>
    <w:rsid w:val="00141A3A"/>
    <w:rsid w:val="001423FA"/>
    <w:rsid w:val="001427A5"/>
    <w:rsid w:val="001427B5"/>
    <w:rsid w:val="001428CF"/>
    <w:rsid w:val="00142D0C"/>
    <w:rsid w:val="00142E3C"/>
    <w:rsid w:val="00143387"/>
    <w:rsid w:val="00144013"/>
    <w:rsid w:val="001455C3"/>
    <w:rsid w:val="00145A17"/>
    <w:rsid w:val="00145BBE"/>
    <w:rsid w:val="001460B5"/>
    <w:rsid w:val="0014641F"/>
    <w:rsid w:val="001464A8"/>
    <w:rsid w:val="001467BB"/>
    <w:rsid w:val="00146CA8"/>
    <w:rsid w:val="0014723E"/>
    <w:rsid w:val="00147884"/>
    <w:rsid w:val="00150664"/>
    <w:rsid w:val="00150827"/>
    <w:rsid w:val="00150B0D"/>
    <w:rsid w:val="00150E10"/>
    <w:rsid w:val="00150FBA"/>
    <w:rsid w:val="00151A32"/>
    <w:rsid w:val="00151BDE"/>
    <w:rsid w:val="00151E31"/>
    <w:rsid w:val="00151F9B"/>
    <w:rsid w:val="00152289"/>
    <w:rsid w:val="00152425"/>
    <w:rsid w:val="00152BAD"/>
    <w:rsid w:val="00152CE3"/>
    <w:rsid w:val="00153652"/>
    <w:rsid w:val="00153697"/>
    <w:rsid w:val="001537C4"/>
    <w:rsid w:val="00153956"/>
    <w:rsid w:val="00153B95"/>
    <w:rsid w:val="00154146"/>
    <w:rsid w:val="00154190"/>
    <w:rsid w:val="001545EA"/>
    <w:rsid w:val="001549BA"/>
    <w:rsid w:val="00154BBF"/>
    <w:rsid w:val="00155099"/>
    <w:rsid w:val="00155C85"/>
    <w:rsid w:val="00156A6C"/>
    <w:rsid w:val="00156B10"/>
    <w:rsid w:val="00157673"/>
    <w:rsid w:val="001576FE"/>
    <w:rsid w:val="00157823"/>
    <w:rsid w:val="0015790D"/>
    <w:rsid w:val="00157C5E"/>
    <w:rsid w:val="00157DD3"/>
    <w:rsid w:val="0016015A"/>
    <w:rsid w:val="0016020E"/>
    <w:rsid w:val="00160503"/>
    <w:rsid w:val="00160D7C"/>
    <w:rsid w:val="00160E30"/>
    <w:rsid w:val="0016106D"/>
    <w:rsid w:val="001612E1"/>
    <w:rsid w:val="001614DB"/>
    <w:rsid w:val="0016194E"/>
    <w:rsid w:val="0016236C"/>
    <w:rsid w:val="00162625"/>
    <w:rsid w:val="001630A8"/>
    <w:rsid w:val="00163826"/>
    <w:rsid w:val="00163943"/>
    <w:rsid w:val="00163BA1"/>
    <w:rsid w:val="00163DDF"/>
    <w:rsid w:val="00163F22"/>
    <w:rsid w:val="0016417B"/>
    <w:rsid w:val="0016470E"/>
    <w:rsid w:val="001649D3"/>
    <w:rsid w:val="00164E0A"/>
    <w:rsid w:val="001652D7"/>
    <w:rsid w:val="00165816"/>
    <w:rsid w:val="00165A5F"/>
    <w:rsid w:val="001661D0"/>
    <w:rsid w:val="00166223"/>
    <w:rsid w:val="00167804"/>
    <w:rsid w:val="0016793E"/>
    <w:rsid w:val="00167D4D"/>
    <w:rsid w:val="0017054C"/>
    <w:rsid w:val="00170635"/>
    <w:rsid w:val="0017070D"/>
    <w:rsid w:val="00170837"/>
    <w:rsid w:val="00171035"/>
    <w:rsid w:val="001713B7"/>
    <w:rsid w:val="00171ADB"/>
    <w:rsid w:val="00171E2C"/>
    <w:rsid w:val="00172029"/>
    <w:rsid w:val="001733A4"/>
    <w:rsid w:val="001735D4"/>
    <w:rsid w:val="00173AB9"/>
    <w:rsid w:val="00173EED"/>
    <w:rsid w:val="00174368"/>
    <w:rsid w:val="001744EA"/>
    <w:rsid w:val="00174D82"/>
    <w:rsid w:val="00174E44"/>
    <w:rsid w:val="00175053"/>
    <w:rsid w:val="001753B7"/>
    <w:rsid w:val="001757E7"/>
    <w:rsid w:val="00175873"/>
    <w:rsid w:val="00175C59"/>
    <w:rsid w:val="00175F94"/>
    <w:rsid w:val="001760BC"/>
    <w:rsid w:val="00176674"/>
    <w:rsid w:val="00176818"/>
    <w:rsid w:val="00176B82"/>
    <w:rsid w:val="00176E3B"/>
    <w:rsid w:val="00176ECB"/>
    <w:rsid w:val="0017752D"/>
    <w:rsid w:val="0017759F"/>
    <w:rsid w:val="00177832"/>
    <w:rsid w:val="0018057A"/>
    <w:rsid w:val="00181178"/>
    <w:rsid w:val="0018119E"/>
    <w:rsid w:val="00181392"/>
    <w:rsid w:val="0018152C"/>
    <w:rsid w:val="00181A74"/>
    <w:rsid w:val="00181DBA"/>
    <w:rsid w:val="00181EEF"/>
    <w:rsid w:val="00181F37"/>
    <w:rsid w:val="00181F3E"/>
    <w:rsid w:val="00182FE0"/>
    <w:rsid w:val="00183911"/>
    <w:rsid w:val="001840C0"/>
    <w:rsid w:val="00184407"/>
    <w:rsid w:val="001845FB"/>
    <w:rsid w:val="00184FB1"/>
    <w:rsid w:val="001857FB"/>
    <w:rsid w:val="00185DA6"/>
    <w:rsid w:val="00185F64"/>
    <w:rsid w:val="00186096"/>
    <w:rsid w:val="001862FE"/>
    <w:rsid w:val="001866F1"/>
    <w:rsid w:val="00186B01"/>
    <w:rsid w:val="00186E20"/>
    <w:rsid w:val="0018772E"/>
    <w:rsid w:val="00187A94"/>
    <w:rsid w:val="0019029E"/>
    <w:rsid w:val="00190346"/>
    <w:rsid w:val="00190804"/>
    <w:rsid w:val="0019088F"/>
    <w:rsid w:val="00190C51"/>
    <w:rsid w:val="0019122E"/>
    <w:rsid w:val="0019170B"/>
    <w:rsid w:val="00191DDF"/>
    <w:rsid w:val="00193ACC"/>
    <w:rsid w:val="00193BFE"/>
    <w:rsid w:val="00195322"/>
    <w:rsid w:val="0019560E"/>
    <w:rsid w:val="001958E3"/>
    <w:rsid w:val="0019601B"/>
    <w:rsid w:val="00196048"/>
    <w:rsid w:val="00196764"/>
    <w:rsid w:val="00196A82"/>
    <w:rsid w:val="0019769B"/>
    <w:rsid w:val="001979F9"/>
    <w:rsid w:val="00197FFE"/>
    <w:rsid w:val="001A0D25"/>
    <w:rsid w:val="001A0E14"/>
    <w:rsid w:val="001A1570"/>
    <w:rsid w:val="001A1917"/>
    <w:rsid w:val="001A1936"/>
    <w:rsid w:val="001A1C64"/>
    <w:rsid w:val="001A1DFB"/>
    <w:rsid w:val="001A1E7F"/>
    <w:rsid w:val="001A2918"/>
    <w:rsid w:val="001A2D02"/>
    <w:rsid w:val="001A3076"/>
    <w:rsid w:val="001A3163"/>
    <w:rsid w:val="001A31A5"/>
    <w:rsid w:val="001A389C"/>
    <w:rsid w:val="001A3B75"/>
    <w:rsid w:val="001A4027"/>
    <w:rsid w:val="001A46FB"/>
    <w:rsid w:val="001A4B5B"/>
    <w:rsid w:val="001A4EA6"/>
    <w:rsid w:val="001A4EC9"/>
    <w:rsid w:val="001A5944"/>
    <w:rsid w:val="001A5FB1"/>
    <w:rsid w:val="001A68F4"/>
    <w:rsid w:val="001A698A"/>
    <w:rsid w:val="001A6CCC"/>
    <w:rsid w:val="001A6E3B"/>
    <w:rsid w:val="001A70C8"/>
    <w:rsid w:val="001A71C9"/>
    <w:rsid w:val="001A7429"/>
    <w:rsid w:val="001A760C"/>
    <w:rsid w:val="001A770F"/>
    <w:rsid w:val="001A7977"/>
    <w:rsid w:val="001A799B"/>
    <w:rsid w:val="001A7AC7"/>
    <w:rsid w:val="001A7C38"/>
    <w:rsid w:val="001B00C5"/>
    <w:rsid w:val="001B02F8"/>
    <w:rsid w:val="001B2104"/>
    <w:rsid w:val="001B2279"/>
    <w:rsid w:val="001B2729"/>
    <w:rsid w:val="001B2866"/>
    <w:rsid w:val="001B2881"/>
    <w:rsid w:val="001B2B73"/>
    <w:rsid w:val="001B3675"/>
    <w:rsid w:val="001B37C8"/>
    <w:rsid w:val="001B48BA"/>
    <w:rsid w:val="001B4B2C"/>
    <w:rsid w:val="001B4F10"/>
    <w:rsid w:val="001B5154"/>
    <w:rsid w:val="001B54BF"/>
    <w:rsid w:val="001B6E30"/>
    <w:rsid w:val="001B7C83"/>
    <w:rsid w:val="001B7D67"/>
    <w:rsid w:val="001B7F9E"/>
    <w:rsid w:val="001C0206"/>
    <w:rsid w:val="001C0246"/>
    <w:rsid w:val="001C04D4"/>
    <w:rsid w:val="001C0B34"/>
    <w:rsid w:val="001C12A3"/>
    <w:rsid w:val="001C17BB"/>
    <w:rsid w:val="001C187E"/>
    <w:rsid w:val="001C1A37"/>
    <w:rsid w:val="001C1B4B"/>
    <w:rsid w:val="001C1C49"/>
    <w:rsid w:val="001C286F"/>
    <w:rsid w:val="001C2B86"/>
    <w:rsid w:val="001C2F54"/>
    <w:rsid w:val="001C3308"/>
    <w:rsid w:val="001C3BBB"/>
    <w:rsid w:val="001C40D1"/>
    <w:rsid w:val="001C468A"/>
    <w:rsid w:val="001C4A38"/>
    <w:rsid w:val="001C4A9E"/>
    <w:rsid w:val="001C5001"/>
    <w:rsid w:val="001C5103"/>
    <w:rsid w:val="001C52A8"/>
    <w:rsid w:val="001C5ADF"/>
    <w:rsid w:val="001C5E8E"/>
    <w:rsid w:val="001C6120"/>
    <w:rsid w:val="001C6516"/>
    <w:rsid w:val="001C68B9"/>
    <w:rsid w:val="001C6B5C"/>
    <w:rsid w:val="001C7155"/>
    <w:rsid w:val="001C7428"/>
    <w:rsid w:val="001C7E48"/>
    <w:rsid w:val="001D039B"/>
    <w:rsid w:val="001D0849"/>
    <w:rsid w:val="001D1258"/>
    <w:rsid w:val="001D1AB8"/>
    <w:rsid w:val="001D286F"/>
    <w:rsid w:val="001D2C94"/>
    <w:rsid w:val="001D33D9"/>
    <w:rsid w:val="001D36F6"/>
    <w:rsid w:val="001D4303"/>
    <w:rsid w:val="001D4386"/>
    <w:rsid w:val="001D45E5"/>
    <w:rsid w:val="001D461A"/>
    <w:rsid w:val="001D4A9D"/>
    <w:rsid w:val="001D4AAD"/>
    <w:rsid w:val="001D5AFA"/>
    <w:rsid w:val="001D652D"/>
    <w:rsid w:val="001D784A"/>
    <w:rsid w:val="001E04A4"/>
    <w:rsid w:val="001E07C5"/>
    <w:rsid w:val="001E176D"/>
    <w:rsid w:val="001E1BCE"/>
    <w:rsid w:val="001E1E05"/>
    <w:rsid w:val="001E2086"/>
    <w:rsid w:val="001E339F"/>
    <w:rsid w:val="001E3629"/>
    <w:rsid w:val="001E3E7D"/>
    <w:rsid w:val="001E40F0"/>
    <w:rsid w:val="001E4172"/>
    <w:rsid w:val="001E4F08"/>
    <w:rsid w:val="001E5490"/>
    <w:rsid w:val="001E5730"/>
    <w:rsid w:val="001E5E2E"/>
    <w:rsid w:val="001E6352"/>
    <w:rsid w:val="001E6ADE"/>
    <w:rsid w:val="001E70AD"/>
    <w:rsid w:val="001E7237"/>
    <w:rsid w:val="001E7AD1"/>
    <w:rsid w:val="001E7AF6"/>
    <w:rsid w:val="001F01B8"/>
    <w:rsid w:val="001F0FC3"/>
    <w:rsid w:val="001F1188"/>
    <w:rsid w:val="001F1B8D"/>
    <w:rsid w:val="001F274F"/>
    <w:rsid w:val="001F289C"/>
    <w:rsid w:val="001F2BF9"/>
    <w:rsid w:val="001F3AF2"/>
    <w:rsid w:val="001F6008"/>
    <w:rsid w:val="001F604B"/>
    <w:rsid w:val="001F641B"/>
    <w:rsid w:val="001F6D4D"/>
    <w:rsid w:val="00200D69"/>
    <w:rsid w:val="00200F9D"/>
    <w:rsid w:val="0020130D"/>
    <w:rsid w:val="00201916"/>
    <w:rsid w:val="00201D06"/>
    <w:rsid w:val="00201DCE"/>
    <w:rsid w:val="00201E9F"/>
    <w:rsid w:val="0020217D"/>
    <w:rsid w:val="00202F25"/>
    <w:rsid w:val="002035B3"/>
    <w:rsid w:val="00203929"/>
    <w:rsid w:val="00203CD6"/>
    <w:rsid w:val="00203D01"/>
    <w:rsid w:val="00204460"/>
    <w:rsid w:val="002051EA"/>
    <w:rsid w:val="00205CBC"/>
    <w:rsid w:val="00205EF4"/>
    <w:rsid w:val="00206259"/>
    <w:rsid w:val="002074B7"/>
    <w:rsid w:val="0020758D"/>
    <w:rsid w:val="00207C7B"/>
    <w:rsid w:val="00211470"/>
    <w:rsid w:val="00211922"/>
    <w:rsid w:val="0021213A"/>
    <w:rsid w:val="002121B4"/>
    <w:rsid w:val="0021265F"/>
    <w:rsid w:val="00213232"/>
    <w:rsid w:val="00213817"/>
    <w:rsid w:val="00214428"/>
    <w:rsid w:val="002145EB"/>
    <w:rsid w:val="00214F82"/>
    <w:rsid w:val="00215033"/>
    <w:rsid w:val="00215834"/>
    <w:rsid w:val="00215A2A"/>
    <w:rsid w:val="00215CC2"/>
    <w:rsid w:val="00215ED8"/>
    <w:rsid w:val="00215FAF"/>
    <w:rsid w:val="00217700"/>
    <w:rsid w:val="002177E2"/>
    <w:rsid w:val="0021783B"/>
    <w:rsid w:val="002205F3"/>
    <w:rsid w:val="0022085B"/>
    <w:rsid w:val="00220DFB"/>
    <w:rsid w:val="00220E53"/>
    <w:rsid w:val="0022176C"/>
    <w:rsid w:val="002225D1"/>
    <w:rsid w:val="002230FA"/>
    <w:rsid w:val="00223DF2"/>
    <w:rsid w:val="002243E6"/>
    <w:rsid w:val="002249A2"/>
    <w:rsid w:val="00224C0C"/>
    <w:rsid w:val="002256C2"/>
    <w:rsid w:val="002256D0"/>
    <w:rsid w:val="00225C8E"/>
    <w:rsid w:val="00226428"/>
    <w:rsid w:val="002265A9"/>
    <w:rsid w:val="002266CB"/>
    <w:rsid w:val="00227052"/>
    <w:rsid w:val="002272D5"/>
    <w:rsid w:val="0022738E"/>
    <w:rsid w:val="0022758D"/>
    <w:rsid w:val="00227906"/>
    <w:rsid w:val="00227934"/>
    <w:rsid w:val="00227E21"/>
    <w:rsid w:val="00230670"/>
    <w:rsid w:val="00231D05"/>
    <w:rsid w:val="00231EED"/>
    <w:rsid w:val="0023241A"/>
    <w:rsid w:val="002336E2"/>
    <w:rsid w:val="00233AC2"/>
    <w:rsid w:val="00233BAF"/>
    <w:rsid w:val="00233C8E"/>
    <w:rsid w:val="00233E3A"/>
    <w:rsid w:val="00233F80"/>
    <w:rsid w:val="00235420"/>
    <w:rsid w:val="00235700"/>
    <w:rsid w:val="002374CA"/>
    <w:rsid w:val="0024065B"/>
    <w:rsid w:val="002409A6"/>
    <w:rsid w:val="00240C63"/>
    <w:rsid w:val="00240D91"/>
    <w:rsid w:val="00240EA5"/>
    <w:rsid w:val="00241132"/>
    <w:rsid w:val="00241205"/>
    <w:rsid w:val="002418C5"/>
    <w:rsid w:val="002421FD"/>
    <w:rsid w:val="0024261D"/>
    <w:rsid w:val="00242712"/>
    <w:rsid w:val="00242DFB"/>
    <w:rsid w:val="00243807"/>
    <w:rsid w:val="002440AC"/>
    <w:rsid w:val="00244365"/>
    <w:rsid w:val="0024459A"/>
    <w:rsid w:val="002446A3"/>
    <w:rsid w:val="00244771"/>
    <w:rsid w:val="00244903"/>
    <w:rsid w:val="00244AFB"/>
    <w:rsid w:val="00244B2C"/>
    <w:rsid w:val="002453DF"/>
    <w:rsid w:val="00245A81"/>
    <w:rsid w:val="00246010"/>
    <w:rsid w:val="002462A5"/>
    <w:rsid w:val="00246B86"/>
    <w:rsid w:val="00247335"/>
    <w:rsid w:val="002473EF"/>
    <w:rsid w:val="002477B9"/>
    <w:rsid w:val="00247B69"/>
    <w:rsid w:val="00247CBE"/>
    <w:rsid w:val="00250A1F"/>
    <w:rsid w:val="00250ADA"/>
    <w:rsid w:val="00250F1D"/>
    <w:rsid w:val="00251FF1"/>
    <w:rsid w:val="002520BA"/>
    <w:rsid w:val="00252234"/>
    <w:rsid w:val="002528E3"/>
    <w:rsid w:val="00252944"/>
    <w:rsid w:val="00252D55"/>
    <w:rsid w:val="00252D82"/>
    <w:rsid w:val="00253006"/>
    <w:rsid w:val="002533F5"/>
    <w:rsid w:val="002536B3"/>
    <w:rsid w:val="00253C60"/>
    <w:rsid w:val="00253F21"/>
    <w:rsid w:val="0025429D"/>
    <w:rsid w:val="002549E9"/>
    <w:rsid w:val="00254FF6"/>
    <w:rsid w:val="00255099"/>
    <w:rsid w:val="002555C6"/>
    <w:rsid w:val="00255E14"/>
    <w:rsid w:val="00255FF9"/>
    <w:rsid w:val="00257059"/>
    <w:rsid w:val="0025712F"/>
    <w:rsid w:val="00257395"/>
    <w:rsid w:val="00257857"/>
    <w:rsid w:val="002578DA"/>
    <w:rsid w:val="00257CBC"/>
    <w:rsid w:val="002602C2"/>
    <w:rsid w:val="002602DA"/>
    <w:rsid w:val="0026040B"/>
    <w:rsid w:val="002604F2"/>
    <w:rsid w:val="00260802"/>
    <w:rsid w:val="002609E3"/>
    <w:rsid w:val="00261223"/>
    <w:rsid w:val="002617AB"/>
    <w:rsid w:val="00261D08"/>
    <w:rsid w:val="00261DCC"/>
    <w:rsid w:val="002624D0"/>
    <w:rsid w:val="00262F9F"/>
    <w:rsid w:val="0026338A"/>
    <w:rsid w:val="00263EC7"/>
    <w:rsid w:val="0026491B"/>
    <w:rsid w:val="00264A36"/>
    <w:rsid w:val="00264B06"/>
    <w:rsid w:val="00264C1B"/>
    <w:rsid w:val="00264E10"/>
    <w:rsid w:val="00265D10"/>
    <w:rsid w:val="00265E2E"/>
    <w:rsid w:val="002661AB"/>
    <w:rsid w:val="00266229"/>
    <w:rsid w:val="0026742B"/>
    <w:rsid w:val="002674FE"/>
    <w:rsid w:val="00267E59"/>
    <w:rsid w:val="002702F6"/>
    <w:rsid w:val="00270748"/>
    <w:rsid w:val="00270CAB"/>
    <w:rsid w:val="0027117F"/>
    <w:rsid w:val="002712DC"/>
    <w:rsid w:val="00271875"/>
    <w:rsid w:val="002718FF"/>
    <w:rsid w:val="00271955"/>
    <w:rsid w:val="00272278"/>
    <w:rsid w:val="00272432"/>
    <w:rsid w:val="00272633"/>
    <w:rsid w:val="00272D2C"/>
    <w:rsid w:val="00272E48"/>
    <w:rsid w:val="00272FBF"/>
    <w:rsid w:val="0027352A"/>
    <w:rsid w:val="002739B5"/>
    <w:rsid w:val="00273A10"/>
    <w:rsid w:val="00273A58"/>
    <w:rsid w:val="0027451B"/>
    <w:rsid w:val="00274CAB"/>
    <w:rsid w:val="00274D91"/>
    <w:rsid w:val="00274E8A"/>
    <w:rsid w:val="00275A53"/>
    <w:rsid w:val="00275FCE"/>
    <w:rsid w:val="002766B8"/>
    <w:rsid w:val="0027680F"/>
    <w:rsid w:val="002777C0"/>
    <w:rsid w:val="00281006"/>
    <w:rsid w:val="00281161"/>
    <w:rsid w:val="002815B1"/>
    <w:rsid w:val="00281893"/>
    <w:rsid w:val="00281C1F"/>
    <w:rsid w:val="00281EEA"/>
    <w:rsid w:val="00281F88"/>
    <w:rsid w:val="0028288D"/>
    <w:rsid w:val="002829B7"/>
    <w:rsid w:val="00282B82"/>
    <w:rsid w:val="00282C74"/>
    <w:rsid w:val="00282E5B"/>
    <w:rsid w:val="00283995"/>
    <w:rsid w:val="00283B11"/>
    <w:rsid w:val="002841A9"/>
    <w:rsid w:val="00284313"/>
    <w:rsid w:val="00284554"/>
    <w:rsid w:val="002848AD"/>
    <w:rsid w:val="00284DE4"/>
    <w:rsid w:val="00285154"/>
    <w:rsid w:val="00285BF2"/>
    <w:rsid w:val="00285C78"/>
    <w:rsid w:val="00285DF8"/>
    <w:rsid w:val="00285E54"/>
    <w:rsid w:val="0028625F"/>
    <w:rsid w:val="002863CE"/>
    <w:rsid w:val="00287E20"/>
    <w:rsid w:val="0029110F"/>
    <w:rsid w:val="00291492"/>
    <w:rsid w:val="00291527"/>
    <w:rsid w:val="0029199A"/>
    <w:rsid w:val="00291BBE"/>
    <w:rsid w:val="00291FEB"/>
    <w:rsid w:val="00293146"/>
    <w:rsid w:val="0029361E"/>
    <w:rsid w:val="002939F4"/>
    <w:rsid w:val="00293D68"/>
    <w:rsid w:val="0029408A"/>
    <w:rsid w:val="002941F3"/>
    <w:rsid w:val="00294352"/>
    <w:rsid w:val="002944A0"/>
    <w:rsid w:val="002946E4"/>
    <w:rsid w:val="0029495C"/>
    <w:rsid w:val="002955E1"/>
    <w:rsid w:val="002957D9"/>
    <w:rsid w:val="00295B52"/>
    <w:rsid w:val="00295F4B"/>
    <w:rsid w:val="00296024"/>
    <w:rsid w:val="00296293"/>
    <w:rsid w:val="00296AF7"/>
    <w:rsid w:val="002972F9"/>
    <w:rsid w:val="00297612"/>
    <w:rsid w:val="002977CA"/>
    <w:rsid w:val="00297ED7"/>
    <w:rsid w:val="002A0007"/>
    <w:rsid w:val="002A03AA"/>
    <w:rsid w:val="002A056D"/>
    <w:rsid w:val="002A07FE"/>
    <w:rsid w:val="002A094D"/>
    <w:rsid w:val="002A0CAF"/>
    <w:rsid w:val="002A0DDB"/>
    <w:rsid w:val="002A1565"/>
    <w:rsid w:val="002A16A9"/>
    <w:rsid w:val="002A2941"/>
    <w:rsid w:val="002A2DC4"/>
    <w:rsid w:val="002A33DB"/>
    <w:rsid w:val="002A3E69"/>
    <w:rsid w:val="002A44F9"/>
    <w:rsid w:val="002A49EF"/>
    <w:rsid w:val="002A4B8B"/>
    <w:rsid w:val="002A5107"/>
    <w:rsid w:val="002A535E"/>
    <w:rsid w:val="002A5A5A"/>
    <w:rsid w:val="002A5DBD"/>
    <w:rsid w:val="002A6406"/>
    <w:rsid w:val="002A6432"/>
    <w:rsid w:val="002A6CF0"/>
    <w:rsid w:val="002A6FFC"/>
    <w:rsid w:val="002A7010"/>
    <w:rsid w:val="002A70BA"/>
    <w:rsid w:val="002A7A57"/>
    <w:rsid w:val="002A7BB2"/>
    <w:rsid w:val="002A7DCB"/>
    <w:rsid w:val="002B0685"/>
    <w:rsid w:val="002B0B53"/>
    <w:rsid w:val="002B1617"/>
    <w:rsid w:val="002B1A90"/>
    <w:rsid w:val="002B1D11"/>
    <w:rsid w:val="002B273B"/>
    <w:rsid w:val="002B29AA"/>
    <w:rsid w:val="002B2A7E"/>
    <w:rsid w:val="002B2F1B"/>
    <w:rsid w:val="002B3332"/>
    <w:rsid w:val="002B34C7"/>
    <w:rsid w:val="002B3676"/>
    <w:rsid w:val="002B5269"/>
    <w:rsid w:val="002B5AFB"/>
    <w:rsid w:val="002B6320"/>
    <w:rsid w:val="002B6499"/>
    <w:rsid w:val="002B66AC"/>
    <w:rsid w:val="002B6852"/>
    <w:rsid w:val="002B77E1"/>
    <w:rsid w:val="002C0055"/>
    <w:rsid w:val="002C0656"/>
    <w:rsid w:val="002C0714"/>
    <w:rsid w:val="002C0A96"/>
    <w:rsid w:val="002C1422"/>
    <w:rsid w:val="002C1697"/>
    <w:rsid w:val="002C1BF4"/>
    <w:rsid w:val="002C1BF9"/>
    <w:rsid w:val="002C1E0D"/>
    <w:rsid w:val="002C2266"/>
    <w:rsid w:val="002C2356"/>
    <w:rsid w:val="002C28EB"/>
    <w:rsid w:val="002C316C"/>
    <w:rsid w:val="002C3265"/>
    <w:rsid w:val="002C3328"/>
    <w:rsid w:val="002C3AED"/>
    <w:rsid w:val="002C3E56"/>
    <w:rsid w:val="002C414C"/>
    <w:rsid w:val="002C49F8"/>
    <w:rsid w:val="002C4C2F"/>
    <w:rsid w:val="002C5776"/>
    <w:rsid w:val="002C5EED"/>
    <w:rsid w:val="002C66DE"/>
    <w:rsid w:val="002C7193"/>
    <w:rsid w:val="002C7699"/>
    <w:rsid w:val="002C7A49"/>
    <w:rsid w:val="002D0128"/>
    <w:rsid w:val="002D0638"/>
    <w:rsid w:val="002D0B52"/>
    <w:rsid w:val="002D0E85"/>
    <w:rsid w:val="002D0FA7"/>
    <w:rsid w:val="002D12FB"/>
    <w:rsid w:val="002D19D1"/>
    <w:rsid w:val="002D1F35"/>
    <w:rsid w:val="002D1FA3"/>
    <w:rsid w:val="002D1FB8"/>
    <w:rsid w:val="002D20CD"/>
    <w:rsid w:val="002D23C6"/>
    <w:rsid w:val="002D24F0"/>
    <w:rsid w:val="002D25EB"/>
    <w:rsid w:val="002D29F3"/>
    <w:rsid w:val="002D3126"/>
    <w:rsid w:val="002D3529"/>
    <w:rsid w:val="002D3B39"/>
    <w:rsid w:val="002D3D0A"/>
    <w:rsid w:val="002D3EF0"/>
    <w:rsid w:val="002D478E"/>
    <w:rsid w:val="002D47AE"/>
    <w:rsid w:val="002D4A94"/>
    <w:rsid w:val="002D6216"/>
    <w:rsid w:val="002D65FF"/>
    <w:rsid w:val="002D6D10"/>
    <w:rsid w:val="002D71E2"/>
    <w:rsid w:val="002D7B6A"/>
    <w:rsid w:val="002E0026"/>
    <w:rsid w:val="002E08E8"/>
    <w:rsid w:val="002E0918"/>
    <w:rsid w:val="002E0BAA"/>
    <w:rsid w:val="002E0D96"/>
    <w:rsid w:val="002E0EA5"/>
    <w:rsid w:val="002E0F1C"/>
    <w:rsid w:val="002E17C5"/>
    <w:rsid w:val="002E1817"/>
    <w:rsid w:val="002E1E19"/>
    <w:rsid w:val="002E1FAC"/>
    <w:rsid w:val="002E283F"/>
    <w:rsid w:val="002E2854"/>
    <w:rsid w:val="002E2E69"/>
    <w:rsid w:val="002E2E74"/>
    <w:rsid w:val="002E32D2"/>
    <w:rsid w:val="002E361B"/>
    <w:rsid w:val="002E37AB"/>
    <w:rsid w:val="002E3A80"/>
    <w:rsid w:val="002E3FB9"/>
    <w:rsid w:val="002E41C7"/>
    <w:rsid w:val="002E51DF"/>
    <w:rsid w:val="002E57B9"/>
    <w:rsid w:val="002E6127"/>
    <w:rsid w:val="002E6885"/>
    <w:rsid w:val="002E72E4"/>
    <w:rsid w:val="002E739D"/>
    <w:rsid w:val="002F0F36"/>
    <w:rsid w:val="002F1276"/>
    <w:rsid w:val="002F175B"/>
    <w:rsid w:val="002F1986"/>
    <w:rsid w:val="002F1E5F"/>
    <w:rsid w:val="002F2A49"/>
    <w:rsid w:val="002F3550"/>
    <w:rsid w:val="002F3A4F"/>
    <w:rsid w:val="002F3B63"/>
    <w:rsid w:val="002F3C56"/>
    <w:rsid w:val="002F46B0"/>
    <w:rsid w:val="002F4B17"/>
    <w:rsid w:val="002F5150"/>
    <w:rsid w:val="002F5463"/>
    <w:rsid w:val="002F58C2"/>
    <w:rsid w:val="002F5932"/>
    <w:rsid w:val="002F5C85"/>
    <w:rsid w:val="002F603B"/>
    <w:rsid w:val="002F6201"/>
    <w:rsid w:val="002F6493"/>
    <w:rsid w:val="002F724B"/>
    <w:rsid w:val="002F72BA"/>
    <w:rsid w:val="00300267"/>
    <w:rsid w:val="003004D2"/>
    <w:rsid w:val="00300D6B"/>
    <w:rsid w:val="00301214"/>
    <w:rsid w:val="00301380"/>
    <w:rsid w:val="00301E89"/>
    <w:rsid w:val="00302052"/>
    <w:rsid w:val="00302142"/>
    <w:rsid w:val="00302169"/>
    <w:rsid w:val="00302612"/>
    <w:rsid w:val="003027E2"/>
    <w:rsid w:val="00303254"/>
    <w:rsid w:val="003032D8"/>
    <w:rsid w:val="0030355A"/>
    <w:rsid w:val="003044D9"/>
    <w:rsid w:val="00304D8A"/>
    <w:rsid w:val="00305216"/>
    <w:rsid w:val="003053EA"/>
    <w:rsid w:val="0030555B"/>
    <w:rsid w:val="003061F5"/>
    <w:rsid w:val="00306A49"/>
    <w:rsid w:val="00306D27"/>
    <w:rsid w:val="0030722F"/>
    <w:rsid w:val="0030739C"/>
    <w:rsid w:val="00307A2C"/>
    <w:rsid w:val="00310D51"/>
    <w:rsid w:val="00311B36"/>
    <w:rsid w:val="00311C92"/>
    <w:rsid w:val="0031256E"/>
    <w:rsid w:val="00313321"/>
    <w:rsid w:val="003133AE"/>
    <w:rsid w:val="0031371B"/>
    <w:rsid w:val="00314156"/>
    <w:rsid w:val="00314CF8"/>
    <w:rsid w:val="0031535B"/>
    <w:rsid w:val="003154DD"/>
    <w:rsid w:val="00315FEA"/>
    <w:rsid w:val="00316108"/>
    <w:rsid w:val="00316F76"/>
    <w:rsid w:val="003170F4"/>
    <w:rsid w:val="0032035D"/>
    <w:rsid w:val="003205E9"/>
    <w:rsid w:val="00320B28"/>
    <w:rsid w:val="0032123E"/>
    <w:rsid w:val="003216D5"/>
    <w:rsid w:val="003216FF"/>
    <w:rsid w:val="00321866"/>
    <w:rsid w:val="00321A83"/>
    <w:rsid w:val="00321C1A"/>
    <w:rsid w:val="00321F6B"/>
    <w:rsid w:val="00322389"/>
    <w:rsid w:val="003223CA"/>
    <w:rsid w:val="00322BE5"/>
    <w:rsid w:val="00322E87"/>
    <w:rsid w:val="0032312D"/>
    <w:rsid w:val="00323AA5"/>
    <w:rsid w:val="003242E4"/>
    <w:rsid w:val="0032468D"/>
    <w:rsid w:val="00324926"/>
    <w:rsid w:val="00324B25"/>
    <w:rsid w:val="0032522F"/>
    <w:rsid w:val="00325360"/>
    <w:rsid w:val="003253C4"/>
    <w:rsid w:val="0032550F"/>
    <w:rsid w:val="00325992"/>
    <w:rsid w:val="00325B74"/>
    <w:rsid w:val="0032638F"/>
    <w:rsid w:val="00326B59"/>
    <w:rsid w:val="00326BD4"/>
    <w:rsid w:val="00326E49"/>
    <w:rsid w:val="003272C6"/>
    <w:rsid w:val="00327752"/>
    <w:rsid w:val="00327C7C"/>
    <w:rsid w:val="00330009"/>
    <w:rsid w:val="003301E6"/>
    <w:rsid w:val="003310AB"/>
    <w:rsid w:val="003314D2"/>
    <w:rsid w:val="003315A9"/>
    <w:rsid w:val="00331712"/>
    <w:rsid w:val="0033183B"/>
    <w:rsid w:val="00331A3F"/>
    <w:rsid w:val="00332191"/>
    <w:rsid w:val="00332720"/>
    <w:rsid w:val="00332EED"/>
    <w:rsid w:val="00332F1F"/>
    <w:rsid w:val="003333AB"/>
    <w:rsid w:val="003334A7"/>
    <w:rsid w:val="003337E8"/>
    <w:rsid w:val="00333A14"/>
    <w:rsid w:val="00333B2A"/>
    <w:rsid w:val="00333FD5"/>
    <w:rsid w:val="003350E9"/>
    <w:rsid w:val="003351BA"/>
    <w:rsid w:val="0033520F"/>
    <w:rsid w:val="0033596B"/>
    <w:rsid w:val="00335A93"/>
    <w:rsid w:val="0033650E"/>
    <w:rsid w:val="00336907"/>
    <w:rsid w:val="003369DF"/>
    <w:rsid w:val="00336AD1"/>
    <w:rsid w:val="00336C71"/>
    <w:rsid w:val="00336D96"/>
    <w:rsid w:val="00336DFC"/>
    <w:rsid w:val="00337230"/>
    <w:rsid w:val="003377D0"/>
    <w:rsid w:val="00337D75"/>
    <w:rsid w:val="00340020"/>
    <w:rsid w:val="00340AFD"/>
    <w:rsid w:val="00341162"/>
    <w:rsid w:val="00341866"/>
    <w:rsid w:val="00341DAF"/>
    <w:rsid w:val="00342181"/>
    <w:rsid w:val="00342B37"/>
    <w:rsid w:val="00343560"/>
    <w:rsid w:val="00343A20"/>
    <w:rsid w:val="0034402B"/>
    <w:rsid w:val="0034449E"/>
    <w:rsid w:val="00344D46"/>
    <w:rsid w:val="003451F0"/>
    <w:rsid w:val="003465A5"/>
    <w:rsid w:val="00346817"/>
    <w:rsid w:val="00347440"/>
    <w:rsid w:val="003475EA"/>
    <w:rsid w:val="00347A27"/>
    <w:rsid w:val="00347CD4"/>
    <w:rsid w:val="00347E2E"/>
    <w:rsid w:val="00350A55"/>
    <w:rsid w:val="00350DF8"/>
    <w:rsid w:val="00351A2D"/>
    <w:rsid w:val="00351A8A"/>
    <w:rsid w:val="0035266A"/>
    <w:rsid w:val="0035279C"/>
    <w:rsid w:val="003535D2"/>
    <w:rsid w:val="0035384D"/>
    <w:rsid w:val="00353C0B"/>
    <w:rsid w:val="00354A27"/>
    <w:rsid w:val="00354AE4"/>
    <w:rsid w:val="00354B0A"/>
    <w:rsid w:val="00355264"/>
    <w:rsid w:val="0035551B"/>
    <w:rsid w:val="00355532"/>
    <w:rsid w:val="003555ED"/>
    <w:rsid w:val="00355911"/>
    <w:rsid w:val="00355BFC"/>
    <w:rsid w:val="0035636B"/>
    <w:rsid w:val="00356433"/>
    <w:rsid w:val="00357424"/>
    <w:rsid w:val="00357BE9"/>
    <w:rsid w:val="003601A2"/>
    <w:rsid w:val="003605DB"/>
    <w:rsid w:val="003607A0"/>
    <w:rsid w:val="00361327"/>
    <w:rsid w:val="00361789"/>
    <w:rsid w:val="0036196D"/>
    <w:rsid w:val="00361A59"/>
    <w:rsid w:val="00361D8E"/>
    <w:rsid w:val="00362136"/>
    <w:rsid w:val="00362517"/>
    <w:rsid w:val="0036268A"/>
    <w:rsid w:val="003627BD"/>
    <w:rsid w:val="00362997"/>
    <w:rsid w:val="00362C59"/>
    <w:rsid w:val="00363040"/>
    <w:rsid w:val="003630B7"/>
    <w:rsid w:val="003633E8"/>
    <w:rsid w:val="00363786"/>
    <w:rsid w:val="003638A4"/>
    <w:rsid w:val="003639BF"/>
    <w:rsid w:val="00363E41"/>
    <w:rsid w:val="00363FD2"/>
    <w:rsid w:val="00364091"/>
    <w:rsid w:val="0036447A"/>
    <w:rsid w:val="0036572E"/>
    <w:rsid w:val="00366168"/>
    <w:rsid w:val="003663D9"/>
    <w:rsid w:val="003666BF"/>
    <w:rsid w:val="00366707"/>
    <w:rsid w:val="00366FA9"/>
    <w:rsid w:val="00367B19"/>
    <w:rsid w:val="00367E49"/>
    <w:rsid w:val="003700E6"/>
    <w:rsid w:val="0037017C"/>
    <w:rsid w:val="00370490"/>
    <w:rsid w:val="00370633"/>
    <w:rsid w:val="00371C86"/>
    <w:rsid w:val="0037236C"/>
    <w:rsid w:val="003729DE"/>
    <w:rsid w:val="003735D3"/>
    <w:rsid w:val="0037386D"/>
    <w:rsid w:val="00373956"/>
    <w:rsid w:val="003739A4"/>
    <w:rsid w:val="00373D1E"/>
    <w:rsid w:val="00374153"/>
    <w:rsid w:val="00374671"/>
    <w:rsid w:val="003750E0"/>
    <w:rsid w:val="00375AD4"/>
    <w:rsid w:val="00375AF1"/>
    <w:rsid w:val="00375C2F"/>
    <w:rsid w:val="00375FC5"/>
    <w:rsid w:val="00376943"/>
    <w:rsid w:val="003769BA"/>
    <w:rsid w:val="00377871"/>
    <w:rsid w:val="003778B2"/>
    <w:rsid w:val="00377D0E"/>
    <w:rsid w:val="00377E58"/>
    <w:rsid w:val="003804EE"/>
    <w:rsid w:val="003805E3"/>
    <w:rsid w:val="00380618"/>
    <w:rsid w:val="0038062E"/>
    <w:rsid w:val="003806D7"/>
    <w:rsid w:val="003807F7"/>
    <w:rsid w:val="00381610"/>
    <w:rsid w:val="00381762"/>
    <w:rsid w:val="00382106"/>
    <w:rsid w:val="00382657"/>
    <w:rsid w:val="00382708"/>
    <w:rsid w:val="00382ADF"/>
    <w:rsid w:val="00382B82"/>
    <w:rsid w:val="003834CE"/>
    <w:rsid w:val="003844BF"/>
    <w:rsid w:val="00384F87"/>
    <w:rsid w:val="0038518F"/>
    <w:rsid w:val="003854D5"/>
    <w:rsid w:val="0038552A"/>
    <w:rsid w:val="003856F1"/>
    <w:rsid w:val="003859EA"/>
    <w:rsid w:val="00386525"/>
    <w:rsid w:val="0038709E"/>
    <w:rsid w:val="00387D30"/>
    <w:rsid w:val="00391753"/>
    <w:rsid w:val="00391C7F"/>
    <w:rsid w:val="00392454"/>
    <w:rsid w:val="00392C85"/>
    <w:rsid w:val="00392FD8"/>
    <w:rsid w:val="00393E11"/>
    <w:rsid w:val="00394475"/>
    <w:rsid w:val="0039517A"/>
    <w:rsid w:val="003958B9"/>
    <w:rsid w:val="00395B51"/>
    <w:rsid w:val="00396796"/>
    <w:rsid w:val="00396EC6"/>
    <w:rsid w:val="003970BA"/>
    <w:rsid w:val="0039746C"/>
    <w:rsid w:val="003978CA"/>
    <w:rsid w:val="00397DC6"/>
    <w:rsid w:val="003A0E82"/>
    <w:rsid w:val="003A0FAC"/>
    <w:rsid w:val="003A1584"/>
    <w:rsid w:val="003A184D"/>
    <w:rsid w:val="003A1F68"/>
    <w:rsid w:val="003A1FB7"/>
    <w:rsid w:val="003A371E"/>
    <w:rsid w:val="003A3877"/>
    <w:rsid w:val="003A3957"/>
    <w:rsid w:val="003A462A"/>
    <w:rsid w:val="003A4EA5"/>
    <w:rsid w:val="003A557D"/>
    <w:rsid w:val="003A595F"/>
    <w:rsid w:val="003A5EEC"/>
    <w:rsid w:val="003A6583"/>
    <w:rsid w:val="003A6B7A"/>
    <w:rsid w:val="003A6E38"/>
    <w:rsid w:val="003A79AE"/>
    <w:rsid w:val="003A7CA3"/>
    <w:rsid w:val="003B00B6"/>
    <w:rsid w:val="003B01C4"/>
    <w:rsid w:val="003B09D5"/>
    <w:rsid w:val="003B0BB0"/>
    <w:rsid w:val="003B11EE"/>
    <w:rsid w:val="003B15F8"/>
    <w:rsid w:val="003B1B60"/>
    <w:rsid w:val="003B230B"/>
    <w:rsid w:val="003B23BC"/>
    <w:rsid w:val="003B28BA"/>
    <w:rsid w:val="003B28F6"/>
    <w:rsid w:val="003B2DB5"/>
    <w:rsid w:val="003B2F05"/>
    <w:rsid w:val="003B3966"/>
    <w:rsid w:val="003B39B7"/>
    <w:rsid w:val="003B4754"/>
    <w:rsid w:val="003B4C42"/>
    <w:rsid w:val="003B4C78"/>
    <w:rsid w:val="003B4EB0"/>
    <w:rsid w:val="003B5094"/>
    <w:rsid w:val="003B5F6A"/>
    <w:rsid w:val="003B6B7F"/>
    <w:rsid w:val="003B7820"/>
    <w:rsid w:val="003C01A4"/>
    <w:rsid w:val="003C0219"/>
    <w:rsid w:val="003C0C12"/>
    <w:rsid w:val="003C16EE"/>
    <w:rsid w:val="003C1C87"/>
    <w:rsid w:val="003C2C85"/>
    <w:rsid w:val="003C2F61"/>
    <w:rsid w:val="003C345E"/>
    <w:rsid w:val="003C4409"/>
    <w:rsid w:val="003C4854"/>
    <w:rsid w:val="003C4997"/>
    <w:rsid w:val="003C4DA5"/>
    <w:rsid w:val="003C502A"/>
    <w:rsid w:val="003C5666"/>
    <w:rsid w:val="003C60CC"/>
    <w:rsid w:val="003C64F4"/>
    <w:rsid w:val="003C6D4E"/>
    <w:rsid w:val="003C724B"/>
    <w:rsid w:val="003C73DB"/>
    <w:rsid w:val="003D0185"/>
    <w:rsid w:val="003D02CB"/>
    <w:rsid w:val="003D0382"/>
    <w:rsid w:val="003D069C"/>
    <w:rsid w:val="003D0C2A"/>
    <w:rsid w:val="003D18F6"/>
    <w:rsid w:val="003D191E"/>
    <w:rsid w:val="003D1A19"/>
    <w:rsid w:val="003D2027"/>
    <w:rsid w:val="003D22A5"/>
    <w:rsid w:val="003D23A4"/>
    <w:rsid w:val="003D3414"/>
    <w:rsid w:val="003D3426"/>
    <w:rsid w:val="003D3654"/>
    <w:rsid w:val="003D3721"/>
    <w:rsid w:val="003D413A"/>
    <w:rsid w:val="003D4A9F"/>
    <w:rsid w:val="003D669B"/>
    <w:rsid w:val="003D6722"/>
    <w:rsid w:val="003D7428"/>
    <w:rsid w:val="003D77F2"/>
    <w:rsid w:val="003D78CC"/>
    <w:rsid w:val="003D7D01"/>
    <w:rsid w:val="003D7D25"/>
    <w:rsid w:val="003D7E00"/>
    <w:rsid w:val="003D7ED8"/>
    <w:rsid w:val="003E0003"/>
    <w:rsid w:val="003E0099"/>
    <w:rsid w:val="003E08C7"/>
    <w:rsid w:val="003E098A"/>
    <w:rsid w:val="003E1427"/>
    <w:rsid w:val="003E1A72"/>
    <w:rsid w:val="003E1C35"/>
    <w:rsid w:val="003E2582"/>
    <w:rsid w:val="003E2880"/>
    <w:rsid w:val="003E28FB"/>
    <w:rsid w:val="003E2A00"/>
    <w:rsid w:val="003E2ACD"/>
    <w:rsid w:val="003E382C"/>
    <w:rsid w:val="003E3D00"/>
    <w:rsid w:val="003E4531"/>
    <w:rsid w:val="003E4771"/>
    <w:rsid w:val="003E54A8"/>
    <w:rsid w:val="003E5833"/>
    <w:rsid w:val="003E5DA8"/>
    <w:rsid w:val="003E7109"/>
    <w:rsid w:val="003E77DC"/>
    <w:rsid w:val="003E7BC1"/>
    <w:rsid w:val="003F0453"/>
    <w:rsid w:val="003F0C9F"/>
    <w:rsid w:val="003F144A"/>
    <w:rsid w:val="003F18FB"/>
    <w:rsid w:val="003F1AF1"/>
    <w:rsid w:val="003F1B02"/>
    <w:rsid w:val="003F1EFE"/>
    <w:rsid w:val="003F2240"/>
    <w:rsid w:val="003F2460"/>
    <w:rsid w:val="003F2E7B"/>
    <w:rsid w:val="003F3CD5"/>
    <w:rsid w:val="003F4473"/>
    <w:rsid w:val="003F4CF5"/>
    <w:rsid w:val="003F4E31"/>
    <w:rsid w:val="003F51EE"/>
    <w:rsid w:val="003F574E"/>
    <w:rsid w:val="003F60D6"/>
    <w:rsid w:val="003F68E9"/>
    <w:rsid w:val="003F728C"/>
    <w:rsid w:val="003F7E15"/>
    <w:rsid w:val="003F7FDA"/>
    <w:rsid w:val="00400E65"/>
    <w:rsid w:val="00401296"/>
    <w:rsid w:val="004013AD"/>
    <w:rsid w:val="00401E20"/>
    <w:rsid w:val="004021C0"/>
    <w:rsid w:val="004024F9"/>
    <w:rsid w:val="004028CE"/>
    <w:rsid w:val="0040299B"/>
    <w:rsid w:val="0040313D"/>
    <w:rsid w:val="004043FA"/>
    <w:rsid w:val="00404970"/>
    <w:rsid w:val="00405181"/>
    <w:rsid w:val="0040567F"/>
    <w:rsid w:val="00405873"/>
    <w:rsid w:val="00405F09"/>
    <w:rsid w:val="00405F3A"/>
    <w:rsid w:val="004066F4"/>
    <w:rsid w:val="00406A32"/>
    <w:rsid w:val="00406EA9"/>
    <w:rsid w:val="0040760B"/>
    <w:rsid w:val="00410117"/>
    <w:rsid w:val="00410600"/>
    <w:rsid w:val="00410C32"/>
    <w:rsid w:val="00411237"/>
    <w:rsid w:val="00411557"/>
    <w:rsid w:val="00411994"/>
    <w:rsid w:val="00411D74"/>
    <w:rsid w:val="00411DDE"/>
    <w:rsid w:val="00411F84"/>
    <w:rsid w:val="00412069"/>
    <w:rsid w:val="004121A1"/>
    <w:rsid w:val="00412477"/>
    <w:rsid w:val="00412570"/>
    <w:rsid w:val="004127A2"/>
    <w:rsid w:val="0041280A"/>
    <w:rsid w:val="00412A9D"/>
    <w:rsid w:val="00412CB1"/>
    <w:rsid w:val="004133A5"/>
    <w:rsid w:val="00413D45"/>
    <w:rsid w:val="00414197"/>
    <w:rsid w:val="004144D7"/>
    <w:rsid w:val="00414BB4"/>
    <w:rsid w:val="00414D68"/>
    <w:rsid w:val="00414FD9"/>
    <w:rsid w:val="00415773"/>
    <w:rsid w:val="00415CAE"/>
    <w:rsid w:val="00415EE7"/>
    <w:rsid w:val="004160FA"/>
    <w:rsid w:val="004162DE"/>
    <w:rsid w:val="0041669E"/>
    <w:rsid w:val="00416ACA"/>
    <w:rsid w:val="00416C56"/>
    <w:rsid w:val="00417294"/>
    <w:rsid w:val="004176B8"/>
    <w:rsid w:val="00417B99"/>
    <w:rsid w:val="00417CE0"/>
    <w:rsid w:val="004209D5"/>
    <w:rsid w:val="00420FAF"/>
    <w:rsid w:val="00421184"/>
    <w:rsid w:val="004212C1"/>
    <w:rsid w:val="004214B7"/>
    <w:rsid w:val="00421510"/>
    <w:rsid w:val="00421D18"/>
    <w:rsid w:val="00421FB5"/>
    <w:rsid w:val="004226ED"/>
    <w:rsid w:val="00422AF4"/>
    <w:rsid w:val="004235F4"/>
    <w:rsid w:val="004236C9"/>
    <w:rsid w:val="00423CF3"/>
    <w:rsid w:val="00423E18"/>
    <w:rsid w:val="004245E4"/>
    <w:rsid w:val="00424B7C"/>
    <w:rsid w:val="0042500C"/>
    <w:rsid w:val="00425514"/>
    <w:rsid w:val="004256BD"/>
    <w:rsid w:val="00425863"/>
    <w:rsid w:val="00425D02"/>
    <w:rsid w:val="00425EDC"/>
    <w:rsid w:val="0042610C"/>
    <w:rsid w:val="00426B30"/>
    <w:rsid w:val="00426C3E"/>
    <w:rsid w:val="004275CD"/>
    <w:rsid w:val="00427BA4"/>
    <w:rsid w:val="00427E74"/>
    <w:rsid w:val="00427FEB"/>
    <w:rsid w:val="00427FF2"/>
    <w:rsid w:val="004305C0"/>
    <w:rsid w:val="00430B20"/>
    <w:rsid w:val="00430B6C"/>
    <w:rsid w:val="0043227C"/>
    <w:rsid w:val="004335C0"/>
    <w:rsid w:val="004345E1"/>
    <w:rsid w:val="00435121"/>
    <w:rsid w:val="00435715"/>
    <w:rsid w:val="0043571B"/>
    <w:rsid w:val="00435EE0"/>
    <w:rsid w:val="00435F29"/>
    <w:rsid w:val="0043610C"/>
    <w:rsid w:val="004366FF"/>
    <w:rsid w:val="00437D83"/>
    <w:rsid w:val="004401DD"/>
    <w:rsid w:val="00440344"/>
    <w:rsid w:val="00440C0F"/>
    <w:rsid w:val="00441264"/>
    <w:rsid w:val="00441B0F"/>
    <w:rsid w:val="004425C6"/>
    <w:rsid w:val="00443D5D"/>
    <w:rsid w:val="00445CBA"/>
    <w:rsid w:val="004463CB"/>
    <w:rsid w:val="004466F7"/>
    <w:rsid w:val="00446858"/>
    <w:rsid w:val="00446C99"/>
    <w:rsid w:val="00447304"/>
    <w:rsid w:val="004476F6"/>
    <w:rsid w:val="00447CDD"/>
    <w:rsid w:val="00450127"/>
    <w:rsid w:val="0045075F"/>
    <w:rsid w:val="00451009"/>
    <w:rsid w:val="004514A5"/>
    <w:rsid w:val="004516AD"/>
    <w:rsid w:val="00451E84"/>
    <w:rsid w:val="00451EA3"/>
    <w:rsid w:val="00451F01"/>
    <w:rsid w:val="00454145"/>
    <w:rsid w:val="00454660"/>
    <w:rsid w:val="004546A7"/>
    <w:rsid w:val="00454831"/>
    <w:rsid w:val="004548DF"/>
    <w:rsid w:val="00456CC0"/>
    <w:rsid w:val="00457933"/>
    <w:rsid w:val="00457C78"/>
    <w:rsid w:val="00460735"/>
    <w:rsid w:val="00460AD5"/>
    <w:rsid w:val="00460EB8"/>
    <w:rsid w:val="00461090"/>
    <w:rsid w:val="00461991"/>
    <w:rsid w:val="00461ACB"/>
    <w:rsid w:val="00461C43"/>
    <w:rsid w:val="00462125"/>
    <w:rsid w:val="00463216"/>
    <w:rsid w:val="0046334D"/>
    <w:rsid w:val="00463911"/>
    <w:rsid w:val="00463C95"/>
    <w:rsid w:val="00463E1C"/>
    <w:rsid w:val="00464052"/>
    <w:rsid w:val="00464236"/>
    <w:rsid w:val="00464381"/>
    <w:rsid w:val="00464B8A"/>
    <w:rsid w:val="00464FF4"/>
    <w:rsid w:val="00465153"/>
    <w:rsid w:val="00465602"/>
    <w:rsid w:val="004656A4"/>
    <w:rsid w:val="0046599C"/>
    <w:rsid w:val="00465F01"/>
    <w:rsid w:val="00466A4A"/>
    <w:rsid w:val="00466AFD"/>
    <w:rsid w:val="00467105"/>
    <w:rsid w:val="00470696"/>
    <w:rsid w:val="00470B74"/>
    <w:rsid w:val="004713A5"/>
    <w:rsid w:val="004718E1"/>
    <w:rsid w:val="00471FEC"/>
    <w:rsid w:val="00472177"/>
    <w:rsid w:val="00472234"/>
    <w:rsid w:val="004724C9"/>
    <w:rsid w:val="00472585"/>
    <w:rsid w:val="0047278F"/>
    <w:rsid w:val="00474130"/>
    <w:rsid w:val="00474EDD"/>
    <w:rsid w:val="00475A6C"/>
    <w:rsid w:val="004764AF"/>
    <w:rsid w:val="00476D04"/>
    <w:rsid w:val="00476F58"/>
    <w:rsid w:val="0047775E"/>
    <w:rsid w:val="00477AAE"/>
    <w:rsid w:val="00477AF6"/>
    <w:rsid w:val="00477B3B"/>
    <w:rsid w:val="00477BCB"/>
    <w:rsid w:val="004801A7"/>
    <w:rsid w:val="00480E47"/>
    <w:rsid w:val="00481666"/>
    <w:rsid w:val="0048181B"/>
    <w:rsid w:val="00481B2B"/>
    <w:rsid w:val="00481F2B"/>
    <w:rsid w:val="004820C5"/>
    <w:rsid w:val="00482198"/>
    <w:rsid w:val="004823D8"/>
    <w:rsid w:val="00482F20"/>
    <w:rsid w:val="00483196"/>
    <w:rsid w:val="0048340F"/>
    <w:rsid w:val="0048423C"/>
    <w:rsid w:val="00484449"/>
    <w:rsid w:val="004852CE"/>
    <w:rsid w:val="0048540C"/>
    <w:rsid w:val="00485B5F"/>
    <w:rsid w:val="00485F92"/>
    <w:rsid w:val="004860BD"/>
    <w:rsid w:val="004866E1"/>
    <w:rsid w:val="00486C72"/>
    <w:rsid w:val="00487D3A"/>
    <w:rsid w:val="00490954"/>
    <w:rsid w:val="0049102F"/>
    <w:rsid w:val="00491602"/>
    <w:rsid w:val="0049277A"/>
    <w:rsid w:val="00492B38"/>
    <w:rsid w:val="00492FE4"/>
    <w:rsid w:val="00493035"/>
    <w:rsid w:val="00493321"/>
    <w:rsid w:val="004936DE"/>
    <w:rsid w:val="004949B0"/>
    <w:rsid w:val="0049544E"/>
    <w:rsid w:val="00495670"/>
    <w:rsid w:val="0049567B"/>
    <w:rsid w:val="0049604B"/>
    <w:rsid w:val="00496666"/>
    <w:rsid w:val="00496AC9"/>
    <w:rsid w:val="004A040E"/>
    <w:rsid w:val="004A042D"/>
    <w:rsid w:val="004A1178"/>
    <w:rsid w:val="004A11E0"/>
    <w:rsid w:val="004A1749"/>
    <w:rsid w:val="004A1953"/>
    <w:rsid w:val="004A1FC5"/>
    <w:rsid w:val="004A2158"/>
    <w:rsid w:val="004A29A5"/>
    <w:rsid w:val="004A3225"/>
    <w:rsid w:val="004A374A"/>
    <w:rsid w:val="004A395B"/>
    <w:rsid w:val="004A3C59"/>
    <w:rsid w:val="004A3FE2"/>
    <w:rsid w:val="004A4195"/>
    <w:rsid w:val="004A480D"/>
    <w:rsid w:val="004A4D76"/>
    <w:rsid w:val="004A5851"/>
    <w:rsid w:val="004A5A91"/>
    <w:rsid w:val="004A5B0F"/>
    <w:rsid w:val="004A5CF1"/>
    <w:rsid w:val="004A66E0"/>
    <w:rsid w:val="004A6E87"/>
    <w:rsid w:val="004A7AAE"/>
    <w:rsid w:val="004A7D49"/>
    <w:rsid w:val="004A7E52"/>
    <w:rsid w:val="004A7F21"/>
    <w:rsid w:val="004B07C6"/>
    <w:rsid w:val="004B08DB"/>
    <w:rsid w:val="004B1422"/>
    <w:rsid w:val="004B1DF2"/>
    <w:rsid w:val="004B24EB"/>
    <w:rsid w:val="004B29AC"/>
    <w:rsid w:val="004B3C8B"/>
    <w:rsid w:val="004B44A9"/>
    <w:rsid w:val="004B4509"/>
    <w:rsid w:val="004B452A"/>
    <w:rsid w:val="004B4871"/>
    <w:rsid w:val="004B4ADF"/>
    <w:rsid w:val="004B4C00"/>
    <w:rsid w:val="004B4E06"/>
    <w:rsid w:val="004B5493"/>
    <w:rsid w:val="004B5914"/>
    <w:rsid w:val="004B60F3"/>
    <w:rsid w:val="004B6C77"/>
    <w:rsid w:val="004B6D0A"/>
    <w:rsid w:val="004B6DA4"/>
    <w:rsid w:val="004B794C"/>
    <w:rsid w:val="004B7995"/>
    <w:rsid w:val="004C02B3"/>
    <w:rsid w:val="004C098E"/>
    <w:rsid w:val="004C0BBE"/>
    <w:rsid w:val="004C0E2F"/>
    <w:rsid w:val="004C1705"/>
    <w:rsid w:val="004C222E"/>
    <w:rsid w:val="004C2561"/>
    <w:rsid w:val="004C25B4"/>
    <w:rsid w:val="004C2806"/>
    <w:rsid w:val="004C29BD"/>
    <w:rsid w:val="004C3A7A"/>
    <w:rsid w:val="004C3ADD"/>
    <w:rsid w:val="004C3C00"/>
    <w:rsid w:val="004C428E"/>
    <w:rsid w:val="004C441A"/>
    <w:rsid w:val="004C4775"/>
    <w:rsid w:val="004C483D"/>
    <w:rsid w:val="004C48A9"/>
    <w:rsid w:val="004C4D05"/>
    <w:rsid w:val="004C590B"/>
    <w:rsid w:val="004C5BF4"/>
    <w:rsid w:val="004C5E9D"/>
    <w:rsid w:val="004C6017"/>
    <w:rsid w:val="004C62DE"/>
    <w:rsid w:val="004C63C7"/>
    <w:rsid w:val="004C6D39"/>
    <w:rsid w:val="004C6D98"/>
    <w:rsid w:val="004C7217"/>
    <w:rsid w:val="004C7743"/>
    <w:rsid w:val="004C77A7"/>
    <w:rsid w:val="004C7B38"/>
    <w:rsid w:val="004D039E"/>
    <w:rsid w:val="004D04A3"/>
    <w:rsid w:val="004D0C9F"/>
    <w:rsid w:val="004D15FD"/>
    <w:rsid w:val="004D1A0A"/>
    <w:rsid w:val="004D2369"/>
    <w:rsid w:val="004D2485"/>
    <w:rsid w:val="004D2CFC"/>
    <w:rsid w:val="004D3A57"/>
    <w:rsid w:val="004D47FF"/>
    <w:rsid w:val="004D49FF"/>
    <w:rsid w:val="004D4D35"/>
    <w:rsid w:val="004D518F"/>
    <w:rsid w:val="004D5394"/>
    <w:rsid w:val="004D54D7"/>
    <w:rsid w:val="004D5BB7"/>
    <w:rsid w:val="004D5C09"/>
    <w:rsid w:val="004D6053"/>
    <w:rsid w:val="004D6FA4"/>
    <w:rsid w:val="004D7C23"/>
    <w:rsid w:val="004E01C6"/>
    <w:rsid w:val="004E0212"/>
    <w:rsid w:val="004E0ADC"/>
    <w:rsid w:val="004E0C02"/>
    <w:rsid w:val="004E0FB1"/>
    <w:rsid w:val="004E1043"/>
    <w:rsid w:val="004E19DB"/>
    <w:rsid w:val="004E1DCA"/>
    <w:rsid w:val="004E21B4"/>
    <w:rsid w:val="004E252B"/>
    <w:rsid w:val="004E2861"/>
    <w:rsid w:val="004E2A85"/>
    <w:rsid w:val="004E3F72"/>
    <w:rsid w:val="004E47D5"/>
    <w:rsid w:val="004E4A5C"/>
    <w:rsid w:val="004E4A78"/>
    <w:rsid w:val="004E551E"/>
    <w:rsid w:val="004E584D"/>
    <w:rsid w:val="004E58F6"/>
    <w:rsid w:val="004E5E37"/>
    <w:rsid w:val="004E5E4C"/>
    <w:rsid w:val="004E5F79"/>
    <w:rsid w:val="004E623E"/>
    <w:rsid w:val="004E6589"/>
    <w:rsid w:val="004E6A1D"/>
    <w:rsid w:val="004E6CF9"/>
    <w:rsid w:val="004E7152"/>
    <w:rsid w:val="004E734E"/>
    <w:rsid w:val="004E7EC0"/>
    <w:rsid w:val="004E7F48"/>
    <w:rsid w:val="004F014E"/>
    <w:rsid w:val="004F023B"/>
    <w:rsid w:val="004F0BC6"/>
    <w:rsid w:val="004F1123"/>
    <w:rsid w:val="004F1715"/>
    <w:rsid w:val="004F17DA"/>
    <w:rsid w:val="004F355B"/>
    <w:rsid w:val="004F3BD2"/>
    <w:rsid w:val="004F3CBF"/>
    <w:rsid w:val="004F4372"/>
    <w:rsid w:val="004F43E0"/>
    <w:rsid w:val="004F45EB"/>
    <w:rsid w:val="004F5079"/>
    <w:rsid w:val="004F521B"/>
    <w:rsid w:val="004F52BB"/>
    <w:rsid w:val="004F5582"/>
    <w:rsid w:val="004F59B8"/>
    <w:rsid w:val="004F62A7"/>
    <w:rsid w:val="004F62F9"/>
    <w:rsid w:val="004F66B3"/>
    <w:rsid w:val="004F6FA7"/>
    <w:rsid w:val="004F71FB"/>
    <w:rsid w:val="004F7352"/>
    <w:rsid w:val="004F7889"/>
    <w:rsid w:val="004F79D8"/>
    <w:rsid w:val="0050015C"/>
    <w:rsid w:val="00500418"/>
    <w:rsid w:val="00500CCF"/>
    <w:rsid w:val="00500E62"/>
    <w:rsid w:val="005010DE"/>
    <w:rsid w:val="005011FD"/>
    <w:rsid w:val="0050164B"/>
    <w:rsid w:val="00501A86"/>
    <w:rsid w:val="00501AA5"/>
    <w:rsid w:val="00502958"/>
    <w:rsid w:val="00502BD2"/>
    <w:rsid w:val="00502DA4"/>
    <w:rsid w:val="0050356B"/>
    <w:rsid w:val="00503F83"/>
    <w:rsid w:val="0050421C"/>
    <w:rsid w:val="00504A9B"/>
    <w:rsid w:val="00504E9A"/>
    <w:rsid w:val="00504F83"/>
    <w:rsid w:val="005059B9"/>
    <w:rsid w:val="00505F64"/>
    <w:rsid w:val="00506DCD"/>
    <w:rsid w:val="00507325"/>
    <w:rsid w:val="00507583"/>
    <w:rsid w:val="00507C36"/>
    <w:rsid w:val="00507C56"/>
    <w:rsid w:val="00507F13"/>
    <w:rsid w:val="005109D4"/>
    <w:rsid w:val="00510CF4"/>
    <w:rsid w:val="0051160A"/>
    <w:rsid w:val="005118BA"/>
    <w:rsid w:val="00512D87"/>
    <w:rsid w:val="005130DA"/>
    <w:rsid w:val="00513430"/>
    <w:rsid w:val="0051354B"/>
    <w:rsid w:val="00513DDA"/>
    <w:rsid w:val="00513E19"/>
    <w:rsid w:val="005148B4"/>
    <w:rsid w:val="00514B29"/>
    <w:rsid w:val="00514E8C"/>
    <w:rsid w:val="005152B1"/>
    <w:rsid w:val="005152F0"/>
    <w:rsid w:val="0051532D"/>
    <w:rsid w:val="00515856"/>
    <w:rsid w:val="00515F50"/>
    <w:rsid w:val="005163E6"/>
    <w:rsid w:val="005172EC"/>
    <w:rsid w:val="0051740D"/>
    <w:rsid w:val="005178CE"/>
    <w:rsid w:val="005205FF"/>
    <w:rsid w:val="00521356"/>
    <w:rsid w:val="00521CAB"/>
    <w:rsid w:val="00521DFB"/>
    <w:rsid w:val="005224EF"/>
    <w:rsid w:val="00522654"/>
    <w:rsid w:val="00522835"/>
    <w:rsid w:val="0052293D"/>
    <w:rsid w:val="00522AF4"/>
    <w:rsid w:val="00523499"/>
    <w:rsid w:val="0052373F"/>
    <w:rsid w:val="00523BC7"/>
    <w:rsid w:val="00523C08"/>
    <w:rsid w:val="00523C10"/>
    <w:rsid w:val="00523E23"/>
    <w:rsid w:val="005245D5"/>
    <w:rsid w:val="005247FE"/>
    <w:rsid w:val="00524889"/>
    <w:rsid w:val="0052575D"/>
    <w:rsid w:val="005259FC"/>
    <w:rsid w:val="00525A53"/>
    <w:rsid w:val="005260C7"/>
    <w:rsid w:val="005260F1"/>
    <w:rsid w:val="00526569"/>
    <w:rsid w:val="00526726"/>
    <w:rsid w:val="00526F91"/>
    <w:rsid w:val="00527256"/>
    <w:rsid w:val="005274DD"/>
    <w:rsid w:val="00527934"/>
    <w:rsid w:val="00527AC0"/>
    <w:rsid w:val="00527B57"/>
    <w:rsid w:val="00527C8D"/>
    <w:rsid w:val="00527C9C"/>
    <w:rsid w:val="00530034"/>
    <w:rsid w:val="0053029A"/>
    <w:rsid w:val="00530AC4"/>
    <w:rsid w:val="00531F7B"/>
    <w:rsid w:val="00532064"/>
    <w:rsid w:val="0053268A"/>
    <w:rsid w:val="0053309E"/>
    <w:rsid w:val="00533169"/>
    <w:rsid w:val="00533194"/>
    <w:rsid w:val="005332C8"/>
    <w:rsid w:val="00534021"/>
    <w:rsid w:val="005343C8"/>
    <w:rsid w:val="0053464E"/>
    <w:rsid w:val="00534CBD"/>
    <w:rsid w:val="005352C8"/>
    <w:rsid w:val="005354C1"/>
    <w:rsid w:val="00535F99"/>
    <w:rsid w:val="00536356"/>
    <w:rsid w:val="0053691D"/>
    <w:rsid w:val="00536BBB"/>
    <w:rsid w:val="00536CBB"/>
    <w:rsid w:val="00536DDD"/>
    <w:rsid w:val="00537033"/>
    <w:rsid w:val="00540A37"/>
    <w:rsid w:val="00540AE7"/>
    <w:rsid w:val="00540B49"/>
    <w:rsid w:val="00541415"/>
    <w:rsid w:val="005418DB"/>
    <w:rsid w:val="00541B51"/>
    <w:rsid w:val="005434EA"/>
    <w:rsid w:val="005436B8"/>
    <w:rsid w:val="005455FB"/>
    <w:rsid w:val="00545D55"/>
    <w:rsid w:val="005461AB"/>
    <w:rsid w:val="00546C6A"/>
    <w:rsid w:val="00546FBA"/>
    <w:rsid w:val="00547F04"/>
    <w:rsid w:val="00550924"/>
    <w:rsid w:val="00550D63"/>
    <w:rsid w:val="00550EF1"/>
    <w:rsid w:val="00550FC4"/>
    <w:rsid w:val="00551075"/>
    <w:rsid w:val="005513C8"/>
    <w:rsid w:val="00551C87"/>
    <w:rsid w:val="00552204"/>
    <w:rsid w:val="0055236E"/>
    <w:rsid w:val="0055352C"/>
    <w:rsid w:val="005538A6"/>
    <w:rsid w:val="00554F94"/>
    <w:rsid w:val="00555161"/>
    <w:rsid w:val="00555A59"/>
    <w:rsid w:val="00555BB7"/>
    <w:rsid w:val="00555DE6"/>
    <w:rsid w:val="00555EB3"/>
    <w:rsid w:val="005567F6"/>
    <w:rsid w:val="0055695F"/>
    <w:rsid w:val="00556E29"/>
    <w:rsid w:val="00557474"/>
    <w:rsid w:val="00557DAA"/>
    <w:rsid w:val="00557DAD"/>
    <w:rsid w:val="00561138"/>
    <w:rsid w:val="00561572"/>
    <w:rsid w:val="00561699"/>
    <w:rsid w:val="0056194F"/>
    <w:rsid w:val="005619E1"/>
    <w:rsid w:val="00561EEE"/>
    <w:rsid w:val="00562629"/>
    <w:rsid w:val="005628FE"/>
    <w:rsid w:val="0056364B"/>
    <w:rsid w:val="00563D49"/>
    <w:rsid w:val="00564191"/>
    <w:rsid w:val="00564557"/>
    <w:rsid w:val="0056458C"/>
    <w:rsid w:val="00564628"/>
    <w:rsid w:val="005648B9"/>
    <w:rsid w:val="00564A3C"/>
    <w:rsid w:val="00564C5F"/>
    <w:rsid w:val="00564F82"/>
    <w:rsid w:val="005653AF"/>
    <w:rsid w:val="00565501"/>
    <w:rsid w:val="00565755"/>
    <w:rsid w:val="00565DFA"/>
    <w:rsid w:val="0056601E"/>
    <w:rsid w:val="00566406"/>
    <w:rsid w:val="005664A6"/>
    <w:rsid w:val="00566538"/>
    <w:rsid w:val="0056663C"/>
    <w:rsid w:val="0056725A"/>
    <w:rsid w:val="0056741F"/>
    <w:rsid w:val="00567647"/>
    <w:rsid w:val="0056781B"/>
    <w:rsid w:val="00567BE2"/>
    <w:rsid w:val="00570102"/>
    <w:rsid w:val="00570505"/>
    <w:rsid w:val="00570FDD"/>
    <w:rsid w:val="005712E6"/>
    <w:rsid w:val="0057153C"/>
    <w:rsid w:val="00572942"/>
    <w:rsid w:val="005730DB"/>
    <w:rsid w:val="00573251"/>
    <w:rsid w:val="005733A8"/>
    <w:rsid w:val="00573B5B"/>
    <w:rsid w:val="00573F55"/>
    <w:rsid w:val="00574070"/>
    <w:rsid w:val="00575148"/>
    <w:rsid w:val="0057540E"/>
    <w:rsid w:val="005757B6"/>
    <w:rsid w:val="005761E2"/>
    <w:rsid w:val="0058000F"/>
    <w:rsid w:val="00580557"/>
    <w:rsid w:val="0058074F"/>
    <w:rsid w:val="00580A76"/>
    <w:rsid w:val="00581042"/>
    <w:rsid w:val="00581289"/>
    <w:rsid w:val="00581703"/>
    <w:rsid w:val="00581B15"/>
    <w:rsid w:val="005821DD"/>
    <w:rsid w:val="00583908"/>
    <w:rsid w:val="00584757"/>
    <w:rsid w:val="00584E21"/>
    <w:rsid w:val="00585E41"/>
    <w:rsid w:val="0058608B"/>
    <w:rsid w:val="005863C1"/>
    <w:rsid w:val="0058654D"/>
    <w:rsid w:val="00586786"/>
    <w:rsid w:val="00587729"/>
    <w:rsid w:val="00587886"/>
    <w:rsid w:val="00587A66"/>
    <w:rsid w:val="00590147"/>
    <w:rsid w:val="0059028F"/>
    <w:rsid w:val="00590BD1"/>
    <w:rsid w:val="00590D26"/>
    <w:rsid w:val="00591276"/>
    <w:rsid w:val="00591490"/>
    <w:rsid w:val="0059151A"/>
    <w:rsid w:val="005916C9"/>
    <w:rsid w:val="00591A32"/>
    <w:rsid w:val="00591C7E"/>
    <w:rsid w:val="00591D27"/>
    <w:rsid w:val="00591DCF"/>
    <w:rsid w:val="00592853"/>
    <w:rsid w:val="005929B4"/>
    <w:rsid w:val="00592A3C"/>
    <w:rsid w:val="0059367F"/>
    <w:rsid w:val="00593720"/>
    <w:rsid w:val="00593909"/>
    <w:rsid w:val="00593A71"/>
    <w:rsid w:val="005941E1"/>
    <w:rsid w:val="005943E2"/>
    <w:rsid w:val="00594AB3"/>
    <w:rsid w:val="00594B8A"/>
    <w:rsid w:val="00595009"/>
    <w:rsid w:val="005954B7"/>
    <w:rsid w:val="00595A05"/>
    <w:rsid w:val="00595F17"/>
    <w:rsid w:val="00595F3D"/>
    <w:rsid w:val="00595F89"/>
    <w:rsid w:val="00596873"/>
    <w:rsid w:val="00596BB3"/>
    <w:rsid w:val="00596BD4"/>
    <w:rsid w:val="00596FA8"/>
    <w:rsid w:val="005971A7"/>
    <w:rsid w:val="00597310"/>
    <w:rsid w:val="005977AB"/>
    <w:rsid w:val="00597953"/>
    <w:rsid w:val="005A01C5"/>
    <w:rsid w:val="005A0532"/>
    <w:rsid w:val="005A07E7"/>
    <w:rsid w:val="005A0A57"/>
    <w:rsid w:val="005A0B9F"/>
    <w:rsid w:val="005A0DBB"/>
    <w:rsid w:val="005A0EBD"/>
    <w:rsid w:val="005A1270"/>
    <w:rsid w:val="005A1295"/>
    <w:rsid w:val="005A1FBF"/>
    <w:rsid w:val="005A29B1"/>
    <w:rsid w:val="005A2EBF"/>
    <w:rsid w:val="005A380B"/>
    <w:rsid w:val="005A4890"/>
    <w:rsid w:val="005A49D4"/>
    <w:rsid w:val="005A4D7C"/>
    <w:rsid w:val="005A51C9"/>
    <w:rsid w:val="005A5A96"/>
    <w:rsid w:val="005A5D7F"/>
    <w:rsid w:val="005A5DC0"/>
    <w:rsid w:val="005A6B6D"/>
    <w:rsid w:val="005A6ED5"/>
    <w:rsid w:val="005A6F0E"/>
    <w:rsid w:val="005A6F57"/>
    <w:rsid w:val="005A7235"/>
    <w:rsid w:val="005A795B"/>
    <w:rsid w:val="005A7BAF"/>
    <w:rsid w:val="005B05FA"/>
    <w:rsid w:val="005B0652"/>
    <w:rsid w:val="005B1213"/>
    <w:rsid w:val="005B1B55"/>
    <w:rsid w:val="005B1C52"/>
    <w:rsid w:val="005B1DBD"/>
    <w:rsid w:val="005B26B0"/>
    <w:rsid w:val="005B2FD7"/>
    <w:rsid w:val="005B3EBD"/>
    <w:rsid w:val="005B3F0C"/>
    <w:rsid w:val="005B48E8"/>
    <w:rsid w:val="005B564F"/>
    <w:rsid w:val="005B56D9"/>
    <w:rsid w:val="005B5BA3"/>
    <w:rsid w:val="005B5E62"/>
    <w:rsid w:val="005B7230"/>
    <w:rsid w:val="005B7E97"/>
    <w:rsid w:val="005B7F46"/>
    <w:rsid w:val="005C07D2"/>
    <w:rsid w:val="005C09A7"/>
    <w:rsid w:val="005C102D"/>
    <w:rsid w:val="005C132C"/>
    <w:rsid w:val="005C17FB"/>
    <w:rsid w:val="005C1833"/>
    <w:rsid w:val="005C1838"/>
    <w:rsid w:val="005C18C2"/>
    <w:rsid w:val="005C2063"/>
    <w:rsid w:val="005C244F"/>
    <w:rsid w:val="005C2767"/>
    <w:rsid w:val="005C2922"/>
    <w:rsid w:val="005C2C01"/>
    <w:rsid w:val="005C2F60"/>
    <w:rsid w:val="005C30A7"/>
    <w:rsid w:val="005C323D"/>
    <w:rsid w:val="005C3772"/>
    <w:rsid w:val="005C39C3"/>
    <w:rsid w:val="005C3CFC"/>
    <w:rsid w:val="005C4229"/>
    <w:rsid w:val="005C4253"/>
    <w:rsid w:val="005C4580"/>
    <w:rsid w:val="005C5065"/>
    <w:rsid w:val="005C52F3"/>
    <w:rsid w:val="005C564C"/>
    <w:rsid w:val="005C56EA"/>
    <w:rsid w:val="005C6234"/>
    <w:rsid w:val="005C64DC"/>
    <w:rsid w:val="005C6605"/>
    <w:rsid w:val="005C71A0"/>
    <w:rsid w:val="005C75B8"/>
    <w:rsid w:val="005C7802"/>
    <w:rsid w:val="005C7B50"/>
    <w:rsid w:val="005D029E"/>
    <w:rsid w:val="005D0427"/>
    <w:rsid w:val="005D0776"/>
    <w:rsid w:val="005D07AE"/>
    <w:rsid w:val="005D0A0B"/>
    <w:rsid w:val="005D0C83"/>
    <w:rsid w:val="005D1027"/>
    <w:rsid w:val="005D113B"/>
    <w:rsid w:val="005D1732"/>
    <w:rsid w:val="005D22C5"/>
    <w:rsid w:val="005D2D9A"/>
    <w:rsid w:val="005D3A6E"/>
    <w:rsid w:val="005D3B21"/>
    <w:rsid w:val="005D4019"/>
    <w:rsid w:val="005D41DC"/>
    <w:rsid w:val="005D460F"/>
    <w:rsid w:val="005D4DC5"/>
    <w:rsid w:val="005D5442"/>
    <w:rsid w:val="005D5C22"/>
    <w:rsid w:val="005D5E6C"/>
    <w:rsid w:val="005D63A9"/>
    <w:rsid w:val="005D65D5"/>
    <w:rsid w:val="005D6C56"/>
    <w:rsid w:val="005D6F49"/>
    <w:rsid w:val="005D7B83"/>
    <w:rsid w:val="005D7E8A"/>
    <w:rsid w:val="005E06FA"/>
    <w:rsid w:val="005E11A5"/>
    <w:rsid w:val="005E13D4"/>
    <w:rsid w:val="005E1435"/>
    <w:rsid w:val="005E17E9"/>
    <w:rsid w:val="005E1885"/>
    <w:rsid w:val="005E21F3"/>
    <w:rsid w:val="005E235C"/>
    <w:rsid w:val="005E3078"/>
    <w:rsid w:val="005E34C0"/>
    <w:rsid w:val="005E392E"/>
    <w:rsid w:val="005E4565"/>
    <w:rsid w:val="005E45F3"/>
    <w:rsid w:val="005E48EA"/>
    <w:rsid w:val="005E49CA"/>
    <w:rsid w:val="005E5384"/>
    <w:rsid w:val="005E5427"/>
    <w:rsid w:val="005E5428"/>
    <w:rsid w:val="005E5A7C"/>
    <w:rsid w:val="005E5C33"/>
    <w:rsid w:val="005E6976"/>
    <w:rsid w:val="005E6C7A"/>
    <w:rsid w:val="005E703B"/>
    <w:rsid w:val="005E721A"/>
    <w:rsid w:val="005E74EC"/>
    <w:rsid w:val="005E7917"/>
    <w:rsid w:val="005E7AB6"/>
    <w:rsid w:val="005E7B1E"/>
    <w:rsid w:val="005E7CBC"/>
    <w:rsid w:val="005F0854"/>
    <w:rsid w:val="005F0A62"/>
    <w:rsid w:val="005F0FA8"/>
    <w:rsid w:val="005F1C5D"/>
    <w:rsid w:val="005F2317"/>
    <w:rsid w:val="005F2550"/>
    <w:rsid w:val="005F2B2D"/>
    <w:rsid w:val="005F2FD5"/>
    <w:rsid w:val="005F340A"/>
    <w:rsid w:val="005F3AE8"/>
    <w:rsid w:val="005F3B09"/>
    <w:rsid w:val="005F3B47"/>
    <w:rsid w:val="005F47C1"/>
    <w:rsid w:val="005F4926"/>
    <w:rsid w:val="005F4B6F"/>
    <w:rsid w:val="005F5009"/>
    <w:rsid w:val="005F5054"/>
    <w:rsid w:val="005F530F"/>
    <w:rsid w:val="005F65D9"/>
    <w:rsid w:val="005F6768"/>
    <w:rsid w:val="005F69CF"/>
    <w:rsid w:val="005F6E39"/>
    <w:rsid w:val="005F6E58"/>
    <w:rsid w:val="005F7031"/>
    <w:rsid w:val="005F704C"/>
    <w:rsid w:val="005F7A22"/>
    <w:rsid w:val="005F7B9D"/>
    <w:rsid w:val="005F7CF0"/>
    <w:rsid w:val="00600501"/>
    <w:rsid w:val="00600B0C"/>
    <w:rsid w:val="00600D1A"/>
    <w:rsid w:val="00601038"/>
    <w:rsid w:val="00602C52"/>
    <w:rsid w:val="00602DFA"/>
    <w:rsid w:val="006031D1"/>
    <w:rsid w:val="0060337E"/>
    <w:rsid w:val="006033BF"/>
    <w:rsid w:val="00603702"/>
    <w:rsid w:val="00603B4B"/>
    <w:rsid w:val="00603F20"/>
    <w:rsid w:val="00604F37"/>
    <w:rsid w:val="0060508A"/>
    <w:rsid w:val="006055AF"/>
    <w:rsid w:val="00605942"/>
    <w:rsid w:val="006059C6"/>
    <w:rsid w:val="00605C9F"/>
    <w:rsid w:val="006068E8"/>
    <w:rsid w:val="00606ADB"/>
    <w:rsid w:val="00606C07"/>
    <w:rsid w:val="006072DE"/>
    <w:rsid w:val="006075F4"/>
    <w:rsid w:val="006078A8"/>
    <w:rsid w:val="00607BAD"/>
    <w:rsid w:val="00607EC7"/>
    <w:rsid w:val="0061048A"/>
    <w:rsid w:val="00610959"/>
    <w:rsid w:val="00610AE7"/>
    <w:rsid w:val="00611178"/>
    <w:rsid w:val="0061148D"/>
    <w:rsid w:val="00611D01"/>
    <w:rsid w:val="00611F1E"/>
    <w:rsid w:val="006122EC"/>
    <w:rsid w:val="006124B3"/>
    <w:rsid w:val="00612611"/>
    <w:rsid w:val="0061279A"/>
    <w:rsid w:val="00612C60"/>
    <w:rsid w:val="00613009"/>
    <w:rsid w:val="006132EA"/>
    <w:rsid w:val="00613CA5"/>
    <w:rsid w:val="0061401C"/>
    <w:rsid w:val="0061420B"/>
    <w:rsid w:val="00614BD4"/>
    <w:rsid w:val="00614D33"/>
    <w:rsid w:val="00614F43"/>
    <w:rsid w:val="0061537D"/>
    <w:rsid w:val="0061537F"/>
    <w:rsid w:val="006156D7"/>
    <w:rsid w:val="00615CF1"/>
    <w:rsid w:val="00615DEA"/>
    <w:rsid w:val="00616A60"/>
    <w:rsid w:val="00616D0C"/>
    <w:rsid w:val="00616EE6"/>
    <w:rsid w:val="006171FB"/>
    <w:rsid w:val="00617283"/>
    <w:rsid w:val="00617A2A"/>
    <w:rsid w:val="00617A94"/>
    <w:rsid w:val="006207F4"/>
    <w:rsid w:val="00620C67"/>
    <w:rsid w:val="00621479"/>
    <w:rsid w:val="00621646"/>
    <w:rsid w:val="00621803"/>
    <w:rsid w:val="00621A34"/>
    <w:rsid w:val="006220F1"/>
    <w:rsid w:val="00623657"/>
    <w:rsid w:val="00623E46"/>
    <w:rsid w:val="0062431C"/>
    <w:rsid w:val="00624604"/>
    <w:rsid w:val="00624D2C"/>
    <w:rsid w:val="00624F7F"/>
    <w:rsid w:val="00625145"/>
    <w:rsid w:val="00626768"/>
    <w:rsid w:val="00627402"/>
    <w:rsid w:val="00627474"/>
    <w:rsid w:val="00627CEA"/>
    <w:rsid w:val="00627E37"/>
    <w:rsid w:val="00630480"/>
    <w:rsid w:val="0063058E"/>
    <w:rsid w:val="006305F8"/>
    <w:rsid w:val="006313D5"/>
    <w:rsid w:val="0063197B"/>
    <w:rsid w:val="00631DA7"/>
    <w:rsid w:val="006327BB"/>
    <w:rsid w:val="00632B9C"/>
    <w:rsid w:val="00632D63"/>
    <w:rsid w:val="00632F18"/>
    <w:rsid w:val="006332D7"/>
    <w:rsid w:val="0063333D"/>
    <w:rsid w:val="00634225"/>
    <w:rsid w:val="00635003"/>
    <w:rsid w:val="006351CE"/>
    <w:rsid w:val="006352FD"/>
    <w:rsid w:val="00635B15"/>
    <w:rsid w:val="00636037"/>
    <w:rsid w:val="006362E1"/>
    <w:rsid w:val="006367DA"/>
    <w:rsid w:val="006370E1"/>
    <w:rsid w:val="00637382"/>
    <w:rsid w:val="0063740D"/>
    <w:rsid w:val="006375B2"/>
    <w:rsid w:val="006375BB"/>
    <w:rsid w:val="006409EE"/>
    <w:rsid w:val="00640BF7"/>
    <w:rsid w:val="00640FFF"/>
    <w:rsid w:val="00641436"/>
    <w:rsid w:val="00641761"/>
    <w:rsid w:val="006425FC"/>
    <w:rsid w:val="00642631"/>
    <w:rsid w:val="0064289D"/>
    <w:rsid w:val="00642DF5"/>
    <w:rsid w:val="0064304A"/>
    <w:rsid w:val="0064380B"/>
    <w:rsid w:val="00643A4F"/>
    <w:rsid w:val="00643FF5"/>
    <w:rsid w:val="006441FD"/>
    <w:rsid w:val="00644E5A"/>
    <w:rsid w:val="00644F2C"/>
    <w:rsid w:val="00644F8F"/>
    <w:rsid w:val="006450DD"/>
    <w:rsid w:val="00645141"/>
    <w:rsid w:val="00645349"/>
    <w:rsid w:val="00645AEE"/>
    <w:rsid w:val="00646428"/>
    <w:rsid w:val="0064685B"/>
    <w:rsid w:val="00646903"/>
    <w:rsid w:val="00646AFD"/>
    <w:rsid w:val="0064707F"/>
    <w:rsid w:val="006471E8"/>
    <w:rsid w:val="00647E7D"/>
    <w:rsid w:val="00647E90"/>
    <w:rsid w:val="00647FA3"/>
    <w:rsid w:val="006500F7"/>
    <w:rsid w:val="00650769"/>
    <w:rsid w:val="00650D22"/>
    <w:rsid w:val="006516B7"/>
    <w:rsid w:val="006518E4"/>
    <w:rsid w:val="00651FB8"/>
    <w:rsid w:val="006520D5"/>
    <w:rsid w:val="0065239B"/>
    <w:rsid w:val="00652BA0"/>
    <w:rsid w:val="00653045"/>
    <w:rsid w:val="00653A25"/>
    <w:rsid w:val="00653D93"/>
    <w:rsid w:val="00653FDA"/>
    <w:rsid w:val="006541A0"/>
    <w:rsid w:val="00654C66"/>
    <w:rsid w:val="00654E99"/>
    <w:rsid w:val="00655104"/>
    <w:rsid w:val="0065548F"/>
    <w:rsid w:val="00655633"/>
    <w:rsid w:val="006559BB"/>
    <w:rsid w:val="00655D93"/>
    <w:rsid w:val="00655E86"/>
    <w:rsid w:val="00656614"/>
    <w:rsid w:val="00656C4D"/>
    <w:rsid w:val="006577CD"/>
    <w:rsid w:val="00657B16"/>
    <w:rsid w:val="00657CCC"/>
    <w:rsid w:val="00660162"/>
    <w:rsid w:val="0066036D"/>
    <w:rsid w:val="006604FA"/>
    <w:rsid w:val="006605AA"/>
    <w:rsid w:val="00660879"/>
    <w:rsid w:val="00660B3F"/>
    <w:rsid w:val="006610B1"/>
    <w:rsid w:val="00661639"/>
    <w:rsid w:val="00661655"/>
    <w:rsid w:val="0066174D"/>
    <w:rsid w:val="00661E36"/>
    <w:rsid w:val="0066318A"/>
    <w:rsid w:val="006631D3"/>
    <w:rsid w:val="00663D0F"/>
    <w:rsid w:val="00664525"/>
    <w:rsid w:val="0066465B"/>
    <w:rsid w:val="00664C81"/>
    <w:rsid w:val="0066500E"/>
    <w:rsid w:val="0066521A"/>
    <w:rsid w:val="0066540C"/>
    <w:rsid w:val="00665E5D"/>
    <w:rsid w:val="00665EAE"/>
    <w:rsid w:val="0066614F"/>
    <w:rsid w:val="006661EA"/>
    <w:rsid w:val="00666749"/>
    <w:rsid w:val="00666909"/>
    <w:rsid w:val="00666EBC"/>
    <w:rsid w:val="00667189"/>
    <w:rsid w:val="0066749E"/>
    <w:rsid w:val="00667CCB"/>
    <w:rsid w:val="00667EFD"/>
    <w:rsid w:val="00670475"/>
    <w:rsid w:val="00670B8C"/>
    <w:rsid w:val="00670C4A"/>
    <w:rsid w:val="00671457"/>
    <w:rsid w:val="00671F3E"/>
    <w:rsid w:val="00672482"/>
    <w:rsid w:val="00672A18"/>
    <w:rsid w:val="00672D2C"/>
    <w:rsid w:val="0067322C"/>
    <w:rsid w:val="006735D0"/>
    <w:rsid w:val="006739E9"/>
    <w:rsid w:val="00674D52"/>
    <w:rsid w:val="00674E43"/>
    <w:rsid w:val="00674F93"/>
    <w:rsid w:val="0067546F"/>
    <w:rsid w:val="00676287"/>
    <w:rsid w:val="006768DD"/>
    <w:rsid w:val="00676CE4"/>
    <w:rsid w:val="00676EC2"/>
    <w:rsid w:val="00676F61"/>
    <w:rsid w:val="00676FA5"/>
    <w:rsid w:val="006771A4"/>
    <w:rsid w:val="006771AD"/>
    <w:rsid w:val="006774A8"/>
    <w:rsid w:val="00677572"/>
    <w:rsid w:val="00680064"/>
    <w:rsid w:val="00681229"/>
    <w:rsid w:val="00681514"/>
    <w:rsid w:val="0068185E"/>
    <w:rsid w:val="00681BE5"/>
    <w:rsid w:val="00681E30"/>
    <w:rsid w:val="0068379B"/>
    <w:rsid w:val="00683D98"/>
    <w:rsid w:val="00683D99"/>
    <w:rsid w:val="00684079"/>
    <w:rsid w:val="0068484C"/>
    <w:rsid w:val="006848EE"/>
    <w:rsid w:val="006856AA"/>
    <w:rsid w:val="0068629B"/>
    <w:rsid w:val="00686425"/>
    <w:rsid w:val="00686497"/>
    <w:rsid w:val="006867A5"/>
    <w:rsid w:val="00686C12"/>
    <w:rsid w:val="00686D75"/>
    <w:rsid w:val="0068736A"/>
    <w:rsid w:val="00687886"/>
    <w:rsid w:val="00687D17"/>
    <w:rsid w:val="00690024"/>
    <w:rsid w:val="006903A4"/>
    <w:rsid w:val="00690CAA"/>
    <w:rsid w:val="00690EFB"/>
    <w:rsid w:val="0069137B"/>
    <w:rsid w:val="006913EC"/>
    <w:rsid w:val="006914B7"/>
    <w:rsid w:val="00691742"/>
    <w:rsid w:val="00691DEE"/>
    <w:rsid w:val="00692242"/>
    <w:rsid w:val="0069236E"/>
    <w:rsid w:val="00692704"/>
    <w:rsid w:val="00692E67"/>
    <w:rsid w:val="00693ACF"/>
    <w:rsid w:val="00693EE5"/>
    <w:rsid w:val="006944C5"/>
    <w:rsid w:val="00694B8D"/>
    <w:rsid w:val="0069561C"/>
    <w:rsid w:val="00695634"/>
    <w:rsid w:val="00695E9C"/>
    <w:rsid w:val="0069600D"/>
    <w:rsid w:val="006963AE"/>
    <w:rsid w:val="00696430"/>
    <w:rsid w:val="00697053"/>
    <w:rsid w:val="006973A1"/>
    <w:rsid w:val="006A02DC"/>
    <w:rsid w:val="006A066A"/>
    <w:rsid w:val="006A06CA"/>
    <w:rsid w:val="006A083E"/>
    <w:rsid w:val="006A0FFD"/>
    <w:rsid w:val="006A1170"/>
    <w:rsid w:val="006A14A3"/>
    <w:rsid w:val="006A159D"/>
    <w:rsid w:val="006A18BF"/>
    <w:rsid w:val="006A1F58"/>
    <w:rsid w:val="006A242E"/>
    <w:rsid w:val="006A26AB"/>
    <w:rsid w:val="006A298D"/>
    <w:rsid w:val="006A2BB4"/>
    <w:rsid w:val="006A2F80"/>
    <w:rsid w:val="006A3FD6"/>
    <w:rsid w:val="006A4076"/>
    <w:rsid w:val="006A436F"/>
    <w:rsid w:val="006A4E5B"/>
    <w:rsid w:val="006A59D8"/>
    <w:rsid w:val="006A6B7B"/>
    <w:rsid w:val="006A78F8"/>
    <w:rsid w:val="006A7C26"/>
    <w:rsid w:val="006A7E27"/>
    <w:rsid w:val="006B010E"/>
    <w:rsid w:val="006B03CA"/>
    <w:rsid w:val="006B091F"/>
    <w:rsid w:val="006B0B1E"/>
    <w:rsid w:val="006B0CAF"/>
    <w:rsid w:val="006B0ED0"/>
    <w:rsid w:val="006B0EED"/>
    <w:rsid w:val="006B147E"/>
    <w:rsid w:val="006B14F8"/>
    <w:rsid w:val="006B1854"/>
    <w:rsid w:val="006B1DF6"/>
    <w:rsid w:val="006B205F"/>
    <w:rsid w:val="006B233F"/>
    <w:rsid w:val="006B275E"/>
    <w:rsid w:val="006B28EA"/>
    <w:rsid w:val="006B2AAD"/>
    <w:rsid w:val="006B2DA3"/>
    <w:rsid w:val="006B2FBB"/>
    <w:rsid w:val="006B378A"/>
    <w:rsid w:val="006B3BD5"/>
    <w:rsid w:val="006B4185"/>
    <w:rsid w:val="006B4224"/>
    <w:rsid w:val="006B4493"/>
    <w:rsid w:val="006B453E"/>
    <w:rsid w:val="006B4B62"/>
    <w:rsid w:val="006B53DC"/>
    <w:rsid w:val="006B5423"/>
    <w:rsid w:val="006B558A"/>
    <w:rsid w:val="006B5855"/>
    <w:rsid w:val="006B5AB2"/>
    <w:rsid w:val="006B5BC7"/>
    <w:rsid w:val="006B5C67"/>
    <w:rsid w:val="006B6B5D"/>
    <w:rsid w:val="006B6BF6"/>
    <w:rsid w:val="006B6C0D"/>
    <w:rsid w:val="006B7A88"/>
    <w:rsid w:val="006C166D"/>
    <w:rsid w:val="006C1818"/>
    <w:rsid w:val="006C1F8B"/>
    <w:rsid w:val="006C2721"/>
    <w:rsid w:val="006C2BE5"/>
    <w:rsid w:val="006C316A"/>
    <w:rsid w:val="006C3868"/>
    <w:rsid w:val="006C38FF"/>
    <w:rsid w:val="006C3B4B"/>
    <w:rsid w:val="006C3E6E"/>
    <w:rsid w:val="006C3EEA"/>
    <w:rsid w:val="006C3F92"/>
    <w:rsid w:val="006C42FA"/>
    <w:rsid w:val="006C43A6"/>
    <w:rsid w:val="006C4A4A"/>
    <w:rsid w:val="006C4C9C"/>
    <w:rsid w:val="006C4E89"/>
    <w:rsid w:val="006C53EB"/>
    <w:rsid w:val="006C5434"/>
    <w:rsid w:val="006C5D29"/>
    <w:rsid w:val="006C650D"/>
    <w:rsid w:val="006C69A5"/>
    <w:rsid w:val="006C76A1"/>
    <w:rsid w:val="006C7740"/>
    <w:rsid w:val="006C7FC6"/>
    <w:rsid w:val="006D0389"/>
    <w:rsid w:val="006D0848"/>
    <w:rsid w:val="006D0BA5"/>
    <w:rsid w:val="006D0C15"/>
    <w:rsid w:val="006D0D8B"/>
    <w:rsid w:val="006D0FBF"/>
    <w:rsid w:val="006D10DC"/>
    <w:rsid w:val="006D1586"/>
    <w:rsid w:val="006D19C1"/>
    <w:rsid w:val="006D2827"/>
    <w:rsid w:val="006D2848"/>
    <w:rsid w:val="006D2B19"/>
    <w:rsid w:val="006D2EC9"/>
    <w:rsid w:val="006D3592"/>
    <w:rsid w:val="006D3A05"/>
    <w:rsid w:val="006D3B62"/>
    <w:rsid w:val="006D3FDF"/>
    <w:rsid w:val="006D4527"/>
    <w:rsid w:val="006D4B05"/>
    <w:rsid w:val="006D4F86"/>
    <w:rsid w:val="006D5F98"/>
    <w:rsid w:val="006D6665"/>
    <w:rsid w:val="006D7098"/>
    <w:rsid w:val="006D740E"/>
    <w:rsid w:val="006D7F72"/>
    <w:rsid w:val="006E00B7"/>
    <w:rsid w:val="006E0E5B"/>
    <w:rsid w:val="006E1659"/>
    <w:rsid w:val="006E3023"/>
    <w:rsid w:val="006E3369"/>
    <w:rsid w:val="006E3D12"/>
    <w:rsid w:val="006E449C"/>
    <w:rsid w:val="006E4726"/>
    <w:rsid w:val="006E4E72"/>
    <w:rsid w:val="006E50D0"/>
    <w:rsid w:val="006E5F41"/>
    <w:rsid w:val="006E64BD"/>
    <w:rsid w:val="006E663E"/>
    <w:rsid w:val="006E6EDF"/>
    <w:rsid w:val="006E7BA5"/>
    <w:rsid w:val="006F01E8"/>
    <w:rsid w:val="006F02D7"/>
    <w:rsid w:val="006F0EBB"/>
    <w:rsid w:val="006F1E96"/>
    <w:rsid w:val="006F2706"/>
    <w:rsid w:val="006F2D24"/>
    <w:rsid w:val="006F352A"/>
    <w:rsid w:val="006F37F7"/>
    <w:rsid w:val="006F3909"/>
    <w:rsid w:val="006F4036"/>
    <w:rsid w:val="006F428E"/>
    <w:rsid w:val="006F48E1"/>
    <w:rsid w:val="006F4FA0"/>
    <w:rsid w:val="006F5096"/>
    <w:rsid w:val="006F5160"/>
    <w:rsid w:val="006F5374"/>
    <w:rsid w:val="006F60DF"/>
    <w:rsid w:val="006F64DE"/>
    <w:rsid w:val="006F6766"/>
    <w:rsid w:val="006F68C1"/>
    <w:rsid w:val="006F6CE2"/>
    <w:rsid w:val="006F6E10"/>
    <w:rsid w:val="00700B04"/>
    <w:rsid w:val="00700F57"/>
    <w:rsid w:val="007014F8"/>
    <w:rsid w:val="0070150D"/>
    <w:rsid w:val="007016D2"/>
    <w:rsid w:val="007018D8"/>
    <w:rsid w:val="00701979"/>
    <w:rsid w:val="00701C6E"/>
    <w:rsid w:val="0070288A"/>
    <w:rsid w:val="007029E8"/>
    <w:rsid w:val="00703013"/>
    <w:rsid w:val="00703107"/>
    <w:rsid w:val="00703138"/>
    <w:rsid w:val="00703277"/>
    <w:rsid w:val="0070356D"/>
    <w:rsid w:val="00703981"/>
    <w:rsid w:val="00703CDF"/>
    <w:rsid w:val="00703D7E"/>
    <w:rsid w:val="0070495F"/>
    <w:rsid w:val="00704A08"/>
    <w:rsid w:val="00704B6E"/>
    <w:rsid w:val="00704F10"/>
    <w:rsid w:val="00704F73"/>
    <w:rsid w:val="0070508D"/>
    <w:rsid w:val="0070542E"/>
    <w:rsid w:val="00705849"/>
    <w:rsid w:val="0070604A"/>
    <w:rsid w:val="007060D4"/>
    <w:rsid w:val="0070624C"/>
    <w:rsid w:val="00706451"/>
    <w:rsid w:val="00707E0F"/>
    <w:rsid w:val="0071068A"/>
    <w:rsid w:val="00710E19"/>
    <w:rsid w:val="00710E52"/>
    <w:rsid w:val="0071154B"/>
    <w:rsid w:val="0071174F"/>
    <w:rsid w:val="0071196A"/>
    <w:rsid w:val="007130CA"/>
    <w:rsid w:val="007131CF"/>
    <w:rsid w:val="007133C0"/>
    <w:rsid w:val="00713613"/>
    <w:rsid w:val="007137C6"/>
    <w:rsid w:val="007138FC"/>
    <w:rsid w:val="0071393D"/>
    <w:rsid w:val="00713E79"/>
    <w:rsid w:val="00714073"/>
    <w:rsid w:val="00714245"/>
    <w:rsid w:val="00715441"/>
    <w:rsid w:val="00715739"/>
    <w:rsid w:val="0071576C"/>
    <w:rsid w:val="00715C94"/>
    <w:rsid w:val="007165F0"/>
    <w:rsid w:val="00716A09"/>
    <w:rsid w:val="007170DB"/>
    <w:rsid w:val="007170E4"/>
    <w:rsid w:val="00717880"/>
    <w:rsid w:val="00717CA8"/>
    <w:rsid w:val="007205E7"/>
    <w:rsid w:val="007209C4"/>
    <w:rsid w:val="00721E9E"/>
    <w:rsid w:val="007227FE"/>
    <w:rsid w:val="0072323F"/>
    <w:rsid w:val="007233C3"/>
    <w:rsid w:val="007238D7"/>
    <w:rsid w:val="00723C95"/>
    <w:rsid w:val="00724456"/>
    <w:rsid w:val="007244E7"/>
    <w:rsid w:val="0072505F"/>
    <w:rsid w:val="00725B00"/>
    <w:rsid w:val="00725C6F"/>
    <w:rsid w:val="0072680C"/>
    <w:rsid w:val="00726B3D"/>
    <w:rsid w:val="00726C64"/>
    <w:rsid w:val="007302C6"/>
    <w:rsid w:val="00730FB0"/>
    <w:rsid w:val="007310B7"/>
    <w:rsid w:val="00731237"/>
    <w:rsid w:val="00731A22"/>
    <w:rsid w:val="00731C4D"/>
    <w:rsid w:val="0073207E"/>
    <w:rsid w:val="00732523"/>
    <w:rsid w:val="00732664"/>
    <w:rsid w:val="00732BA7"/>
    <w:rsid w:val="007333EA"/>
    <w:rsid w:val="00733601"/>
    <w:rsid w:val="00733A57"/>
    <w:rsid w:val="00733F36"/>
    <w:rsid w:val="007340CE"/>
    <w:rsid w:val="00734781"/>
    <w:rsid w:val="007349FC"/>
    <w:rsid w:val="00734B6F"/>
    <w:rsid w:val="007351A5"/>
    <w:rsid w:val="00735293"/>
    <w:rsid w:val="00735376"/>
    <w:rsid w:val="007363EA"/>
    <w:rsid w:val="00736A02"/>
    <w:rsid w:val="00736E06"/>
    <w:rsid w:val="00736E37"/>
    <w:rsid w:val="00737286"/>
    <w:rsid w:val="007373DB"/>
    <w:rsid w:val="00737847"/>
    <w:rsid w:val="00737F27"/>
    <w:rsid w:val="00737FD3"/>
    <w:rsid w:val="00740240"/>
    <w:rsid w:val="007407DB"/>
    <w:rsid w:val="00740BFC"/>
    <w:rsid w:val="00740D06"/>
    <w:rsid w:val="00740F76"/>
    <w:rsid w:val="00741037"/>
    <w:rsid w:val="007422B3"/>
    <w:rsid w:val="007424BF"/>
    <w:rsid w:val="007435F1"/>
    <w:rsid w:val="00743DDD"/>
    <w:rsid w:val="00744625"/>
    <w:rsid w:val="007446BB"/>
    <w:rsid w:val="00744AF1"/>
    <w:rsid w:val="00745882"/>
    <w:rsid w:val="00745A04"/>
    <w:rsid w:val="00745A0F"/>
    <w:rsid w:val="00745DFD"/>
    <w:rsid w:val="00745EC3"/>
    <w:rsid w:val="00746197"/>
    <w:rsid w:val="0074689C"/>
    <w:rsid w:val="00746B3F"/>
    <w:rsid w:val="00747117"/>
    <w:rsid w:val="007479C2"/>
    <w:rsid w:val="00747B0D"/>
    <w:rsid w:val="007503EA"/>
    <w:rsid w:val="00751452"/>
    <w:rsid w:val="007521A5"/>
    <w:rsid w:val="00752488"/>
    <w:rsid w:val="00753959"/>
    <w:rsid w:val="00753DD6"/>
    <w:rsid w:val="00754A4A"/>
    <w:rsid w:val="007566FB"/>
    <w:rsid w:val="007567A8"/>
    <w:rsid w:val="00756D6A"/>
    <w:rsid w:val="0076043F"/>
    <w:rsid w:val="00760D17"/>
    <w:rsid w:val="00760F66"/>
    <w:rsid w:val="007611F8"/>
    <w:rsid w:val="00761200"/>
    <w:rsid w:val="00761931"/>
    <w:rsid w:val="00761BD1"/>
    <w:rsid w:val="007624AF"/>
    <w:rsid w:val="007627BA"/>
    <w:rsid w:val="0076291E"/>
    <w:rsid w:val="00762C76"/>
    <w:rsid w:val="00762D81"/>
    <w:rsid w:val="0076317B"/>
    <w:rsid w:val="007642DE"/>
    <w:rsid w:val="007643D5"/>
    <w:rsid w:val="00764B65"/>
    <w:rsid w:val="00765366"/>
    <w:rsid w:val="00765914"/>
    <w:rsid w:val="0076614D"/>
    <w:rsid w:val="0076624C"/>
    <w:rsid w:val="0076627D"/>
    <w:rsid w:val="00766304"/>
    <w:rsid w:val="007665D3"/>
    <w:rsid w:val="00766CB7"/>
    <w:rsid w:val="00767A28"/>
    <w:rsid w:val="00767DD2"/>
    <w:rsid w:val="00770264"/>
    <w:rsid w:val="0077082B"/>
    <w:rsid w:val="00770994"/>
    <w:rsid w:val="00770E60"/>
    <w:rsid w:val="00771594"/>
    <w:rsid w:val="00771C8F"/>
    <w:rsid w:val="0077266E"/>
    <w:rsid w:val="0077292E"/>
    <w:rsid w:val="00772A5F"/>
    <w:rsid w:val="007737D4"/>
    <w:rsid w:val="007737D8"/>
    <w:rsid w:val="0077391C"/>
    <w:rsid w:val="00773D24"/>
    <w:rsid w:val="00774576"/>
    <w:rsid w:val="007745DA"/>
    <w:rsid w:val="0077508A"/>
    <w:rsid w:val="00775475"/>
    <w:rsid w:val="00775567"/>
    <w:rsid w:val="00775B7C"/>
    <w:rsid w:val="00775E0D"/>
    <w:rsid w:val="00776343"/>
    <w:rsid w:val="00776416"/>
    <w:rsid w:val="00776C7B"/>
    <w:rsid w:val="00776CEF"/>
    <w:rsid w:val="00777E7E"/>
    <w:rsid w:val="00777EFA"/>
    <w:rsid w:val="007804DD"/>
    <w:rsid w:val="00780EC1"/>
    <w:rsid w:val="00780F3B"/>
    <w:rsid w:val="0078115B"/>
    <w:rsid w:val="007816EE"/>
    <w:rsid w:val="00782071"/>
    <w:rsid w:val="00782783"/>
    <w:rsid w:val="00782946"/>
    <w:rsid w:val="00782ECD"/>
    <w:rsid w:val="0078363B"/>
    <w:rsid w:val="00783CCF"/>
    <w:rsid w:val="00783F5B"/>
    <w:rsid w:val="00784609"/>
    <w:rsid w:val="00784720"/>
    <w:rsid w:val="0078481D"/>
    <w:rsid w:val="00784D91"/>
    <w:rsid w:val="007859FC"/>
    <w:rsid w:val="00785F1E"/>
    <w:rsid w:val="00785F4C"/>
    <w:rsid w:val="0078609C"/>
    <w:rsid w:val="00786355"/>
    <w:rsid w:val="00786C0C"/>
    <w:rsid w:val="00787370"/>
    <w:rsid w:val="007874AE"/>
    <w:rsid w:val="0078750B"/>
    <w:rsid w:val="00787DF9"/>
    <w:rsid w:val="00787F5E"/>
    <w:rsid w:val="0079024D"/>
    <w:rsid w:val="00791069"/>
    <w:rsid w:val="007911B8"/>
    <w:rsid w:val="00791DAE"/>
    <w:rsid w:val="007930E8"/>
    <w:rsid w:val="00793A57"/>
    <w:rsid w:val="00793A9C"/>
    <w:rsid w:val="00793F28"/>
    <w:rsid w:val="007944D2"/>
    <w:rsid w:val="00794AC7"/>
    <w:rsid w:val="00794B19"/>
    <w:rsid w:val="00794FFA"/>
    <w:rsid w:val="00795B8D"/>
    <w:rsid w:val="00795E34"/>
    <w:rsid w:val="00795F0E"/>
    <w:rsid w:val="00796CD2"/>
    <w:rsid w:val="00797D8F"/>
    <w:rsid w:val="007A0C00"/>
    <w:rsid w:val="007A0E15"/>
    <w:rsid w:val="007A176E"/>
    <w:rsid w:val="007A19BF"/>
    <w:rsid w:val="007A2A69"/>
    <w:rsid w:val="007A2CF1"/>
    <w:rsid w:val="007A2E92"/>
    <w:rsid w:val="007A3579"/>
    <w:rsid w:val="007A384E"/>
    <w:rsid w:val="007A3EDF"/>
    <w:rsid w:val="007A41B5"/>
    <w:rsid w:val="007A4486"/>
    <w:rsid w:val="007A4682"/>
    <w:rsid w:val="007A5879"/>
    <w:rsid w:val="007A58A8"/>
    <w:rsid w:val="007A5BDC"/>
    <w:rsid w:val="007A629D"/>
    <w:rsid w:val="007A6610"/>
    <w:rsid w:val="007A6D51"/>
    <w:rsid w:val="007A6DD3"/>
    <w:rsid w:val="007A6FF3"/>
    <w:rsid w:val="007A7169"/>
    <w:rsid w:val="007A71DC"/>
    <w:rsid w:val="007A7A04"/>
    <w:rsid w:val="007B04FF"/>
    <w:rsid w:val="007B0976"/>
    <w:rsid w:val="007B0CAC"/>
    <w:rsid w:val="007B1232"/>
    <w:rsid w:val="007B15F3"/>
    <w:rsid w:val="007B1701"/>
    <w:rsid w:val="007B1C32"/>
    <w:rsid w:val="007B1DBB"/>
    <w:rsid w:val="007B1E0F"/>
    <w:rsid w:val="007B2319"/>
    <w:rsid w:val="007B2FBF"/>
    <w:rsid w:val="007B3E13"/>
    <w:rsid w:val="007B4044"/>
    <w:rsid w:val="007B4046"/>
    <w:rsid w:val="007B4300"/>
    <w:rsid w:val="007B53A7"/>
    <w:rsid w:val="007B565C"/>
    <w:rsid w:val="007B56C5"/>
    <w:rsid w:val="007B595F"/>
    <w:rsid w:val="007B5D75"/>
    <w:rsid w:val="007B6D5E"/>
    <w:rsid w:val="007B6F90"/>
    <w:rsid w:val="007B7115"/>
    <w:rsid w:val="007B736B"/>
    <w:rsid w:val="007C012E"/>
    <w:rsid w:val="007C055A"/>
    <w:rsid w:val="007C0853"/>
    <w:rsid w:val="007C0C90"/>
    <w:rsid w:val="007C0E07"/>
    <w:rsid w:val="007C0E86"/>
    <w:rsid w:val="007C249E"/>
    <w:rsid w:val="007C26CF"/>
    <w:rsid w:val="007C271B"/>
    <w:rsid w:val="007C2C14"/>
    <w:rsid w:val="007C3A55"/>
    <w:rsid w:val="007C3BB8"/>
    <w:rsid w:val="007C3D67"/>
    <w:rsid w:val="007C404B"/>
    <w:rsid w:val="007C4166"/>
    <w:rsid w:val="007C44E1"/>
    <w:rsid w:val="007C48DD"/>
    <w:rsid w:val="007C4A05"/>
    <w:rsid w:val="007C5711"/>
    <w:rsid w:val="007C57B9"/>
    <w:rsid w:val="007C6325"/>
    <w:rsid w:val="007C73A3"/>
    <w:rsid w:val="007C7975"/>
    <w:rsid w:val="007C7EF5"/>
    <w:rsid w:val="007D0227"/>
    <w:rsid w:val="007D06AC"/>
    <w:rsid w:val="007D0741"/>
    <w:rsid w:val="007D0A53"/>
    <w:rsid w:val="007D0FFC"/>
    <w:rsid w:val="007D1013"/>
    <w:rsid w:val="007D140E"/>
    <w:rsid w:val="007D19EC"/>
    <w:rsid w:val="007D1B28"/>
    <w:rsid w:val="007D2608"/>
    <w:rsid w:val="007D30C3"/>
    <w:rsid w:val="007D35AC"/>
    <w:rsid w:val="007D36B1"/>
    <w:rsid w:val="007D36D7"/>
    <w:rsid w:val="007D3BA1"/>
    <w:rsid w:val="007D3EC8"/>
    <w:rsid w:val="007D40AC"/>
    <w:rsid w:val="007D4317"/>
    <w:rsid w:val="007D4C12"/>
    <w:rsid w:val="007D57E0"/>
    <w:rsid w:val="007D5962"/>
    <w:rsid w:val="007D5A2B"/>
    <w:rsid w:val="007D6213"/>
    <w:rsid w:val="007D63B2"/>
    <w:rsid w:val="007D651D"/>
    <w:rsid w:val="007D71B7"/>
    <w:rsid w:val="007D7C66"/>
    <w:rsid w:val="007D7CF3"/>
    <w:rsid w:val="007E0274"/>
    <w:rsid w:val="007E02A7"/>
    <w:rsid w:val="007E0358"/>
    <w:rsid w:val="007E0415"/>
    <w:rsid w:val="007E0991"/>
    <w:rsid w:val="007E0B2C"/>
    <w:rsid w:val="007E0BD1"/>
    <w:rsid w:val="007E107F"/>
    <w:rsid w:val="007E2FD7"/>
    <w:rsid w:val="007E310B"/>
    <w:rsid w:val="007E3275"/>
    <w:rsid w:val="007E38DA"/>
    <w:rsid w:val="007E3D65"/>
    <w:rsid w:val="007E3EE2"/>
    <w:rsid w:val="007E47E7"/>
    <w:rsid w:val="007E4A98"/>
    <w:rsid w:val="007E4EB6"/>
    <w:rsid w:val="007E5DD7"/>
    <w:rsid w:val="007E6B8C"/>
    <w:rsid w:val="007E6FB9"/>
    <w:rsid w:val="007E7139"/>
    <w:rsid w:val="007E7366"/>
    <w:rsid w:val="007E7EA1"/>
    <w:rsid w:val="007E7EA4"/>
    <w:rsid w:val="007F03CE"/>
    <w:rsid w:val="007F04D3"/>
    <w:rsid w:val="007F137D"/>
    <w:rsid w:val="007F17B5"/>
    <w:rsid w:val="007F2D8D"/>
    <w:rsid w:val="007F2EBF"/>
    <w:rsid w:val="007F3044"/>
    <w:rsid w:val="007F3249"/>
    <w:rsid w:val="007F3704"/>
    <w:rsid w:val="007F4657"/>
    <w:rsid w:val="007F4A02"/>
    <w:rsid w:val="007F5609"/>
    <w:rsid w:val="007F5625"/>
    <w:rsid w:val="007F568A"/>
    <w:rsid w:val="007F59F7"/>
    <w:rsid w:val="007F5E21"/>
    <w:rsid w:val="007F6413"/>
    <w:rsid w:val="007F676E"/>
    <w:rsid w:val="007F6B11"/>
    <w:rsid w:val="007F6E2B"/>
    <w:rsid w:val="007F7033"/>
    <w:rsid w:val="007F7D12"/>
    <w:rsid w:val="007F7F02"/>
    <w:rsid w:val="00800258"/>
    <w:rsid w:val="00800C97"/>
    <w:rsid w:val="0080220F"/>
    <w:rsid w:val="008026A7"/>
    <w:rsid w:val="00802735"/>
    <w:rsid w:val="008028C2"/>
    <w:rsid w:val="00802DDB"/>
    <w:rsid w:val="00802FC1"/>
    <w:rsid w:val="00803445"/>
    <w:rsid w:val="008037D8"/>
    <w:rsid w:val="00803B7E"/>
    <w:rsid w:val="00803DA6"/>
    <w:rsid w:val="008040D9"/>
    <w:rsid w:val="0080436E"/>
    <w:rsid w:val="00804937"/>
    <w:rsid w:val="00804C02"/>
    <w:rsid w:val="00804E1E"/>
    <w:rsid w:val="00804E43"/>
    <w:rsid w:val="008050F5"/>
    <w:rsid w:val="0080519C"/>
    <w:rsid w:val="0080553F"/>
    <w:rsid w:val="00805E48"/>
    <w:rsid w:val="0080637D"/>
    <w:rsid w:val="00807ADD"/>
    <w:rsid w:val="00810BC2"/>
    <w:rsid w:val="00811683"/>
    <w:rsid w:val="00811AFF"/>
    <w:rsid w:val="00812373"/>
    <w:rsid w:val="00812D30"/>
    <w:rsid w:val="00813F3A"/>
    <w:rsid w:val="008140E8"/>
    <w:rsid w:val="008148D4"/>
    <w:rsid w:val="0081491F"/>
    <w:rsid w:val="00814941"/>
    <w:rsid w:val="00814A65"/>
    <w:rsid w:val="00814BD9"/>
    <w:rsid w:val="00814F68"/>
    <w:rsid w:val="008158AC"/>
    <w:rsid w:val="00816805"/>
    <w:rsid w:val="00816BE8"/>
    <w:rsid w:val="00816CD5"/>
    <w:rsid w:val="00816DBD"/>
    <w:rsid w:val="00816FE2"/>
    <w:rsid w:val="00817062"/>
    <w:rsid w:val="008173DD"/>
    <w:rsid w:val="00817991"/>
    <w:rsid w:val="00817F58"/>
    <w:rsid w:val="008203C5"/>
    <w:rsid w:val="00820B84"/>
    <w:rsid w:val="0082199B"/>
    <w:rsid w:val="00821C2A"/>
    <w:rsid w:val="00821C61"/>
    <w:rsid w:val="008227B7"/>
    <w:rsid w:val="008234D2"/>
    <w:rsid w:val="008243A8"/>
    <w:rsid w:val="00824925"/>
    <w:rsid w:val="00824C8B"/>
    <w:rsid w:val="008252E8"/>
    <w:rsid w:val="00825BA8"/>
    <w:rsid w:val="00825C14"/>
    <w:rsid w:val="00826344"/>
    <w:rsid w:val="0082641D"/>
    <w:rsid w:val="008267CA"/>
    <w:rsid w:val="00826E45"/>
    <w:rsid w:val="008270EE"/>
    <w:rsid w:val="0082722B"/>
    <w:rsid w:val="0082745B"/>
    <w:rsid w:val="00827C1B"/>
    <w:rsid w:val="0083016B"/>
    <w:rsid w:val="008301F1"/>
    <w:rsid w:val="00830C0E"/>
    <w:rsid w:val="00830DD6"/>
    <w:rsid w:val="008313E0"/>
    <w:rsid w:val="008317EC"/>
    <w:rsid w:val="0083195D"/>
    <w:rsid w:val="00831B7B"/>
    <w:rsid w:val="00831D90"/>
    <w:rsid w:val="008322B9"/>
    <w:rsid w:val="008324F3"/>
    <w:rsid w:val="00832691"/>
    <w:rsid w:val="0083296B"/>
    <w:rsid w:val="00832B8A"/>
    <w:rsid w:val="00833547"/>
    <w:rsid w:val="00833852"/>
    <w:rsid w:val="00833967"/>
    <w:rsid w:val="00833AB9"/>
    <w:rsid w:val="00833B62"/>
    <w:rsid w:val="0083436A"/>
    <w:rsid w:val="00834820"/>
    <w:rsid w:val="00834C82"/>
    <w:rsid w:val="00834DB6"/>
    <w:rsid w:val="00834F93"/>
    <w:rsid w:val="00835F72"/>
    <w:rsid w:val="00840C4A"/>
    <w:rsid w:val="008411B9"/>
    <w:rsid w:val="0084122F"/>
    <w:rsid w:val="00841573"/>
    <w:rsid w:val="00841D08"/>
    <w:rsid w:val="00842D43"/>
    <w:rsid w:val="0084323E"/>
    <w:rsid w:val="00843894"/>
    <w:rsid w:val="00843D50"/>
    <w:rsid w:val="008441D9"/>
    <w:rsid w:val="0084464E"/>
    <w:rsid w:val="00844D85"/>
    <w:rsid w:val="008458BF"/>
    <w:rsid w:val="00846262"/>
    <w:rsid w:val="00846370"/>
    <w:rsid w:val="008463E8"/>
    <w:rsid w:val="008468BA"/>
    <w:rsid w:val="00847665"/>
    <w:rsid w:val="008478B7"/>
    <w:rsid w:val="00847925"/>
    <w:rsid w:val="00847BC5"/>
    <w:rsid w:val="00847F11"/>
    <w:rsid w:val="00850010"/>
    <w:rsid w:val="008503F4"/>
    <w:rsid w:val="008504A0"/>
    <w:rsid w:val="00850996"/>
    <w:rsid w:val="00850AC1"/>
    <w:rsid w:val="00850C2A"/>
    <w:rsid w:val="00850DFA"/>
    <w:rsid w:val="00851331"/>
    <w:rsid w:val="008516D1"/>
    <w:rsid w:val="00851CC8"/>
    <w:rsid w:val="00852003"/>
    <w:rsid w:val="0085212C"/>
    <w:rsid w:val="0085223F"/>
    <w:rsid w:val="008529FD"/>
    <w:rsid w:val="00852F9E"/>
    <w:rsid w:val="008539C0"/>
    <w:rsid w:val="00854053"/>
    <w:rsid w:val="008543AC"/>
    <w:rsid w:val="008548B8"/>
    <w:rsid w:val="00854965"/>
    <w:rsid w:val="008554D1"/>
    <w:rsid w:val="00855897"/>
    <w:rsid w:val="008558E0"/>
    <w:rsid w:val="008569E0"/>
    <w:rsid w:val="0085745B"/>
    <w:rsid w:val="00857AF7"/>
    <w:rsid w:val="00857BE5"/>
    <w:rsid w:val="00860109"/>
    <w:rsid w:val="008601BD"/>
    <w:rsid w:val="00860359"/>
    <w:rsid w:val="00860E43"/>
    <w:rsid w:val="00861252"/>
    <w:rsid w:val="0086171A"/>
    <w:rsid w:val="0086226C"/>
    <w:rsid w:val="00863C07"/>
    <w:rsid w:val="008640B7"/>
    <w:rsid w:val="00864379"/>
    <w:rsid w:val="008644A4"/>
    <w:rsid w:val="00864A6C"/>
    <w:rsid w:val="00864BB1"/>
    <w:rsid w:val="00864DF7"/>
    <w:rsid w:val="00865278"/>
    <w:rsid w:val="008654F9"/>
    <w:rsid w:val="008658C0"/>
    <w:rsid w:val="00866388"/>
    <w:rsid w:val="00866A5E"/>
    <w:rsid w:val="00866FE3"/>
    <w:rsid w:val="0086722D"/>
    <w:rsid w:val="00867459"/>
    <w:rsid w:val="00867D56"/>
    <w:rsid w:val="00867D70"/>
    <w:rsid w:val="0087018F"/>
    <w:rsid w:val="00870646"/>
    <w:rsid w:val="008706C3"/>
    <w:rsid w:val="00870BAA"/>
    <w:rsid w:val="00870D91"/>
    <w:rsid w:val="008716D1"/>
    <w:rsid w:val="008716ED"/>
    <w:rsid w:val="008718AD"/>
    <w:rsid w:val="0087193F"/>
    <w:rsid w:val="008724E6"/>
    <w:rsid w:val="008728C8"/>
    <w:rsid w:val="00873205"/>
    <w:rsid w:val="008735E8"/>
    <w:rsid w:val="00873662"/>
    <w:rsid w:val="0087377E"/>
    <w:rsid w:val="00874594"/>
    <w:rsid w:val="00874776"/>
    <w:rsid w:val="0087487C"/>
    <w:rsid w:val="00874A07"/>
    <w:rsid w:val="00874B75"/>
    <w:rsid w:val="00875007"/>
    <w:rsid w:val="008750DB"/>
    <w:rsid w:val="008751B4"/>
    <w:rsid w:val="0087527F"/>
    <w:rsid w:val="008754B5"/>
    <w:rsid w:val="00875AF3"/>
    <w:rsid w:val="008765E9"/>
    <w:rsid w:val="00876605"/>
    <w:rsid w:val="00876B13"/>
    <w:rsid w:val="00877940"/>
    <w:rsid w:val="0087796A"/>
    <w:rsid w:val="00880017"/>
    <w:rsid w:val="00880305"/>
    <w:rsid w:val="0088088A"/>
    <w:rsid w:val="00880A3F"/>
    <w:rsid w:val="00880EE2"/>
    <w:rsid w:val="00881155"/>
    <w:rsid w:val="008813BC"/>
    <w:rsid w:val="00881732"/>
    <w:rsid w:val="008818A2"/>
    <w:rsid w:val="00881FF9"/>
    <w:rsid w:val="0088213D"/>
    <w:rsid w:val="008821C6"/>
    <w:rsid w:val="0088243D"/>
    <w:rsid w:val="0088251A"/>
    <w:rsid w:val="00882530"/>
    <w:rsid w:val="0088288C"/>
    <w:rsid w:val="00882D28"/>
    <w:rsid w:val="00883A67"/>
    <w:rsid w:val="0088459D"/>
    <w:rsid w:val="008848E9"/>
    <w:rsid w:val="00884FD8"/>
    <w:rsid w:val="00885244"/>
    <w:rsid w:val="008857C7"/>
    <w:rsid w:val="008858B3"/>
    <w:rsid w:val="00885BF6"/>
    <w:rsid w:val="008866CF"/>
    <w:rsid w:val="00886782"/>
    <w:rsid w:val="008869A1"/>
    <w:rsid w:val="00886B3F"/>
    <w:rsid w:val="008878B9"/>
    <w:rsid w:val="0089015D"/>
    <w:rsid w:val="0089021A"/>
    <w:rsid w:val="0089022E"/>
    <w:rsid w:val="00890475"/>
    <w:rsid w:val="00890A7C"/>
    <w:rsid w:val="00890D11"/>
    <w:rsid w:val="008910EE"/>
    <w:rsid w:val="00891204"/>
    <w:rsid w:val="00891A26"/>
    <w:rsid w:val="00891BCE"/>
    <w:rsid w:val="008923F8"/>
    <w:rsid w:val="008928F1"/>
    <w:rsid w:val="00892BBF"/>
    <w:rsid w:val="00892DB5"/>
    <w:rsid w:val="00893F27"/>
    <w:rsid w:val="008942BD"/>
    <w:rsid w:val="0089478A"/>
    <w:rsid w:val="0089480A"/>
    <w:rsid w:val="00894FE5"/>
    <w:rsid w:val="00895658"/>
    <w:rsid w:val="008956DA"/>
    <w:rsid w:val="00895BA9"/>
    <w:rsid w:val="00895D79"/>
    <w:rsid w:val="0089601B"/>
    <w:rsid w:val="0089655D"/>
    <w:rsid w:val="00896784"/>
    <w:rsid w:val="00896C56"/>
    <w:rsid w:val="00897051"/>
    <w:rsid w:val="00897824"/>
    <w:rsid w:val="00897BCB"/>
    <w:rsid w:val="00897C07"/>
    <w:rsid w:val="00897DBA"/>
    <w:rsid w:val="008A02FA"/>
    <w:rsid w:val="008A06A8"/>
    <w:rsid w:val="008A0BCE"/>
    <w:rsid w:val="008A1AAC"/>
    <w:rsid w:val="008A20CA"/>
    <w:rsid w:val="008A239B"/>
    <w:rsid w:val="008A23AB"/>
    <w:rsid w:val="008A28B6"/>
    <w:rsid w:val="008A2956"/>
    <w:rsid w:val="008A2EA1"/>
    <w:rsid w:val="008A2EF6"/>
    <w:rsid w:val="008A336C"/>
    <w:rsid w:val="008A3480"/>
    <w:rsid w:val="008A3642"/>
    <w:rsid w:val="008A3C36"/>
    <w:rsid w:val="008A4F3C"/>
    <w:rsid w:val="008A51AD"/>
    <w:rsid w:val="008A53BA"/>
    <w:rsid w:val="008A551D"/>
    <w:rsid w:val="008A56BA"/>
    <w:rsid w:val="008A570A"/>
    <w:rsid w:val="008A58E4"/>
    <w:rsid w:val="008A58E7"/>
    <w:rsid w:val="008A5C1D"/>
    <w:rsid w:val="008A615A"/>
    <w:rsid w:val="008A6357"/>
    <w:rsid w:val="008A64AA"/>
    <w:rsid w:val="008A650C"/>
    <w:rsid w:val="008A66E1"/>
    <w:rsid w:val="008A6A36"/>
    <w:rsid w:val="008A6CB9"/>
    <w:rsid w:val="008A6DC1"/>
    <w:rsid w:val="008A6DD4"/>
    <w:rsid w:val="008A7083"/>
    <w:rsid w:val="008A7100"/>
    <w:rsid w:val="008A7139"/>
    <w:rsid w:val="008A776D"/>
    <w:rsid w:val="008A7C74"/>
    <w:rsid w:val="008B03BD"/>
    <w:rsid w:val="008B04C0"/>
    <w:rsid w:val="008B09E1"/>
    <w:rsid w:val="008B0A83"/>
    <w:rsid w:val="008B0DCF"/>
    <w:rsid w:val="008B0E93"/>
    <w:rsid w:val="008B0F8D"/>
    <w:rsid w:val="008B198D"/>
    <w:rsid w:val="008B210A"/>
    <w:rsid w:val="008B23A8"/>
    <w:rsid w:val="008B29A4"/>
    <w:rsid w:val="008B2BB4"/>
    <w:rsid w:val="008B2C30"/>
    <w:rsid w:val="008B3C2B"/>
    <w:rsid w:val="008B4679"/>
    <w:rsid w:val="008B4D00"/>
    <w:rsid w:val="008B4D13"/>
    <w:rsid w:val="008B4E78"/>
    <w:rsid w:val="008B4FE2"/>
    <w:rsid w:val="008B61A1"/>
    <w:rsid w:val="008B66EE"/>
    <w:rsid w:val="008B6793"/>
    <w:rsid w:val="008B6E87"/>
    <w:rsid w:val="008B7588"/>
    <w:rsid w:val="008B75C2"/>
    <w:rsid w:val="008B787A"/>
    <w:rsid w:val="008C0A89"/>
    <w:rsid w:val="008C0CBD"/>
    <w:rsid w:val="008C0E71"/>
    <w:rsid w:val="008C1852"/>
    <w:rsid w:val="008C269F"/>
    <w:rsid w:val="008C2AF0"/>
    <w:rsid w:val="008C2CFF"/>
    <w:rsid w:val="008C2E1E"/>
    <w:rsid w:val="008C2E22"/>
    <w:rsid w:val="008C2ED2"/>
    <w:rsid w:val="008C3D4D"/>
    <w:rsid w:val="008C4026"/>
    <w:rsid w:val="008C417E"/>
    <w:rsid w:val="008C5B51"/>
    <w:rsid w:val="008C5F0A"/>
    <w:rsid w:val="008C6105"/>
    <w:rsid w:val="008C6124"/>
    <w:rsid w:val="008C6334"/>
    <w:rsid w:val="008C66BD"/>
    <w:rsid w:val="008C6968"/>
    <w:rsid w:val="008C7373"/>
    <w:rsid w:val="008C742A"/>
    <w:rsid w:val="008C74C7"/>
    <w:rsid w:val="008C76A5"/>
    <w:rsid w:val="008C7714"/>
    <w:rsid w:val="008C7F4F"/>
    <w:rsid w:val="008D007F"/>
    <w:rsid w:val="008D00F3"/>
    <w:rsid w:val="008D03C3"/>
    <w:rsid w:val="008D0F27"/>
    <w:rsid w:val="008D11F0"/>
    <w:rsid w:val="008D15A2"/>
    <w:rsid w:val="008D1839"/>
    <w:rsid w:val="008D18CD"/>
    <w:rsid w:val="008D1F86"/>
    <w:rsid w:val="008D20E0"/>
    <w:rsid w:val="008D2B6E"/>
    <w:rsid w:val="008D2C5D"/>
    <w:rsid w:val="008D335C"/>
    <w:rsid w:val="008D35B7"/>
    <w:rsid w:val="008D4007"/>
    <w:rsid w:val="008D436A"/>
    <w:rsid w:val="008D46D3"/>
    <w:rsid w:val="008D4C72"/>
    <w:rsid w:val="008D4CF8"/>
    <w:rsid w:val="008D5291"/>
    <w:rsid w:val="008D5368"/>
    <w:rsid w:val="008D561B"/>
    <w:rsid w:val="008D582B"/>
    <w:rsid w:val="008D5CF9"/>
    <w:rsid w:val="008D5D0A"/>
    <w:rsid w:val="008D6794"/>
    <w:rsid w:val="008D7F65"/>
    <w:rsid w:val="008E00C1"/>
    <w:rsid w:val="008E0178"/>
    <w:rsid w:val="008E02F8"/>
    <w:rsid w:val="008E0E9B"/>
    <w:rsid w:val="008E12AF"/>
    <w:rsid w:val="008E1342"/>
    <w:rsid w:val="008E17F3"/>
    <w:rsid w:val="008E1DC9"/>
    <w:rsid w:val="008E1F11"/>
    <w:rsid w:val="008E211C"/>
    <w:rsid w:val="008E24E4"/>
    <w:rsid w:val="008E25C5"/>
    <w:rsid w:val="008E26B3"/>
    <w:rsid w:val="008E28EC"/>
    <w:rsid w:val="008E2BB3"/>
    <w:rsid w:val="008E2BC5"/>
    <w:rsid w:val="008E2C79"/>
    <w:rsid w:val="008E3176"/>
    <w:rsid w:val="008E3564"/>
    <w:rsid w:val="008E3A0B"/>
    <w:rsid w:val="008E3A90"/>
    <w:rsid w:val="008E3AAB"/>
    <w:rsid w:val="008E4043"/>
    <w:rsid w:val="008E4520"/>
    <w:rsid w:val="008E54E8"/>
    <w:rsid w:val="008E5740"/>
    <w:rsid w:val="008E5868"/>
    <w:rsid w:val="008E5ADB"/>
    <w:rsid w:val="008E5DC8"/>
    <w:rsid w:val="008E6465"/>
    <w:rsid w:val="008E6C57"/>
    <w:rsid w:val="008E7082"/>
    <w:rsid w:val="008E72AF"/>
    <w:rsid w:val="008F0652"/>
    <w:rsid w:val="008F069E"/>
    <w:rsid w:val="008F0952"/>
    <w:rsid w:val="008F1154"/>
    <w:rsid w:val="008F1B84"/>
    <w:rsid w:val="008F1B9D"/>
    <w:rsid w:val="008F1DB6"/>
    <w:rsid w:val="008F32B6"/>
    <w:rsid w:val="008F337C"/>
    <w:rsid w:val="008F3563"/>
    <w:rsid w:val="008F39C0"/>
    <w:rsid w:val="008F39E4"/>
    <w:rsid w:val="008F506D"/>
    <w:rsid w:val="008F57CD"/>
    <w:rsid w:val="008F5960"/>
    <w:rsid w:val="008F5CD0"/>
    <w:rsid w:val="008F5E90"/>
    <w:rsid w:val="008F629A"/>
    <w:rsid w:val="008F6A9B"/>
    <w:rsid w:val="008F6F03"/>
    <w:rsid w:val="008F7603"/>
    <w:rsid w:val="008F769D"/>
    <w:rsid w:val="008F76B7"/>
    <w:rsid w:val="008F76DC"/>
    <w:rsid w:val="008F7D2F"/>
    <w:rsid w:val="009005B5"/>
    <w:rsid w:val="009013C5"/>
    <w:rsid w:val="0090147B"/>
    <w:rsid w:val="00901649"/>
    <w:rsid w:val="009019D7"/>
    <w:rsid w:val="00901CBA"/>
    <w:rsid w:val="00901DC6"/>
    <w:rsid w:val="009021DC"/>
    <w:rsid w:val="0090254E"/>
    <w:rsid w:val="00903026"/>
    <w:rsid w:val="0090357B"/>
    <w:rsid w:val="00903832"/>
    <w:rsid w:val="009042D0"/>
    <w:rsid w:val="009044BE"/>
    <w:rsid w:val="009048EB"/>
    <w:rsid w:val="00904913"/>
    <w:rsid w:val="00904B8A"/>
    <w:rsid w:val="00904C15"/>
    <w:rsid w:val="009050B3"/>
    <w:rsid w:val="00905298"/>
    <w:rsid w:val="00905945"/>
    <w:rsid w:val="00905FEB"/>
    <w:rsid w:val="00906164"/>
    <w:rsid w:val="00906252"/>
    <w:rsid w:val="0090672E"/>
    <w:rsid w:val="009068C6"/>
    <w:rsid w:val="00906A4F"/>
    <w:rsid w:val="00906ACE"/>
    <w:rsid w:val="00906BD6"/>
    <w:rsid w:val="00907074"/>
    <w:rsid w:val="009073C7"/>
    <w:rsid w:val="009078BA"/>
    <w:rsid w:val="009079C7"/>
    <w:rsid w:val="009079F7"/>
    <w:rsid w:val="00907B44"/>
    <w:rsid w:val="00907C33"/>
    <w:rsid w:val="00907DB8"/>
    <w:rsid w:val="009108D2"/>
    <w:rsid w:val="00910C20"/>
    <w:rsid w:val="00910FE1"/>
    <w:rsid w:val="0091106A"/>
    <w:rsid w:val="00911C09"/>
    <w:rsid w:val="00911D1C"/>
    <w:rsid w:val="00912F38"/>
    <w:rsid w:val="0091340D"/>
    <w:rsid w:val="00913C58"/>
    <w:rsid w:val="009140B4"/>
    <w:rsid w:val="00914174"/>
    <w:rsid w:val="0091428A"/>
    <w:rsid w:val="00914733"/>
    <w:rsid w:val="0091495E"/>
    <w:rsid w:val="00914AA5"/>
    <w:rsid w:val="009162DD"/>
    <w:rsid w:val="009163E7"/>
    <w:rsid w:val="0091671A"/>
    <w:rsid w:val="009169F6"/>
    <w:rsid w:val="0091719D"/>
    <w:rsid w:val="00917903"/>
    <w:rsid w:val="009179BF"/>
    <w:rsid w:val="00917BEA"/>
    <w:rsid w:val="00917DF0"/>
    <w:rsid w:val="00920189"/>
    <w:rsid w:val="00920203"/>
    <w:rsid w:val="009203A2"/>
    <w:rsid w:val="00920997"/>
    <w:rsid w:val="00920B1E"/>
    <w:rsid w:val="00920DD5"/>
    <w:rsid w:val="00921161"/>
    <w:rsid w:val="0092128B"/>
    <w:rsid w:val="00922492"/>
    <w:rsid w:val="009224EB"/>
    <w:rsid w:val="0092272F"/>
    <w:rsid w:val="00922BE2"/>
    <w:rsid w:val="00922EDE"/>
    <w:rsid w:val="009237D9"/>
    <w:rsid w:val="0092406C"/>
    <w:rsid w:val="00924096"/>
    <w:rsid w:val="00924116"/>
    <w:rsid w:val="009243BC"/>
    <w:rsid w:val="009244D5"/>
    <w:rsid w:val="0092523A"/>
    <w:rsid w:val="009252F1"/>
    <w:rsid w:val="00925588"/>
    <w:rsid w:val="00925A0E"/>
    <w:rsid w:val="00925AF5"/>
    <w:rsid w:val="009261FC"/>
    <w:rsid w:val="00926268"/>
    <w:rsid w:val="00926416"/>
    <w:rsid w:val="009264A2"/>
    <w:rsid w:val="0092715D"/>
    <w:rsid w:val="00927299"/>
    <w:rsid w:val="00927585"/>
    <w:rsid w:val="00930632"/>
    <w:rsid w:val="009310BC"/>
    <w:rsid w:val="00931D3F"/>
    <w:rsid w:val="009324C4"/>
    <w:rsid w:val="00932671"/>
    <w:rsid w:val="00932A7A"/>
    <w:rsid w:val="00932D26"/>
    <w:rsid w:val="00932D49"/>
    <w:rsid w:val="009330BF"/>
    <w:rsid w:val="00933817"/>
    <w:rsid w:val="00933EE7"/>
    <w:rsid w:val="00934510"/>
    <w:rsid w:val="0093476C"/>
    <w:rsid w:val="00935A1E"/>
    <w:rsid w:val="00935AA3"/>
    <w:rsid w:val="00935B7C"/>
    <w:rsid w:val="00935BC9"/>
    <w:rsid w:val="00935E3A"/>
    <w:rsid w:val="00936005"/>
    <w:rsid w:val="0093607C"/>
    <w:rsid w:val="0093679A"/>
    <w:rsid w:val="00940008"/>
    <w:rsid w:val="00940F93"/>
    <w:rsid w:val="00940FFA"/>
    <w:rsid w:val="00941503"/>
    <w:rsid w:val="0094185F"/>
    <w:rsid w:val="0094187D"/>
    <w:rsid w:val="00941A4A"/>
    <w:rsid w:val="009423ED"/>
    <w:rsid w:val="00942C90"/>
    <w:rsid w:val="00942F29"/>
    <w:rsid w:val="00942FB6"/>
    <w:rsid w:val="009430E1"/>
    <w:rsid w:val="009434EB"/>
    <w:rsid w:val="00943EA6"/>
    <w:rsid w:val="009443F2"/>
    <w:rsid w:val="00944510"/>
    <w:rsid w:val="009448F2"/>
    <w:rsid w:val="009451E0"/>
    <w:rsid w:val="0094524B"/>
    <w:rsid w:val="009456E3"/>
    <w:rsid w:val="00945759"/>
    <w:rsid w:val="00945925"/>
    <w:rsid w:val="00945949"/>
    <w:rsid w:val="009466E9"/>
    <w:rsid w:val="00946CB3"/>
    <w:rsid w:val="00946D20"/>
    <w:rsid w:val="00946E51"/>
    <w:rsid w:val="009470FE"/>
    <w:rsid w:val="009473F4"/>
    <w:rsid w:val="0094747C"/>
    <w:rsid w:val="0094767D"/>
    <w:rsid w:val="00947EB9"/>
    <w:rsid w:val="00950231"/>
    <w:rsid w:val="00950794"/>
    <w:rsid w:val="009507AA"/>
    <w:rsid w:val="009509EF"/>
    <w:rsid w:val="009515CA"/>
    <w:rsid w:val="00951691"/>
    <w:rsid w:val="00951FCE"/>
    <w:rsid w:val="009521CC"/>
    <w:rsid w:val="0095226C"/>
    <w:rsid w:val="0095269B"/>
    <w:rsid w:val="00952C05"/>
    <w:rsid w:val="00952D52"/>
    <w:rsid w:val="009540B7"/>
    <w:rsid w:val="009543D0"/>
    <w:rsid w:val="0095448C"/>
    <w:rsid w:val="00954AF9"/>
    <w:rsid w:val="00954DAE"/>
    <w:rsid w:val="00955410"/>
    <w:rsid w:val="009558EE"/>
    <w:rsid w:val="009559D5"/>
    <w:rsid w:val="00955C17"/>
    <w:rsid w:val="00955FFA"/>
    <w:rsid w:val="00956170"/>
    <w:rsid w:val="00956BA1"/>
    <w:rsid w:val="00956D42"/>
    <w:rsid w:val="00956F0F"/>
    <w:rsid w:val="0095727F"/>
    <w:rsid w:val="009572AF"/>
    <w:rsid w:val="00957D62"/>
    <w:rsid w:val="00957E41"/>
    <w:rsid w:val="0096016E"/>
    <w:rsid w:val="0096023A"/>
    <w:rsid w:val="009607AB"/>
    <w:rsid w:val="00961154"/>
    <w:rsid w:val="009615DB"/>
    <w:rsid w:val="00962683"/>
    <w:rsid w:val="00962E23"/>
    <w:rsid w:val="009633ED"/>
    <w:rsid w:val="0096487C"/>
    <w:rsid w:val="00964B45"/>
    <w:rsid w:val="00964BC2"/>
    <w:rsid w:val="00964D4A"/>
    <w:rsid w:val="00964EAE"/>
    <w:rsid w:val="00965023"/>
    <w:rsid w:val="009650B7"/>
    <w:rsid w:val="0096515D"/>
    <w:rsid w:val="00965841"/>
    <w:rsid w:val="00966623"/>
    <w:rsid w:val="009678DB"/>
    <w:rsid w:val="00970728"/>
    <w:rsid w:val="009707C9"/>
    <w:rsid w:val="00971303"/>
    <w:rsid w:val="00971615"/>
    <w:rsid w:val="00971E0B"/>
    <w:rsid w:val="00972101"/>
    <w:rsid w:val="00972123"/>
    <w:rsid w:val="00972285"/>
    <w:rsid w:val="009723CC"/>
    <w:rsid w:val="00972FB5"/>
    <w:rsid w:val="00973607"/>
    <w:rsid w:val="009736FE"/>
    <w:rsid w:val="00973B96"/>
    <w:rsid w:val="00973E3C"/>
    <w:rsid w:val="00974763"/>
    <w:rsid w:val="009757CA"/>
    <w:rsid w:val="0097617E"/>
    <w:rsid w:val="00976E76"/>
    <w:rsid w:val="00977A14"/>
    <w:rsid w:val="00977DB2"/>
    <w:rsid w:val="00977E9B"/>
    <w:rsid w:val="009803E5"/>
    <w:rsid w:val="009807BF"/>
    <w:rsid w:val="009809CE"/>
    <w:rsid w:val="0098131F"/>
    <w:rsid w:val="00981479"/>
    <w:rsid w:val="009814DA"/>
    <w:rsid w:val="00981614"/>
    <w:rsid w:val="00981F74"/>
    <w:rsid w:val="0098237C"/>
    <w:rsid w:val="009829B3"/>
    <w:rsid w:val="00982C31"/>
    <w:rsid w:val="00982D45"/>
    <w:rsid w:val="00983165"/>
    <w:rsid w:val="00983343"/>
    <w:rsid w:val="009833C4"/>
    <w:rsid w:val="009834E0"/>
    <w:rsid w:val="009838FF"/>
    <w:rsid w:val="0098410C"/>
    <w:rsid w:val="00984149"/>
    <w:rsid w:val="00984788"/>
    <w:rsid w:val="00984909"/>
    <w:rsid w:val="00984FF3"/>
    <w:rsid w:val="00984FF9"/>
    <w:rsid w:val="009850C5"/>
    <w:rsid w:val="00986326"/>
    <w:rsid w:val="00986849"/>
    <w:rsid w:val="00986BB7"/>
    <w:rsid w:val="00986D4B"/>
    <w:rsid w:val="00986F6D"/>
    <w:rsid w:val="0098727C"/>
    <w:rsid w:val="00987708"/>
    <w:rsid w:val="00987DF0"/>
    <w:rsid w:val="00987E2E"/>
    <w:rsid w:val="0099008B"/>
    <w:rsid w:val="009904B8"/>
    <w:rsid w:val="0099177B"/>
    <w:rsid w:val="00991B8C"/>
    <w:rsid w:val="00991FAA"/>
    <w:rsid w:val="0099367E"/>
    <w:rsid w:val="00993F51"/>
    <w:rsid w:val="00993FE4"/>
    <w:rsid w:val="0099425E"/>
    <w:rsid w:val="00994942"/>
    <w:rsid w:val="00994CDC"/>
    <w:rsid w:val="00995AC3"/>
    <w:rsid w:val="009969CD"/>
    <w:rsid w:val="0099770A"/>
    <w:rsid w:val="00997769"/>
    <w:rsid w:val="00997A2E"/>
    <w:rsid w:val="009A048E"/>
    <w:rsid w:val="009A119F"/>
    <w:rsid w:val="009A1609"/>
    <w:rsid w:val="009A16A3"/>
    <w:rsid w:val="009A1702"/>
    <w:rsid w:val="009A1A7E"/>
    <w:rsid w:val="009A31CB"/>
    <w:rsid w:val="009A3480"/>
    <w:rsid w:val="009A3DB8"/>
    <w:rsid w:val="009A43B3"/>
    <w:rsid w:val="009A464D"/>
    <w:rsid w:val="009A496F"/>
    <w:rsid w:val="009A4B78"/>
    <w:rsid w:val="009A4C02"/>
    <w:rsid w:val="009A4D73"/>
    <w:rsid w:val="009A4E41"/>
    <w:rsid w:val="009A5297"/>
    <w:rsid w:val="009A5851"/>
    <w:rsid w:val="009A5D40"/>
    <w:rsid w:val="009A5E10"/>
    <w:rsid w:val="009A6665"/>
    <w:rsid w:val="009A743F"/>
    <w:rsid w:val="009A74F7"/>
    <w:rsid w:val="009B00F2"/>
    <w:rsid w:val="009B0FB2"/>
    <w:rsid w:val="009B1113"/>
    <w:rsid w:val="009B1C34"/>
    <w:rsid w:val="009B1D22"/>
    <w:rsid w:val="009B1E86"/>
    <w:rsid w:val="009B27C4"/>
    <w:rsid w:val="009B2BE6"/>
    <w:rsid w:val="009B2D92"/>
    <w:rsid w:val="009B31DE"/>
    <w:rsid w:val="009B3250"/>
    <w:rsid w:val="009B3D24"/>
    <w:rsid w:val="009B42D2"/>
    <w:rsid w:val="009B4A06"/>
    <w:rsid w:val="009B5518"/>
    <w:rsid w:val="009B60EA"/>
    <w:rsid w:val="009B70C8"/>
    <w:rsid w:val="009B737C"/>
    <w:rsid w:val="009B742E"/>
    <w:rsid w:val="009C0AC6"/>
    <w:rsid w:val="009C11B2"/>
    <w:rsid w:val="009C1456"/>
    <w:rsid w:val="009C164F"/>
    <w:rsid w:val="009C1C30"/>
    <w:rsid w:val="009C22DD"/>
    <w:rsid w:val="009C29D5"/>
    <w:rsid w:val="009C2C53"/>
    <w:rsid w:val="009C30A0"/>
    <w:rsid w:val="009C328C"/>
    <w:rsid w:val="009C359E"/>
    <w:rsid w:val="009C37FE"/>
    <w:rsid w:val="009C4082"/>
    <w:rsid w:val="009C4A38"/>
    <w:rsid w:val="009C4A72"/>
    <w:rsid w:val="009C4AD8"/>
    <w:rsid w:val="009C4D3D"/>
    <w:rsid w:val="009C55E2"/>
    <w:rsid w:val="009C5A4E"/>
    <w:rsid w:val="009C5EE5"/>
    <w:rsid w:val="009C61E3"/>
    <w:rsid w:val="009C6B56"/>
    <w:rsid w:val="009C7DB8"/>
    <w:rsid w:val="009C7FF0"/>
    <w:rsid w:val="009D010D"/>
    <w:rsid w:val="009D0244"/>
    <w:rsid w:val="009D0AAD"/>
    <w:rsid w:val="009D0F71"/>
    <w:rsid w:val="009D111C"/>
    <w:rsid w:val="009D17A0"/>
    <w:rsid w:val="009D1F7A"/>
    <w:rsid w:val="009D2873"/>
    <w:rsid w:val="009D2942"/>
    <w:rsid w:val="009D2BE9"/>
    <w:rsid w:val="009D35F4"/>
    <w:rsid w:val="009D3A1A"/>
    <w:rsid w:val="009D426A"/>
    <w:rsid w:val="009D5BDB"/>
    <w:rsid w:val="009D6B03"/>
    <w:rsid w:val="009D6B3D"/>
    <w:rsid w:val="009D7422"/>
    <w:rsid w:val="009D78E7"/>
    <w:rsid w:val="009D7979"/>
    <w:rsid w:val="009E0742"/>
    <w:rsid w:val="009E0B29"/>
    <w:rsid w:val="009E1291"/>
    <w:rsid w:val="009E12BC"/>
    <w:rsid w:val="009E139D"/>
    <w:rsid w:val="009E224D"/>
    <w:rsid w:val="009E26D5"/>
    <w:rsid w:val="009E2A07"/>
    <w:rsid w:val="009E3398"/>
    <w:rsid w:val="009E3577"/>
    <w:rsid w:val="009E37A5"/>
    <w:rsid w:val="009E395B"/>
    <w:rsid w:val="009E3D2B"/>
    <w:rsid w:val="009E3E84"/>
    <w:rsid w:val="009E4097"/>
    <w:rsid w:val="009E4664"/>
    <w:rsid w:val="009E4D8E"/>
    <w:rsid w:val="009E4E90"/>
    <w:rsid w:val="009E4EB7"/>
    <w:rsid w:val="009E549B"/>
    <w:rsid w:val="009E57C1"/>
    <w:rsid w:val="009E624A"/>
    <w:rsid w:val="009E6B32"/>
    <w:rsid w:val="009E7039"/>
    <w:rsid w:val="009E70F3"/>
    <w:rsid w:val="009E750E"/>
    <w:rsid w:val="009E7E98"/>
    <w:rsid w:val="009F00EE"/>
    <w:rsid w:val="009F0827"/>
    <w:rsid w:val="009F0BED"/>
    <w:rsid w:val="009F1673"/>
    <w:rsid w:val="009F3255"/>
    <w:rsid w:val="009F34AA"/>
    <w:rsid w:val="009F3DCE"/>
    <w:rsid w:val="009F4298"/>
    <w:rsid w:val="009F44FF"/>
    <w:rsid w:val="009F45E2"/>
    <w:rsid w:val="009F46E8"/>
    <w:rsid w:val="009F472D"/>
    <w:rsid w:val="009F4CF0"/>
    <w:rsid w:val="009F4E88"/>
    <w:rsid w:val="009F50D1"/>
    <w:rsid w:val="009F539C"/>
    <w:rsid w:val="009F55CD"/>
    <w:rsid w:val="009F573B"/>
    <w:rsid w:val="009F5918"/>
    <w:rsid w:val="009F596D"/>
    <w:rsid w:val="009F6654"/>
    <w:rsid w:val="009F6A91"/>
    <w:rsid w:val="009F6AA9"/>
    <w:rsid w:val="009F71A6"/>
    <w:rsid w:val="009F71AA"/>
    <w:rsid w:val="009F754A"/>
    <w:rsid w:val="009F791F"/>
    <w:rsid w:val="009F7F86"/>
    <w:rsid w:val="00A0034D"/>
    <w:rsid w:val="00A00BFB"/>
    <w:rsid w:val="00A00DCF"/>
    <w:rsid w:val="00A0126C"/>
    <w:rsid w:val="00A012DA"/>
    <w:rsid w:val="00A0187E"/>
    <w:rsid w:val="00A026F0"/>
    <w:rsid w:val="00A02F2D"/>
    <w:rsid w:val="00A02F61"/>
    <w:rsid w:val="00A03E0E"/>
    <w:rsid w:val="00A040D1"/>
    <w:rsid w:val="00A044B7"/>
    <w:rsid w:val="00A04A0A"/>
    <w:rsid w:val="00A050A8"/>
    <w:rsid w:val="00A056A3"/>
    <w:rsid w:val="00A059AF"/>
    <w:rsid w:val="00A05B51"/>
    <w:rsid w:val="00A06286"/>
    <w:rsid w:val="00A06318"/>
    <w:rsid w:val="00A063BC"/>
    <w:rsid w:val="00A067D7"/>
    <w:rsid w:val="00A068E1"/>
    <w:rsid w:val="00A06A80"/>
    <w:rsid w:val="00A06D8A"/>
    <w:rsid w:val="00A0711F"/>
    <w:rsid w:val="00A07B0B"/>
    <w:rsid w:val="00A102A0"/>
    <w:rsid w:val="00A10860"/>
    <w:rsid w:val="00A114FA"/>
    <w:rsid w:val="00A11AF3"/>
    <w:rsid w:val="00A12ACF"/>
    <w:rsid w:val="00A12C09"/>
    <w:rsid w:val="00A13084"/>
    <w:rsid w:val="00A1327F"/>
    <w:rsid w:val="00A13817"/>
    <w:rsid w:val="00A138D3"/>
    <w:rsid w:val="00A13E0F"/>
    <w:rsid w:val="00A14010"/>
    <w:rsid w:val="00A144B7"/>
    <w:rsid w:val="00A149B4"/>
    <w:rsid w:val="00A152D3"/>
    <w:rsid w:val="00A15E82"/>
    <w:rsid w:val="00A15F4F"/>
    <w:rsid w:val="00A160AB"/>
    <w:rsid w:val="00A16745"/>
    <w:rsid w:val="00A16747"/>
    <w:rsid w:val="00A17E93"/>
    <w:rsid w:val="00A20013"/>
    <w:rsid w:val="00A200E6"/>
    <w:rsid w:val="00A2056F"/>
    <w:rsid w:val="00A20582"/>
    <w:rsid w:val="00A20C65"/>
    <w:rsid w:val="00A21767"/>
    <w:rsid w:val="00A21FD5"/>
    <w:rsid w:val="00A22751"/>
    <w:rsid w:val="00A22940"/>
    <w:rsid w:val="00A22C96"/>
    <w:rsid w:val="00A22DB3"/>
    <w:rsid w:val="00A23102"/>
    <w:rsid w:val="00A233D8"/>
    <w:rsid w:val="00A2343F"/>
    <w:rsid w:val="00A23505"/>
    <w:rsid w:val="00A236AC"/>
    <w:rsid w:val="00A237D0"/>
    <w:rsid w:val="00A23A4D"/>
    <w:rsid w:val="00A23F8E"/>
    <w:rsid w:val="00A2428B"/>
    <w:rsid w:val="00A247E5"/>
    <w:rsid w:val="00A248BD"/>
    <w:rsid w:val="00A24D81"/>
    <w:rsid w:val="00A24EA5"/>
    <w:rsid w:val="00A25173"/>
    <w:rsid w:val="00A252F0"/>
    <w:rsid w:val="00A259F2"/>
    <w:rsid w:val="00A263F6"/>
    <w:rsid w:val="00A26463"/>
    <w:rsid w:val="00A2660E"/>
    <w:rsid w:val="00A26916"/>
    <w:rsid w:val="00A26B47"/>
    <w:rsid w:val="00A26FF1"/>
    <w:rsid w:val="00A27547"/>
    <w:rsid w:val="00A27806"/>
    <w:rsid w:val="00A3068C"/>
    <w:rsid w:val="00A3127F"/>
    <w:rsid w:val="00A31922"/>
    <w:rsid w:val="00A31BCC"/>
    <w:rsid w:val="00A31C70"/>
    <w:rsid w:val="00A31C87"/>
    <w:rsid w:val="00A325BB"/>
    <w:rsid w:val="00A3297A"/>
    <w:rsid w:val="00A32A58"/>
    <w:rsid w:val="00A32EEC"/>
    <w:rsid w:val="00A336C5"/>
    <w:rsid w:val="00A339D9"/>
    <w:rsid w:val="00A33BD6"/>
    <w:rsid w:val="00A34979"/>
    <w:rsid w:val="00A3510A"/>
    <w:rsid w:val="00A3515F"/>
    <w:rsid w:val="00A35751"/>
    <w:rsid w:val="00A3577F"/>
    <w:rsid w:val="00A35BBC"/>
    <w:rsid w:val="00A35DAB"/>
    <w:rsid w:val="00A36724"/>
    <w:rsid w:val="00A367AF"/>
    <w:rsid w:val="00A36C13"/>
    <w:rsid w:val="00A377C2"/>
    <w:rsid w:val="00A37A31"/>
    <w:rsid w:val="00A37DC5"/>
    <w:rsid w:val="00A40B1F"/>
    <w:rsid w:val="00A40B4D"/>
    <w:rsid w:val="00A411E2"/>
    <w:rsid w:val="00A41373"/>
    <w:rsid w:val="00A41638"/>
    <w:rsid w:val="00A41A3F"/>
    <w:rsid w:val="00A41B15"/>
    <w:rsid w:val="00A41DE9"/>
    <w:rsid w:val="00A42180"/>
    <w:rsid w:val="00A4224E"/>
    <w:rsid w:val="00A4229F"/>
    <w:rsid w:val="00A428A9"/>
    <w:rsid w:val="00A42ACA"/>
    <w:rsid w:val="00A4327C"/>
    <w:rsid w:val="00A43AAB"/>
    <w:rsid w:val="00A43AFE"/>
    <w:rsid w:val="00A447E3"/>
    <w:rsid w:val="00A44AAD"/>
    <w:rsid w:val="00A44D3B"/>
    <w:rsid w:val="00A45241"/>
    <w:rsid w:val="00A45280"/>
    <w:rsid w:val="00A452B8"/>
    <w:rsid w:val="00A45BF7"/>
    <w:rsid w:val="00A463B5"/>
    <w:rsid w:val="00A463BA"/>
    <w:rsid w:val="00A46675"/>
    <w:rsid w:val="00A46A5F"/>
    <w:rsid w:val="00A471A3"/>
    <w:rsid w:val="00A47597"/>
    <w:rsid w:val="00A477AC"/>
    <w:rsid w:val="00A4795F"/>
    <w:rsid w:val="00A47E44"/>
    <w:rsid w:val="00A47F91"/>
    <w:rsid w:val="00A507D7"/>
    <w:rsid w:val="00A50A5C"/>
    <w:rsid w:val="00A50BE2"/>
    <w:rsid w:val="00A50CC6"/>
    <w:rsid w:val="00A50DF3"/>
    <w:rsid w:val="00A50E40"/>
    <w:rsid w:val="00A51462"/>
    <w:rsid w:val="00A51946"/>
    <w:rsid w:val="00A51DEC"/>
    <w:rsid w:val="00A51FF7"/>
    <w:rsid w:val="00A52079"/>
    <w:rsid w:val="00A52143"/>
    <w:rsid w:val="00A521E9"/>
    <w:rsid w:val="00A5298E"/>
    <w:rsid w:val="00A52B3E"/>
    <w:rsid w:val="00A5313B"/>
    <w:rsid w:val="00A5320E"/>
    <w:rsid w:val="00A53F7B"/>
    <w:rsid w:val="00A54090"/>
    <w:rsid w:val="00A54282"/>
    <w:rsid w:val="00A546F1"/>
    <w:rsid w:val="00A549D3"/>
    <w:rsid w:val="00A54DF0"/>
    <w:rsid w:val="00A56AF6"/>
    <w:rsid w:val="00A57E98"/>
    <w:rsid w:val="00A60017"/>
    <w:rsid w:val="00A60849"/>
    <w:rsid w:val="00A6105B"/>
    <w:rsid w:val="00A61355"/>
    <w:rsid w:val="00A61668"/>
    <w:rsid w:val="00A621D3"/>
    <w:rsid w:val="00A628F8"/>
    <w:rsid w:val="00A62B7A"/>
    <w:rsid w:val="00A62D09"/>
    <w:rsid w:val="00A631A1"/>
    <w:rsid w:val="00A632EA"/>
    <w:rsid w:val="00A6339D"/>
    <w:rsid w:val="00A634BE"/>
    <w:rsid w:val="00A6386B"/>
    <w:rsid w:val="00A63AD7"/>
    <w:rsid w:val="00A63BFD"/>
    <w:rsid w:val="00A6491F"/>
    <w:rsid w:val="00A64C72"/>
    <w:rsid w:val="00A64D1A"/>
    <w:rsid w:val="00A65320"/>
    <w:rsid w:val="00A65615"/>
    <w:rsid w:val="00A65BA5"/>
    <w:rsid w:val="00A66354"/>
    <w:rsid w:val="00A66DC5"/>
    <w:rsid w:val="00A66E37"/>
    <w:rsid w:val="00A66ECF"/>
    <w:rsid w:val="00A67E38"/>
    <w:rsid w:val="00A703E4"/>
    <w:rsid w:val="00A704C9"/>
    <w:rsid w:val="00A70DC6"/>
    <w:rsid w:val="00A71080"/>
    <w:rsid w:val="00A71986"/>
    <w:rsid w:val="00A71E05"/>
    <w:rsid w:val="00A71E3D"/>
    <w:rsid w:val="00A71E73"/>
    <w:rsid w:val="00A72740"/>
    <w:rsid w:val="00A73A64"/>
    <w:rsid w:val="00A742AD"/>
    <w:rsid w:val="00A746D7"/>
    <w:rsid w:val="00A74AB2"/>
    <w:rsid w:val="00A75938"/>
    <w:rsid w:val="00A75A27"/>
    <w:rsid w:val="00A75A46"/>
    <w:rsid w:val="00A75B36"/>
    <w:rsid w:val="00A75D2E"/>
    <w:rsid w:val="00A7663A"/>
    <w:rsid w:val="00A7696B"/>
    <w:rsid w:val="00A769D4"/>
    <w:rsid w:val="00A775AD"/>
    <w:rsid w:val="00A8008F"/>
    <w:rsid w:val="00A804C7"/>
    <w:rsid w:val="00A80625"/>
    <w:rsid w:val="00A80857"/>
    <w:rsid w:val="00A80A39"/>
    <w:rsid w:val="00A80D41"/>
    <w:rsid w:val="00A80DF0"/>
    <w:rsid w:val="00A80E64"/>
    <w:rsid w:val="00A81A16"/>
    <w:rsid w:val="00A823A7"/>
    <w:rsid w:val="00A824D4"/>
    <w:rsid w:val="00A825C8"/>
    <w:rsid w:val="00A82742"/>
    <w:rsid w:val="00A82A29"/>
    <w:rsid w:val="00A83984"/>
    <w:rsid w:val="00A83A1E"/>
    <w:rsid w:val="00A84198"/>
    <w:rsid w:val="00A841AB"/>
    <w:rsid w:val="00A84A93"/>
    <w:rsid w:val="00A84FFD"/>
    <w:rsid w:val="00A86104"/>
    <w:rsid w:val="00A8655A"/>
    <w:rsid w:val="00A87203"/>
    <w:rsid w:val="00A87744"/>
    <w:rsid w:val="00A87AE6"/>
    <w:rsid w:val="00A87B09"/>
    <w:rsid w:val="00A87C22"/>
    <w:rsid w:val="00A90590"/>
    <w:rsid w:val="00A905C0"/>
    <w:rsid w:val="00A90A97"/>
    <w:rsid w:val="00A90CB4"/>
    <w:rsid w:val="00A910DA"/>
    <w:rsid w:val="00A914B9"/>
    <w:rsid w:val="00A915B7"/>
    <w:rsid w:val="00A920E1"/>
    <w:rsid w:val="00A92AFD"/>
    <w:rsid w:val="00A933AE"/>
    <w:rsid w:val="00A93863"/>
    <w:rsid w:val="00A93928"/>
    <w:rsid w:val="00A9415E"/>
    <w:rsid w:val="00A9423F"/>
    <w:rsid w:val="00A94EBD"/>
    <w:rsid w:val="00A9510D"/>
    <w:rsid w:val="00A95580"/>
    <w:rsid w:val="00A9568A"/>
    <w:rsid w:val="00A956AC"/>
    <w:rsid w:val="00A95D2A"/>
    <w:rsid w:val="00A96214"/>
    <w:rsid w:val="00A967E8"/>
    <w:rsid w:val="00A97F4B"/>
    <w:rsid w:val="00AA04C5"/>
    <w:rsid w:val="00AA10B1"/>
    <w:rsid w:val="00AA1E17"/>
    <w:rsid w:val="00AA2803"/>
    <w:rsid w:val="00AA2AB3"/>
    <w:rsid w:val="00AA2BF2"/>
    <w:rsid w:val="00AA2D68"/>
    <w:rsid w:val="00AA2D6F"/>
    <w:rsid w:val="00AA3203"/>
    <w:rsid w:val="00AA3987"/>
    <w:rsid w:val="00AA3B68"/>
    <w:rsid w:val="00AA3E79"/>
    <w:rsid w:val="00AA42D3"/>
    <w:rsid w:val="00AA4FB4"/>
    <w:rsid w:val="00AA5C0B"/>
    <w:rsid w:val="00AA5E3B"/>
    <w:rsid w:val="00AA63AD"/>
    <w:rsid w:val="00AA65B4"/>
    <w:rsid w:val="00AA6A75"/>
    <w:rsid w:val="00AA745E"/>
    <w:rsid w:val="00AB04AB"/>
    <w:rsid w:val="00AB0733"/>
    <w:rsid w:val="00AB09D2"/>
    <w:rsid w:val="00AB0B64"/>
    <w:rsid w:val="00AB0C30"/>
    <w:rsid w:val="00AB176B"/>
    <w:rsid w:val="00AB2AF7"/>
    <w:rsid w:val="00AB37E6"/>
    <w:rsid w:val="00AB3DBA"/>
    <w:rsid w:val="00AB431C"/>
    <w:rsid w:val="00AB470E"/>
    <w:rsid w:val="00AB5467"/>
    <w:rsid w:val="00AB5A7E"/>
    <w:rsid w:val="00AB7538"/>
    <w:rsid w:val="00AB77F3"/>
    <w:rsid w:val="00AC0256"/>
    <w:rsid w:val="00AC0AAD"/>
    <w:rsid w:val="00AC1231"/>
    <w:rsid w:val="00AC1992"/>
    <w:rsid w:val="00AC1E14"/>
    <w:rsid w:val="00AC2CFA"/>
    <w:rsid w:val="00AC3263"/>
    <w:rsid w:val="00AC337E"/>
    <w:rsid w:val="00AC3E12"/>
    <w:rsid w:val="00AC406E"/>
    <w:rsid w:val="00AC430C"/>
    <w:rsid w:val="00AC4951"/>
    <w:rsid w:val="00AC4A6B"/>
    <w:rsid w:val="00AC53D9"/>
    <w:rsid w:val="00AC5C19"/>
    <w:rsid w:val="00AC60F0"/>
    <w:rsid w:val="00AC6657"/>
    <w:rsid w:val="00AC6D7A"/>
    <w:rsid w:val="00AC7363"/>
    <w:rsid w:val="00AC7401"/>
    <w:rsid w:val="00AC7901"/>
    <w:rsid w:val="00AC79F3"/>
    <w:rsid w:val="00AC7FDD"/>
    <w:rsid w:val="00AD0949"/>
    <w:rsid w:val="00AD0F1D"/>
    <w:rsid w:val="00AD1179"/>
    <w:rsid w:val="00AD1359"/>
    <w:rsid w:val="00AD19F0"/>
    <w:rsid w:val="00AD1FCE"/>
    <w:rsid w:val="00AD24D1"/>
    <w:rsid w:val="00AD26E1"/>
    <w:rsid w:val="00AD29CC"/>
    <w:rsid w:val="00AD3268"/>
    <w:rsid w:val="00AD3652"/>
    <w:rsid w:val="00AD3DE2"/>
    <w:rsid w:val="00AD4135"/>
    <w:rsid w:val="00AD4261"/>
    <w:rsid w:val="00AD46F5"/>
    <w:rsid w:val="00AD4CB1"/>
    <w:rsid w:val="00AD51A3"/>
    <w:rsid w:val="00AD598B"/>
    <w:rsid w:val="00AD7154"/>
    <w:rsid w:val="00AD797D"/>
    <w:rsid w:val="00AD7E02"/>
    <w:rsid w:val="00AE0034"/>
    <w:rsid w:val="00AE0483"/>
    <w:rsid w:val="00AE08DD"/>
    <w:rsid w:val="00AE13BD"/>
    <w:rsid w:val="00AE156F"/>
    <w:rsid w:val="00AE1ABF"/>
    <w:rsid w:val="00AE1AF9"/>
    <w:rsid w:val="00AE1E60"/>
    <w:rsid w:val="00AE2068"/>
    <w:rsid w:val="00AE2258"/>
    <w:rsid w:val="00AE277E"/>
    <w:rsid w:val="00AE2A36"/>
    <w:rsid w:val="00AE2BC6"/>
    <w:rsid w:val="00AE3251"/>
    <w:rsid w:val="00AE33DA"/>
    <w:rsid w:val="00AE3FE0"/>
    <w:rsid w:val="00AE5058"/>
    <w:rsid w:val="00AE51CD"/>
    <w:rsid w:val="00AE5471"/>
    <w:rsid w:val="00AE54AA"/>
    <w:rsid w:val="00AE60E4"/>
    <w:rsid w:val="00AE6872"/>
    <w:rsid w:val="00AE6C58"/>
    <w:rsid w:val="00AE72C4"/>
    <w:rsid w:val="00AE7F05"/>
    <w:rsid w:val="00AE7F38"/>
    <w:rsid w:val="00AF054D"/>
    <w:rsid w:val="00AF0939"/>
    <w:rsid w:val="00AF0981"/>
    <w:rsid w:val="00AF0F9C"/>
    <w:rsid w:val="00AF10F0"/>
    <w:rsid w:val="00AF24E7"/>
    <w:rsid w:val="00AF272B"/>
    <w:rsid w:val="00AF291B"/>
    <w:rsid w:val="00AF2DAA"/>
    <w:rsid w:val="00AF2EBD"/>
    <w:rsid w:val="00AF33AE"/>
    <w:rsid w:val="00AF34C9"/>
    <w:rsid w:val="00AF3CDC"/>
    <w:rsid w:val="00AF44B1"/>
    <w:rsid w:val="00AF5790"/>
    <w:rsid w:val="00AF5800"/>
    <w:rsid w:val="00AF6986"/>
    <w:rsid w:val="00AF69FE"/>
    <w:rsid w:val="00AF6A77"/>
    <w:rsid w:val="00AF6D1B"/>
    <w:rsid w:val="00AF73ED"/>
    <w:rsid w:val="00AF7B5B"/>
    <w:rsid w:val="00AF7D69"/>
    <w:rsid w:val="00AF7ED2"/>
    <w:rsid w:val="00B004D8"/>
    <w:rsid w:val="00B00830"/>
    <w:rsid w:val="00B00CC5"/>
    <w:rsid w:val="00B016D2"/>
    <w:rsid w:val="00B02091"/>
    <w:rsid w:val="00B02496"/>
    <w:rsid w:val="00B02B43"/>
    <w:rsid w:val="00B03788"/>
    <w:rsid w:val="00B03D36"/>
    <w:rsid w:val="00B0411F"/>
    <w:rsid w:val="00B04540"/>
    <w:rsid w:val="00B046F1"/>
    <w:rsid w:val="00B05116"/>
    <w:rsid w:val="00B051A7"/>
    <w:rsid w:val="00B05F1A"/>
    <w:rsid w:val="00B07B33"/>
    <w:rsid w:val="00B07FA2"/>
    <w:rsid w:val="00B100CF"/>
    <w:rsid w:val="00B1074F"/>
    <w:rsid w:val="00B10E82"/>
    <w:rsid w:val="00B111A6"/>
    <w:rsid w:val="00B115E5"/>
    <w:rsid w:val="00B118EE"/>
    <w:rsid w:val="00B11B03"/>
    <w:rsid w:val="00B11B79"/>
    <w:rsid w:val="00B11C5B"/>
    <w:rsid w:val="00B121CD"/>
    <w:rsid w:val="00B12343"/>
    <w:rsid w:val="00B12529"/>
    <w:rsid w:val="00B128C5"/>
    <w:rsid w:val="00B12B11"/>
    <w:rsid w:val="00B12C94"/>
    <w:rsid w:val="00B12D5B"/>
    <w:rsid w:val="00B135AB"/>
    <w:rsid w:val="00B135D7"/>
    <w:rsid w:val="00B13797"/>
    <w:rsid w:val="00B137BF"/>
    <w:rsid w:val="00B13A1B"/>
    <w:rsid w:val="00B13A76"/>
    <w:rsid w:val="00B142D9"/>
    <w:rsid w:val="00B1436F"/>
    <w:rsid w:val="00B14BC4"/>
    <w:rsid w:val="00B14F3D"/>
    <w:rsid w:val="00B158A3"/>
    <w:rsid w:val="00B15B25"/>
    <w:rsid w:val="00B15C36"/>
    <w:rsid w:val="00B15EA0"/>
    <w:rsid w:val="00B16069"/>
    <w:rsid w:val="00B17A4E"/>
    <w:rsid w:val="00B17B30"/>
    <w:rsid w:val="00B17C2F"/>
    <w:rsid w:val="00B2153E"/>
    <w:rsid w:val="00B21F72"/>
    <w:rsid w:val="00B21FA7"/>
    <w:rsid w:val="00B22022"/>
    <w:rsid w:val="00B225E4"/>
    <w:rsid w:val="00B22666"/>
    <w:rsid w:val="00B231C5"/>
    <w:rsid w:val="00B23F7A"/>
    <w:rsid w:val="00B240B1"/>
    <w:rsid w:val="00B24208"/>
    <w:rsid w:val="00B24374"/>
    <w:rsid w:val="00B24728"/>
    <w:rsid w:val="00B248A9"/>
    <w:rsid w:val="00B2490A"/>
    <w:rsid w:val="00B24BE3"/>
    <w:rsid w:val="00B24D28"/>
    <w:rsid w:val="00B24F1C"/>
    <w:rsid w:val="00B2517E"/>
    <w:rsid w:val="00B25CBB"/>
    <w:rsid w:val="00B25D76"/>
    <w:rsid w:val="00B27032"/>
    <w:rsid w:val="00B27085"/>
    <w:rsid w:val="00B30003"/>
    <w:rsid w:val="00B3015C"/>
    <w:rsid w:val="00B30AD9"/>
    <w:rsid w:val="00B31201"/>
    <w:rsid w:val="00B31B00"/>
    <w:rsid w:val="00B31B4B"/>
    <w:rsid w:val="00B31E36"/>
    <w:rsid w:val="00B32E26"/>
    <w:rsid w:val="00B338B7"/>
    <w:rsid w:val="00B34061"/>
    <w:rsid w:val="00B34299"/>
    <w:rsid w:val="00B34376"/>
    <w:rsid w:val="00B3440A"/>
    <w:rsid w:val="00B34441"/>
    <w:rsid w:val="00B35167"/>
    <w:rsid w:val="00B35533"/>
    <w:rsid w:val="00B35534"/>
    <w:rsid w:val="00B35A87"/>
    <w:rsid w:val="00B35AFD"/>
    <w:rsid w:val="00B35F9A"/>
    <w:rsid w:val="00B3609C"/>
    <w:rsid w:val="00B36236"/>
    <w:rsid w:val="00B3662E"/>
    <w:rsid w:val="00B366D2"/>
    <w:rsid w:val="00B366FA"/>
    <w:rsid w:val="00B36E86"/>
    <w:rsid w:val="00B379BA"/>
    <w:rsid w:val="00B412C4"/>
    <w:rsid w:val="00B412FD"/>
    <w:rsid w:val="00B422BE"/>
    <w:rsid w:val="00B4241D"/>
    <w:rsid w:val="00B426BB"/>
    <w:rsid w:val="00B42EB9"/>
    <w:rsid w:val="00B436F0"/>
    <w:rsid w:val="00B43714"/>
    <w:rsid w:val="00B441FE"/>
    <w:rsid w:val="00B44821"/>
    <w:rsid w:val="00B44AD3"/>
    <w:rsid w:val="00B45062"/>
    <w:rsid w:val="00B450EB"/>
    <w:rsid w:val="00B45152"/>
    <w:rsid w:val="00B45E54"/>
    <w:rsid w:val="00B464E4"/>
    <w:rsid w:val="00B4689A"/>
    <w:rsid w:val="00B46D5F"/>
    <w:rsid w:val="00B46E7B"/>
    <w:rsid w:val="00B47DC5"/>
    <w:rsid w:val="00B5018B"/>
    <w:rsid w:val="00B505B3"/>
    <w:rsid w:val="00B50882"/>
    <w:rsid w:val="00B50A74"/>
    <w:rsid w:val="00B51BE0"/>
    <w:rsid w:val="00B520A0"/>
    <w:rsid w:val="00B5257E"/>
    <w:rsid w:val="00B525CE"/>
    <w:rsid w:val="00B5287D"/>
    <w:rsid w:val="00B52CFD"/>
    <w:rsid w:val="00B52EED"/>
    <w:rsid w:val="00B53103"/>
    <w:rsid w:val="00B545A8"/>
    <w:rsid w:val="00B55F22"/>
    <w:rsid w:val="00B56527"/>
    <w:rsid w:val="00B57019"/>
    <w:rsid w:val="00B576DA"/>
    <w:rsid w:val="00B57710"/>
    <w:rsid w:val="00B601C9"/>
    <w:rsid w:val="00B60D04"/>
    <w:rsid w:val="00B6158F"/>
    <w:rsid w:val="00B61EE8"/>
    <w:rsid w:val="00B633A3"/>
    <w:rsid w:val="00B63533"/>
    <w:rsid w:val="00B63BDB"/>
    <w:rsid w:val="00B64A0E"/>
    <w:rsid w:val="00B64DDF"/>
    <w:rsid w:val="00B6601E"/>
    <w:rsid w:val="00B663AA"/>
    <w:rsid w:val="00B66DD5"/>
    <w:rsid w:val="00B67722"/>
    <w:rsid w:val="00B67B97"/>
    <w:rsid w:val="00B67F01"/>
    <w:rsid w:val="00B70329"/>
    <w:rsid w:val="00B70764"/>
    <w:rsid w:val="00B711AB"/>
    <w:rsid w:val="00B714F0"/>
    <w:rsid w:val="00B71A40"/>
    <w:rsid w:val="00B71AD1"/>
    <w:rsid w:val="00B71C8C"/>
    <w:rsid w:val="00B71CB4"/>
    <w:rsid w:val="00B71FD7"/>
    <w:rsid w:val="00B725E7"/>
    <w:rsid w:val="00B72967"/>
    <w:rsid w:val="00B72C07"/>
    <w:rsid w:val="00B72DF7"/>
    <w:rsid w:val="00B72F42"/>
    <w:rsid w:val="00B733FB"/>
    <w:rsid w:val="00B73E44"/>
    <w:rsid w:val="00B74290"/>
    <w:rsid w:val="00B74510"/>
    <w:rsid w:val="00B74BD4"/>
    <w:rsid w:val="00B74BF7"/>
    <w:rsid w:val="00B76185"/>
    <w:rsid w:val="00B76BCD"/>
    <w:rsid w:val="00B7786D"/>
    <w:rsid w:val="00B779E6"/>
    <w:rsid w:val="00B804E2"/>
    <w:rsid w:val="00B811B2"/>
    <w:rsid w:val="00B81BA3"/>
    <w:rsid w:val="00B82213"/>
    <w:rsid w:val="00B8276E"/>
    <w:rsid w:val="00B828F9"/>
    <w:rsid w:val="00B83A62"/>
    <w:rsid w:val="00B83B59"/>
    <w:rsid w:val="00B84252"/>
    <w:rsid w:val="00B8468F"/>
    <w:rsid w:val="00B849F1"/>
    <w:rsid w:val="00B84FC6"/>
    <w:rsid w:val="00B857F5"/>
    <w:rsid w:val="00B86370"/>
    <w:rsid w:val="00B86D6C"/>
    <w:rsid w:val="00B86EB5"/>
    <w:rsid w:val="00B86F47"/>
    <w:rsid w:val="00B874B4"/>
    <w:rsid w:val="00B876C1"/>
    <w:rsid w:val="00B8787A"/>
    <w:rsid w:val="00B87887"/>
    <w:rsid w:val="00B90123"/>
    <w:rsid w:val="00B90196"/>
    <w:rsid w:val="00B911C1"/>
    <w:rsid w:val="00B91374"/>
    <w:rsid w:val="00B91F30"/>
    <w:rsid w:val="00B922C3"/>
    <w:rsid w:val="00B9272A"/>
    <w:rsid w:val="00B9272E"/>
    <w:rsid w:val="00B927A7"/>
    <w:rsid w:val="00B92B9E"/>
    <w:rsid w:val="00B9329C"/>
    <w:rsid w:val="00B93315"/>
    <w:rsid w:val="00B93519"/>
    <w:rsid w:val="00B9372A"/>
    <w:rsid w:val="00B9425C"/>
    <w:rsid w:val="00B94AAF"/>
    <w:rsid w:val="00B953FF"/>
    <w:rsid w:val="00B9622D"/>
    <w:rsid w:val="00B96263"/>
    <w:rsid w:val="00B968A5"/>
    <w:rsid w:val="00B972CD"/>
    <w:rsid w:val="00B97D02"/>
    <w:rsid w:val="00BA0304"/>
    <w:rsid w:val="00BA0557"/>
    <w:rsid w:val="00BA060E"/>
    <w:rsid w:val="00BA19C4"/>
    <w:rsid w:val="00BA3038"/>
    <w:rsid w:val="00BA360A"/>
    <w:rsid w:val="00BA370A"/>
    <w:rsid w:val="00BA48BC"/>
    <w:rsid w:val="00BA4A29"/>
    <w:rsid w:val="00BA4BE7"/>
    <w:rsid w:val="00BA550D"/>
    <w:rsid w:val="00BA5F20"/>
    <w:rsid w:val="00BA5F44"/>
    <w:rsid w:val="00BA68D9"/>
    <w:rsid w:val="00BA6FD8"/>
    <w:rsid w:val="00BA7172"/>
    <w:rsid w:val="00BA72CF"/>
    <w:rsid w:val="00BA7B01"/>
    <w:rsid w:val="00BB02D7"/>
    <w:rsid w:val="00BB0D9F"/>
    <w:rsid w:val="00BB0DEE"/>
    <w:rsid w:val="00BB0F93"/>
    <w:rsid w:val="00BB1031"/>
    <w:rsid w:val="00BB1997"/>
    <w:rsid w:val="00BB1B33"/>
    <w:rsid w:val="00BB2480"/>
    <w:rsid w:val="00BB27FD"/>
    <w:rsid w:val="00BB2C4E"/>
    <w:rsid w:val="00BB2E29"/>
    <w:rsid w:val="00BB2F74"/>
    <w:rsid w:val="00BB3206"/>
    <w:rsid w:val="00BB32C2"/>
    <w:rsid w:val="00BB3B0D"/>
    <w:rsid w:val="00BB4144"/>
    <w:rsid w:val="00BB4369"/>
    <w:rsid w:val="00BB524C"/>
    <w:rsid w:val="00BB5DAB"/>
    <w:rsid w:val="00BB6195"/>
    <w:rsid w:val="00BB61A3"/>
    <w:rsid w:val="00BB67EA"/>
    <w:rsid w:val="00BB707E"/>
    <w:rsid w:val="00BB7568"/>
    <w:rsid w:val="00BC007C"/>
    <w:rsid w:val="00BC0157"/>
    <w:rsid w:val="00BC0497"/>
    <w:rsid w:val="00BC0986"/>
    <w:rsid w:val="00BC0AB2"/>
    <w:rsid w:val="00BC1308"/>
    <w:rsid w:val="00BC1BF4"/>
    <w:rsid w:val="00BC2600"/>
    <w:rsid w:val="00BC2F24"/>
    <w:rsid w:val="00BC33BE"/>
    <w:rsid w:val="00BC3A47"/>
    <w:rsid w:val="00BC3EEB"/>
    <w:rsid w:val="00BC4780"/>
    <w:rsid w:val="00BC52C8"/>
    <w:rsid w:val="00BC5485"/>
    <w:rsid w:val="00BC549C"/>
    <w:rsid w:val="00BC570E"/>
    <w:rsid w:val="00BC5A6C"/>
    <w:rsid w:val="00BC5AF6"/>
    <w:rsid w:val="00BC5B4B"/>
    <w:rsid w:val="00BC5E69"/>
    <w:rsid w:val="00BC5EDB"/>
    <w:rsid w:val="00BC69A2"/>
    <w:rsid w:val="00BC6ED6"/>
    <w:rsid w:val="00BC6F03"/>
    <w:rsid w:val="00BC6FA1"/>
    <w:rsid w:val="00BC70CE"/>
    <w:rsid w:val="00BC7487"/>
    <w:rsid w:val="00BD0570"/>
    <w:rsid w:val="00BD0853"/>
    <w:rsid w:val="00BD112D"/>
    <w:rsid w:val="00BD214E"/>
    <w:rsid w:val="00BD2395"/>
    <w:rsid w:val="00BD25B8"/>
    <w:rsid w:val="00BD2842"/>
    <w:rsid w:val="00BD3120"/>
    <w:rsid w:val="00BD3354"/>
    <w:rsid w:val="00BD384E"/>
    <w:rsid w:val="00BD3E76"/>
    <w:rsid w:val="00BD3EE2"/>
    <w:rsid w:val="00BD3FCF"/>
    <w:rsid w:val="00BD42D2"/>
    <w:rsid w:val="00BD47D7"/>
    <w:rsid w:val="00BD4EFB"/>
    <w:rsid w:val="00BD5076"/>
    <w:rsid w:val="00BD5551"/>
    <w:rsid w:val="00BD5984"/>
    <w:rsid w:val="00BD6D43"/>
    <w:rsid w:val="00BD7090"/>
    <w:rsid w:val="00BD7490"/>
    <w:rsid w:val="00BD767F"/>
    <w:rsid w:val="00BD7DA0"/>
    <w:rsid w:val="00BE096B"/>
    <w:rsid w:val="00BE09C3"/>
    <w:rsid w:val="00BE0C27"/>
    <w:rsid w:val="00BE15BB"/>
    <w:rsid w:val="00BE198F"/>
    <w:rsid w:val="00BE4CCF"/>
    <w:rsid w:val="00BE5964"/>
    <w:rsid w:val="00BE5D68"/>
    <w:rsid w:val="00BE660B"/>
    <w:rsid w:val="00BE6AFE"/>
    <w:rsid w:val="00BE6BBE"/>
    <w:rsid w:val="00BE7021"/>
    <w:rsid w:val="00BE7300"/>
    <w:rsid w:val="00BE76F7"/>
    <w:rsid w:val="00BE784F"/>
    <w:rsid w:val="00BE79C6"/>
    <w:rsid w:val="00BE7F3F"/>
    <w:rsid w:val="00BF0238"/>
    <w:rsid w:val="00BF0717"/>
    <w:rsid w:val="00BF1750"/>
    <w:rsid w:val="00BF178E"/>
    <w:rsid w:val="00BF189F"/>
    <w:rsid w:val="00BF18F2"/>
    <w:rsid w:val="00BF1B44"/>
    <w:rsid w:val="00BF1F01"/>
    <w:rsid w:val="00BF1FC2"/>
    <w:rsid w:val="00BF23CC"/>
    <w:rsid w:val="00BF243F"/>
    <w:rsid w:val="00BF2708"/>
    <w:rsid w:val="00BF28FC"/>
    <w:rsid w:val="00BF4C2B"/>
    <w:rsid w:val="00BF507A"/>
    <w:rsid w:val="00BF53F1"/>
    <w:rsid w:val="00BF5717"/>
    <w:rsid w:val="00BF585E"/>
    <w:rsid w:val="00BF5B9D"/>
    <w:rsid w:val="00BF5C45"/>
    <w:rsid w:val="00BF5FA3"/>
    <w:rsid w:val="00BF62F2"/>
    <w:rsid w:val="00BF63A5"/>
    <w:rsid w:val="00BF6B0E"/>
    <w:rsid w:val="00BF72A7"/>
    <w:rsid w:val="00BF7558"/>
    <w:rsid w:val="00BF7DD2"/>
    <w:rsid w:val="00C0111E"/>
    <w:rsid w:val="00C02676"/>
    <w:rsid w:val="00C029AB"/>
    <w:rsid w:val="00C02D74"/>
    <w:rsid w:val="00C03661"/>
    <w:rsid w:val="00C03BD5"/>
    <w:rsid w:val="00C03C8B"/>
    <w:rsid w:val="00C03F3C"/>
    <w:rsid w:val="00C0425C"/>
    <w:rsid w:val="00C049BE"/>
    <w:rsid w:val="00C04A71"/>
    <w:rsid w:val="00C04DF0"/>
    <w:rsid w:val="00C050BB"/>
    <w:rsid w:val="00C05A4C"/>
    <w:rsid w:val="00C05A67"/>
    <w:rsid w:val="00C0641F"/>
    <w:rsid w:val="00C06E6F"/>
    <w:rsid w:val="00C07371"/>
    <w:rsid w:val="00C075DB"/>
    <w:rsid w:val="00C07EBA"/>
    <w:rsid w:val="00C07FBC"/>
    <w:rsid w:val="00C100E7"/>
    <w:rsid w:val="00C11113"/>
    <w:rsid w:val="00C11687"/>
    <w:rsid w:val="00C11E28"/>
    <w:rsid w:val="00C11F66"/>
    <w:rsid w:val="00C1225B"/>
    <w:rsid w:val="00C122F9"/>
    <w:rsid w:val="00C1253A"/>
    <w:rsid w:val="00C128C9"/>
    <w:rsid w:val="00C12CF3"/>
    <w:rsid w:val="00C12F88"/>
    <w:rsid w:val="00C131A8"/>
    <w:rsid w:val="00C1322D"/>
    <w:rsid w:val="00C135A3"/>
    <w:rsid w:val="00C13C8E"/>
    <w:rsid w:val="00C1477A"/>
    <w:rsid w:val="00C14A62"/>
    <w:rsid w:val="00C151F5"/>
    <w:rsid w:val="00C158EB"/>
    <w:rsid w:val="00C159B1"/>
    <w:rsid w:val="00C15D51"/>
    <w:rsid w:val="00C161F5"/>
    <w:rsid w:val="00C16BE6"/>
    <w:rsid w:val="00C16C92"/>
    <w:rsid w:val="00C1706B"/>
    <w:rsid w:val="00C17310"/>
    <w:rsid w:val="00C17DB7"/>
    <w:rsid w:val="00C17E48"/>
    <w:rsid w:val="00C17F0B"/>
    <w:rsid w:val="00C201E7"/>
    <w:rsid w:val="00C20506"/>
    <w:rsid w:val="00C20AA2"/>
    <w:rsid w:val="00C20B91"/>
    <w:rsid w:val="00C21155"/>
    <w:rsid w:val="00C2146C"/>
    <w:rsid w:val="00C214D7"/>
    <w:rsid w:val="00C21561"/>
    <w:rsid w:val="00C217EE"/>
    <w:rsid w:val="00C22784"/>
    <w:rsid w:val="00C23843"/>
    <w:rsid w:val="00C23A4C"/>
    <w:rsid w:val="00C2419D"/>
    <w:rsid w:val="00C243A4"/>
    <w:rsid w:val="00C24416"/>
    <w:rsid w:val="00C248DB"/>
    <w:rsid w:val="00C26170"/>
    <w:rsid w:val="00C26B5A"/>
    <w:rsid w:val="00C26D52"/>
    <w:rsid w:val="00C27FE0"/>
    <w:rsid w:val="00C303E4"/>
    <w:rsid w:val="00C30775"/>
    <w:rsid w:val="00C30B8D"/>
    <w:rsid w:val="00C3134E"/>
    <w:rsid w:val="00C315D8"/>
    <w:rsid w:val="00C31C4A"/>
    <w:rsid w:val="00C31D2D"/>
    <w:rsid w:val="00C3209A"/>
    <w:rsid w:val="00C32639"/>
    <w:rsid w:val="00C32808"/>
    <w:rsid w:val="00C32AD2"/>
    <w:rsid w:val="00C33114"/>
    <w:rsid w:val="00C34193"/>
    <w:rsid w:val="00C347FD"/>
    <w:rsid w:val="00C34DAE"/>
    <w:rsid w:val="00C34E1E"/>
    <w:rsid w:val="00C34E5A"/>
    <w:rsid w:val="00C353D2"/>
    <w:rsid w:val="00C35D9C"/>
    <w:rsid w:val="00C36219"/>
    <w:rsid w:val="00C3698E"/>
    <w:rsid w:val="00C369D2"/>
    <w:rsid w:val="00C36CCA"/>
    <w:rsid w:val="00C36E1C"/>
    <w:rsid w:val="00C36F42"/>
    <w:rsid w:val="00C3718A"/>
    <w:rsid w:val="00C3728D"/>
    <w:rsid w:val="00C379C5"/>
    <w:rsid w:val="00C37EEE"/>
    <w:rsid w:val="00C40453"/>
    <w:rsid w:val="00C40E71"/>
    <w:rsid w:val="00C40FBC"/>
    <w:rsid w:val="00C4141D"/>
    <w:rsid w:val="00C41879"/>
    <w:rsid w:val="00C41A7C"/>
    <w:rsid w:val="00C42CEF"/>
    <w:rsid w:val="00C42D55"/>
    <w:rsid w:val="00C43080"/>
    <w:rsid w:val="00C4370E"/>
    <w:rsid w:val="00C43823"/>
    <w:rsid w:val="00C4384B"/>
    <w:rsid w:val="00C4393C"/>
    <w:rsid w:val="00C43F2D"/>
    <w:rsid w:val="00C44068"/>
    <w:rsid w:val="00C442AE"/>
    <w:rsid w:val="00C44DCD"/>
    <w:rsid w:val="00C4518B"/>
    <w:rsid w:val="00C45780"/>
    <w:rsid w:val="00C458D6"/>
    <w:rsid w:val="00C45919"/>
    <w:rsid w:val="00C45C3A"/>
    <w:rsid w:val="00C4655A"/>
    <w:rsid w:val="00C466BF"/>
    <w:rsid w:val="00C47385"/>
    <w:rsid w:val="00C47555"/>
    <w:rsid w:val="00C476AC"/>
    <w:rsid w:val="00C47E67"/>
    <w:rsid w:val="00C47FD9"/>
    <w:rsid w:val="00C500C2"/>
    <w:rsid w:val="00C50C1A"/>
    <w:rsid w:val="00C50E1E"/>
    <w:rsid w:val="00C51508"/>
    <w:rsid w:val="00C51D73"/>
    <w:rsid w:val="00C52283"/>
    <w:rsid w:val="00C52A05"/>
    <w:rsid w:val="00C52E97"/>
    <w:rsid w:val="00C52EAF"/>
    <w:rsid w:val="00C53189"/>
    <w:rsid w:val="00C534E5"/>
    <w:rsid w:val="00C534F4"/>
    <w:rsid w:val="00C5375B"/>
    <w:rsid w:val="00C53B15"/>
    <w:rsid w:val="00C53DA9"/>
    <w:rsid w:val="00C53EF7"/>
    <w:rsid w:val="00C54280"/>
    <w:rsid w:val="00C54616"/>
    <w:rsid w:val="00C54929"/>
    <w:rsid w:val="00C550B6"/>
    <w:rsid w:val="00C55373"/>
    <w:rsid w:val="00C556B1"/>
    <w:rsid w:val="00C557BE"/>
    <w:rsid w:val="00C55A05"/>
    <w:rsid w:val="00C56101"/>
    <w:rsid w:val="00C565F2"/>
    <w:rsid w:val="00C567E3"/>
    <w:rsid w:val="00C56C45"/>
    <w:rsid w:val="00C573CC"/>
    <w:rsid w:val="00C57B81"/>
    <w:rsid w:val="00C57FB9"/>
    <w:rsid w:val="00C6077B"/>
    <w:rsid w:val="00C60950"/>
    <w:rsid w:val="00C60DD1"/>
    <w:rsid w:val="00C61565"/>
    <w:rsid w:val="00C61574"/>
    <w:rsid w:val="00C615B4"/>
    <w:rsid w:val="00C61AC6"/>
    <w:rsid w:val="00C61ACF"/>
    <w:rsid w:val="00C6211D"/>
    <w:rsid w:val="00C62537"/>
    <w:rsid w:val="00C62B32"/>
    <w:rsid w:val="00C63DED"/>
    <w:rsid w:val="00C63E88"/>
    <w:rsid w:val="00C6436D"/>
    <w:rsid w:val="00C646B4"/>
    <w:rsid w:val="00C64F97"/>
    <w:rsid w:val="00C65585"/>
    <w:rsid w:val="00C656EB"/>
    <w:rsid w:val="00C65DF4"/>
    <w:rsid w:val="00C661C6"/>
    <w:rsid w:val="00C67880"/>
    <w:rsid w:val="00C67B49"/>
    <w:rsid w:val="00C70CAB"/>
    <w:rsid w:val="00C711F5"/>
    <w:rsid w:val="00C71326"/>
    <w:rsid w:val="00C713A1"/>
    <w:rsid w:val="00C71828"/>
    <w:rsid w:val="00C72105"/>
    <w:rsid w:val="00C73D7D"/>
    <w:rsid w:val="00C74520"/>
    <w:rsid w:val="00C74712"/>
    <w:rsid w:val="00C74954"/>
    <w:rsid w:val="00C76028"/>
    <w:rsid w:val="00C76184"/>
    <w:rsid w:val="00C76462"/>
    <w:rsid w:val="00C7673D"/>
    <w:rsid w:val="00C76A80"/>
    <w:rsid w:val="00C76C27"/>
    <w:rsid w:val="00C76F07"/>
    <w:rsid w:val="00C77960"/>
    <w:rsid w:val="00C77EF6"/>
    <w:rsid w:val="00C80B4B"/>
    <w:rsid w:val="00C80D63"/>
    <w:rsid w:val="00C812D5"/>
    <w:rsid w:val="00C81BEA"/>
    <w:rsid w:val="00C81DF5"/>
    <w:rsid w:val="00C82188"/>
    <w:rsid w:val="00C8242B"/>
    <w:rsid w:val="00C82A50"/>
    <w:rsid w:val="00C83240"/>
    <w:rsid w:val="00C83381"/>
    <w:rsid w:val="00C83607"/>
    <w:rsid w:val="00C83768"/>
    <w:rsid w:val="00C83B18"/>
    <w:rsid w:val="00C840C3"/>
    <w:rsid w:val="00C841B4"/>
    <w:rsid w:val="00C84266"/>
    <w:rsid w:val="00C8450F"/>
    <w:rsid w:val="00C8466F"/>
    <w:rsid w:val="00C849E0"/>
    <w:rsid w:val="00C84B74"/>
    <w:rsid w:val="00C8512A"/>
    <w:rsid w:val="00C85378"/>
    <w:rsid w:val="00C85970"/>
    <w:rsid w:val="00C85E9B"/>
    <w:rsid w:val="00C874C8"/>
    <w:rsid w:val="00C8751A"/>
    <w:rsid w:val="00C8768B"/>
    <w:rsid w:val="00C90165"/>
    <w:rsid w:val="00C902DA"/>
    <w:rsid w:val="00C90733"/>
    <w:rsid w:val="00C921C4"/>
    <w:rsid w:val="00C9235F"/>
    <w:rsid w:val="00C9257F"/>
    <w:rsid w:val="00C92BF4"/>
    <w:rsid w:val="00C9319C"/>
    <w:rsid w:val="00C934F6"/>
    <w:rsid w:val="00C93874"/>
    <w:rsid w:val="00C93A4C"/>
    <w:rsid w:val="00C93CBD"/>
    <w:rsid w:val="00C944EB"/>
    <w:rsid w:val="00C94856"/>
    <w:rsid w:val="00C94FD2"/>
    <w:rsid w:val="00C95341"/>
    <w:rsid w:val="00C95B76"/>
    <w:rsid w:val="00C964C3"/>
    <w:rsid w:val="00C96635"/>
    <w:rsid w:val="00C966B7"/>
    <w:rsid w:val="00C969DB"/>
    <w:rsid w:val="00C96A6E"/>
    <w:rsid w:val="00C97A4A"/>
    <w:rsid w:val="00C97DC9"/>
    <w:rsid w:val="00C97EE3"/>
    <w:rsid w:val="00CA042A"/>
    <w:rsid w:val="00CA12BA"/>
    <w:rsid w:val="00CA165C"/>
    <w:rsid w:val="00CA1C0D"/>
    <w:rsid w:val="00CA1DAE"/>
    <w:rsid w:val="00CA1E62"/>
    <w:rsid w:val="00CA2267"/>
    <w:rsid w:val="00CA38AD"/>
    <w:rsid w:val="00CA3EEE"/>
    <w:rsid w:val="00CA5098"/>
    <w:rsid w:val="00CA5503"/>
    <w:rsid w:val="00CA66C3"/>
    <w:rsid w:val="00CA6CAD"/>
    <w:rsid w:val="00CA6CEF"/>
    <w:rsid w:val="00CA70A8"/>
    <w:rsid w:val="00CA70D0"/>
    <w:rsid w:val="00CA74A4"/>
    <w:rsid w:val="00CA7683"/>
    <w:rsid w:val="00CA7EA1"/>
    <w:rsid w:val="00CA7EEB"/>
    <w:rsid w:val="00CB009B"/>
    <w:rsid w:val="00CB0231"/>
    <w:rsid w:val="00CB029B"/>
    <w:rsid w:val="00CB0838"/>
    <w:rsid w:val="00CB092E"/>
    <w:rsid w:val="00CB1AFD"/>
    <w:rsid w:val="00CB1EB3"/>
    <w:rsid w:val="00CB2126"/>
    <w:rsid w:val="00CB2308"/>
    <w:rsid w:val="00CB24AD"/>
    <w:rsid w:val="00CB2C59"/>
    <w:rsid w:val="00CB2D9C"/>
    <w:rsid w:val="00CB34AB"/>
    <w:rsid w:val="00CB3529"/>
    <w:rsid w:val="00CB38A9"/>
    <w:rsid w:val="00CB3A45"/>
    <w:rsid w:val="00CB4728"/>
    <w:rsid w:val="00CB49A6"/>
    <w:rsid w:val="00CB58E3"/>
    <w:rsid w:val="00CB59E7"/>
    <w:rsid w:val="00CB5D27"/>
    <w:rsid w:val="00CB5E4A"/>
    <w:rsid w:val="00CB6FCA"/>
    <w:rsid w:val="00CB724D"/>
    <w:rsid w:val="00CB73EA"/>
    <w:rsid w:val="00CB76E3"/>
    <w:rsid w:val="00CB7D4E"/>
    <w:rsid w:val="00CB7F1F"/>
    <w:rsid w:val="00CC002B"/>
    <w:rsid w:val="00CC07E5"/>
    <w:rsid w:val="00CC09F0"/>
    <w:rsid w:val="00CC0AB5"/>
    <w:rsid w:val="00CC0C11"/>
    <w:rsid w:val="00CC1F52"/>
    <w:rsid w:val="00CC233F"/>
    <w:rsid w:val="00CC27FD"/>
    <w:rsid w:val="00CC29A4"/>
    <w:rsid w:val="00CC31E8"/>
    <w:rsid w:val="00CC3AB9"/>
    <w:rsid w:val="00CC3C9E"/>
    <w:rsid w:val="00CC45E0"/>
    <w:rsid w:val="00CC4BBE"/>
    <w:rsid w:val="00CC4BC3"/>
    <w:rsid w:val="00CC50C7"/>
    <w:rsid w:val="00CC55AC"/>
    <w:rsid w:val="00CC5859"/>
    <w:rsid w:val="00CC6D1C"/>
    <w:rsid w:val="00CC71DD"/>
    <w:rsid w:val="00CC71F3"/>
    <w:rsid w:val="00CC72C0"/>
    <w:rsid w:val="00CC757D"/>
    <w:rsid w:val="00CC7C74"/>
    <w:rsid w:val="00CD00DB"/>
    <w:rsid w:val="00CD0119"/>
    <w:rsid w:val="00CD07FD"/>
    <w:rsid w:val="00CD0866"/>
    <w:rsid w:val="00CD1169"/>
    <w:rsid w:val="00CD15F1"/>
    <w:rsid w:val="00CD16C7"/>
    <w:rsid w:val="00CD1A40"/>
    <w:rsid w:val="00CD1B33"/>
    <w:rsid w:val="00CD1C47"/>
    <w:rsid w:val="00CD22C2"/>
    <w:rsid w:val="00CD25F3"/>
    <w:rsid w:val="00CD27FF"/>
    <w:rsid w:val="00CD2875"/>
    <w:rsid w:val="00CD2DF3"/>
    <w:rsid w:val="00CD305C"/>
    <w:rsid w:val="00CD3A6D"/>
    <w:rsid w:val="00CD3E5A"/>
    <w:rsid w:val="00CD3E63"/>
    <w:rsid w:val="00CD40A3"/>
    <w:rsid w:val="00CD4CD3"/>
    <w:rsid w:val="00CD5249"/>
    <w:rsid w:val="00CD589F"/>
    <w:rsid w:val="00CD5BE2"/>
    <w:rsid w:val="00CD60C9"/>
    <w:rsid w:val="00CD6345"/>
    <w:rsid w:val="00CD6BBB"/>
    <w:rsid w:val="00CD6EC2"/>
    <w:rsid w:val="00CD7319"/>
    <w:rsid w:val="00CD7482"/>
    <w:rsid w:val="00CE07C1"/>
    <w:rsid w:val="00CE1567"/>
    <w:rsid w:val="00CE1859"/>
    <w:rsid w:val="00CE186F"/>
    <w:rsid w:val="00CE20E3"/>
    <w:rsid w:val="00CE273A"/>
    <w:rsid w:val="00CE2B61"/>
    <w:rsid w:val="00CE321C"/>
    <w:rsid w:val="00CE32E8"/>
    <w:rsid w:val="00CE353C"/>
    <w:rsid w:val="00CE3700"/>
    <w:rsid w:val="00CE3B69"/>
    <w:rsid w:val="00CE4559"/>
    <w:rsid w:val="00CE5118"/>
    <w:rsid w:val="00CE5487"/>
    <w:rsid w:val="00CE59B5"/>
    <w:rsid w:val="00CE59DB"/>
    <w:rsid w:val="00CE5B6A"/>
    <w:rsid w:val="00CE5D3A"/>
    <w:rsid w:val="00CE67D8"/>
    <w:rsid w:val="00CE68EA"/>
    <w:rsid w:val="00CE7381"/>
    <w:rsid w:val="00CE7447"/>
    <w:rsid w:val="00CE74CE"/>
    <w:rsid w:val="00CF0829"/>
    <w:rsid w:val="00CF0E74"/>
    <w:rsid w:val="00CF14E3"/>
    <w:rsid w:val="00CF1833"/>
    <w:rsid w:val="00CF1AEA"/>
    <w:rsid w:val="00CF2091"/>
    <w:rsid w:val="00CF21F6"/>
    <w:rsid w:val="00CF2278"/>
    <w:rsid w:val="00CF2C62"/>
    <w:rsid w:val="00CF2F66"/>
    <w:rsid w:val="00CF337B"/>
    <w:rsid w:val="00CF3FE7"/>
    <w:rsid w:val="00CF4416"/>
    <w:rsid w:val="00CF4631"/>
    <w:rsid w:val="00CF5607"/>
    <w:rsid w:val="00CF5762"/>
    <w:rsid w:val="00CF65B4"/>
    <w:rsid w:val="00CF69B0"/>
    <w:rsid w:val="00CF6C05"/>
    <w:rsid w:val="00CF7485"/>
    <w:rsid w:val="00CF764E"/>
    <w:rsid w:val="00CF7E56"/>
    <w:rsid w:val="00D001E7"/>
    <w:rsid w:val="00D01502"/>
    <w:rsid w:val="00D01744"/>
    <w:rsid w:val="00D01984"/>
    <w:rsid w:val="00D01C03"/>
    <w:rsid w:val="00D025CE"/>
    <w:rsid w:val="00D02A0F"/>
    <w:rsid w:val="00D02CA6"/>
    <w:rsid w:val="00D02DF3"/>
    <w:rsid w:val="00D03181"/>
    <w:rsid w:val="00D03517"/>
    <w:rsid w:val="00D037DC"/>
    <w:rsid w:val="00D0383B"/>
    <w:rsid w:val="00D03A8A"/>
    <w:rsid w:val="00D03DA5"/>
    <w:rsid w:val="00D03F27"/>
    <w:rsid w:val="00D043EE"/>
    <w:rsid w:val="00D0470D"/>
    <w:rsid w:val="00D04BFF"/>
    <w:rsid w:val="00D05249"/>
    <w:rsid w:val="00D055CA"/>
    <w:rsid w:val="00D059FC"/>
    <w:rsid w:val="00D05DEF"/>
    <w:rsid w:val="00D062A6"/>
    <w:rsid w:val="00D06861"/>
    <w:rsid w:val="00D0688A"/>
    <w:rsid w:val="00D06F22"/>
    <w:rsid w:val="00D073D9"/>
    <w:rsid w:val="00D07A9C"/>
    <w:rsid w:val="00D10076"/>
    <w:rsid w:val="00D1033B"/>
    <w:rsid w:val="00D10360"/>
    <w:rsid w:val="00D10477"/>
    <w:rsid w:val="00D107E2"/>
    <w:rsid w:val="00D10ADE"/>
    <w:rsid w:val="00D11D76"/>
    <w:rsid w:val="00D121F5"/>
    <w:rsid w:val="00D126E4"/>
    <w:rsid w:val="00D131BF"/>
    <w:rsid w:val="00D13A90"/>
    <w:rsid w:val="00D140E6"/>
    <w:rsid w:val="00D14833"/>
    <w:rsid w:val="00D158EF"/>
    <w:rsid w:val="00D15C14"/>
    <w:rsid w:val="00D15E74"/>
    <w:rsid w:val="00D15FAA"/>
    <w:rsid w:val="00D16C3D"/>
    <w:rsid w:val="00D16ECB"/>
    <w:rsid w:val="00D16EEE"/>
    <w:rsid w:val="00D17167"/>
    <w:rsid w:val="00D17BA5"/>
    <w:rsid w:val="00D2058D"/>
    <w:rsid w:val="00D206A3"/>
    <w:rsid w:val="00D2176E"/>
    <w:rsid w:val="00D2182A"/>
    <w:rsid w:val="00D2193D"/>
    <w:rsid w:val="00D21BCD"/>
    <w:rsid w:val="00D22105"/>
    <w:rsid w:val="00D2211C"/>
    <w:rsid w:val="00D22B55"/>
    <w:rsid w:val="00D22C81"/>
    <w:rsid w:val="00D23055"/>
    <w:rsid w:val="00D230AD"/>
    <w:rsid w:val="00D2320E"/>
    <w:rsid w:val="00D2327A"/>
    <w:rsid w:val="00D234DA"/>
    <w:rsid w:val="00D23C7C"/>
    <w:rsid w:val="00D251AB"/>
    <w:rsid w:val="00D25240"/>
    <w:rsid w:val="00D25AC6"/>
    <w:rsid w:val="00D261D3"/>
    <w:rsid w:val="00D26880"/>
    <w:rsid w:val="00D319DF"/>
    <w:rsid w:val="00D31C02"/>
    <w:rsid w:val="00D3225E"/>
    <w:rsid w:val="00D324BC"/>
    <w:rsid w:val="00D32B9F"/>
    <w:rsid w:val="00D33565"/>
    <w:rsid w:val="00D33761"/>
    <w:rsid w:val="00D33762"/>
    <w:rsid w:val="00D33A91"/>
    <w:rsid w:val="00D341C7"/>
    <w:rsid w:val="00D344B7"/>
    <w:rsid w:val="00D34862"/>
    <w:rsid w:val="00D34BD1"/>
    <w:rsid w:val="00D34D55"/>
    <w:rsid w:val="00D35177"/>
    <w:rsid w:val="00D35283"/>
    <w:rsid w:val="00D356CB"/>
    <w:rsid w:val="00D356E1"/>
    <w:rsid w:val="00D40340"/>
    <w:rsid w:val="00D40609"/>
    <w:rsid w:val="00D40983"/>
    <w:rsid w:val="00D41188"/>
    <w:rsid w:val="00D417D3"/>
    <w:rsid w:val="00D418D5"/>
    <w:rsid w:val="00D41940"/>
    <w:rsid w:val="00D41B27"/>
    <w:rsid w:val="00D41DB1"/>
    <w:rsid w:val="00D4249C"/>
    <w:rsid w:val="00D4276D"/>
    <w:rsid w:val="00D42798"/>
    <w:rsid w:val="00D42970"/>
    <w:rsid w:val="00D43AED"/>
    <w:rsid w:val="00D44916"/>
    <w:rsid w:val="00D45AE4"/>
    <w:rsid w:val="00D45CA4"/>
    <w:rsid w:val="00D45EA7"/>
    <w:rsid w:val="00D45F22"/>
    <w:rsid w:val="00D47178"/>
    <w:rsid w:val="00D4752E"/>
    <w:rsid w:val="00D47842"/>
    <w:rsid w:val="00D47BEF"/>
    <w:rsid w:val="00D50826"/>
    <w:rsid w:val="00D50C9B"/>
    <w:rsid w:val="00D51675"/>
    <w:rsid w:val="00D51F73"/>
    <w:rsid w:val="00D52827"/>
    <w:rsid w:val="00D529BE"/>
    <w:rsid w:val="00D52CF6"/>
    <w:rsid w:val="00D53D3E"/>
    <w:rsid w:val="00D547E0"/>
    <w:rsid w:val="00D54992"/>
    <w:rsid w:val="00D54D34"/>
    <w:rsid w:val="00D55291"/>
    <w:rsid w:val="00D55C48"/>
    <w:rsid w:val="00D55E47"/>
    <w:rsid w:val="00D56392"/>
    <w:rsid w:val="00D56997"/>
    <w:rsid w:val="00D570E6"/>
    <w:rsid w:val="00D5730F"/>
    <w:rsid w:val="00D5774F"/>
    <w:rsid w:val="00D57E82"/>
    <w:rsid w:val="00D60809"/>
    <w:rsid w:val="00D60D7F"/>
    <w:rsid w:val="00D61C9C"/>
    <w:rsid w:val="00D62111"/>
    <w:rsid w:val="00D62229"/>
    <w:rsid w:val="00D625B8"/>
    <w:rsid w:val="00D626F8"/>
    <w:rsid w:val="00D62A03"/>
    <w:rsid w:val="00D634E1"/>
    <w:rsid w:val="00D636DC"/>
    <w:rsid w:val="00D63F14"/>
    <w:rsid w:val="00D63F4C"/>
    <w:rsid w:val="00D64613"/>
    <w:rsid w:val="00D64702"/>
    <w:rsid w:val="00D659FA"/>
    <w:rsid w:val="00D66BFD"/>
    <w:rsid w:val="00D66C91"/>
    <w:rsid w:val="00D67413"/>
    <w:rsid w:val="00D674EE"/>
    <w:rsid w:val="00D67535"/>
    <w:rsid w:val="00D67A4D"/>
    <w:rsid w:val="00D67BC9"/>
    <w:rsid w:val="00D67DBC"/>
    <w:rsid w:val="00D7023F"/>
    <w:rsid w:val="00D704D9"/>
    <w:rsid w:val="00D70934"/>
    <w:rsid w:val="00D70BD2"/>
    <w:rsid w:val="00D713F2"/>
    <w:rsid w:val="00D721B1"/>
    <w:rsid w:val="00D7226B"/>
    <w:rsid w:val="00D72705"/>
    <w:rsid w:val="00D738BF"/>
    <w:rsid w:val="00D73B93"/>
    <w:rsid w:val="00D73C95"/>
    <w:rsid w:val="00D7400F"/>
    <w:rsid w:val="00D745C1"/>
    <w:rsid w:val="00D74784"/>
    <w:rsid w:val="00D756F6"/>
    <w:rsid w:val="00D75731"/>
    <w:rsid w:val="00D75B45"/>
    <w:rsid w:val="00D75B5C"/>
    <w:rsid w:val="00D75F8C"/>
    <w:rsid w:val="00D76050"/>
    <w:rsid w:val="00D76309"/>
    <w:rsid w:val="00D763AF"/>
    <w:rsid w:val="00D76423"/>
    <w:rsid w:val="00D767BF"/>
    <w:rsid w:val="00D77278"/>
    <w:rsid w:val="00D7749B"/>
    <w:rsid w:val="00D775B5"/>
    <w:rsid w:val="00D77961"/>
    <w:rsid w:val="00D77A47"/>
    <w:rsid w:val="00D77B20"/>
    <w:rsid w:val="00D77B3B"/>
    <w:rsid w:val="00D8007C"/>
    <w:rsid w:val="00D800BF"/>
    <w:rsid w:val="00D8079F"/>
    <w:rsid w:val="00D80CAF"/>
    <w:rsid w:val="00D80D0D"/>
    <w:rsid w:val="00D8103B"/>
    <w:rsid w:val="00D8111B"/>
    <w:rsid w:val="00D81242"/>
    <w:rsid w:val="00D812D2"/>
    <w:rsid w:val="00D82C80"/>
    <w:rsid w:val="00D82D02"/>
    <w:rsid w:val="00D82D0F"/>
    <w:rsid w:val="00D83A5A"/>
    <w:rsid w:val="00D84157"/>
    <w:rsid w:val="00D84BD7"/>
    <w:rsid w:val="00D84DCA"/>
    <w:rsid w:val="00D85114"/>
    <w:rsid w:val="00D857BC"/>
    <w:rsid w:val="00D85CC6"/>
    <w:rsid w:val="00D86A92"/>
    <w:rsid w:val="00D871B6"/>
    <w:rsid w:val="00D875E1"/>
    <w:rsid w:val="00D87F1E"/>
    <w:rsid w:val="00D90275"/>
    <w:rsid w:val="00D902F5"/>
    <w:rsid w:val="00D9075D"/>
    <w:rsid w:val="00D90959"/>
    <w:rsid w:val="00D91410"/>
    <w:rsid w:val="00D91438"/>
    <w:rsid w:val="00D91594"/>
    <w:rsid w:val="00D91ABE"/>
    <w:rsid w:val="00D91DFB"/>
    <w:rsid w:val="00D92042"/>
    <w:rsid w:val="00D921DA"/>
    <w:rsid w:val="00D92C2F"/>
    <w:rsid w:val="00D92F7F"/>
    <w:rsid w:val="00D930AC"/>
    <w:rsid w:val="00D9385C"/>
    <w:rsid w:val="00D9459D"/>
    <w:rsid w:val="00D94730"/>
    <w:rsid w:val="00D94858"/>
    <w:rsid w:val="00D94972"/>
    <w:rsid w:val="00D954A1"/>
    <w:rsid w:val="00D95519"/>
    <w:rsid w:val="00D95744"/>
    <w:rsid w:val="00D958FC"/>
    <w:rsid w:val="00D959AE"/>
    <w:rsid w:val="00D95DC2"/>
    <w:rsid w:val="00D96678"/>
    <w:rsid w:val="00D9673A"/>
    <w:rsid w:val="00D96C73"/>
    <w:rsid w:val="00D96D46"/>
    <w:rsid w:val="00D97C27"/>
    <w:rsid w:val="00DA032C"/>
    <w:rsid w:val="00DA0526"/>
    <w:rsid w:val="00DA0639"/>
    <w:rsid w:val="00DA0B8C"/>
    <w:rsid w:val="00DA0CF7"/>
    <w:rsid w:val="00DA0E96"/>
    <w:rsid w:val="00DA1203"/>
    <w:rsid w:val="00DA1468"/>
    <w:rsid w:val="00DA14A0"/>
    <w:rsid w:val="00DA18DA"/>
    <w:rsid w:val="00DA1972"/>
    <w:rsid w:val="00DA1C31"/>
    <w:rsid w:val="00DA1F0C"/>
    <w:rsid w:val="00DA2231"/>
    <w:rsid w:val="00DA3565"/>
    <w:rsid w:val="00DA3A5B"/>
    <w:rsid w:val="00DA3D0B"/>
    <w:rsid w:val="00DA3F51"/>
    <w:rsid w:val="00DA45DB"/>
    <w:rsid w:val="00DA48D9"/>
    <w:rsid w:val="00DA49F8"/>
    <w:rsid w:val="00DA4AAE"/>
    <w:rsid w:val="00DA5572"/>
    <w:rsid w:val="00DA5D5D"/>
    <w:rsid w:val="00DA62DB"/>
    <w:rsid w:val="00DA6A15"/>
    <w:rsid w:val="00DA6CC2"/>
    <w:rsid w:val="00DA7029"/>
    <w:rsid w:val="00DA756D"/>
    <w:rsid w:val="00DA77A0"/>
    <w:rsid w:val="00DB09A2"/>
    <w:rsid w:val="00DB103D"/>
    <w:rsid w:val="00DB1448"/>
    <w:rsid w:val="00DB1907"/>
    <w:rsid w:val="00DB1998"/>
    <w:rsid w:val="00DB1FC4"/>
    <w:rsid w:val="00DB21F0"/>
    <w:rsid w:val="00DB2C5F"/>
    <w:rsid w:val="00DB3A50"/>
    <w:rsid w:val="00DB3A58"/>
    <w:rsid w:val="00DB3BDF"/>
    <w:rsid w:val="00DB3C58"/>
    <w:rsid w:val="00DB3D46"/>
    <w:rsid w:val="00DB401C"/>
    <w:rsid w:val="00DB46C8"/>
    <w:rsid w:val="00DB540E"/>
    <w:rsid w:val="00DB5A63"/>
    <w:rsid w:val="00DB5F61"/>
    <w:rsid w:val="00DB6166"/>
    <w:rsid w:val="00DB656B"/>
    <w:rsid w:val="00DB691E"/>
    <w:rsid w:val="00DB6C99"/>
    <w:rsid w:val="00DB75A3"/>
    <w:rsid w:val="00DC0574"/>
    <w:rsid w:val="00DC0C65"/>
    <w:rsid w:val="00DC16BF"/>
    <w:rsid w:val="00DC16E1"/>
    <w:rsid w:val="00DC16FC"/>
    <w:rsid w:val="00DC1881"/>
    <w:rsid w:val="00DC1ED7"/>
    <w:rsid w:val="00DC3A6F"/>
    <w:rsid w:val="00DC3D1C"/>
    <w:rsid w:val="00DC43E1"/>
    <w:rsid w:val="00DC5199"/>
    <w:rsid w:val="00DC57C2"/>
    <w:rsid w:val="00DC5A32"/>
    <w:rsid w:val="00DC5E4E"/>
    <w:rsid w:val="00DC6281"/>
    <w:rsid w:val="00DC651B"/>
    <w:rsid w:val="00DC662F"/>
    <w:rsid w:val="00DC6E78"/>
    <w:rsid w:val="00DC729A"/>
    <w:rsid w:val="00DC73B1"/>
    <w:rsid w:val="00DC7519"/>
    <w:rsid w:val="00DC7630"/>
    <w:rsid w:val="00DC7EB5"/>
    <w:rsid w:val="00DD04AC"/>
    <w:rsid w:val="00DD04DD"/>
    <w:rsid w:val="00DD0891"/>
    <w:rsid w:val="00DD0A5B"/>
    <w:rsid w:val="00DD0B35"/>
    <w:rsid w:val="00DD0C4D"/>
    <w:rsid w:val="00DD0F9F"/>
    <w:rsid w:val="00DD11A7"/>
    <w:rsid w:val="00DD1298"/>
    <w:rsid w:val="00DD1A9F"/>
    <w:rsid w:val="00DD2300"/>
    <w:rsid w:val="00DD2309"/>
    <w:rsid w:val="00DD28B3"/>
    <w:rsid w:val="00DD2DE3"/>
    <w:rsid w:val="00DD2DE8"/>
    <w:rsid w:val="00DD316F"/>
    <w:rsid w:val="00DD357C"/>
    <w:rsid w:val="00DD37CA"/>
    <w:rsid w:val="00DD3D55"/>
    <w:rsid w:val="00DD3DF7"/>
    <w:rsid w:val="00DD4AE2"/>
    <w:rsid w:val="00DD4BFA"/>
    <w:rsid w:val="00DD51F8"/>
    <w:rsid w:val="00DD5B14"/>
    <w:rsid w:val="00DD6388"/>
    <w:rsid w:val="00DD66A2"/>
    <w:rsid w:val="00DD6C53"/>
    <w:rsid w:val="00DD7198"/>
    <w:rsid w:val="00DD7CB6"/>
    <w:rsid w:val="00DE0077"/>
    <w:rsid w:val="00DE0137"/>
    <w:rsid w:val="00DE01BA"/>
    <w:rsid w:val="00DE0DCF"/>
    <w:rsid w:val="00DE137B"/>
    <w:rsid w:val="00DE17DA"/>
    <w:rsid w:val="00DE19D9"/>
    <w:rsid w:val="00DE1DC6"/>
    <w:rsid w:val="00DE1F77"/>
    <w:rsid w:val="00DE21C6"/>
    <w:rsid w:val="00DE22AA"/>
    <w:rsid w:val="00DE288F"/>
    <w:rsid w:val="00DE2C45"/>
    <w:rsid w:val="00DE2D49"/>
    <w:rsid w:val="00DE2F4E"/>
    <w:rsid w:val="00DE3E66"/>
    <w:rsid w:val="00DE3F75"/>
    <w:rsid w:val="00DE41FC"/>
    <w:rsid w:val="00DE45F5"/>
    <w:rsid w:val="00DE4AAD"/>
    <w:rsid w:val="00DE4C0C"/>
    <w:rsid w:val="00DE4FC8"/>
    <w:rsid w:val="00DE53B5"/>
    <w:rsid w:val="00DE5A50"/>
    <w:rsid w:val="00DE60C5"/>
    <w:rsid w:val="00DE6D0C"/>
    <w:rsid w:val="00DE7323"/>
    <w:rsid w:val="00DE75F0"/>
    <w:rsid w:val="00DE77CB"/>
    <w:rsid w:val="00DE795A"/>
    <w:rsid w:val="00DE7D92"/>
    <w:rsid w:val="00DE7EBA"/>
    <w:rsid w:val="00DF04BD"/>
    <w:rsid w:val="00DF068D"/>
    <w:rsid w:val="00DF0D3A"/>
    <w:rsid w:val="00DF140A"/>
    <w:rsid w:val="00DF1A9A"/>
    <w:rsid w:val="00DF1C2D"/>
    <w:rsid w:val="00DF1F8A"/>
    <w:rsid w:val="00DF2209"/>
    <w:rsid w:val="00DF248E"/>
    <w:rsid w:val="00DF3248"/>
    <w:rsid w:val="00DF3577"/>
    <w:rsid w:val="00DF4063"/>
    <w:rsid w:val="00DF5F13"/>
    <w:rsid w:val="00DF63DD"/>
    <w:rsid w:val="00DF6B62"/>
    <w:rsid w:val="00DF7BD0"/>
    <w:rsid w:val="00DF7BDF"/>
    <w:rsid w:val="00E00303"/>
    <w:rsid w:val="00E00A62"/>
    <w:rsid w:val="00E010A0"/>
    <w:rsid w:val="00E0125E"/>
    <w:rsid w:val="00E01668"/>
    <w:rsid w:val="00E0173A"/>
    <w:rsid w:val="00E01849"/>
    <w:rsid w:val="00E020D1"/>
    <w:rsid w:val="00E02B64"/>
    <w:rsid w:val="00E02EAD"/>
    <w:rsid w:val="00E03D3F"/>
    <w:rsid w:val="00E03DED"/>
    <w:rsid w:val="00E0437C"/>
    <w:rsid w:val="00E0452C"/>
    <w:rsid w:val="00E04D61"/>
    <w:rsid w:val="00E0504C"/>
    <w:rsid w:val="00E05074"/>
    <w:rsid w:val="00E05489"/>
    <w:rsid w:val="00E05741"/>
    <w:rsid w:val="00E05F7F"/>
    <w:rsid w:val="00E06549"/>
    <w:rsid w:val="00E06930"/>
    <w:rsid w:val="00E06971"/>
    <w:rsid w:val="00E07514"/>
    <w:rsid w:val="00E105B3"/>
    <w:rsid w:val="00E10846"/>
    <w:rsid w:val="00E10883"/>
    <w:rsid w:val="00E108F4"/>
    <w:rsid w:val="00E10D4E"/>
    <w:rsid w:val="00E1100C"/>
    <w:rsid w:val="00E11489"/>
    <w:rsid w:val="00E11711"/>
    <w:rsid w:val="00E11E63"/>
    <w:rsid w:val="00E11F94"/>
    <w:rsid w:val="00E12696"/>
    <w:rsid w:val="00E1310D"/>
    <w:rsid w:val="00E13359"/>
    <w:rsid w:val="00E138BF"/>
    <w:rsid w:val="00E1399F"/>
    <w:rsid w:val="00E142FF"/>
    <w:rsid w:val="00E14D3A"/>
    <w:rsid w:val="00E14EFA"/>
    <w:rsid w:val="00E151B9"/>
    <w:rsid w:val="00E158C4"/>
    <w:rsid w:val="00E161E6"/>
    <w:rsid w:val="00E167C9"/>
    <w:rsid w:val="00E1698C"/>
    <w:rsid w:val="00E16BDB"/>
    <w:rsid w:val="00E172BE"/>
    <w:rsid w:val="00E17991"/>
    <w:rsid w:val="00E17CF7"/>
    <w:rsid w:val="00E205D6"/>
    <w:rsid w:val="00E209AB"/>
    <w:rsid w:val="00E216EC"/>
    <w:rsid w:val="00E2189A"/>
    <w:rsid w:val="00E21A60"/>
    <w:rsid w:val="00E22B5A"/>
    <w:rsid w:val="00E22B68"/>
    <w:rsid w:val="00E231C9"/>
    <w:rsid w:val="00E23EBF"/>
    <w:rsid w:val="00E23FD5"/>
    <w:rsid w:val="00E24669"/>
    <w:rsid w:val="00E24836"/>
    <w:rsid w:val="00E24C48"/>
    <w:rsid w:val="00E24EE4"/>
    <w:rsid w:val="00E25981"/>
    <w:rsid w:val="00E26141"/>
    <w:rsid w:val="00E266F5"/>
    <w:rsid w:val="00E26C97"/>
    <w:rsid w:val="00E26CCC"/>
    <w:rsid w:val="00E270D3"/>
    <w:rsid w:val="00E27FC7"/>
    <w:rsid w:val="00E3050B"/>
    <w:rsid w:val="00E30700"/>
    <w:rsid w:val="00E31360"/>
    <w:rsid w:val="00E31D28"/>
    <w:rsid w:val="00E32425"/>
    <w:rsid w:val="00E32506"/>
    <w:rsid w:val="00E3252C"/>
    <w:rsid w:val="00E325FF"/>
    <w:rsid w:val="00E32938"/>
    <w:rsid w:val="00E32CB8"/>
    <w:rsid w:val="00E32EB7"/>
    <w:rsid w:val="00E3440F"/>
    <w:rsid w:val="00E34F3A"/>
    <w:rsid w:val="00E35F99"/>
    <w:rsid w:val="00E35F9A"/>
    <w:rsid w:val="00E360B1"/>
    <w:rsid w:val="00E3637F"/>
    <w:rsid w:val="00E364B6"/>
    <w:rsid w:val="00E36723"/>
    <w:rsid w:val="00E3713C"/>
    <w:rsid w:val="00E37470"/>
    <w:rsid w:val="00E3767B"/>
    <w:rsid w:val="00E37E1C"/>
    <w:rsid w:val="00E40126"/>
    <w:rsid w:val="00E4013B"/>
    <w:rsid w:val="00E4056A"/>
    <w:rsid w:val="00E40BC3"/>
    <w:rsid w:val="00E40C85"/>
    <w:rsid w:val="00E40CBF"/>
    <w:rsid w:val="00E40E7D"/>
    <w:rsid w:val="00E40EE4"/>
    <w:rsid w:val="00E413C6"/>
    <w:rsid w:val="00E4141C"/>
    <w:rsid w:val="00E420D5"/>
    <w:rsid w:val="00E42517"/>
    <w:rsid w:val="00E42600"/>
    <w:rsid w:val="00E42948"/>
    <w:rsid w:val="00E42D55"/>
    <w:rsid w:val="00E42FFE"/>
    <w:rsid w:val="00E43050"/>
    <w:rsid w:val="00E4316E"/>
    <w:rsid w:val="00E435AB"/>
    <w:rsid w:val="00E44275"/>
    <w:rsid w:val="00E44620"/>
    <w:rsid w:val="00E44705"/>
    <w:rsid w:val="00E44777"/>
    <w:rsid w:val="00E44F67"/>
    <w:rsid w:val="00E4535F"/>
    <w:rsid w:val="00E455E3"/>
    <w:rsid w:val="00E466BC"/>
    <w:rsid w:val="00E4686A"/>
    <w:rsid w:val="00E469F2"/>
    <w:rsid w:val="00E46EE9"/>
    <w:rsid w:val="00E479FD"/>
    <w:rsid w:val="00E47F1A"/>
    <w:rsid w:val="00E504D6"/>
    <w:rsid w:val="00E50593"/>
    <w:rsid w:val="00E50B6F"/>
    <w:rsid w:val="00E50EBE"/>
    <w:rsid w:val="00E50F69"/>
    <w:rsid w:val="00E50FC6"/>
    <w:rsid w:val="00E5227B"/>
    <w:rsid w:val="00E52372"/>
    <w:rsid w:val="00E5265A"/>
    <w:rsid w:val="00E52786"/>
    <w:rsid w:val="00E52F05"/>
    <w:rsid w:val="00E53579"/>
    <w:rsid w:val="00E540CA"/>
    <w:rsid w:val="00E543DA"/>
    <w:rsid w:val="00E54A08"/>
    <w:rsid w:val="00E54F3A"/>
    <w:rsid w:val="00E55560"/>
    <w:rsid w:val="00E55B28"/>
    <w:rsid w:val="00E55FCD"/>
    <w:rsid w:val="00E5642F"/>
    <w:rsid w:val="00E56D4A"/>
    <w:rsid w:val="00E57119"/>
    <w:rsid w:val="00E5719E"/>
    <w:rsid w:val="00E57D7B"/>
    <w:rsid w:val="00E57F4B"/>
    <w:rsid w:val="00E602E5"/>
    <w:rsid w:val="00E602F8"/>
    <w:rsid w:val="00E6085B"/>
    <w:rsid w:val="00E60FBA"/>
    <w:rsid w:val="00E60FBF"/>
    <w:rsid w:val="00E611AE"/>
    <w:rsid w:val="00E616F9"/>
    <w:rsid w:val="00E61852"/>
    <w:rsid w:val="00E61A0C"/>
    <w:rsid w:val="00E61D22"/>
    <w:rsid w:val="00E61D96"/>
    <w:rsid w:val="00E61D9F"/>
    <w:rsid w:val="00E61E4B"/>
    <w:rsid w:val="00E63DA2"/>
    <w:rsid w:val="00E641E8"/>
    <w:rsid w:val="00E642AF"/>
    <w:rsid w:val="00E644C6"/>
    <w:rsid w:val="00E64555"/>
    <w:rsid w:val="00E64595"/>
    <w:rsid w:val="00E646BB"/>
    <w:rsid w:val="00E64D24"/>
    <w:rsid w:val="00E64FAF"/>
    <w:rsid w:val="00E653A6"/>
    <w:rsid w:val="00E6549C"/>
    <w:rsid w:val="00E654B9"/>
    <w:rsid w:val="00E655D4"/>
    <w:rsid w:val="00E6589D"/>
    <w:rsid w:val="00E65DBD"/>
    <w:rsid w:val="00E65E8C"/>
    <w:rsid w:val="00E665E7"/>
    <w:rsid w:val="00E66A89"/>
    <w:rsid w:val="00E66C96"/>
    <w:rsid w:val="00E66D89"/>
    <w:rsid w:val="00E67D87"/>
    <w:rsid w:val="00E70130"/>
    <w:rsid w:val="00E705A1"/>
    <w:rsid w:val="00E70D73"/>
    <w:rsid w:val="00E71063"/>
    <w:rsid w:val="00E715FC"/>
    <w:rsid w:val="00E71A45"/>
    <w:rsid w:val="00E71B55"/>
    <w:rsid w:val="00E71C21"/>
    <w:rsid w:val="00E729F7"/>
    <w:rsid w:val="00E72F23"/>
    <w:rsid w:val="00E730FC"/>
    <w:rsid w:val="00E73481"/>
    <w:rsid w:val="00E737D1"/>
    <w:rsid w:val="00E7385A"/>
    <w:rsid w:val="00E7391F"/>
    <w:rsid w:val="00E73CE6"/>
    <w:rsid w:val="00E74780"/>
    <w:rsid w:val="00E74956"/>
    <w:rsid w:val="00E752F7"/>
    <w:rsid w:val="00E75848"/>
    <w:rsid w:val="00E759D4"/>
    <w:rsid w:val="00E7631B"/>
    <w:rsid w:val="00E76348"/>
    <w:rsid w:val="00E76A3C"/>
    <w:rsid w:val="00E76F9B"/>
    <w:rsid w:val="00E771FC"/>
    <w:rsid w:val="00E773E5"/>
    <w:rsid w:val="00E77BDD"/>
    <w:rsid w:val="00E806D3"/>
    <w:rsid w:val="00E81C34"/>
    <w:rsid w:val="00E81D83"/>
    <w:rsid w:val="00E821BB"/>
    <w:rsid w:val="00E822E9"/>
    <w:rsid w:val="00E826FE"/>
    <w:rsid w:val="00E8275E"/>
    <w:rsid w:val="00E827AF"/>
    <w:rsid w:val="00E82843"/>
    <w:rsid w:val="00E82DE9"/>
    <w:rsid w:val="00E83253"/>
    <w:rsid w:val="00E8345B"/>
    <w:rsid w:val="00E83714"/>
    <w:rsid w:val="00E83831"/>
    <w:rsid w:val="00E844AB"/>
    <w:rsid w:val="00E84C97"/>
    <w:rsid w:val="00E85005"/>
    <w:rsid w:val="00E85296"/>
    <w:rsid w:val="00E8533B"/>
    <w:rsid w:val="00E85E4E"/>
    <w:rsid w:val="00E86327"/>
    <w:rsid w:val="00E86A7A"/>
    <w:rsid w:val="00E86DF0"/>
    <w:rsid w:val="00E8788A"/>
    <w:rsid w:val="00E87BD2"/>
    <w:rsid w:val="00E87CDC"/>
    <w:rsid w:val="00E90B33"/>
    <w:rsid w:val="00E90E2D"/>
    <w:rsid w:val="00E911E0"/>
    <w:rsid w:val="00E93407"/>
    <w:rsid w:val="00E940A8"/>
    <w:rsid w:val="00E947E8"/>
    <w:rsid w:val="00E94B0F"/>
    <w:rsid w:val="00E94E6D"/>
    <w:rsid w:val="00E9503F"/>
    <w:rsid w:val="00E956F3"/>
    <w:rsid w:val="00E96E68"/>
    <w:rsid w:val="00E97013"/>
    <w:rsid w:val="00E97EA1"/>
    <w:rsid w:val="00EA0BBE"/>
    <w:rsid w:val="00EA1650"/>
    <w:rsid w:val="00EA1FBC"/>
    <w:rsid w:val="00EA20A1"/>
    <w:rsid w:val="00EA212B"/>
    <w:rsid w:val="00EA24B5"/>
    <w:rsid w:val="00EA2D44"/>
    <w:rsid w:val="00EA3A1D"/>
    <w:rsid w:val="00EA3CD7"/>
    <w:rsid w:val="00EA3E2D"/>
    <w:rsid w:val="00EA4010"/>
    <w:rsid w:val="00EA429D"/>
    <w:rsid w:val="00EA43AF"/>
    <w:rsid w:val="00EA4676"/>
    <w:rsid w:val="00EA47FB"/>
    <w:rsid w:val="00EA4C7C"/>
    <w:rsid w:val="00EA4D4C"/>
    <w:rsid w:val="00EA554F"/>
    <w:rsid w:val="00EA5CCF"/>
    <w:rsid w:val="00EA6250"/>
    <w:rsid w:val="00EA66A4"/>
    <w:rsid w:val="00EA6819"/>
    <w:rsid w:val="00EA6A1E"/>
    <w:rsid w:val="00EA75BD"/>
    <w:rsid w:val="00EA7C47"/>
    <w:rsid w:val="00EB0B39"/>
    <w:rsid w:val="00EB0F0F"/>
    <w:rsid w:val="00EB1230"/>
    <w:rsid w:val="00EB12A5"/>
    <w:rsid w:val="00EB1DEF"/>
    <w:rsid w:val="00EB24D8"/>
    <w:rsid w:val="00EB2732"/>
    <w:rsid w:val="00EB277B"/>
    <w:rsid w:val="00EB2D43"/>
    <w:rsid w:val="00EB2F20"/>
    <w:rsid w:val="00EB2F35"/>
    <w:rsid w:val="00EB31DB"/>
    <w:rsid w:val="00EB3422"/>
    <w:rsid w:val="00EB3A31"/>
    <w:rsid w:val="00EB4EAF"/>
    <w:rsid w:val="00EB5424"/>
    <w:rsid w:val="00EB548E"/>
    <w:rsid w:val="00EB5C41"/>
    <w:rsid w:val="00EB5F5A"/>
    <w:rsid w:val="00EB656C"/>
    <w:rsid w:val="00EB657E"/>
    <w:rsid w:val="00EB695E"/>
    <w:rsid w:val="00EB69D1"/>
    <w:rsid w:val="00EB69D4"/>
    <w:rsid w:val="00EB6FE9"/>
    <w:rsid w:val="00EB72FF"/>
    <w:rsid w:val="00EB756F"/>
    <w:rsid w:val="00EB79C8"/>
    <w:rsid w:val="00EB7E78"/>
    <w:rsid w:val="00EC0301"/>
    <w:rsid w:val="00EC08B5"/>
    <w:rsid w:val="00EC09C6"/>
    <w:rsid w:val="00EC0AC1"/>
    <w:rsid w:val="00EC0EA5"/>
    <w:rsid w:val="00EC1056"/>
    <w:rsid w:val="00EC1470"/>
    <w:rsid w:val="00EC222E"/>
    <w:rsid w:val="00EC2716"/>
    <w:rsid w:val="00EC27F3"/>
    <w:rsid w:val="00EC2D11"/>
    <w:rsid w:val="00EC2DBB"/>
    <w:rsid w:val="00EC358E"/>
    <w:rsid w:val="00EC3FD2"/>
    <w:rsid w:val="00EC4095"/>
    <w:rsid w:val="00EC43B5"/>
    <w:rsid w:val="00EC4537"/>
    <w:rsid w:val="00EC4960"/>
    <w:rsid w:val="00EC4AE3"/>
    <w:rsid w:val="00EC5414"/>
    <w:rsid w:val="00EC54EE"/>
    <w:rsid w:val="00EC59B2"/>
    <w:rsid w:val="00EC5A3B"/>
    <w:rsid w:val="00EC5BC0"/>
    <w:rsid w:val="00EC6424"/>
    <w:rsid w:val="00EC786C"/>
    <w:rsid w:val="00EC7ADD"/>
    <w:rsid w:val="00EC7C26"/>
    <w:rsid w:val="00ED04FE"/>
    <w:rsid w:val="00ED0DD0"/>
    <w:rsid w:val="00ED1122"/>
    <w:rsid w:val="00ED1989"/>
    <w:rsid w:val="00ED21A9"/>
    <w:rsid w:val="00ED28F2"/>
    <w:rsid w:val="00ED3145"/>
    <w:rsid w:val="00ED3309"/>
    <w:rsid w:val="00ED33DC"/>
    <w:rsid w:val="00ED356E"/>
    <w:rsid w:val="00ED3792"/>
    <w:rsid w:val="00ED386A"/>
    <w:rsid w:val="00ED3BDA"/>
    <w:rsid w:val="00ED4A94"/>
    <w:rsid w:val="00ED5A3B"/>
    <w:rsid w:val="00ED5C30"/>
    <w:rsid w:val="00ED5E02"/>
    <w:rsid w:val="00ED5EED"/>
    <w:rsid w:val="00ED612A"/>
    <w:rsid w:val="00ED6846"/>
    <w:rsid w:val="00ED6B1C"/>
    <w:rsid w:val="00ED6CF7"/>
    <w:rsid w:val="00ED6F33"/>
    <w:rsid w:val="00ED7716"/>
    <w:rsid w:val="00ED7737"/>
    <w:rsid w:val="00ED7747"/>
    <w:rsid w:val="00ED77D8"/>
    <w:rsid w:val="00ED7ABC"/>
    <w:rsid w:val="00ED7CF4"/>
    <w:rsid w:val="00ED7FA2"/>
    <w:rsid w:val="00EE0786"/>
    <w:rsid w:val="00EE1B0E"/>
    <w:rsid w:val="00EE22FB"/>
    <w:rsid w:val="00EE2407"/>
    <w:rsid w:val="00EE26AE"/>
    <w:rsid w:val="00EE29C8"/>
    <w:rsid w:val="00EE2A54"/>
    <w:rsid w:val="00EE2FC2"/>
    <w:rsid w:val="00EE3B6B"/>
    <w:rsid w:val="00EE3B88"/>
    <w:rsid w:val="00EE4B75"/>
    <w:rsid w:val="00EE4D34"/>
    <w:rsid w:val="00EE4DBD"/>
    <w:rsid w:val="00EE5E1D"/>
    <w:rsid w:val="00EE6AC6"/>
    <w:rsid w:val="00EE6E26"/>
    <w:rsid w:val="00EE784F"/>
    <w:rsid w:val="00EE7A1D"/>
    <w:rsid w:val="00EE7DBD"/>
    <w:rsid w:val="00EE7E4D"/>
    <w:rsid w:val="00EF0500"/>
    <w:rsid w:val="00EF0553"/>
    <w:rsid w:val="00EF0808"/>
    <w:rsid w:val="00EF1002"/>
    <w:rsid w:val="00EF143F"/>
    <w:rsid w:val="00EF1D3B"/>
    <w:rsid w:val="00EF236B"/>
    <w:rsid w:val="00EF23D8"/>
    <w:rsid w:val="00EF2678"/>
    <w:rsid w:val="00EF2A5A"/>
    <w:rsid w:val="00EF2A87"/>
    <w:rsid w:val="00EF3A74"/>
    <w:rsid w:val="00EF3AE9"/>
    <w:rsid w:val="00EF3EA5"/>
    <w:rsid w:val="00EF49FB"/>
    <w:rsid w:val="00EF55D6"/>
    <w:rsid w:val="00EF644D"/>
    <w:rsid w:val="00EF6BAD"/>
    <w:rsid w:val="00EF6D29"/>
    <w:rsid w:val="00EF7138"/>
    <w:rsid w:val="00EF7E0B"/>
    <w:rsid w:val="00F00725"/>
    <w:rsid w:val="00F00881"/>
    <w:rsid w:val="00F00917"/>
    <w:rsid w:val="00F00B65"/>
    <w:rsid w:val="00F010BB"/>
    <w:rsid w:val="00F012C1"/>
    <w:rsid w:val="00F0175F"/>
    <w:rsid w:val="00F01A41"/>
    <w:rsid w:val="00F01B39"/>
    <w:rsid w:val="00F01B5A"/>
    <w:rsid w:val="00F0276D"/>
    <w:rsid w:val="00F03280"/>
    <w:rsid w:val="00F0362A"/>
    <w:rsid w:val="00F0385C"/>
    <w:rsid w:val="00F03894"/>
    <w:rsid w:val="00F03ABE"/>
    <w:rsid w:val="00F03B69"/>
    <w:rsid w:val="00F04345"/>
    <w:rsid w:val="00F047A4"/>
    <w:rsid w:val="00F04F52"/>
    <w:rsid w:val="00F0510F"/>
    <w:rsid w:val="00F0563F"/>
    <w:rsid w:val="00F064EF"/>
    <w:rsid w:val="00F06558"/>
    <w:rsid w:val="00F06F42"/>
    <w:rsid w:val="00F07122"/>
    <w:rsid w:val="00F074C9"/>
    <w:rsid w:val="00F07C82"/>
    <w:rsid w:val="00F07F5E"/>
    <w:rsid w:val="00F1001E"/>
    <w:rsid w:val="00F1055F"/>
    <w:rsid w:val="00F106BB"/>
    <w:rsid w:val="00F11027"/>
    <w:rsid w:val="00F111BA"/>
    <w:rsid w:val="00F116DD"/>
    <w:rsid w:val="00F11AD3"/>
    <w:rsid w:val="00F11D9F"/>
    <w:rsid w:val="00F11E31"/>
    <w:rsid w:val="00F12C53"/>
    <w:rsid w:val="00F1360C"/>
    <w:rsid w:val="00F13AA1"/>
    <w:rsid w:val="00F13F2A"/>
    <w:rsid w:val="00F14D9E"/>
    <w:rsid w:val="00F15097"/>
    <w:rsid w:val="00F153F8"/>
    <w:rsid w:val="00F15671"/>
    <w:rsid w:val="00F1643E"/>
    <w:rsid w:val="00F16695"/>
    <w:rsid w:val="00F16811"/>
    <w:rsid w:val="00F1733F"/>
    <w:rsid w:val="00F179C0"/>
    <w:rsid w:val="00F2021E"/>
    <w:rsid w:val="00F202E3"/>
    <w:rsid w:val="00F20C6E"/>
    <w:rsid w:val="00F20D6C"/>
    <w:rsid w:val="00F20F03"/>
    <w:rsid w:val="00F2255F"/>
    <w:rsid w:val="00F225CF"/>
    <w:rsid w:val="00F22882"/>
    <w:rsid w:val="00F22985"/>
    <w:rsid w:val="00F22AEF"/>
    <w:rsid w:val="00F22F7A"/>
    <w:rsid w:val="00F2343C"/>
    <w:rsid w:val="00F23CFC"/>
    <w:rsid w:val="00F24076"/>
    <w:rsid w:val="00F240CB"/>
    <w:rsid w:val="00F2492F"/>
    <w:rsid w:val="00F24B16"/>
    <w:rsid w:val="00F2500D"/>
    <w:rsid w:val="00F253C3"/>
    <w:rsid w:val="00F2596D"/>
    <w:rsid w:val="00F25CAA"/>
    <w:rsid w:val="00F26463"/>
    <w:rsid w:val="00F26AD6"/>
    <w:rsid w:val="00F2711C"/>
    <w:rsid w:val="00F27253"/>
    <w:rsid w:val="00F27327"/>
    <w:rsid w:val="00F277E8"/>
    <w:rsid w:val="00F27B04"/>
    <w:rsid w:val="00F27E3D"/>
    <w:rsid w:val="00F27EB2"/>
    <w:rsid w:val="00F301D0"/>
    <w:rsid w:val="00F30574"/>
    <w:rsid w:val="00F3069F"/>
    <w:rsid w:val="00F30C3F"/>
    <w:rsid w:val="00F30C60"/>
    <w:rsid w:val="00F30F38"/>
    <w:rsid w:val="00F311D1"/>
    <w:rsid w:val="00F3158A"/>
    <w:rsid w:val="00F318DB"/>
    <w:rsid w:val="00F3199C"/>
    <w:rsid w:val="00F31F7D"/>
    <w:rsid w:val="00F31FB9"/>
    <w:rsid w:val="00F326F6"/>
    <w:rsid w:val="00F32AFF"/>
    <w:rsid w:val="00F33825"/>
    <w:rsid w:val="00F33A8B"/>
    <w:rsid w:val="00F33D3B"/>
    <w:rsid w:val="00F34A96"/>
    <w:rsid w:val="00F34EBF"/>
    <w:rsid w:val="00F34F05"/>
    <w:rsid w:val="00F356D5"/>
    <w:rsid w:val="00F359A5"/>
    <w:rsid w:val="00F361AE"/>
    <w:rsid w:val="00F36240"/>
    <w:rsid w:val="00F363EB"/>
    <w:rsid w:val="00F365BA"/>
    <w:rsid w:val="00F365DE"/>
    <w:rsid w:val="00F366DA"/>
    <w:rsid w:val="00F367CF"/>
    <w:rsid w:val="00F36D37"/>
    <w:rsid w:val="00F3719A"/>
    <w:rsid w:val="00F379BF"/>
    <w:rsid w:val="00F37EA7"/>
    <w:rsid w:val="00F40505"/>
    <w:rsid w:val="00F40805"/>
    <w:rsid w:val="00F40B93"/>
    <w:rsid w:val="00F40C5E"/>
    <w:rsid w:val="00F40E3E"/>
    <w:rsid w:val="00F4163A"/>
    <w:rsid w:val="00F41873"/>
    <w:rsid w:val="00F419C3"/>
    <w:rsid w:val="00F41D91"/>
    <w:rsid w:val="00F41E2B"/>
    <w:rsid w:val="00F423BE"/>
    <w:rsid w:val="00F424A5"/>
    <w:rsid w:val="00F425EF"/>
    <w:rsid w:val="00F428AC"/>
    <w:rsid w:val="00F42DE9"/>
    <w:rsid w:val="00F42EE3"/>
    <w:rsid w:val="00F43149"/>
    <w:rsid w:val="00F43660"/>
    <w:rsid w:val="00F43888"/>
    <w:rsid w:val="00F43B91"/>
    <w:rsid w:val="00F44542"/>
    <w:rsid w:val="00F448DD"/>
    <w:rsid w:val="00F44D6A"/>
    <w:rsid w:val="00F44DB8"/>
    <w:rsid w:val="00F45760"/>
    <w:rsid w:val="00F45836"/>
    <w:rsid w:val="00F45925"/>
    <w:rsid w:val="00F46BA6"/>
    <w:rsid w:val="00F46C97"/>
    <w:rsid w:val="00F4703E"/>
    <w:rsid w:val="00F4775F"/>
    <w:rsid w:val="00F47C3D"/>
    <w:rsid w:val="00F50781"/>
    <w:rsid w:val="00F50CA3"/>
    <w:rsid w:val="00F517ED"/>
    <w:rsid w:val="00F5195A"/>
    <w:rsid w:val="00F51A7A"/>
    <w:rsid w:val="00F51F3F"/>
    <w:rsid w:val="00F528B5"/>
    <w:rsid w:val="00F528E7"/>
    <w:rsid w:val="00F52C8A"/>
    <w:rsid w:val="00F5352D"/>
    <w:rsid w:val="00F53615"/>
    <w:rsid w:val="00F53A91"/>
    <w:rsid w:val="00F54556"/>
    <w:rsid w:val="00F54783"/>
    <w:rsid w:val="00F547E9"/>
    <w:rsid w:val="00F5494E"/>
    <w:rsid w:val="00F54ABD"/>
    <w:rsid w:val="00F54ABE"/>
    <w:rsid w:val="00F55804"/>
    <w:rsid w:val="00F55F1A"/>
    <w:rsid w:val="00F5629D"/>
    <w:rsid w:val="00F56310"/>
    <w:rsid w:val="00F5684C"/>
    <w:rsid w:val="00F57210"/>
    <w:rsid w:val="00F577FC"/>
    <w:rsid w:val="00F60241"/>
    <w:rsid w:val="00F602F0"/>
    <w:rsid w:val="00F60622"/>
    <w:rsid w:val="00F60C90"/>
    <w:rsid w:val="00F619EE"/>
    <w:rsid w:val="00F61AF8"/>
    <w:rsid w:val="00F61CF5"/>
    <w:rsid w:val="00F61FF9"/>
    <w:rsid w:val="00F62069"/>
    <w:rsid w:val="00F62159"/>
    <w:rsid w:val="00F62A7C"/>
    <w:rsid w:val="00F62B93"/>
    <w:rsid w:val="00F633E5"/>
    <w:rsid w:val="00F63C89"/>
    <w:rsid w:val="00F647EC"/>
    <w:rsid w:val="00F64FAB"/>
    <w:rsid w:val="00F65AC8"/>
    <w:rsid w:val="00F65CEA"/>
    <w:rsid w:val="00F65EED"/>
    <w:rsid w:val="00F65F15"/>
    <w:rsid w:val="00F66443"/>
    <w:rsid w:val="00F675EA"/>
    <w:rsid w:val="00F7074A"/>
    <w:rsid w:val="00F70AD6"/>
    <w:rsid w:val="00F710A5"/>
    <w:rsid w:val="00F71687"/>
    <w:rsid w:val="00F71708"/>
    <w:rsid w:val="00F717C1"/>
    <w:rsid w:val="00F71AAE"/>
    <w:rsid w:val="00F71CDB"/>
    <w:rsid w:val="00F722E7"/>
    <w:rsid w:val="00F725D3"/>
    <w:rsid w:val="00F7281E"/>
    <w:rsid w:val="00F72C1A"/>
    <w:rsid w:val="00F72C3D"/>
    <w:rsid w:val="00F737AB"/>
    <w:rsid w:val="00F73992"/>
    <w:rsid w:val="00F7406A"/>
    <w:rsid w:val="00F74216"/>
    <w:rsid w:val="00F74F0F"/>
    <w:rsid w:val="00F75731"/>
    <w:rsid w:val="00F75841"/>
    <w:rsid w:val="00F76333"/>
    <w:rsid w:val="00F77100"/>
    <w:rsid w:val="00F77718"/>
    <w:rsid w:val="00F8090F"/>
    <w:rsid w:val="00F80B4B"/>
    <w:rsid w:val="00F8139A"/>
    <w:rsid w:val="00F82AAE"/>
    <w:rsid w:val="00F834BE"/>
    <w:rsid w:val="00F838A9"/>
    <w:rsid w:val="00F849E3"/>
    <w:rsid w:val="00F84B4E"/>
    <w:rsid w:val="00F84C44"/>
    <w:rsid w:val="00F851B7"/>
    <w:rsid w:val="00F8566C"/>
    <w:rsid w:val="00F858D4"/>
    <w:rsid w:val="00F85C65"/>
    <w:rsid w:val="00F860EB"/>
    <w:rsid w:val="00F868B6"/>
    <w:rsid w:val="00F86968"/>
    <w:rsid w:val="00F86E42"/>
    <w:rsid w:val="00F87354"/>
    <w:rsid w:val="00F876E6"/>
    <w:rsid w:val="00F87825"/>
    <w:rsid w:val="00F87838"/>
    <w:rsid w:val="00F879E8"/>
    <w:rsid w:val="00F87FCE"/>
    <w:rsid w:val="00F9008B"/>
    <w:rsid w:val="00F909C7"/>
    <w:rsid w:val="00F91669"/>
    <w:rsid w:val="00F916DE"/>
    <w:rsid w:val="00F9184F"/>
    <w:rsid w:val="00F91943"/>
    <w:rsid w:val="00F91C08"/>
    <w:rsid w:val="00F9231D"/>
    <w:rsid w:val="00F92A66"/>
    <w:rsid w:val="00F931CF"/>
    <w:rsid w:val="00F93A31"/>
    <w:rsid w:val="00F93D6E"/>
    <w:rsid w:val="00F9423D"/>
    <w:rsid w:val="00F94609"/>
    <w:rsid w:val="00F95182"/>
    <w:rsid w:val="00F95625"/>
    <w:rsid w:val="00F957D2"/>
    <w:rsid w:val="00F95D94"/>
    <w:rsid w:val="00F96F86"/>
    <w:rsid w:val="00F977ED"/>
    <w:rsid w:val="00FA02B8"/>
    <w:rsid w:val="00FA0980"/>
    <w:rsid w:val="00FA1028"/>
    <w:rsid w:val="00FA157E"/>
    <w:rsid w:val="00FA181F"/>
    <w:rsid w:val="00FA1C1F"/>
    <w:rsid w:val="00FA1E82"/>
    <w:rsid w:val="00FA2137"/>
    <w:rsid w:val="00FA272D"/>
    <w:rsid w:val="00FA338D"/>
    <w:rsid w:val="00FA34A2"/>
    <w:rsid w:val="00FA3742"/>
    <w:rsid w:val="00FA3837"/>
    <w:rsid w:val="00FA39FC"/>
    <w:rsid w:val="00FA44B4"/>
    <w:rsid w:val="00FA4538"/>
    <w:rsid w:val="00FA4998"/>
    <w:rsid w:val="00FA4DC2"/>
    <w:rsid w:val="00FA5629"/>
    <w:rsid w:val="00FA57D1"/>
    <w:rsid w:val="00FA67E3"/>
    <w:rsid w:val="00FA7157"/>
    <w:rsid w:val="00FA73A6"/>
    <w:rsid w:val="00FA7698"/>
    <w:rsid w:val="00FA78C2"/>
    <w:rsid w:val="00FA7A2D"/>
    <w:rsid w:val="00FA7B4F"/>
    <w:rsid w:val="00FA7DA6"/>
    <w:rsid w:val="00FB02F8"/>
    <w:rsid w:val="00FB06E7"/>
    <w:rsid w:val="00FB0822"/>
    <w:rsid w:val="00FB0C65"/>
    <w:rsid w:val="00FB1093"/>
    <w:rsid w:val="00FB13A0"/>
    <w:rsid w:val="00FB227E"/>
    <w:rsid w:val="00FB267D"/>
    <w:rsid w:val="00FB29E5"/>
    <w:rsid w:val="00FB2A18"/>
    <w:rsid w:val="00FB2BF4"/>
    <w:rsid w:val="00FB2C8D"/>
    <w:rsid w:val="00FB2DC6"/>
    <w:rsid w:val="00FB4926"/>
    <w:rsid w:val="00FB59D4"/>
    <w:rsid w:val="00FB5E81"/>
    <w:rsid w:val="00FB6E6C"/>
    <w:rsid w:val="00FB71B0"/>
    <w:rsid w:val="00FB7ABA"/>
    <w:rsid w:val="00FB7C21"/>
    <w:rsid w:val="00FB7C46"/>
    <w:rsid w:val="00FC04E0"/>
    <w:rsid w:val="00FC0D98"/>
    <w:rsid w:val="00FC0E2F"/>
    <w:rsid w:val="00FC1042"/>
    <w:rsid w:val="00FC11C6"/>
    <w:rsid w:val="00FC1370"/>
    <w:rsid w:val="00FC1634"/>
    <w:rsid w:val="00FC17D8"/>
    <w:rsid w:val="00FC279A"/>
    <w:rsid w:val="00FC30AB"/>
    <w:rsid w:val="00FC324D"/>
    <w:rsid w:val="00FC39A1"/>
    <w:rsid w:val="00FC3BC3"/>
    <w:rsid w:val="00FC3E47"/>
    <w:rsid w:val="00FC4B53"/>
    <w:rsid w:val="00FC4BAE"/>
    <w:rsid w:val="00FC4F75"/>
    <w:rsid w:val="00FC5160"/>
    <w:rsid w:val="00FC5A36"/>
    <w:rsid w:val="00FC6353"/>
    <w:rsid w:val="00FC69CF"/>
    <w:rsid w:val="00FC6B0B"/>
    <w:rsid w:val="00FC6C22"/>
    <w:rsid w:val="00FC713B"/>
    <w:rsid w:val="00FC7862"/>
    <w:rsid w:val="00FC79D5"/>
    <w:rsid w:val="00FC7B35"/>
    <w:rsid w:val="00FC7B53"/>
    <w:rsid w:val="00FC7BD8"/>
    <w:rsid w:val="00FD0177"/>
    <w:rsid w:val="00FD0AE7"/>
    <w:rsid w:val="00FD0B44"/>
    <w:rsid w:val="00FD0F70"/>
    <w:rsid w:val="00FD1312"/>
    <w:rsid w:val="00FD2315"/>
    <w:rsid w:val="00FD29A7"/>
    <w:rsid w:val="00FD2B15"/>
    <w:rsid w:val="00FD3092"/>
    <w:rsid w:val="00FD3368"/>
    <w:rsid w:val="00FD412E"/>
    <w:rsid w:val="00FD420F"/>
    <w:rsid w:val="00FD4339"/>
    <w:rsid w:val="00FD4B0C"/>
    <w:rsid w:val="00FD4F2F"/>
    <w:rsid w:val="00FD51F7"/>
    <w:rsid w:val="00FD5258"/>
    <w:rsid w:val="00FD5602"/>
    <w:rsid w:val="00FD5661"/>
    <w:rsid w:val="00FD5A2A"/>
    <w:rsid w:val="00FD5AE2"/>
    <w:rsid w:val="00FD62B4"/>
    <w:rsid w:val="00FD7142"/>
    <w:rsid w:val="00FD750F"/>
    <w:rsid w:val="00FE011C"/>
    <w:rsid w:val="00FE07DC"/>
    <w:rsid w:val="00FE08FB"/>
    <w:rsid w:val="00FE1116"/>
    <w:rsid w:val="00FE2075"/>
    <w:rsid w:val="00FE2080"/>
    <w:rsid w:val="00FE27B9"/>
    <w:rsid w:val="00FE2E37"/>
    <w:rsid w:val="00FE3640"/>
    <w:rsid w:val="00FE3780"/>
    <w:rsid w:val="00FE3954"/>
    <w:rsid w:val="00FE3CF7"/>
    <w:rsid w:val="00FE3E50"/>
    <w:rsid w:val="00FE4071"/>
    <w:rsid w:val="00FE42E3"/>
    <w:rsid w:val="00FE4ECD"/>
    <w:rsid w:val="00FE52B7"/>
    <w:rsid w:val="00FE53C5"/>
    <w:rsid w:val="00FE56A8"/>
    <w:rsid w:val="00FE5807"/>
    <w:rsid w:val="00FE5C39"/>
    <w:rsid w:val="00FE5C57"/>
    <w:rsid w:val="00FE624E"/>
    <w:rsid w:val="00FE6415"/>
    <w:rsid w:val="00FE69E7"/>
    <w:rsid w:val="00FE6BB8"/>
    <w:rsid w:val="00FE6E76"/>
    <w:rsid w:val="00FE6F5A"/>
    <w:rsid w:val="00FF027B"/>
    <w:rsid w:val="00FF1174"/>
    <w:rsid w:val="00FF165A"/>
    <w:rsid w:val="00FF1B72"/>
    <w:rsid w:val="00FF1CF1"/>
    <w:rsid w:val="00FF1F4C"/>
    <w:rsid w:val="00FF228F"/>
    <w:rsid w:val="00FF324B"/>
    <w:rsid w:val="00FF35DC"/>
    <w:rsid w:val="00FF3A6A"/>
    <w:rsid w:val="00FF3C7A"/>
    <w:rsid w:val="00FF3E09"/>
    <w:rsid w:val="00FF411C"/>
    <w:rsid w:val="00FF44C6"/>
    <w:rsid w:val="00FF4B2E"/>
    <w:rsid w:val="00FF4E4B"/>
    <w:rsid w:val="00FF4E4E"/>
    <w:rsid w:val="00FF5049"/>
    <w:rsid w:val="00FF519C"/>
    <w:rsid w:val="00FF5D1F"/>
    <w:rsid w:val="00FF5F95"/>
    <w:rsid w:val="00FF6126"/>
    <w:rsid w:val="00FF61F5"/>
    <w:rsid w:val="00FF62AA"/>
    <w:rsid w:val="00FF64D7"/>
    <w:rsid w:val="00FF6B6C"/>
    <w:rsid w:val="00FF6DD4"/>
    <w:rsid w:val="00FF7634"/>
    <w:rsid w:val="017E3F71"/>
    <w:rsid w:val="018D1D97"/>
    <w:rsid w:val="01AA2C10"/>
    <w:rsid w:val="032A2ABD"/>
    <w:rsid w:val="037738D8"/>
    <w:rsid w:val="03877E55"/>
    <w:rsid w:val="03CA2A2C"/>
    <w:rsid w:val="046E4522"/>
    <w:rsid w:val="04B62D9A"/>
    <w:rsid w:val="055A2489"/>
    <w:rsid w:val="06680D11"/>
    <w:rsid w:val="068955F4"/>
    <w:rsid w:val="06A83CF9"/>
    <w:rsid w:val="06CA68C8"/>
    <w:rsid w:val="06E20D89"/>
    <w:rsid w:val="075F0692"/>
    <w:rsid w:val="07D505B1"/>
    <w:rsid w:val="07DB054A"/>
    <w:rsid w:val="083D2AF4"/>
    <w:rsid w:val="08875D5B"/>
    <w:rsid w:val="08ED7EE2"/>
    <w:rsid w:val="08F53B23"/>
    <w:rsid w:val="090C43E3"/>
    <w:rsid w:val="092D144C"/>
    <w:rsid w:val="09F77ECA"/>
    <w:rsid w:val="0A053C89"/>
    <w:rsid w:val="0A070656"/>
    <w:rsid w:val="0A741B02"/>
    <w:rsid w:val="0A913ED8"/>
    <w:rsid w:val="0A9468B5"/>
    <w:rsid w:val="0ADA417B"/>
    <w:rsid w:val="0ADA71BF"/>
    <w:rsid w:val="0B0A4727"/>
    <w:rsid w:val="0B1B6879"/>
    <w:rsid w:val="0B24171E"/>
    <w:rsid w:val="0B4175AD"/>
    <w:rsid w:val="0B492353"/>
    <w:rsid w:val="0B5C3243"/>
    <w:rsid w:val="0BAD59A4"/>
    <w:rsid w:val="0BFC043E"/>
    <w:rsid w:val="0C466B45"/>
    <w:rsid w:val="0C47234A"/>
    <w:rsid w:val="0D584403"/>
    <w:rsid w:val="0D933D59"/>
    <w:rsid w:val="0DEE7765"/>
    <w:rsid w:val="0E6C0137"/>
    <w:rsid w:val="0F1B41BB"/>
    <w:rsid w:val="0F2B5D1F"/>
    <w:rsid w:val="0F4E5194"/>
    <w:rsid w:val="100F2A62"/>
    <w:rsid w:val="101C0A97"/>
    <w:rsid w:val="10945B96"/>
    <w:rsid w:val="10CE2DE0"/>
    <w:rsid w:val="10F67974"/>
    <w:rsid w:val="11127111"/>
    <w:rsid w:val="118E494C"/>
    <w:rsid w:val="121943D9"/>
    <w:rsid w:val="12685FCD"/>
    <w:rsid w:val="136A2066"/>
    <w:rsid w:val="14083570"/>
    <w:rsid w:val="146F2C7A"/>
    <w:rsid w:val="14757345"/>
    <w:rsid w:val="147D7832"/>
    <w:rsid w:val="149E4992"/>
    <w:rsid w:val="14E8498B"/>
    <w:rsid w:val="15262A3E"/>
    <w:rsid w:val="15FB06EE"/>
    <w:rsid w:val="164666A6"/>
    <w:rsid w:val="16A1573D"/>
    <w:rsid w:val="16A50D85"/>
    <w:rsid w:val="16B965DF"/>
    <w:rsid w:val="16E564EA"/>
    <w:rsid w:val="16FD421E"/>
    <w:rsid w:val="170E5D26"/>
    <w:rsid w:val="1714006B"/>
    <w:rsid w:val="172E0C15"/>
    <w:rsid w:val="17BE59A2"/>
    <w:rsid w:val="18077515"/>
    <w:rsid w:val="18185849"/>
    <w:rsid w:val="186B3049"/>
    <w:rsid w:val="18CA5D94"/>
    <w:rsid w:val="193275A8"/>
    <w:rsid w:val="19C57049"/>
    <w:rsid w:val="1A1A55E6"/>
    <w:rsid w:val="1A442DE9"/>
    <w:rsid w:val="1A5326BB"/>
    <w:rsid w:val="1AC92C2E"/>
    <w:rsid w:val="1BC305D3"/>
    <w:rsid w:val="1C961170"/>
    <w:rsid w:val="1CD55680"/>
    <w:rsid w:val="1D321E13"/>
    <w:rsid w:val="1DBC044E"/>
    <w:rsid w:val="1DF2017A"/>
    <w:rsid w:val="1DF86A72"/>
    <w:rsid w:val="1E7F3055"/>
    <w:rsid w:val="1E86081F"/>
    <w:rsid w:val="1F4849CA"/>
    <w:rsid w:val="1F4D2C02"/>
    <w:rsid w:val="1F873477"/>
    <w:rsid w:val="1FC8556F"/>
    <w:rsid w:val="1FCA144E"/>
    <w:rsid w:val="2000527E"/>
    <w:rsid w:val="2007130A"/>
    <w:rsid w:val="20EB1A8B"/>
    <w:rsid w:val="21455F84"/>
    <w:rsid w:val="218833C6"/>
    <w:rsid w:val="225C13B1"/>
    <w:rsid w:val="22AC524A"/>
    <w:rsid w:val="22B37C7D"/>
    <w:rsid w:val="239D2B5A"/>
    <w:rsid w:val="242258D5"/>
    <w:rsid w:val="24977600"/>
    <w:rsid w:val="24B831E2"/>
    <w:rsid w:val="250B120F"/>
    <w:rsid w:val="252C7220"/>
    <w:rsid w:val="25490A12"/>
    <w:rsid w:val="259869A0"/>
    <w:rsid w:val="259B05FC"/>
    <w:rsid w:val="25A704A9"/>
    <w:rsid w:val="26071ED5"/>
    <w:rsid w:val="26226B65"/>
    <w:rsid w:val="26A50560"/>
    <w:rsid w:val="26F966C2"/>
    <w:rsid w:val="270F55EE"/>
    <w:rsid w:val="272F1A96"/>
    <w:rsid w:val="278B7429"/>
    <w:rsid w:val="279544FE"/>
    <w:rsid w:val="27F52753"/>
    <w:rsid w:val="28391D97"/>
    <w:rsid w:val="29064F88"/>
    <w:rsid w:val="290E5D31"/>
    <w:rsid w:val="297B0CF7"/>
    <w:rsid w:val="297C13B4"/>
    <w:rsid w:val="29D308D1"/>
    <w:rsid w:val="2A7F4CC3"/>
    <w:rsid w:val="2B0B32F8"/>
    <w:rsid w:val="2B822DA1"/>
    <w:rsid w:val="2BE52500"/>
    <w:rsid w:val="2C4E0297"/>
    <w:rsid w:val="2C541884"/>
    <w:rsid w:val="2D7D0B30"/>
    <w:rsid w:val="2DC23394"/>
    <w:rsid w:val="2EA133AF"/>
    <w:rsid w:val="2EDD2DD9"/>
    <w:rsid w:val="2F1846F6"/>
    <w:rsid w:val="2F3650DA"/>
    <w:rsid w:val="2F3C7955"/>
    <w:rsid w:val="2F3F2638"/>
    <w:rsid w:val="2F723467"/>
    <w:rsid w:val="2FD77E36"/>
    <w:rsid w:val="2FE76554"/>
    <w:rsid w:val="306835D0"/>
    <w:rsid w:val="30B91060"/>
    <w:rsid w:val="316311C9"/>
    <w:rsid w:val="31751048"/>
    <w:rsid w:val="328E6547"/>
    <w:rsid w:val="32A0292F"/>
    <w:rsid w:val="32A02B99"/>
    <w:rsid w:val="3310712F"/>
    <w:rsid w:val="337D5F7B"/>
    <w:rsid w:val="33D414D0"/>
    <w:rsid w:val="341B2B8A"/>
    <w:rsid w:val="3439368F"/>
    <w:rsid w:val="34603E67"/>
    <w:rsid w:val="34D10439"/>
    <w:rsid w:val="3502693D"/>
    <w:rsid w:val="35594813"/>
    <w:rsid w:val="357E33BA"/>
    <w:rsid w:val="35CD358A"/>
    <w:rsid w:val="35ED5087"/>
    <w:rsid w:val="360A7CD9"/>
    <w:rsid w:val="36232DB0"/>
    <w:rsid w:val="36703B92"/>
    <w:rsid w:val="370F6463"/>
    <w:rsid w:val="372029A7"/>
    <w:rsid w:val="37D06E6E"/>
    <w:rsid w:val="37FB348C"/>
    <w:rsid w:val="380534F8"/>
    <w:rsid w:val="380A6711"/>
    <w:rsid w:val="382B0567"/>
    <w:rsid w:val="38521813"/>
    <w:rsid w:val="385F359C"/>
    <w:rsid w:val="38D749BC"/>
    <w:rsid w:val="394D6D52"/>
    <w:rsid w:val="39654969"/>
    <w:rsid w:val="39BC64FE"/>
    <w:rsid w:val="3A514476"/>
    <w:rsid w:val="3AB70FD3"/>
    <w:rsid w:val="3BA80B19"/>
    <w:rsid w:val="3BF331BE"/>
    <w:rsid w:val="3C2D1062"/>
    <w:rsid w:val="3C4240EC"/>
    <w:rsid w:val="3C634773"/>
    <w:rsid w:val="3C9B0CDC"/>
    <w:rsid w:val="3CF4186F"/>
    <w:rsid w:val="3D206849"/>
    <w:rsid w:val="3D3D6D72"/>
    <w:rsid w:val="3D711B40"/>
    <w:rsid w:val="3E1F46CA"/>
    <w:rsid w:val="3E46558E"/>
    <w:rsid w:val="3E800AA6"/>
    <w:rsid w:val="3E952D78"/>
    <w:rsid w:val="3F3A1FEB"/>
    <w:rsid w:val="3FD95FBE"/>
    <w:rsid w:val="403D5016"/>
    <w:rsid w:val="40436D96"/>
    <w:rsid w:val="405C7B91"/>
    <w:rsid w:val="407B6E25"/>
    <w:rsid w:val="40A67243"/>
    <w:rsid w:val="40EE09AE"/>
    <w:rsid w:val="4151103E"/>
    <w:rsid w:val="41523008"/>
    <w:rsid w:val="42253D73"/>
    <w:rsid w:val="426B2108"/>
    <w:rsid w:val="43170066"/>
    <w:rsid w:val="43A05284"/>
    <w:rsid w:val="44592171"/>
    <w:rsid w:val="44E4602A"/>
    <w:rsid w:val="45B80788"/>
    <w:rsid w:val="465167EF"/>
    <w:rsid w:val="472460C4"/>
    <w:rsid w:val="476A259C"/>
    <w:rsid w:val="4774745E"/>
    <w:rsid w:val="479A3013"/>
    <w:rsid w:val="47E9061B"/>
    <w:rsid w:val="484245C7"/>
    <w:rsid w:val="488D7CFE"/>
    <w:rsid w:val="48CC3E16"/>
    <w:rsid w:val="49240FE6"/>
    <w:rsid w:val="49323FD7"/>
    <w:rsid w:val="4991797D"/>
    <w:rsid w:val="4A161077"/>
    <w:rsid w:val="4A771425"/>
    <w:rsid w:val="4A875290"/>
    <w:rsid w:val="4AD359CF"/>
    <w:rsid w:val="4BE95365"/>
    <w:rsid w:val="4C12409B"/>
    <w:rsid w:val="4D0F0BC0"/>
    <w:rsid w:val="4D7B490D"/>
    <w:rsid w:val="4D9B7742"/>
    <w:rsid w:val="4D9F1A6B"/>
    <w:rsid w:val="4DD0778F"/>
    <w:rsid w:val="4DFE4570"/>
    <w:rsid w:val="4E0903B4"/>
    <w:rsid w:val="4E9608C0"/>
    <w:rsid w:val="4E9B14FE"/>
    <w:rsid w:val="4EAC5711"/>
    <w:rsid w:val="4EC518F9"/>
    <w:rsid w:val="4F18673A"/>
    <w:rsid w:val="50150914"/>
    <w:rsid w:val="50904926"/>
    <w:rsid w:val="5104671C"/>
    <w:rsid w:val="51B2004B"/>
    <w:rsid w:val="51BA2C30"/>
    <w:rsid w:val="522F3308"/>
    <w:rsid w:val="52904232"/>
    <w:rsid w:val="5311062D"/>
    <w:rsid w:val="5355037D"/>
    <w:rsid w:val="5408251D"/>
    <w:rsid w:val="54556AEA"/>
    <w:rsid w:val="55131A57"/>
    <w:rsid w:val="55622629"/>
    <w:rsid w:val="55AB2C15"/>
    <w:rsid w:val="55AB3C2F"/>
    <w:rsid w:val="55BE5B47"/>
    <w:rsid w:val="561D378D"/>
    <w:rsid w:val="56D4209E"/>
    <w:rsid w:val="56EE0960"/>
    <w:rsid w:val="56FB02C1"/>
    <w:rsid w:val="57522818"/>
    <w:rsid w:val="577D71D5"/>
    <w:rsid w:val="589B369A"/>
    <w:rsid w:val="58DE3314"/>
    <w:rsid w:val="597636CA"/>
    <w:rsid w:val="597E4543"/>
    <w:rsid w:val="59BB4B23"/>
    <w:rsid w:val="59D9433B"/>
    <w:rsid w:val="5A105AE3"/>
    <w:rsid w:val="5A3A2B60"/>
    <w:rsid w:val="5A3A2DDD"/>
    <w:rsid w:val="5A3C2F83"/>
    <w:rsid w:val="5A612639"/>
    <w:rsid w:val="5ACA36EA"/>
    <w:rsid w:val="5B83329D"/>
    <w:rsid w:val="5BAF1B51"/>
    <w:rsid w:val="5BF449CD"/>
    <w:rsid w:val="5BF918A2"/>
    <w:rsid w:val="5BF91DC2"/>
    <w:rsid w:val="5C384ED0"/>
    <w:rsid w:val="5D101A46"/>
    <w:rsid w:val="5F2D0321"/>
    <w:rsid w:val="613443B2"/>
    <w:rsid w:val="62093465"/>
    <w:rsid w:val="621C778E"/>
    <w:rsid w:val="6249492C"/>
    <w:rsid w:val="62B8336A"/>
    <w:rsid w:val="631A7FA3"/>
    <w:rsid w:val="635F5CFB"/>
    <w:rsid w:val="63752C3C"/>
    <w:rsid w:val="63E340FD"/>
    <w:rsid w:val="64337579"/>
    <w:rsid w:val="64441196"/>
    <w:rsid w:val="648B53C8"/>
    <w:rsid w:val="649E5009"/>
    <w:rsid w:val="64C6394E"/>
    <w:rsid w:val="64CB7E2F"/>
    <w:rsid w:val="64D35E63"/>
    <w:rsid w:val="65091B75"/>
    <w:rsid w:val="651A14B6"/>
    <w:rsid w:val="6568774A"/>
    <w:rsid w:val="65BC6440"/>
    <w:rsid w:val="65C36E7F"/>
    <w:rsid w:val="65D21A26"/>
    <w:rsid w:val="66303069"/>
    <w:rsid w:val="663B7430"/>
    <w:rsid w:val="665477F1"/>
    <w:rsid w:val="66EC51E2"/>
    <w:rsid w:val="66FE3B4E"/>
    <w:rsid w:val="670D6F06"/>
    <w:rsid w:val="671E1CA4"/>
    <w:rsid w:val="672A0BC3"/>
    <w:rsid w:val="67672ABA"/>
    <w:rsid w:val="67917B37"/>
    <w:rsid w:val="68033CB4"/>
    <w:rsid w:val="687775B2"/>
    <w:rsid w:val="69514EFE"/>
    <w:rsid w:val="696D194E"/>
    <w:rsid w:val="6980169A"/>
    <w:rsid w:val="69F9103F"/>
    <w:rsid w:val="6A125484"/>
    <w:rsid w:val="6A1B14A7"/>
    <w:rsid w:val="6B241A17"/>
    <w:rsid w:val="6B2D3DCF"/>
    <w:rsid w:val="6B482E5E"/>
    <w:rsid w:val="6B7220E6"/>
    <w:rsid w:val="6BA40927"/>
    <w:rsid w:val="6BE75F78"/>
    <w:rsid w:val="6C5042C3"/>
    <w:rsid w:val="6CBA26D7"/>
    <w:rsid w:val="6D54588F"/>
    <w:rsid w:val="6D637130"/>
    <w:rsid w:val="6DEA78AA"/>
    <w:rsid w:val="6E1148C4"/>
    <w:rsid w:val="6E914282"/>
    <w:rsid w:val="6E9C0F6F"/>
    <w:rsid w:val="6F0E4EC3"/>
    <w:rsid w:val="70557737"/>
    <w:rsid w:val="706D27E8"/>
    <w:rsid w:val="709A3F00"/>
    <w:rsid w:val="710D5505"/>
    <w:rsid w:val="71AD7318"/>
    <w:rsid w:val="726D70E7"/>
    <w:rsid w:val="72A63D8F"/>
    <w:rsid w:val="737B4721"/>
    <w:rsid w:val="73A330CC"/>
    <w:rsid w:val="74687E72"/>
    <w:rsid w:val="747D74F0"/>
    <w:rsid w:val="749E7229"/>
    <w:rsid w:val="74C31ECB"/>
    <w:rsid w:val="75167F24"/>
    <w:rsid w:val="75921E1B"/>
    <w:rsid w:val="75942919"/>
    <w:rsid w:val="76794BE0"/>
    <w:rsid w:val="770D0CF0"/>
    <w:rsid w:val="77456BDF"/>
    <w:rsid w:val="78181816"/>
    <w:rsid w:val="785A214E"/>
    <w:rsid w:val="7903327E"/>
    <w:rsid w:val="794674FD"/>
    <w:rsid w:val="79492020"/>
    <w:rsid w:val="79747548"/>
    <w:rsid w:val="79B50E56"/>
    <w:rsid w:val="79DB68D9"/>
    <w:rsid w:val="79F41A84"/>
    <w:rsid w:val="7A030D3D"/>
    <w:rsid w:val="7A036672"/>
    <w:rsid w:val="7A666C08"/>
    <w:rsid w:val="7A977966"/>
    <w:rsid w:val="7AA37E55"/>
    <w:rsid w:val="7AAA36FF"/>
    <w:rsid w:val="7B2E3CAD"/>
    <w:rsid w:val="7B413BF7"/>
    <w:rsid w:val="7B9F061D"/>
    <w:rsid w:val="7BB0282A"/>
    <w:rsid w:val="7C7930B3"/>
    <w:rsid w:val="7C9C4E59"/>
    <w:rsid w:val="7DDF77F4"/>
    <w:rsid w:val="7E092C14"/>
    <w:rsid w:val="7E2F1D63"/>
    <w:rsid w:val="7E8779A3"/>
    <w:rsid w:val="7EAA45DE"/>
    <w:rsid w:val="7EE43134"/>
    <w:rsid w:val="7F482401"/>
    <w:rsid w:val="7FF54CA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1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67"/>
    <w:autoRedefine/>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68"/>
    <w:autoRedefine/>
    <w:qFormat/>
    <w:uiPriority w:val="0"/>
    <w:pPr>
      <w:keepNext/>
      <w:keepLines/>
      <w:spacing w:before="260" w:after="260" w:line="416" w:lineRule="auto"/>
      <w:outlineLvl w:val="1"/>
    </w:pPr>
    <w:rPr>
      <w:rFonts w:ascii="Arial" w:hAnsi="Arial" w:eastAsia="黑体"/>
      <w:b/>
      <w:bCs/>
      <w:kern w:val="0"/>
      <w:sz w:val="32"/>
      <w:szCs w:val="32"/>
    </w:rPr>
  </w:style>
  <w:style w:type="paragraph" w:styleId="6">
    <w:name w:val="heading 3"/>
    <w:basedOn w:val="1"/>
    <w:next w:val="1"/>
    <w:link w:val="69"/>
    <w:autoRedefine/>
    <w:qFormat/>
    <w:uiPriority w:val="0"/>
    <w:pPr>
      <w:keepNext/>
      <w:keepLines/>
      <w:spacing w:before="260" w:after="260" w:line="416" w:lineRule="auto"/>
      <w:outlineLvl w:val="2"/>
    </w:pPr>
    <w:rPr>
      <w:b/>
      <w:bCs/>
      <w:kern w:val="0"/>
      <w:sz w:val="32"/>
      <w:szCs w:val="32"/>
    </w:rPr>
  </w:style>
  <w:style w:type="paragraph" w:styleId="7">
    <w:name w:val="heading 4"/>
    <w:basedOn w:val="1"/>
    <w:next w:val="1"/>
    <w:link w:val="93"/>
    <w:autoRedefine/>
    <w:qFormat/>
    <w:uiPriority w:val="10"/>
    <w:pPr>
      <w:keepNext/>
      <w:keepLines/>
      <w:spacing w:before="280" w:after="290" w:line="376" w:lineRule="auto"/>
      <w:outlineLvl w:val="3"/>
    </w:pPr>
    <w:rPr>
      <w:rFonts w:ascii="Calibri Light" w:hAnsi="Calibri Light"/>
      <w:b/>
      <w:bCs/>
      <w:sz w:val="28"/>
      <w:szCs w:val="28"/>
    </w:rPr>
  </w:style>
  <w:style w:type="paragraph" w:styleId="8">
    <w:name w:val="heading 5"/>
    <w:basedOn w:val="1"/>
    <w:next w:val="9"/>
    <w:link w:val="71"/>
    <w:autoRedefine/>
    <w:qFormat/>
    <w:uiPriority w:val="0"/>
    <w:pPr>
      <w:keepNext/>
      <w:keepLines/>
      <w:numPr>
        <w:ilvl w:val="4"/>
        <w:numId w:val="1"/>
      </w:numPr>
      <w:spacing w:before="280" w:after="290" w:line="376" w:lineRule="auto"/>
      <w:outlineLvl w:val="4"/>
    </w:pPr>
    <w:rPr>
      <w:b/>
      <w:sz w:val="28"/>
    </w:rPr>
  </w:style>
  <w:style w:type="paragraph" w:styleId="10">
    <w:name w:val="heading 6"/>
    <w:basedOn w:val="1"/>
    <w:next w:val="9"/>
    <w:link w:val="72"/>
    <w:autoRedefine/>
    <w:qFormat/>
    <w:uiPriority w:val="0"/>
    <w:pPr>
      <w:keepNext/>
      <w:keepLines/>
      <w:numPr>
        <w:ilvl w:val="5"/>
        <w:numId w:val="1"/>
      </w:numPr>
      <w:spacing w:before="240" w:after="64" w:line="320" w:lineRule="auto"/>
      <w:outlineLvl w:val="5"/>
    </w:pPr>
    <w:rPr>
      <w:rFonts w:ascii="Arial" w:hAnsi="Arial" w:eastAsia="黑体"/>
      <w:b/>
      <w:sz w:val="24"/>
    </w:rPr>
  </w:style>
  <w:style w:type="paragraph" w:styleId="11">
    <w:name w:val="heading 7"/>
    <w:basedOn w:val="1"/>
    <w:next w:val="9"/>
    <w:link w:val="73"/>
    <w:autoRedefine/>
    <w:qFormat/>
    <w:uiPriority w:val="0"/>
    <w:pPr>
      <w:keepNext/>
      <w:keepLines/>
      <w:numPr>
        <w:ilvl w:val="6"/>
        <w:numId w:val="1"/>
      </w:numPr>
      <w:spacing w:before="240" w:after="64" w:line="320" w:lineRule="auto"/>
      <w:outlineLvl w:val="6"/>
    </w:pPr>
    <w:rPr>
      <w:b/>
      <w:sz w:val="24"/>
    </w:rPr>
  </w:style>
  <w:style w:type="paragraph" w:styleId="12">
    <w:name w:val="heading 8"/>
    <w:basedOn w:val="1"/>
    <w:next w:val="9"/>
    <w:link w:val="74"/>
    <w:autoRedefine/>
    <w:qFormat/>
    <w:uiPriority w:val="0"/>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9"/>
    <w:link w:val="75"/>
    <w:autoRedefine/>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autoRedefine/>
    <w:unhideWhenUsed/>
    <w:qFormat/>
    <w:uiPriority w:val="1"/>
  </w:style>
  <w:style w:type="table" w:default="1" w:styleId="48">
    <w:name w:val="Normal Table"/>
    <w:autoRedefine/>
    <w:unhideWhenUsed/>
    <w:qFormat/>
    <w:uiPriority w:val="99"/>
    <w:tblPr>
      <w:tblCellMar>
        <w:top w:w="0" w:type="dxa"/>
        <w:left w:w="108" w:type="dxa"/>
        <w:bottom w:w="0" w:type="dxa"/>
        <w:right w:w="108" w:type="dxa"/>
      </w:tblCellMar>
    </w:tblPr>
  </w:style>
  <w:style w:type="paragraph" w:customStyle="1" w:styleId="2">
    <w:name w:val="表格文字"/>
    <w:basedOn w:val="3"/>
    <w:link w:val="130"/>
    <w:autoRedefine/>
    <w:qFormat/>
    <w:uiPriority w:val="99"/>
    <w:pPr>
      <w:spacing w:before="25" w:after="25"/>
      <w:jc w:val="left"/>
    </w:pPr>
    <w:rPr>
      <w:bCs/>
      <w:spacing w:val="10"/>
      <w:kern w:val="0"/>
      <w:sz w:val="24"/>
      <w:szCs w:val="20"/>
    </w:rPr>
  </w:style>
  <w:style w:type="paragraph" w:customStyle="1" w:styleId="3">
    <w:name w:val="正文_0"/>
    <w:next w:val="1"/>
    <w:qFormat/>
    <w:uiPriority w:val="0"/>
    <w:pPr>
      <w:widowControl w:val="0"/>
      <w:jc w:val="both"/>
    </w:pPr>
    <w:rPr>
      <w:rFonts w:ascii="Calibri" w:hAnsi="Calibri" w:eastAsia="宋体" w:cs="Times New Roman"/>
      <w:kern w:val="2"/>
      <w:sz w:val="21"/>
      <w:szCs w:val="22"/>
      <w:lang w:val="en-US" w:eastAsia="zh-CN" w:bidi="ar-SA"/>
    </w:rPr>
  </w:style>
  <w:style w:type="paragraph" w:styleId="9">
    <w:name w:val="Normal Indent"/>
    <w:basedOn w:val="1"/>
    <w:autoRedefine/>
    <w:qFormat/>
    <w:uiPriority w:val="0"/>
    <w:pPr>
      <w:ind w:firstLine="420"/>
    </w:pPr>
    <w:rPr>
      <w:szCs w:val="20"/>
    </w:rPr>
  </w:style>
  <w:style w:type="paragraph" w:styleId="14">
    <w:name w:val="toc 7"/>
    <w:basedOn w:val="1"/>
    <w:next w:val="1"/>
    <w:autoRedefine/>
    <w:unhideWhenUsed/>
    <w:qFormat/>
    <w:uiPriority w:val="39"/>
    <w:pPr>
      <w:ind w:left="2520" w:leftChars="1200"/>
    </w:pPr>
    <w:rPr>
      <w:rFonts w:ascii="Calibri" w:hAnsi="Calibri" w:eastAsia="宋体" w:cs="Times New Roman"/>
      <w:szCs w:val="22"/>
    </w:rPr>
  </w:style>
  <w:style w:type="paragraph" w:styleId="15">
    <w:name w:val="table of authorities"/>
    <w:basedOn w:val="1"/>
    <w:next w:val="1"/>
    <w:autoRedefine/>
    <w:qFormat/>
    <w:uiPriority w:val="0"/>
    <w:pPr>
      <w:ind w:left="420" w:leftChars="200"/>
    </w:pPr>
    <w:rPr>
      <w:rFonts w:ascii="Calibri" w:hAnsi="Calibri"/>
    </w:rPr>
  </w:style>
  <w:style w:type="paragraph" w:styleId="16">
    <w:name w:val="List Number"/>
    <w:basedOn w:val="1"/>
    <w:autoRedefine/>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7">
    <w:name w:val="caption"/>
    <w:basedOn w:val="1"/>
    <w:next w:val="1"/>
    <w:autoRedefine/>
    <w:qFormat/>
    <w:uiPriority w:val="0"/>
    <w:pPr>
      <w:spacing w:before="152" w:after="160"/>
    </w:pPr>
    <w:rPr>
      <w:rFonts w:ascii="Arial" w:hAnsi="Arial" w:eastAsia="黑体" w:cs="Arial"/>
      <w:sz w:val="20"/>
      <w:szCs w:val="20"/>
    </w:rPr>
  </w:style>
  <w:style w:type="paragraph" w:styleId="18">
    <w:name w:val="Document Map"/>
    <w:basedOn w:val="1"/>
    <w:link w:val="76"/>
    <w:autoRedefine/>
    <w:unhideWhenUsed/>
    <w:qFormat/>
    <w:uiPriority w:val="0"/>
    <w:pPr>
      <w:shd w:val="clear" w:color="auto" w:fill="000080"/>
    </w:pPr>
    <w:rPr>
      <w:rFonts w:hint="eastAsia" w:ascii="宋体" w:hAnsi="宋体"/>
      <w:kern w:val="0"/>
      <w:sz w:val="20"/>
      <w:szCs w:val="20"/>
    </w:rPr>
  </w:style>
  <w:style w:type="paragraph" w:styleId="19">
    <w:name w:val="annotation text"/>
    <w:basedOn w:val="1"/>
    <w:link w:val="77"/>
    <w:autoRedefine/>
    <w:unhideWhenUsed/>
    <w:qFormat/>
    <w:uiPriority w:val="0"/>
    <w:pPr>
      <w:jc w:val="left"/>
    </w:pPr>
  </w:style>
  <w:style w:type="paragraph" w:styleId="20">
    <w:name w:val="Body Text 3"/>
    <w:basedOn w:val="1"/>
    <w:link w:val="78"/>
    <w:autoRedefine/>
    <w:qFormat/>
    <w:uiPriority w:val="0"/>
    <w:pPr>
      <w:spacing w:line="500" w:lineRule="exact"/>
    </w:pPr>
    <w:rPr>
      <w:b/>
      <w:bCs/>
      <w:kern w:val="0"/>
      <w:sz w:val="24"/>
    </w:rPr>
  </w:style>
  <w:style w:type="paragraph" w:styleId="21">
    <w:name w:val="Body Text"/>
    <w:basedOn w:val="1"/>
    <w:link w:val="79"/>
    <w:autoRedefine/>
    <w:qFormat/>
    <w:uiPriority w:val="99"/>
    <w:pPr>
      <w:spacing w:line="380" w:lineRule="exact"/>
    </w:pPr>
    <w:rPr>
      <w:kern w:val="0"/>
      <w:sz w:val="24"/>
    </w:rPr>
  </w:style>
  <w:style w:type="paragraph" w:styleId="22">
    <w:name w:val="Body Text Indent"/>
    <w:basedOn w:val="1"/>
    <w:link w:val="80"/>
    <w:autoRedefine/>
    <w:qFormat/>
    <w:uiPriority w:val="0"/>
    <w:pPr>
      <w:ind w:firstLine="830" w:firstLineChars="352"/>
    </w:pPr>
    <w:rPr>
      <w:rFonts w:ascii="仿宋_GB2312" w:eastAsia="仿宋_GB2312"/>
      <w:kern w:val="0"/>
      <w:sz w:val="32"/>
      <w:szCs w:val="20"/>
    </w:rPr>
  </w:style>
  <w:style w:type="paragraph" w:styleId="23">
    <w:name w:val="List Number 3"/>
    <w:basedOn w:val="1"/>
    <w:autoRedefine/>
    <w:qFormat/>
    <w:uiPriority w:val="0"/>
    <w:pPr>
      <w:numPr>
        <w:ilvl w:val="0"/>
        <w:numId w:val="2"/>
      </w:numPr>
    </w:pPr>
  </w:style>
  <w:style w:type="paragraph" w:styleId="24">
    <w:name w:val="List 2"/>
    <w:basedOn w:val="1"/>
    <w:autoRedefine/>
    <w:qFormat/>
    <w:uiPriority w:val="0"/>
    <w:pPr>
      <w:ind w:left="100" w:leftChars="200" w:hanging="200" w:hangingChars="200"/>
    </w:pPr>
    <w:rPr>
      <w:sz w:val="28"/>
    </w:rPr>
  </w:style>
  <w:style w:type="paragraph" w:styleId="25">
    <w:name w:val="toc 5"/>
    <w:basedOn w:val="1"/>
    <w:next w:val="1"/>
    <w:autoRedefine/>
    <w:unhideWhenUsed/>
    <w:qFormat/>
    <w:uiPriority w:val="39"/>
    <w:pPr>
      <w:ind w:left="1680" w:leftChars="800"/>
    </w:pPr>
    <w:rPr>
      <w:rFonts w:ascii="Calibri" w:hAnsi="Calibri" w:eastAsia="宋体" w:cs="Times New Roman"/>
      <w:szCs w:val="22"/>
    </w:rPr>
  </w:style>
  <w:style w:type="paragraph" w:styleId="26">
    <w:name w:val="toc 3"/>
    <w:basedOn w:val="1"/>
    <w:next w:val="1"/>
    <w:autoRedefine/>
    <w:unhideWhenUsed/>
    <w:qFormat/>
    <w:uiPriority w:val="39"/>
    <w:pPr>
      <w:ind w:left="840" w:leftChars="400"/>
    </w:pPr>
    <w:rPr>
      <w:rFonts w:ascii="Calibri" w:hAnsi="Calibri" w:eastAsia="宋体" w:cs="Times New Roman"/>
      <w:szCs w:val="22"/>
    </w:rPr>
  </w:style>
  <w:style w:type="paragraph" w:styleId="27">
    <w:name w:val="Plain Text"/>
    <w:basedOn w:val="1"/>
    <w:link w:val="81"/>
    <w:autoRedefine/>
    <w:qFormat/>
    <w:uiPriority w:val="0"/>
    <w:rPr>
      <w:rFonts w:ascii="宋体" w:hAnsi="Courier New"/>
      <w:kern w:val="0"/>
      <w:sz w:val="20"/>
      <w:szCs w:val="21"/>
    </w:rPr>
  </w:style>
  <w:style w:type="paragraph" w:styleId="28">
    <w:name w:val="toc 8"/>
    <w:basedOn w:val="1"/>
    <w:next w:val="1"/>
    <w:autoRedefine/>
    <w:unhideWhenUsed/>
    <w:qFormat/>
    <w:uiPriority w:val="39"/>
    <w:pPr>
      <w:ind w:left="2940" w:leftChars="1400"/>
    </w:pPr>
    <w:rPr>
      <w:rFonts w:ascii="Calibri" w:hAnsi="Calibri" w:eastAsia="宋体" w:cs="Times New Roman"/>
      <w:szCs w:val="22"/>
    </w:rPr>
  </w:style>
  <w:style w:type="paragraph" w:styleId="29">
    <w:name w:val="Date"/>
    <w:basedOn w:val="1"/>
    <w:next w:val="1"/>
    <w:link w:val="82"/>
    <w:autoRedefine/>
    <w:qFormat/>
    <w:uiPriority w:val="0"/>
    <w:pPr>
      <w:ind w:left="100" w:leftChars="2500"/>
    </w:pPr>
    <w:rPr>
      <w:rFonts w:ascii="宋体" w:hAnsi="Courier New"/>
      <w:kern w:val="0"/>
      <w:sz w:val="20"/>
      <w:szCs w:val="21"/>
    </w:rPr>
  </w:style>
  <w:style w:type="paragraph" w:styleId="30">
    <w:name w:val="Body Text Indent 2"/>
    <w:basedOn w:val="1"/>
    <w:link w:val="83"/>
    <w:autoRedefine/>
    <w:qFormat/>
    <w:uiPriority w:val="0"/>
    <w:pPr>
      <w:ind w:firstLine="630"/>
    </w:pPr>
    <w:rPr>
      <w:kern w:val="0"/>
      <w:sz w:val="32"/>
      <w:szCs w:val="20"/>
    </w:rPr>
  </w:style>
  <w:style w:type="paragraph" w:styleId="31">
    <w:name w:val="endnote text"/>
    <w:basedOn w:val="1"/>
    <w:link w:val="84"/>
    <w:autoRedefine/>
    <w:unhideWhenUsed/>
    <w:qFormat/>
    <w:uiPriority w:val="99"/>
    <w:pPr>
      <w:snapToGrid w:val="0"/>
      <w:jc w:val="left"/>
    </w:pPr>
  </w:style>
  <w:style w:type="paragraph" w:styleId="32">
    <w:name w:val="Balloon Text"/>
    <w:basedOn w:val="1"/>
    <w:link w:val="85"/>
    <w:autoRedefine/>
    <w:qFormat/>
    <w:uiPriority w:val="0"/>
    <w:rPr>
      <w:kern w:val="0"/>
      <w:sz w:val="18"/>
      <w:szCs w:val="18"/>
    </w:rPr>
  </w:style>
  <w:style w:type="paragraph" w:styleId="33">
    <w:name w:val="footer"/>
    <w:basedOn w:val="1"/>
    <w:link w:val="86"/>
    <w:autoRedefine/>
    <w:unhideWhenUsed/>
    <w:qFormat/>
    <w:uiPriority w:val="99"/>
    <w:pPr>
      <w:tabs>
        <w:tab w:val="center" w:pos="4153"/>
        <w:tab w:val="right" w:pos="8306"/>
      </w:tabs>
      <w:snapToGrid w:val="0"/>
      <w:jc w:val="left"/>
    </w:pPr>
    <w:rPr>
      <w:kern w:val="0"/>
      <w:sz w:val="18"/>
      <w:szCs w:val="18"/>
    </w:rPr>
  </w:style>
  <w:style w:type="paragraph" w:styleId="34">
    <w:name w:val="header"/>
    <w:basedOn w:val="1"/>
    <w:link w:val="87"/>
    <w:autoRedefine/>
    <w:unhideWhenUsed/>
    <w:qFormat/>
    <w:uiPriority w:val="99"/>
    <w:pPr>
      <w:pBdr>
        <w:bottom w:val="single" w:color="auto" w:sz="6" w:space="1"/>
      </w:pBdr>
      <w:tabs>
        <w:tab w:val="center" w:pos="0"/>
        <w:tab w:val="left" w:pos="8306"/>
      </w:tabs>
      <w:snapToGrid w:val="0"/>
      <w:jc w:val="center"/>
    </w:pPr>
    <w:rPr>
      <w:sz w:val="18"/>
      <w:szCs w:val="18"/>
    </w:rPr>
  </w:style>
  <w:style w:type="paragraph" w:styleId="35">
    <w:name w:val="toc 1"/>
    <w:basedOn w:val="1"/>
    <w:next w:val="1"/>
    <w:autoRedefine/>
    <w:qFormat/>
    <w:uiPriority w:val="39"/>
    <w:pPr>
      <w:tabs>
        <w:tab w:val="right" w:leader="dot" w:pos="8398"/>
      </w:tabs>
      <w:spacing w:before="120" w:after="120"/>
      <w:ind w:firstLine="240" w:firstLineChars="100"/>
      <w:jc w:val="left"/>
    </w:pPr>
    <w:rPr>
      <w:rFonts w:ascii="宋体" w:hAnsi="宋体"/>
      <w:b/>
      <w:bCs/>
      <w:caps/>
      <w:sz w:val="24"/>
    </w:rPr>
  </w:style>
  <w:style w:type="paragraph" w:styleId="36">
    <w:name w:val="toc 4"/>
    <w:basedOn w:val="1"/>
    <w:next w:val="1"/>
    <w:autoRedefine/>
    <w:unhideWhenUsed/>
    <w:qFormat/>
    <w:uiPriority w:val="39"/>
    <w:pPr>
      <w:ind w:left="1260" w:leftChars="600"/>
    </w:pPr>
    <w:rPr>
      <w:rFonts w:ascii="Calibri" w:hAnsi="Calibri" w:eastAsia="宋体" w:cs="Times New Roman"/>
      <w:szCs w:val="22"/>
    </w:rPr>
  </w:style>
  <w:style w:type="paragraph" w:styleId="37">
    <w:name w:val="List"/>
    <w:basedOn w:val="1"/>
    <w:autoRedefine/>
    <w:qFormat/>
    <w:uiPriority w:val="0"/>
    <w:pPr>
      <w:ind w:left="200" w:hanging="200" w:hangingChars="200"/>
    </w:pPr>
    <w:rPr>
      <w:sz w:val="28"/>
    </w:rPr>
  </w:style>
  <w:style w:type="paragraph" w:styleId="38">
    <w:name w:val="footnote text"/>
    <w:basedOn w:val="1"/>
    <w:link w:val="88"/>
    <w:autoRedefine/>
    <w:unhideWhenUsed/>
    <w:qFormat/>
    <w:uiPriority w:val="99"/>
    <w:pPr>
      <w:snapToGrid w:val="0"/>
      <w:jc w:val="left"/>
    </w:pPr>
    <w:rPr>
      <w:sz w:val="18"/>
      <w:szCs w:val="18"/>
    </w:rPr>
  </w:style>
  <w:style w:type="paragraph" w:styleId="39">
    <w:name w:val="toc 6"/>
    <w:basedOn w:val="1"/>
    <w:next w:val="1"/>
    <w:autoRedefine/>
    <w:unhideWhenUsed/>
    <w:qFormat/>
    <w:uiPriority w:val="39"/>
    <w:pPr>
      <w:ind w:left="2100" w:leftChars="1000"/>
    </w:pPr>
    <w:rPr>
      <w:rFonts w:ascii="Calibri" w:hAnsi="Calibri" w:eastAsia="宋体" w:cs="Times New Roman"/>
      <w:szCs w:val="22"/>
    </w:rPr>
  </w:style>
  <w:style w:type="paragraph" w:styleId="40">
    <w:name w:val="Body Text Indent 3"/>
    <w:basedOn w:val="1"/>
    <w:link w:val="89"/>
    <w:autoRedefine/>
    <w:qFormat/>
    <w:uiPriority w:val="0"/>
    <w:pPr>
      <w:spacing w:after="120"/>
      <w:ind w:left="420" w:leftChars="200"/>
    </w:pPr>
    <w:rPr>
      <w:kern w:val="0"/>
      <w:sz w:val="16"/>
      <w:szCs w:val="16"/>
    </w:rPr>
  </w:style>
  <w:style w:type="paragraph" w:styleId="41">
    <w:name w:val="toc 2"/>
    <w:basedOn w:val="1"/>
    <w:next w:val="1"/>
    <w:autoRedefine/>
    <w:unhideWhenUsed/>
    <w:qFormat/>
    <w:uiPriority w:val="39"/>
    <w:pPr>
      <w:ind w:left="420" w:leftChars="200"/>
    </w:pPr>
  </w:style>
  <w:style w:type="paragraph" w:styleId="42">
    <w:name w:val="toc 9"/>
    <w:basedOn w:val="1"/>
    <w:next w:val="1"/>
    <w:autoRedefine/>
    <w:unhideWhenUsed/>
    <w:qFormat/>
    <w:uiPriority w:val="39"/>
    <w:pPr>
      <w:ind w:left="3360" w:leftChars="1600"/>
    </w:pPr>
    <w:rPr>
      <w:rFonts w:ascii="Calibri" w:hAnsi="Calibri" w:eastAsia="宋体" w:cs="Times New Roman"/>
      <w:szCs w:val="22"/>
    </w:rPr>
  </w:style>
  <w:style w:type="paragraph" w:styleId="43">
    <w:name w:val="Body Text 2"/>
    <w:basedOn w:val="1"/>
    <w:link w:val="90"/>
    <w:autoRedefine/>
    <w:qFormat/>
    <w:uiPriority w:val="0"/>
    <w:pPr>
      <w:spacing w:after="120" w:line="480" w:lineRule="auto"/>
    </w:pPr>
    <w:rPr>
      <w:kern w:val="0"/>
      <w:sz w:val="20"/>
    </w:rPr>
  </w:style>
  <w:style w:type="paragraph" w:styleId="44">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45">
    <w:name w:val="index 1"/>
    <w:basedOn w:val="1"/>
    <w:next w:val="1"/>
    <w:autoRedefine/>
    <w:qFormat/>
    <w:uiPriority w:val="0"/>
    <w:pPr>
      <w:spacing w:line="400" w:lineRule="exact"/>
      <w:ind w:firstLine="420" w:firstLineChars="200"/>
    </w:pPr>
    <w:rPr>
      <w:rFonts w:ascii="宋体" w:hAnsi="Courier New"/>
      <w:b/>
      <w:szCs w:val="20"/>
    </w:rPr>
  </w:style>
  <w:style w:type="paragraph" w:styleId="46">
    <w:name w:val="Title"/>
    <w:basedOn w:val="1"/>
    <w:next w:val="1"/>
    <w:link w:val="91"/>
    <w:autoRedefine/>
    <w:qFormat/>
    <w:uiPriority w:val="10"/>
    <w:pPr>
      <w:spacing w:before="240" w:after="60"/>
      <w:jc w:val="center"/>
      <w:outlineLvl w:val="0"/>
    </w:pPr>
    <w:rPr>
      <w:rFonts w:ascii="Cambria" w:hAnsi="Cambria"/>
      <w:b/>
      <w:bCs/>
      <w:sz w:val="32"/>
      <w:szCs w:val="32"/>
    </w:rPr>
  </w:style>
  <w:style w:type="paragraph" w:styleId="47">
    <w:name w:val="annotation subject"/>
    <w:basedOn w:val="19"/>
    <w:next w:val="19"/>
    <w:link w:val="92"/>
    <w:autoRedefine/>
    <w:unhideWhenUsed/>
    <w:qFormat/>
    <w:uiPriority w:val="99"/>
    <w:rPr>
      <w:b/>
      <w:bCs/>
    </w:rPr>
  </w:style>
  <w:style w:type="table" w:styleId="49">
    <w:name w:val="Table Grid"/>
    <w:basedOn w:val="48"/>
    <w:autoRedefine/>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basedOn w:val="50"/>
    <w:autoRedefine/>
    <w:qFormat/>
    <w:uiPriority w:val="22"/>
    <w:rPr>
      <w:b/>
      <w:bCs/>
      <w:shd w:val="clear" w:fill="FFFFFF"/>
    </w:rPr>
  </w:style>
  <w:style w:type="character" w:styleId="52">
    <w:name w:val="endnote reference"/>
    <w:autoRedefine/>
    <w:unhideWhenUsed/>
    <w:qFormat/>
    <w:uiPriority w:val="99"/>
    <w:rPr>
      <w:vertAlign w:val="superscript"/>
    </w:rPr>
  </w:style>
  <w:style w:type="character" w:styleId="53">
    <w:name w:val="page number"/>
    <w:autoRedefine/>
    <w:qFormat/>
    <w:uiPriority w:val="0"/>
  </w:style>
  <w:style w:type="character" w:styleId="54">
    <w:name w:val="FollowedHyperlink"/>
    <w:autoRedefine/>
    <w:qFormat/>
    <w:uiPriority w:val="0"/>
    <w:rPr>
      <w:color w:val="800080"/>
      <w:u w:val="single"/>
    </w:rPr>
  </w:style>
  <w:style w:type="character" w:styleId="55">
    <w:name w:val="Emphasis"/>
    <w:basedOn w:val="50"/>
    <w:autoRedefine/>
    <w:qFormat/>
    <w:uiPriority w:val="20"/>
    <w:rPr>
      <w:rFonts w:ascii="ActionIcon ! important" w:hAnsi="ActionIcon ! important" w:eastAsia="ActionIcon ! important" w:cs="ActionIcon ! important"/>
      <w:b/>
      <w:bCs/>
      <w:color w:val="3D4B62"/>
      <w:sz w:val="19"/>
      <w:szCs w:val="19"/>
    </w:rPr>
  </w:style>
  <w:style w:type="character" w:styleId="56">
    <w:name w:val="HTML Definition"/>
    <w:basedOn w:val="50"/>
    <w:autoRedefine/>
    <w:semiHidden/>
    <w:unhideWhenUsed/>
    <w:qFormat/>
    <w:uiPriority w:val="99"/>
  </w:style>
  <w:style w:type="character" w:styleId="57">
    <w:name w:val="HTML Typewriter"/>
    <w:basedOn w:val="50"/>
    <w:autoRedefine/>
    <w:semiHidden/>
    <w:unhideWhenUsed/>
    <w:qFormat/>
    <w:uiPriority w:val="99"/>
    <w:rPr>
      <w:rFonts w:ascii="monospace" w:hAnsi="monospace" w:eastAsia="monospace" w:cs="monospace"/>
      <w:sz w:val="20"/>
    </w:rPr>
  </w:style>
  <w:style w:type="character" w:styleId="58">
    <w:name w:val="HTML Acronym"/>
    <w:basedOn w:val="50"/>
    <w:autoRedefine/>
    <w:semiHidden/>
    <w:unhideWhenUsed/>
    <w:qFormat/>
    <w:uiPriority w:val="99"/>
    <w:rPr>
      <w:bdr w:val="none" w:color="auto" w:sz="0" w:space="0"/>
    </w:rPr>
  </w:style>
  <w:style w:type="character" w:styleId="59">
    <w:name w:val="HTML Variable"/>
    <w:basedOn w:val="50"/>
    <w:autoRedefine/>
    <w:semiHidden/>
    <w:unhideWhenUsed/>
    <w:qFormat/>
    <w:uiPriority w:val="99"/>
  </w:style>
  <w:style w:type="character" w:styleId="60">
    <w:name w:val="Hyperlink"/>
    <w:autoRedefine/>
    <w:qFormat/>
    <w:uiPriority w:val="99"/>
    <w:rPr>
      <w:color w:val="0000FF"/>
      <w:u w:val="single"/>
    </w:rPr>
  </w:style>
  <w:style w:type="character" w:styleId="61">
    <w:name w:val="HTML Code"/>
    <w:basedOn w:val="50"/>
    <w:autoRedefine/>
    <w:semiHidden/>
    <w:unhideWhenUsed/>
    <w:qFormat/>
    <w:uiPriority w:val="99"/>
    <w:rPr>
      <w:rFonts w:hint="default" w:ascii="monospace" w:hAnsi="monospace" w:eastAsia="monospace" w:cs="monospace"/>
      <w:sz w:val="20"/>
    </w:rPr>
  </w:style>
  <w:style w:type="character" w:styleId="62">
    <w:name w:val="annotation reference"/>
    <w:autoRedefine/>
    <w:unhideWhenUsed/>
    <w:qFormat/>
    <w:uiPriority w:val="0"/>
    <w:rPr>
      <w:sz w:val="21"/>
      <w:szCs w:val="21"/>
    </w:rPr>
  </w:style>
  <w:style w:type="character" w:styleId="63">
    <w:name w:val="HTML Cite"/>
    <w:basedOn w:val="50"/>
    <w:autoRedefine/>
    <w:semiHidden/>
    <w:unhideWhenUsed/>
    <w:qFormat/>
    <w:uiPriority w:val="99"/>
    <w:rPr>
      <w:bdr w:val="single" w:color="D2D2D2" w:sz="4" w:space="0"/>
      <w:shd w:val="clear" w:fill="FFFFFF"/>
    </w:rPr>
  </w:style>
  <w:style w:type="character" w:styleId="64">
    <w:name w:val="footnote reference"/>
    <w:autoRedefine/>
    <w:unhideWhenUsed/>
    <w:qFormat/>
    <w:uiPriority w:val="99"/>
    <w:rPr>
      <w:vertAlign w:val="superscript"/>
    </w:rPr>
  </w:style>
  <w:style w:type="character" w:styleId="65">
    <w:name w:val="HTML Keyboard"/>
    <w:basedOn w:val="50"/>
    <w:autoRedefine/>
    <w:semiHidden/>
    <w:unhideWhenUsed/>
    <w:qFormat/>
    <w:uiPriority w:val="99"/>
    <w:rPr>
      <w:rFonts w:hint="default" w:ascii="monospace" w:hAnsi="monospace" w:eastAsia="monospace" w:cs="monospace"/>
      <w:sz w:val="20"/>
    </w:rPr>
  </w:style>
  <w:style w:type="character" w:styleId="66">
    <w:name w:val="HTML Sample"/>
    <w:basedOn w:val="50"/>
    <w:autoRedefine/>
    <w:semiHidden/>
    <w:unhideWhenUsed/>
    <w:qFormat/>
    <w:uiPriority w:val="99"/>
    <w:rPr>
      <w:rFonts w:hint="default" w:ascii="monospace" w:hAnsi="monospace" w:eastAsia="monospace" w:cs="monospace"/>
    </w:rPr>
  </w:style>
  <w:style w:type="character" w:customStyle="1" w:styleId="67">
    <w:name w:val="标题 1 Char"/>
    <w:link w:val="4"/>
    <w:autoRedefine/>
    <w:qFormat/>
    <w:uiPriority w:val="0"/>
    <w:rPr>
      <w:rFonts w:ascii="Times New Roman" w:hAnsi="Times New Roman" w:eastAsia="宋体" w:cs="Times New Roman"/>
      <w:b/>
      <w:bCs/>
      <w:kern w:val="44"/>
      <w:sz w:val="44"/>
      <w:szCs w:val="44"/>
    </w:rPr>
  </w:style>
  <w:style w:type="character" w:customStyle="1" w:styleId="68">
    <w:name w:val="标题 2 Char"/>
    <w:link w:val="5"/>
    <w:autoRedefine/>
    <w:qFormat/>
    <w:uiPriority w:val="0"/>
    <w:rPr>
      <w:rFonts w:ascii="Arial" w:hAnsi="Arial" w:eastAsia="黑体" w:cs="Times New Roman"/>
      <w:b/>
      <w:bCs/>
      <w:sz w:val="32"/>
      <w:szCs w:val="32"/>
    </w:rPr>
  </w:style>
  <w:style w:type="character" w:customStyle="1" w:styleId="69">
    <w:name w:val="标题 3 Char"/>
    <w:link w:val="6"/>
    <w:autoRedefine/>
    <w:qFormat/>
    <w:uiPriority w:val="0"/>
    <w:rPr>
      <w:rFonts w:ascii="Times New Roman" w:hAnsi="Times New Roman" w:eastAsia="宋体" w:cs="Times New Roman"/>
      <w:b/>
      <w:bCs/>
      <w:sz w:val="32"/>
      <w:szCs w:val="32"/>
    </w:rPr>
  </w:style>
  <w:style w:type="character" w:customStyle="1" w:styleId="70">
    <w:name w:val="标题 4 Char"/>
    <w:basedOn w:val="50"/>
    <w:link w:val="7"/>
    <w:autoRedefine/>
    <w:qFormat/>
    <w:uiPriority w:val="10"/>
    <w:rPr>
      <w:rFonts w:ascii="Calibri Light" w:hAnsi="Calibri Light" w:eastAsia="宋体" w:cs="Times New Roman"/>
      <w:b/>
      <w:bCs/>
      <w:kern w:val="2"/>
      <w:sz w:val="28"/>
      <w:szCs w:val="28"/>
    </w:rPr>
  </w:style>
  <w:style w:type="character" w:customStyle="1" w:styleId="71">
    <w:name w:val="标题 5 Char1"/>
    <w:link w:val="8"/>
    <w:autoRedefine/>
    <w:qFormat/>
    <w:uiPriority w:val="0"/>
    <w:rPr>
      <w:b/>
      <w:kern w:val="2"/>
      <w:sz w:val="28"/>
      <w:szCs w:val="24"/>
    </w:rPr>
  </w:style>
  <w:style w:type="character" w:customStyle="1" w:styleId="72">
    <w:name w:val="标题 6 Char"/>
    <w:link w:val="10"/>
    <w:autoRedefine/>
    <w:qFormat/>
    <w:uiPriority w:val="0"/>
    <w:rPr>
      <w:rFonts w:ascii="Arial" w:hAnsi="Arial" w:eastAsia="黑体"/>
      <w:b/>
      <w:kern w:val="2"/>
      <w:sz w:val="24"/>
      <w:szCs w:val="24"/>
    </w:rPr>
  </w:style>
  <w:style w:type="character" w:customStyle="1" w:styleId="73">
    <w:name w:val="标题 7 Char"/>
    <w:link w:val="11"/>
    <w:autoRedefine/>
    <w:qFormat/>
    <w:uiPriority w:val="0"/>
    <w:rPr>
      <w:rFonts w:ascii="Times New Roman" w:hAnsi="Times New Roman"/>
      <w:b/>
      <w:kern w:val="2"/>
      <w:sz w:val="24"/>
      <w:szCs w:val="24"/>
    </w:rPr>
  </w:style>
  <w:style w:type="character" w:customStyle="1" w:styleId="74">
    <w:name w:val="标题 8 Char"/>
    <w:link w:val="12"/>
    <w:autoRedefine/>
    <w:qFormat/>
    <w:uiPriority w:val="0"/>
    <w:rPr>
      <w:rFonts w:ascii="Arial" w:hAnsi="Arial" w:eastAsia="黑体"/>
      <w:kern w:val="2"/>
      <w:sz w:val="24"/>
      <w:szCs w:val="24"/>
    </w:rPr>
  </w:style>
  <w:style w:type="character" w:customStyle="1" w:styleId="75">
    <w:name w:val="标题 9 Char"/>
    <w:link w:val="13"/>
    <w:autoRedefine/>
    <w:qFormat/>
    <w:uiPriority w:val="0"/>
    <w:rPr>
      <w:rFonts w:ascii="Arial" w:hAnsi="Arial" w:eastAsia="黑体"/>
      <w:kern w:val="2"/>
      <w:sz w:val="21"/>
      <w:szCs w:val="24"/>
    </w:rPr>
  </w:style>
  <w:style w:type="character" w:customStyle="1" w:styleId="76">
    <w:name w:val="文档结构图 Char"/>
    <w:link w:val="18"/>
    <w:autoRedefine/>
    <w:qFormat/>
    <w:uiPriority w:val="0"/>
    <w:rPr>
      <w:rFonts w:hint="eastAsia" w:ascii="宋体" w:hAnsi="宋体" w:eastAsia="宋体" w:cs="宋体"/>
    </w:rPr>
  </w:style>
  <w:style w:type="character" w:customStyle="1" w:styleId="77">
    <w:name w:val="批注文字 Char2"/>
    <w:link w:val="19"/>
    <w:autoRedefine/>
    <w:qFormat/>
    <w:uiPriority w:val="0"/>
    <w:rPr>
      <w:rFonts w:ascii="Times New Roman" w:hAnsi="Times New Roman"/>
      <w:kern w:val="2"/>
      <w:sz w:val="21"/>
      <w:szCs w:val="24"/>
    </w:rPr>
  </w:style>
  <w:style w:type="character" w:customStyle="1" w:styleId="78">
    <w:name w:val="正文文本 3 Char"/>
    <w:link w:val="20"/>
    <w:autoRedefine/>
    <w:qFormat/>
    <w:uiPriority w:val="0"/>
    <w:rPr>
      <w:rFonts w:ascii="Times New Roman" w:hAnsi="Times New Roman" w:eastAsia="宋体" w:cs="Times New Roman"/>
      <w:b/>
      <w:bCs/>
      <w:sz w:val="24"/>
      <w:szCs w:val="24"/>
    </w:rPr>
  </w:style>
  <w:style w:type="character" w:customStyle="1" w:styleId="79">
    <w:name w:val="正文文本 Char"/>
    <w:link w:val="21"/>
    <w:autoRedefine/>
    <w:qFormat/>
    <w:uiPriority w:val="99"/>
    <w:rPr>
      <w:rFonts w:ascii="Times New Roman" w:hAnsi="Times New Roman" w:eastAsia="宋体" w:cs="Times New Roman"/>
      <w:sz w:val="24"/>
      <w:szCs w:val="24"/>
    </w:rPr>
  </w:style>
  <w:style w:type="character" w:customStyle="1" w:styleId="80">
    <w:name w:val="正文文本缩进 Char"/>
    <w:link w:val="22"/>
    <w:autoRedefine/>
    <w:qFormat/>
    <w:uiPriority w:val="0"/>
    <w:rPr>
      <w:rFonts w:ascii="仿宋_GB2312" w:hAnsi="Times New Roman" w:eastAsia="仿宋_GB2312" w:cs="Times New Roman"/>
      <w:sz w:val="32"/>
      <w:szCs w:val="20"/>
    </w:rPr>
  </w:style>
  <w:style w:type="character" w:customStyle="1" w:styleId="81">
    <w:name w:val="纯文本 Char1"/>
    <w:link w:val="27"/>
    <w:autoRedefine/>
    <w:qFormat/>
    <w:uiPriority w:val="0"/>
    <w:rPr>
      <w:rFonts w:ascii="宋体" w:hAnsi="Courier New" w:eastAsia="宋体" w:cs="Courier New"/>
      <w:szCs w:val="21"/>
    </w:rPr>
  </w:style>
  <w:style w:type="character" w:customStyle="1" w:styleId="82">
    <w:name w:val="日期 Char"/>
    <w:link w:val="29"/>
    <w:autoRedefine/>
    <w:qFormat/>
    <w:uiPriority w:val="0"/>
    <w:rPr>
      <w:rFonts w:ascii="宋体" w:hAnsi="Courier New" w:eastAsia="宋体" w:cs="Courier New"/>
      <w:szCs w:val="21"/>
    </w:rPr>
  </w:style>
  <w:style w:type="character" w:customStyle="1" w:styleId="83">
    <w:name w:val="正文文本缩进 2 Char"/>
    <w:link w:val="30"/>
    <w:autoRedefine/>
    <w:qFormat/>
    <w:uiPriority w:val="0"/>
    <w:rPr>
      <w:rFonts w:ascii="Times New Roman" w:hAnsi="Times New Roman" w:eastAsia="宋体" w:cs="Times New Roman"/>
      <w:sz w:val="32"/>
      <w:szCs w:val="20"/>
    </w:rPr>
  </w:style>
  <w:style w:type="character" w:customStyle="1" w:styleId="84">
    <w:name w:val="尾注文本 Char"/>
    <w:link w:val="31"/>
    <w:autoRedefine/>
    <w:qFormat/>
    <w:uiPriority w:val="99"/>
    <w:rPr>
      <w:rFonts w:ascii="Times New Roman" w:hAnsi="Times New Roman"/>
      <w:kern w:val="2"/>
      <w:sz w:val="21"/>
      <w:szCs w:val="24"/>
    </w:rPr>
  </w:style>
  <w:style w:type="character" w:customStyle="1" w:styleId="85">
    <w:name w:val="批注框文本 Char"/>
    <w:link w:val="32"/>
    <w:autoRedefine/>
    <w:qFormat/>
    <w:uiPriority w:val="0"/>
    <w:rPr>
      <w:rFonts w:ascii="Times New Roman" w:hAnsi="Times New Roman" w:eastAsia="宋体" w:cs="Times New Roman"/>
      <w:sz w:val="18"/>
      <w:szCs w:val="18"/>
    </w:rPr>
  </w:style>
  <w:style w:type="character" w:customStyle="1" w:styleId="86">
    <w:name w:val="页脚 Char"/>
    <w:link w:val="33"/>
    <w:autoRedefine/>
    <w:qFormat/>
    <w:uiPriority w:val="99"/>
    <w:rPr>
      <w:sz w:val="18"/>
      <w:szCs w:val="18"/>
    </w:rPr>
  </w:style>
  <w:style w:type="character" w:customStyle="1" w:styleId="87">
    <w:name w:val="页眉 Char"/>
    <w:link w:val="34"/>
    <w:autoRedefine/>
    <w:qFormat/>
    <w:uiPriority w:val="99"/>
    <w:rPr>
      <w:rFonts w:ascii="Times New Roman" w:hAnsi="Times New Roman"/>
      <w:kern w:val="2"/>
      <w:sz w:val="18"/>
      <w:szCs w:val="18"/>
    </w:rPr>
  </w:style>
  <w:style w:type="character" w:customStyle="1" w:styleId="88">
    <w:name w:val="脚注文本 Char"/>
    <w:link w:val="38"/>
    <w:autoRedefine/>
    <w:qFormat/>
    <w:uiPriority w:val="99"/>
    <w:rPr>
      <w:rFonts w:ascii="Times New Roman" w:hAnsi="Times New Roman"/>
      <w:kern w:val="2"/>
      <w:sz w:val="18"/>
      <w:szCs w:val="18"/>
    </w:rPr>
  </w:style>
  <w:style w:type="character" w:customStyle="1" w:styleId="89">
    <w:name w:val="正文文本缩进 3 Char"/>
    <w:link w:val="40"/>
    <w:autoRedefine/>
    <w:qFormat/>
    <w:uiPriority w:val="0"/>
    <w:rPr>
      <w:rFonts w:ascii="Times New Roman" w:hAnsi="Times New Roman" w:eastAsia="宋体" w:cs="Times New Roman"/>
      <w:sz w:val="16"/>
      <w:szCs w:val="16"/>
    </w:rPr>
  </w:style>
  <w:style w:type="character" w:customStyle="1" w:styleId="90">
    <w:name w:val="正文文本 2 Char"/>
    <w:link w:val="43"/>
    <w:autoRedefine/>
    <w:qFormat/>
    <w:uiPriority w:val="0"/>
    <w:rPr>
      <w:rFonts w:ascii="Times New Roman" w:hAnsi="Times New Roman" w:eastAsia="宋体" w:cs="Times New Roman"/>
      <w:szCs w:val="24"/>
    </w:rPr>
  </w:style>
  <w:style w:type="character" w:customStyle="1" w:styleId="91">
    <w:name w:val="标题 Char"/>
    <w:link w:val="46"/>
    <w:autoRedefine/>
    <w:qFormat/>
    <w:uiPriority w:val="10"/>
    <w:rPr>
      <w:rFonts w:ascii="Cambria" w:hAnsi="Cambria" w:cs="Times New Roman"/>
      <w:b/>
      <w:bCs/>
      <w:kern w:val="2"/>
      <w:sz w:val="32"/>
      <w:szCs w:val="32"/>
    </w:rPr>
  </w:style>
  <w:style w:type="character" w:customStyle="1" w:styleId="92">
    <w:name w:val="批注主题 Char"/>
    <w:link w:val="47"/>
    <w:autoRedefine/>
    <w:qFormat/>
    <w:uiPriority w:val="99"/>
    <w:rPr>
      <w:rFonts w:ascii="Times New Roman" w:hAnsi="Times New Roman"/>
      <w:b/>
      <w:bCs/>
      <w:kern w:val="2"/>
      <w:sz w:val="21"/>
      <w:szCs w:val="24"/>
    </w:rPr>
  </w:style>
  <w:style w:type="character" w:customStyle="1" w:styleId="93">
    <w:name w:val="标题 4 Char1"/>
    <w:basedOn w:val="50"/>
    <w:link w:val="7"/>
    <w:autoRedefine/>
    <w:semiHidden/>
    <w:qFormat/>
    <w:uiPriority w:val="9"/>
    <w:rPr>
      <w:rFonts w:ascii="Cambria" w:hAnsi="Cambria" w:eastAsia="宋体" w:cs="Times New Roman"/>
      <w:b/>
      <w:bCs/>
      <w:kern w:val="2"/>
      <w:sz w:val="28"/>
      <w:szCs w:val="28"/>
    </w:rPr>
  </w:style>
  <w:style w:type="character" w:customStyle="1" w:styleId="94">
    <w:name w:val="批注文字 Char1"/>
    <w:autoRedefine/>
    <w:semiHidden/>
    <w:qFormat/>
    <w:locked/>
    <w:uiPriority w:val="0"/>
    <w:rPr>
      <w:rFonts w:ascii="Times New Roman" w:hAnsi="Times New Roman"/>
      <w:kern w:val="2"/>
      <w:sz w:val="21"/>
      <w:szCs w:val="24"/>
    </w:rPr>
  </w:style>
  <w:style w:type="character" w:customStyle="1" w:styleId="95">
    <w:name w:val="case31"/>
    <w:autoRedefine/>
    <w:qFormat/>
    <w:uiPriority w:val="0"/>
    <w:rPr>
      <w:rFonts w:hint="default" w:ascii="_x000B__x000C_" w:hAnsi="_x000B__x000C_"/>
      <w:sz w:val="21"/>
      <w:szCs w:val="21"/>
    </w:rPr>
  </w:style>
  <w:style w:type="character" w:customStyle="1" w:styleId="96">
    <w:name w:val="批注文字 Char"/>
    <w:autoRedefine/>
    <w:qFormat/>
    <w:uiPriority w:val="99"/>
    <w:rPr>
      <w:rFonts w:ascii="Times New Roman" w:hAnsi="Times New Roman"/>
      <w:kern w:val="2"/>
      <w:sz w:val="21"/>
      <w:szCs w:val="24"/>
    </w:rPr>
  </w:style>
  <w:style w:type="character" w:customStyle="1" w:styleId="97">
    <w:name w:val="纯文本 Char"/>
    <w:autoRedefine/>
    <w:qFormat/>
    <w:uiPriority w:val="0"/>
    <w:rPr>
      <w:rFonts w:ascii="宋体" w:hAnsi="Courier New" w:eastAsia="宋体"/>
      <w:kern w:val="2"/>
      <w:sz w:val="21"/>
      <w:lang w:val="en-US" w:eastAsia="zh-CN" w:bidi="ar-SA"/>
    </w:rPr>
  </w:style>
  <w:style w:type="character" w:customStyle="1" w:styleId="98">
    <w:name w:val="纯文本 字符1"/>
    <w:autoRedefine/>
    <w:qFormat/>
    <w:uiPriority w:val="0"/>
    <w:rPr>
      <w:rFonts w:ascii="宋体" w:hAnsi="Courier New"/>
    </w:rPr>
  </w:style>
  <w:style w:type="character" w:customStyle="1" w:styleId="99">
    <w:name w:val="批注文字 字符1"/>
    <w:autoRedefine/>
    <w:qFormat/>
    <w:uiPriority w:val="0"/>
    <w:rPr>
      <w:rFonts w:ascii="Times New Roman" w:hAnsi="Times New Roman"/>
      <w:kern w:val="2"/>
      <w:sz w:val="21"/>
      <w:szCs w:val="24"/>
    </w:rPr>
  </w:style>
  <w:style w:type="character" w:customStyle="1" w:styleId="100">
    <w:name w:val="正文文本 Char1"/>
    <w:autoRedefine/>
    <w:semiHidden/>
    <w:qFormat/>
    <w:locked/>
    <w:uiPriority w:val="99"/>
    <w:rPr>
      <w:sz w:val="24"/>
      <w:szCs w:val="24"/>
    </w:rPr>
  </w:style>
  <w:style w:type="character" w:customStyle="1" w:styleId="101">
    <w:name w:val="apple-style-span"/>
    <w:autoRedefine/>
    <w:qFormat/>
    <w:uiPriority w:val="0"/>
  </w:style>
  <w:style w:type="character" w:customStyle="1" w:styleId="102">
    <w:name w:val="textcontents"/>
    <w:autoRedefine/>
    <w:qFormat/>
    <w:uiPriority w:val="0"/>
  </w:style>
  <w:style w:type="character" w:customStyle="1" w:styleId="103">
    <w:name w:val="普通文字 Char Char2"/>
    <w:autoRedefine/>
    <w:qFormat/>
    <w:uiPriority w:val="0"/>
    <w:rPr>
      <w:rFonts w:ascii="宋体" w:hAnsi="Courier New" w:eastAsia="宋体"/>
      <w:kern w:val="2"/>
      <w:sz w:val="21"/>
      <w:lang w:val="en-US" w:eastAsia="zh-CN" w:bidi="ar-SA"/>
    </w:rPr>
  </w:style>
  <w:style w:type="character" w:customStyle="1" w:styleId="104">
    <w:name w:val="标题 5 Char"/>
    <w:autoRedefine/>
    <w:qFormat/>
    <w:uiPriority w:val="0"/>
    <w:rPr>
      <w:b/>
      <w:kern w:val="2"/>
      <w:sz w:val="28"/>
      <w:szCs w:val="24"/>
    </w:rPr>
  </w:style>
  <w:style w:type="character" w:customStyle="1" w:styleId="105">
    <w:name w:val="批注文字 字符"/>
    <w:autoRedefine/>
    <w:qFormat/>
    <w:uiPriority w:val="0"/>
    <w:rPr>
      <w:rFonts w:ascii="Times New Roman" w:hAnsi="Times New Roman"/>
      <w:kern w:val="2"/>
      <w:sz w:val="21"/>
      <w:szCs w:val="24"/>
    </w:rPr>
  </w:style>
  <w:style w:type="character" w:customStyle="1" w:styleId="106">
    <w:name w:val="标题 1 字符"/>
    <w:autoRedefine/>
    <w:qFormat/>
    <w:uiPriority w:val="9"/>
    <w:rPr>
      <w:rFonts w:ascii="Times New Roman" w:hAnsi="Times New Roman" w:eastAsia="宋体" w:cs="Times New Roman"/>
      <w:b/>
      <w:bCs/>
      <w:kern w:val="44"/>
      <w:sz w:val="44"/>
      <w:szCs w:val="44"/>
    </w:rPr>
  </w:style>
  <w:style w:type="character" w:customStyle="1" w:styleId="107">
    <w:name w:val="纯文本 字符"/>
    <w:autoRedefine/>
    <w:qFormat/>
    <w:uiPriority w:val="0"/>
    <w:rPr>
      <w:rFonts w:ascii="宋体" w:hAnsi="Courier New" w:eastAsia="宋体" w:cs="Courier New"/>
      <w:szCs w:val="21"/>
    </w:rPr>
  </w:style>
  <w:style w:type="character" w:customStyle="1" w:styleId="108">
    <w:name w:val="headline-content4"/>
    <w:autoRedefine/>
    <w:qFormat/>
    <w:uiPriority w:val="0"/>
  </w:style>
  <w:style w:type="character" w:customStyle="1" w:styleId="109">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110">
    <w:name w:val="正文文本缩进 字符"/>
    <w:autoRedefine/>
    <w:qFormat/>
    <w:uiPriority w:val="0"/>
    <w:rPr>
      <w:rFonts w:ascii="仿宋_GB2312" w:hAnsi="Times New Roman" w:eastAsia="仿宋_GB2312" w:cs="Times New Roman"/>
      <w:sz w:val="32"/>
      <w:szCs w:val="20"/>
    </w:rPr>
  </w:style>
  <w:style w:type="paragraph" w:customStyle="1" w:styleId="111">
    <w:name w:val="Char1"/>
    <w:basedOn w:val="1"/>
    <w:autoRedefine/>
    <w:qFormat/>
    <w:uiPriority w:val="0"/>
    <w:rPr>
      <w:szCs w:val="21"/>
    </w:rPr>
  </w:style>
  <w:style w:type="paragraph" w:styleId="112">
    <w:name w:val="List Paragraph"/>
    <w:basedOn w:val="1"/>
    <w:autoRedefine/>
    <w:qFormat/>
    <w:uiPriority w:val="34"/>
    <w:pPr>
      <w:ind w:firstLine="420" w:firstLineChars="200"/>
    </w:pPr>
  </w:style>
  <w:style w:type="paragraph" w:customStyle="1" w:styleId="113">
    <w:name w:val="样式 标题 2 + Times New Roman 四号 非加粗 段前: 5 磅 段后: 0 磅 行距: 固定值 20..."/>
    <w:basedOn w:val="5"/>
    <w:autoRedefine/>
    <w:qFormat/>
    <w:uiPriority w:val="0"/>
    <w:pPr>
      <w:spacing w:before="100" w:after="0" w:line="400" w:lineRule="exact"/>
    </w:pPr>
    <w:rPr>
      <w:rFonts w:ascii="Times New Roman" w:hAnsi="Times New Roman" w:cs="宋体"/>
      <w:b w:val="0"/>
      <w:bCs w:val="0"/>
      <w:sz w:val="28"/>
      <w:szCs w:val="20"/>
    </w:rPr>
  </w:style>
  <w:style w:type="paragraph" w:customStyle="1" w:styleId="114">
    <w:name w:val="默认段落字体 Para Char Char Char Char Char Char Char Char Char1 Char Char Char Char"/>
    <w:basedOn w:val="1"/>
    <w:autoRedefine/>
    <w:qFormat/>
    <w:uiPriority w:val="0"/>
    <w:rPr>
      <w:rFonts w:ascii="Tahoma" w:hAnsi="Tahoma"/>
      <w:sz w:val="24"/>
      <w:szCs w:val="20"/>
    </w:rPr>
  </w:style>
  <w:style w:type="paragraph" w:customStyle="1" w:styleId="115">
    <w:name w:val="样式"/>
    <w:autoRedefine/>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16">
    <w:name w:val="Plain Text"/>
    <w:basedOn w:val="1"/>
    <w:autoRedefine/>
    <w:qFormat/>
    <w:uiPriority w:val="0"/>
    <w:rPr>
      <w:rFonts w:ascii="宋体" w:hAnsi="Courier New" w:cs="Century"/>
      <w:szCs w:val="21"/>
    </w:rPr>
  </w:style>
  <w:style w:type="paragraph" w:customStyle="1" w:styleId="117">
    <w:name w:val="Table Paragraph"/>
    <w:basedOn w:val="1"/>
    <w:autoRedefine/>
    <w:qFormat/>
    <w:uiPriority w:val="1"/>
    <w:pPr>
      <w:jc w:val="left"/>
    </w:pPr>
    <w:rPr>
      <w:rFonts w:ascii="Calibri" w:hAnsi="Calibri" w:eastAsia="宋体" w:cs="Times New Roman"/>
      <w:kern w:val="0"/>
      <w:sz w:val="22"/>
      <w:szCs w:val="22"/>
      <w:lang w:eastAsia="en-US"/>
    </w:rPr>
  </w:style>
  <w:style w:type="paragraph" w:customStyle="1" w:styleId="118">
    <w:name w:val="表内文字"/>
    <w:basedOn w:val="1"/>
    <w:autoRedefine/>
    <w:qFormat/>
    <w:uiPriority w:val="0"/>
    <w:pPr>
      <w:snapToGrid w:val="0"/>
      <w:spacing w:before="50" w:after="50"/>
      <w:jc w:val="center"/>
    </w:pPr>
    <w:rPr>
      <w:rFonts w:ascii="仿宋_GB2312" w:hAnsi="宋体" w:eastAsia="仿宋_GB2312"/>
      <w:b/>
      <w:color w:val="000000"/>
      <w:sz w:val="32"/>
      <w:szCs w:val="32"/>
    </w:rPr>
  </w:style>
  <w:style w:type="paragraph" w:customStyle="1" w:styleId="119">
    <w:name w:val="表格"/>
    <w:basedOn w:val="1"/>
    <w:autoRedefine/>
    <w:qFormat/>
    <w:uiPriority w:val="0"/>
    <w:pPr>
      <w:spacing w:line="400" w:lineRule="exact"/>
    </w:pPr>
    <w:rPr>
      <w:sz w:val="24"/>
    </w:rPr>
  </w:style>
  <w:style w:type="paragraph" w:customStyle="1" w:styleId="120">
    <w:name w:val="样式 首行缩进:  2 字符"/>
    <w:basedOn w:val="1"/>
    <w:autoRedefine/>
    <w:qFormat/>
    <w:uiPriority w:val="0"/>
    <w:pPr>
      <w:spacing w:line="400" w:lineRule="exact"/>
      <w:ind w:firstLine="200" w:firstLineChars="200"/>
    </w:pPr>
    <w:rPr>
      <w:rFonts w:cs="宋体"/>
      <w:sz w:val="24"/>
    </w:rPr>
  </w:style>
  <w:style w:type="paragraph" w:customStyle="1" w:styleId="121">
    <w:name w:val="xl22"/>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22">
    <w:name w:val="样式 标题 3 + (中文) 黑体 小四 非加粗 段前: 7.8 磅 段后: 0 磅 行距: 固定值 20 磅"/>
    <w:basedOn w:val="6"/>
    <w:autoRedefine/>
    <w:qFormat/>
    <w:uiPriority w:val="0"/>
    <w:pPr>
      <w:spacing w:before="0" w:after="0" w:line="400" w:lineRule="exact"/>
    </w:pPr>
    <w:rPr>
      <w:rFonts w:eastAsia="黑体" w:cs="宋体"/>
      <w:b w:val="0"/>
      <w:bCs w:val="0"/>
      <w:sz w:val="24"/>
      <w:szCs w:val="20"/>
    </w:rPr>
  </w:style>
  <w:style w:type="paragraph" w:customStyle="1" w:styleId="123">
    <w:name w:val="正文首行缩进两字符"/>
    <w:basedOn w:val="1"/>
    <w:autoRedefine/>
    <w:qFormat/>
    <w:uiPriority w:val="0"/>
    <w:pPr>
      <w:spacing w:line="360" w:lineRule="auto"/>
      <w:ind w:firstLine="200" w:firstLineChars="200"/>
    </w:pPr>
  </w:style>
  <w:style w:type="paragraph" w:customStyle="1" w:styleId="124">
    <w:name w:val="正文段"/>
    <w:basedOn w:val="1"/>
    <w:autoRedefine/>
    <w:qFormat/>
    <w:uiPriority w:val="0"/>
    <w:pPr>
      <w:widowControl/>
      <w:snapToGrid w:val="0"/>
      <w:spacing w:after="50" w:afterLines="50"/>
      <w:ind w:firstLine="200" w:firstLineChars="200"/>
    </w:pPr>
    <w:rPr>
      <w:kern w:val="0"/>
      <w:sz w:val="24"/>
      <w:szCs w:val="20"/>
    </w:rPr>
  </w:style>
  <w:style w:type="table" w:customStyle="1" w:styleId="125">
    <w:name w:val="Table Normal"/>
    <w:autoRedefine/>
    <w:semiHidden/>
    <w:qFormat/>
    <w:uiPriority w:val="2"/>
    <w:pPr>
      <w:widowControl w:val="0"/>
    </w:pPr>
    <w:rPr>
      <w:rFonts w:ascii="Calibri" w:hAnsi="Calibri" w:eastAsia="Times New Roman"/>
      <w:sz w:val="22"/>
      <w:szCs w:val="22"/>
      <w:lang w:val="en-US" w:eastAsia="en-US" w:bidi="ar-SA"/>
    </w:rPr>
    <w:tblPr>
      <w:tblCellMar>
        <w:top w:w="0" w:type="dxa"/>
        <w:left w:w="0" w:type="dxa"/>
        <w:bottom w:w="0" w:type="dxa"/>
        <w:right w:w="0" w:type="dxa"/>
      </w:tblCellMar>
    </w:tblPr>
  </w:style>
  <w:style w:type="character" w:customStyle="1" w:styleId="126">
    <w:name w:val="页脚 字符"/>
    <w:autoRedefine/>
    <w:qFormat/>
    <w:uiPriority w:val="99"/>
  </w:style>
  <w:style w:type="character" w:customStyle="1" w:styleId="127">
    <w:name w:val="正文2 Char Char"/>
    <w:link w:val="128"/>
    <w:autoRedefine/>
    <w:qFormat/>
    <w:uiPriority w:val="0"/>
    <w:rPr>
      <w:kern w:val="2"/>
      <w:sz w:val="24"/>
    </w:rPr>
  </w:style>
  <w:style w:type="paragraph" w:customStyle="1" w:styleId="128">
    <w:name w:val="正文2"/>
    <w:basedOn w:val="1"/>
    <w:link w:val="127"/>
    <w:autoRedefine/>
    <w:qFormat/>
    <w:uiPriority w:val="0"/>
    <w:pPr>
      <w:adjustRightInd w:val="0"/>
      <w:spacing w:before="156" w:line="360" w:lineRule="auto"/>
      <w:ind w:firstLine="510" w:firstLineChars="200"/>
    </w:pPr>
    <w:rPr>
      <w:sz w:val="24"/>
      <w:szCs w:val="20"/>
    </w:rPr>
  </w:style>
  <w:style w:type="paragraph" w:customStyle="1" w:styleId="129">
    <w:name w:val="_Style 115"/>
    <w:autoRedefine/>
    <w:unhideWhenUsed/>
    <w:qFormat/>
    <w:uiPriority w:val="99"/>
    <w:rPr>
      <w:rFonts w:ascii="Times New Roman" w:hAnsi="Times New Roman" w:eastAsia="宋体" w:cs="Times New Roman"/>
      <w:kern w:val="2"/>
      <w:sz w:val="21"/>
      <w:szCs w:val="24"/>
      <w:lang w:val="en-US" w:eastAsia="zh-CN" w:bidi="ar-SA"/>
    </w:rPr>
  </w:style>
  <w:style w:type="character" w:customStyle="1" w:styleId="130">
    <w:name w:val="表格文字 Char1"/>
    <w:link w:val="2"/>
    <w:autoRedefine/>
    <w:qFormat/>
    <w:locked/>
    <w:uiPriority w:val="99"/>
    <w:rPr>
      <w:bCs/>
      <w:spacing w:val="10"/>
      <w:sz w:val="24"/>
    </w:rPr>
  </w:style>
  <w:style w:type="paragraph" w:customStyle="1" w:styleId="131">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32">
    <w:name w:val="列出段落1"/>
    <w:basedOn w:val="1"/>
    <w:autoRedefine/>
    <w:qFormat/>
    <w:uiPriority w:val="0"/>
    <w:pPr>
      <w:ind w:firstLine="420" w:firstLineChars="200"/>
    </w:pPr>
    <w:rPr>
      <w:szCs w:val="21"/>
    </w:rPr>
  </w:style>
  <w:style w:type="paragraph" w:customStyle="1" w:styleId="133">
    <w:name w:val=" Char5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4">
    <w:name w:val="标题 41"/>
    <w:basedOn w:val="1"/>
    <w:next w:val="1"/>
    <w:autoRedefine/>
    <w:unhideWhenUsed/>
    <w:qFormat/>
    <w:uiPriority w:val="10"/>
    <w:pPr>
      <w:keepNext/>
      <w:keepLines/>
      <w:spacing w:before="280" w:after="290" w:line="376" w:lineRule="auto"/>
      <w:outlineLvl w:val="3"/>
    </w:pPr>
    <w:rPr>
      <w:rFonts w:ascii="Calibri Light" w:hAnsi="Calibri Light" w:eastAsia="宋体" w:cs="Times New Roman"/>
      <w:b/>
      <w:bCs/>
      <w:sz w:val="28"/>
      <w:szCs w:val="28"/>
    </w:rPr>
  </w:style>
  <w:style w:type="character" w:customStyle="1" w:styleId="135">
    <w:name w:val="NormalCharacter"/>
    <w:autoRedefine/>
    <w:qFormat/>
    <w:uiPriority w:val="0"/>
  </w:style>
  <w:style w:type="table" w:customStyle="1" w:styleId="136">
    <w:name w:val="网格型1"/>
    <w:basedOn w:val="48"/>
    <w:autoRedefine/>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37">
    <w:name w:val="网格型11"/>
    <w:basedOn w:val="4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8">
    <w:name w:val="纯文本1"/>
    <w:basedOn w:val="1"/>
    <w:autoRedefine/>
    <w:qFormat/>
    <w:uiPriority w:val="0"/>
    <w:rPr>
      <w:rFonts w:ascii="宋体" w:hAnsi="Courier New" w:cs="Century"/>
      <w:szCs w:val="21"/>
    </w:rPr>
  </w:style>
  <w:style w:type="table" w:customStyle="1" w:styleId="139">
    <w:name w:val="网格型2"/>
    <w:basedOn w:val="48"/>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40">
    <w:name w:val="No Spacing"/>
    <w:autoRedefine/>
    <w:qFormat/>
    <w:uiPriority w:val="1"/>
    <w:pPr>
      <w:adjustRightInd w:val="0"/>
      <w:snapToGrid w:val="0"/>
    </w:pPr>
    <w:rPr>
      <w:rFonts w:ascii="Tahoma" w:hAnsi="Tahoma" w:eastAsia="微软雅黑" w:cs="Times New Roman"/>
      <w:sz w:val="22"/>
      <w:szCs w:val="22"/>
      <w:lang w:val="en-US" w:eastAsia="zh-CN" w:bidi="ar-SA"/>
    </w:rPr>
  </w:style>
  <w:style w:type="paragraph" w:customStyle="1" w:styleId="141">
    <w:name w:val="Default"/>
    <w:autoRedefine/>
    <w:qFormat/>
    <w:uiPriority w:val="0"/>
    <w:pPr>
      <w:autoSpaceDE w:val="0"/>
      <w:autoSpaceDN w:val="0"/>
      <w:adjustRightInd w:val="0"/>
    </w:pPr>
    <w:rPr>
      <w:rFonts w:ascii="Arial" w:hAnsi="Arial" w:eastAsia="宋体" w:cs="Arial"/>
      <w:color w:val="000000"/>
      <w:sz w:val="24"/>
      <w:szCs w:val="24"/>
      <w:lang w:val="en-US" w:eastAsia="zh-CN" w:bidi="ar-SA"/>
    </w:rPr>
  </w:style>
  <w:style w:type="character" w:customStyle="1" w:styleId="142">
    <w:name w:val="text__nfvs"/>
    <w:basedOn w:val="50"/>
    <w:autoRedefine/>
    <w:qFormat/>
    <w:uiPriority w:val="0"/>
  </w:style>
  <w:style w:type="character" w:customStyle="1" w:styleId="143">
    <w:name w:val="supwrap_avpch"/>
    <w:basedOn w:val="50"/>
    <w:autoRedefine/>
    <w:qFormat/>
    <w:uiPriority w:val="0"/>
  </w:style>
  <w:style w:type="character" w:customStyle="1" w:styleId="144">
    <w:name w:val="hover"/>
    <w:basedOn w:val="50"/>
    <w:autoRedefine/>
    <w:qFormat/>
    <w:uiPriority w:val="0"/>
  </w:style>
  <w:style w:type="character" w:customStyle="1" w:styleId="145">
    <w:name w:val="hover1"/>
    <w:basedOn w:val="50"/>
    <w:autoRedefine/>
    <w:qFormat/>
    <w:uiPriority w:val="0"/>
    <w:rPr>
      <w:color w:val="2590EB"/>
    </w:rPr>
  </w:style>
  <w:style w:type="character" w:customStyle="1" w:styleId="146">
    <w:name w:val="hover2"/>
    <w:basedOn w:val="50"/>
    <w:autoRedefine/>
    <w:qFormat/>
    <w:uiPriority w:val="0"/>
    <w:rPr>
      <w:color w:val="2590EB"/>
    </w:rPr>
  </w:style>
  <w:style w:type="character" w:customStyle="1" w:styleId="147">
    <w:name w:val="hover3"/>
    <w:basedOn w:val="50"/>
    <w:autoRedefine/>
    <w:qFormat/>
    <w:uiPriority w:val="0"/>
  </w:style>
  <w:style w:type="paragraph" w:customStyle="1" w:styleId="148">
    <w:name w:val="Table Text"/>
    <w:basedOn w:val="1"/>
    <w:autoRedefine/>
    <w:semiHidden/>
    <w:qFormat/>
    <w:uiPriority w:val="0"/>
    <w:rPr>
      <w:rFonts w:ascii="宋体" w:hAnsi="宋体" w:eastAsia="宋体" w:cs="宋体"/>
      <w:sz w:val="20"/>
      <w:szCs w:val="20"/>
      <w:lang w:val="en-US" w:eastAsia="en-US" w:bidi="ar-SA"/>
    </w:rPr>
  </w:style>
  <w:style w:type="paragraph" w:customStyle="1" w:styleId="149">
    <w:name w:val="Heading2"/>
    <w:basedOn w:val="1"/>
    <w:next w:val="1"/>
    <w:qFormat/>
    <w:uiPriority w:val="0"/>
    <w:pPr>
      <w:keepNext/>
      <w:keepLines/>
      <w:spacing w:before="60" w:after="60" w:line="413" w:lineRule="auto"/>
      <w:textAlignment w:val="baseline"/>
    </w:pPr>
    <w:rPr>
      <w:rFonts w:ascii="Arial" w:hAnsi="Arial" w:eastAsia="黑体"/>
      <w:b/>
      <w:bCs/>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https://www.gov.cn/zhengce/content/202509/W020250930645245947614.png" TargetMode="Externa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118</Pages>
  <Words>64905</Words>
  <Characters>69677</Characters>
  <Lines>2646</Lines>
  <Paragraphs>2559</Paragraphs>
  <TotalTime>87</TotalTime>
  <ScaleCrop>false</ScaleCrop>
  <LinksUpToDate>false</LinksUpToDate>
  <CharactersWithSpaces>75809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2025-03-11T03:03:00Z</dcterms:created>
  <dc:creator>番茄花园</dc:creator>
  <cp:lastModifiedBy>QQ</cp:lastModifiedBy>
  <cp:lastPrinted>2019-09-27T01:36:00Z</cp:lastPrinted>
  <dcterms:modified xsi:type="dcterms:W3CDTF">2026-03-09T02:42:02Z</dcterms:modified>
  <dc:title>公开招标采购文件范本</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01CA1E3C9E404419857CB759B1F21947_13</vt:lpwstr>
  </property>
  <property fmtid="{D5CDD505-2E9C-101B-9397-08002B2CF9AE}" pid="4" name="KSOTemplateDocerSaveRecord">
    <vt:lpwstr>eyJoZGlkIjoiZTljNTc1NGMyMGIyN2RmOTZmMjliMWRkZDI0Njk3NTciLCJ1c2VySWQiOiIyNjk4Mjc3NjMifQ==</vt:lpwstr>
  </property>
</Properties>
</file>