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99AEE">
      <w:pPr>
        <w:spacing w:line="360" w:lineRule="auto"/>
        <w:jc w:val="center"/>
        <w:rPr>
          <w:rFonts w:ascii="方正小标宋简体" w:hAnsi="方正小标宋简体" w:eastAsia="方正小标宋简体" w:cs="方正小标宋简体"/>
          <w:color w:val="auto"/>
          <w:sz w:val="52"/>
          <w:szCs w:val="52"/>
        </w:rPr>
      </w:pPr>
      <w:r>
        <w:rPr>
          <w:rFonts w:hint="eastAsia" w:ascii="方正小标宋简体" w:hAnsi="宋体" w:eastAsia="方正小标宋简体"/>
          <w:color w:val="auto"/>
          <w:sz w:val="52"/>
          <w:szCs w:val="52"/>
        </w:rPr>
        <w:t>云之龙咨询集团有限公司</w:t>
      </w:r>
    </w:p>
    <w:p w14:paraId="5D0B9A29">
      <w:pPr>
        <w:spacing w:line="360" w:lineRule="auto"/>
        <w:jc w:val="center"/>
        <w:rPr>
          <w:rFonts w:ascii="方正小标宋简体" w:hAnsi="方正小标宋简体" w:eastAsia="方正小标宋简体" w:cs="方正小标宋简体"/>
          <w:b/>
          <w:color w:val="auto"/>
          <w:sz w:val="44"/>
          <w:szCs w:val="44"/>
        </w:rPr>
      </w:pPr>
    </w:p>
    <w:p w14:paraId="49569838">
      <w:pPr>
        <w:spacing w:line="360" w:lineRule="auto"/>
        <w:jc w:val="center"/>
        <w:rPr>
          <w:rFonts w:ascii="方正小标宋简体" w:hAnsi="方正小标宋简体" w:eastAsia="方正小标宋简体" w:cs="方正小标宋简体"/>
          <w:b/>
          <w:color w:val="auto"/>
          <w:sz w:val="44"/>
          <w:szCs w:val="44"/>
        </w:rPr>
      </w:pPr>
    </w:p>
    <w:p w14:paraId="7EFDF2EA">
      <w:pPr>
        <w:snapToGrid w:val="0"/>
        <w:spacing w:before="156" w:beforeLines="50" w:line="360" w:lineRule="auto"/>
        <w:jc w:val="center"/>
        <w:rPr>
          <w:rFonts w:ascii="华文新魏" w:hAnsi="宋体" w:eastAsia="华文新魏"/>
          <w:color w:val="auto"/>
          <w:sz w:val="120"/>
          <w:szCs w:val="120"/>
        </w:rPr>
      </w:pPr>
      <w:r>
        <w:rPr>
          <w:rFonts w:hint="eastAsia" w:ascii="华文新魏" w:hAnsi="宋体" w:eastAsia="华文新魏"/>
          <w:color w:val="auto"/>
          <w:sz w:val="120"/>
          <w:szCs w:val="120"/>
        </w:rPr>
        <w:t>竞争性磋商文件</w:t>
      </w:r>
    </w:p>
    <w:p w14:paraId="78B43E18">
      <w:pPr>
        <w:snapToGrid w:val="0"/>
        <w:spacing w:before="156" w:beforeLines="50" w:line="360" w:lineRule="auto"/>
        <w:jc w:val="center"/>
        <w:rPr>
          <w:rFonts w:ascii="仿宋_GB2312" w:hAnsi="宋体" w:eastAsia="仿宋_GB2312"/>
          <w:bCs/>
          <w:color w:val="auto"/>
          <w:sz w:val="30"/>
          <w:szCs w:val="72"/>
        </w:rPr>
      </w:pPr>
      <w:r>
        <w:rPr>
          <w:rFonts w:hint="eastAsia" w:ascii="仿宋_GB2312" w:hAnsi="宋体" w:eastAsia="仿宋_GB2312"/>
          <w:bCs/>
          <w:color w:val="auto"/>
          <w:sz w:val="48"/>
          <w:szCs w:val="48"/>
        </w:rPr>
        <w:t>（全流程电子化采购）</w:t>
      </w:r>
    </w:p>
    <w:p w14:paraId="63759AF3">
      <w:pPr>
        <w:snapToGrid w:val="0"/>
        <w:spacing w:line="360" w:lineRule="auto"/>
        <w:rPr>
          <w:rFonts w:ascii="仿宋_GB2312" w:hAnsi="宋体" w:eastAsia="仿宋_GB2312"/>
          <w:bCs/>
          <w:color w:val="auto"/>
          <w:sz w:val="30"/>
          <w:szCs w:val="72"/>
        </w:rPr>
      </w:pPr>
    </w:p>
    <w:p w14:paraId="122B542F">
      <w:pPr>
        <w:pStyle w:val="26"/>
        <w:snapToGrid w:val="0"/>
        <w:spacing w:line="360" w:lineRule="auto"/>
        <w:ind w:firstLine="855" w:firstLineChars="300"/>
        <w:rPr>
          <w:rFonts w:ascii="仿宋_GB2312" w:hAnsi="宋体" w:eastAsia="仿宋_GB2312"/>
          <w:bCs/>
          <w:color w:val="auto"/>
          <w:w w:val="95"/>
          <w:sz w:val="30"/>
          <w:szCs w:val="30"/>
        </w:rPr>
      </w:pPr>
    </w:p>
    <w:p w14:paraId="26311B48">
      <w:pPr>
        <w:pStyle w:val="26"/>
        <w:snapToGrid w:val="0"/>
        <w:spacing w:line="360" w:lineRule="auto"/>
        <w:ind w:firstLine="855" w:firstLineChars="300"/>
        <w:rPr>
          <w:rFonts w:ascii="仿宋_GB2312" w:hAnsi="宋体" w:eastAsia="仿宋_GB2312"/>
          <w:bCs/>
          <w:color w:val="auto"/>
          <w:w w:val="95"/>
          <w:sz w:val="30"/>
          <w:szCs w:val="30"/>
        </w:rPr>
      </w:pPr>
    </w:p>
    <w:p w14:paraId="699D8EBF">
      <w:pPr>
        <w:snapToGrid w:val="0"/>
        <w:spacing w:line="360" w:lineRule="auto"/>
        <w:ind w:firstLine="855" w:firstLineChars="300"/>
        <w:rPr>
          <w:rFonts w:hint="eastAsia" w:ascii="仿宋_GB2312" w:hAnsi="宋体" w:eastAsia="仿宋_GB2312"/>
          <w:bCs/>
          <w:color w:val="auto"/>
          <w:w w:val="95"/>
          <w:sz w:val="30"/>
          <w:szCs w:val="30"/>
          <w:lang w:eastAsia="zh-CN"/>
        </w:rPr>
      </w:pPr>
      <w:r>
        <w:rPr>
          <w:rFonts w:hint="eastAsia" w:ascii="仿宋_GB2312" w:hAnsi="宋体" w:eastAsia="仿宋_GB2312"/>
          <w:bCs/>
          <w:color w:val="auto"/>
          <w:w w:val="95"/>
          <w:sz w:val="30"/>
          <w:szCs w:val="30"/>
        </w:rPr>
        <w:t>项目名称：</w:t>
      </w:r>
      <w:r>
        <w:rPr>
          <w:rFonts w:hint="eastAsia" w:ascii="仿宋_GB2312" w:hAnsi="宋体" w:eastAsia="仿宋_GB2312"/>
          <w:bCs/>
          <w:color w:val="auto"/>
          <w:w w:val="95"/>
          <w:sz w:val="30"/>
          <w:szCs w:val="30"/>
          <w:lang w:eastAsia="zh-CN"/>
        </w:rPr>
        <w:t>钦州市公安局反恐怖和特巡警支队营房改造修缮项目</w:t>
      </w:r>
    </w:p>
    <w:p w14:paraId="33954388">
      <w:pPr>
        <w:snapToGrid w:val="0"/>
        <w:spacing w:line="360" w:lineRule="auto"/>
        <w:ind w:firstLine="855" w:firstLineChars="300"/>
        <w:rPr>
          <w:rFonts w:ascii="仿宋_GB2312" w:hAnsi="宋体" w:eastAsia="仿宋_GB2312"/>
          <w:bCs/>
          <w:color w:val="auto"/>
          <w:w w:val="95"/>
          <w:kern w:val="0"/>
          <w:sz w:val="30"/>
          <w:szCs w:val="30"/>
        </w:rPr>
      </w:pPr>
      <w:r>
        <w:rPr>
          <w:rFonts w:hint="eastAsia" w:ascii="仿宋_GB2312" w:hAnsi="宋体" w:eastAsia="仿宋_GB2312"/>
          <w:bCs/>
          <w:color w:val="auto"/>
          <w:w w:val="95"/>
          <w:kern w:val="0"/>
          <w:sz w:val="30"/>
          <w:szCs w:val="30"/>
        </w:rPr>
        <w:t>项目编号：QZZC2026-C2-990035-YZLZ</w:t>
      </w:r>
    </w:p>
    <w:p w14:paraId="59D2AAE2">
      <w:pPr>
        <w:pStyle w:val="26"/>
        <w:snapToGrid w:val="0"/>
        <w:spacing w:line="360" w:lineRule="auto"/>
        <w:ind w:firstLine="855" w:firstLineChars="300"/>
        <w:rPr>
          <w:rFonts w:ascii="仿宋_GB2312" w:hAnsi="宋体" w:eastAsia="仿宋_GB2312"/>
          <w:bCs/>
          <w:color w:val="auto"/>
          <w:w w:val="95"/>
          <w:sz w:val="30"/>
          <w:szCs w:val="30"/>
        </w:rPr>
      </w:pPr>
      <w:r>
        <w:rPr>
          <w:rFonts w:hint="eastAsia" w:ascii="仿宋_GB2312" w:hAnsi="宋体" w:eastAsia="仿宋_GB2312"/>
          <w:bCs/>
          <w:color w:val="auto"/>
          <w:w w:val="95"/>
          <w:sz w:val="30"/>
          <w:szCs w:val="30"/>
        </w:rPr>
        <w:t xml:space="preserve">采 购 人：钦州市公安局 </w:t>
      </w:r>
    </w:p>
    <w:p w14:paraId="0DAAF65F">
      <w:pPr>
        <w:pStyle w:val="26"/>
        <w:snapToGrid w:val="0"/>
        <w:spacing w:line="360" w:lineRule="auto"/>
        <w:ind w:firstLine="855" w:firstLineChars="300"/>
        <w:rPr>
          <w:rFonts w:ascii="仿宋_GB2312" w:hAnsi="宋体" w:eastAsia="仿宋_GB2312"/>
          <w:bCs/>
          <w:color w:val="auto"/>
          <w:w w:val="95"/>
          <w:sz w:val="30"/>
          <w:szCs w:val="30"/>
        </w:rPr>
      </w:pPr>
      <w:r>
        <w:rPr>
          <w:rFonts w:hint="eastAsia" w:ascii="仿宋_GB2312" w:hAnsi="宋体" w:eastAsia="仿宋_GB2312"/>
          <w:bCs/>
          <w:color w:val="auto"/>
          <w:w w:val="95"/>
          <w:sz w:val="30"/>
          <w:szCs w:val="30"/>
        </w:rPr>
        <w:t>采购代理机构：云之龙咨询集团有限公司</w:t>
      </w:r>
    </w:p>
    <w:p w14:paraId="0A4854D3">
      <w:pPr>
        <w:pStyle w:val="26"/>
        <w:snapToGrid w:val="0"/>
        <w:spacing w:line="360" w:lineRule="auto"/>
        <w:ind w:firstLine="1120" w:firstLineChars="393"/>
        <w:rPr>
          <w:rFonts w:ascii="仿宋_GB2312" w:hAnsi="宋体" w:eastAsia="仿宋_GB2312"/>
          <w:bCs/>
          <w:color w:val="auto"/>
          <w:w w:val="95"/>
          <w:sz w:val="30"/>
          <w:szCs w:val="30"/>
        </w:rPr>
      </w:pPr>
    </w:p>
    <w:p w14:paraId="28073E41">
      <w:pPr>
        <w:pStyle w:val="26"/>
        <w:snapToGrid w:val="0"/>
        <w:spacing w:line="360" w:lineRule="auto"/>
        <w:ind w:left="420" w:firstLine="837" w:firstLineChars="294"/>
        <w:rPr>
          <w:rFonts w:ascii="仿宋_GB2312" w:eastAsia="仿宋_GB2312"/>
          <w:bCs/>
          <w:color w:val="auto"/>
          <w:szCs w:val="20"/>
        </w:rPr>
      </w:pPr>
      <w:r>
        <w:rPr>
          <w:rFonts w:hint="eastAsia" w:ascii="仿宋_GB2312" w:hAnsi="宋体" w:eastAsia="仿宋_GB2312"/>
          <w:bCs/>
          <w:color w:val="auto"/>
          <w:w w:val="95"/>
          <w:sz w:val="30"/>
          <w:szCs w:val="30"/>
        </w:rPr>
        <w:t xml:space="preserve">              2026年1月</w:t>
      </w:r>
      <w:r>
        <w:rPr>
          <w:rFonts w:hint="eastAsia" w:ascii="仿宋_GB2312" w:hAnsi="宋体" w:eastAsia="仿宋_GB2312"/>
          <w:bCs/>
          <w:color w:val="auto"/>
          <w:w w:val="95"/>
          <w:sz w:val="30"/>
          <w:szCs w:val="30"/>
          <w:lang w:val="en-US" w:eastAsia="zh-CN"/>
        </w:rPr>
        <w:t>24</w:t>
      </w:r>
      <w:r>
        <w:rPr>
          <w:rFonts w:hint="eastAsia" w:ascii="仿宋_GB2312" w:hAnsi="宋体" w:eastAsia="仿宋_GB2312"/>
          <w:bCs/>
          <w:color w:val="auto"/>
          <w:w w:val="95"/>
          <w:sz w:val="30"/>
          <w:szCs w:val="30"/>
        </w:rPr>
        <w:t>日</w:t>
      </w:r>
    </w:p>
    <w:p w14:paraId="75F47AFB">
      <w:pPr>
        <w:spacing w:line="360" w:lineRule="auto"/>
        <w:jc w:val="center"/>
        <w:rPr>
          <w:rFonts w:ascii="宋体" w:hAnsi="宋体" w:cs="宋体"/>
          <w:b/>
          <w:bCs/>
          <w:color w:val="auto"/>
          <w:kern w:val="0"/>
          <w:sz w:val="32"/>
          <w:szCs w:val="32"/>
        </w:rPr>
      </w:pPr>
    </w:p>
    <w:p w14:paraId="08C4D48F">
      <w:pPr>
        <w:spacing w:line="360" w:lineRule="auto"/>
        <w:rPr>
          <w:rFonts w:ascii="宋体" w:hAnsi="宋体"/>
          <w:b/>
          <w:color w:val="auto"/>
          <w:sz w:val="44"/>
          <w:szCs w:val="44"/>
        </w:rPr>
      </w:pPr>
      <w:r>
        <w:rPr>
          <w:rFonts w:ascii="宋体" w:hAnsi="宋体"/>
          <w:b/>
          <w:color w:val="auto"/>
          <w:sz w:val="44"/>
          <w:szCs w:val="44"/>
        </w:rPr>
        <w:br w:type="page"/>
      </w:r>
    </w:p>
    <w:p w14:paraId="76EFF4FD">
      <w:pPr>
        <w:spacing w:line="360" w:lineRule="auto"/>
        <w:jc w:val="center"/>
        <w:rPr>
          <w:rFonts w:ascii="宋体" w:hAnsi="宋体"/>
          <w:b/>
          <w:color w:val="auto"/>
          <w:sz w:val="44"/>
          <w:szCs w:val="44"/>
        </w:rPr>
      </w:pPr>
      <w:r>
        <w:rPr>
          <w:rFonts w:hint="eastAsia" w:ascii="宋体" w:hAnsi="宋体"/>
          <w:b/>
          <w:color w:val="auto"/>
          <w:sz w:val="44"/>
          <w:szCs w:val="44"/>
        </w:rPr>
        <w:t>目  录</w:t>
      </w:r>
    </w:p>
    <w:p w14:paraId="17B903BD">
      <w:pPr>
        <w:spacing w:line="400" w:lineRule="exact"/>
        <w:jc w:val="center"/>
        <w:rPr>
          <w:rFonts w:ascii="宋体" w:hAnsi="宋体"/>
          <w:b/>
          <w:color w:val="auto"/>
          <w:sz w:val="44"/>
          <w:szCs w:val="44"/>
        </w:rPr>
      </w:pPr>
    </w:p>
    <w:p w14:paraId="0007FCF7">
      <w:pPr>
        <w:pStyle w:val="33"/>
        <w:tabs>
          <w:tab w:val="right" w:leader="dot" w:pos="8869"/>
        </w:tabs>
        <w:spacing w:line="360" w:lineRule="auto"/>
        <w:rPr>
          <w:rFonts w:ascii="Calibri" w:hAnsi="Calibri"/>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color w:val="auto"/>
        </w:rPr>
        <w:fldChar w:fldCharType="begin"/>
      </w:r>
      <w:r>
        <w:rPr>
          <w:color w:val="auto"/>
        </w:rPr>
        <w:instrText xml:space="preserve"> HYPERLINK \l "_Toc122424244" </w:instrText>
      </w:r>
      <w:r>
        <w:rPr>
          <w:color w:val="auto"/>
        </w:rPr>
        <w:fldChar w:fldCharType="separate"/>
      </w:r>
      <w:r>
        <w:rPr>
          <w:rStyle w:val="52"/>
          <w:rFonts w:hint="eastAsia"/>
          <w:b/>
          <w:color w:val="auto"/>
          <w:sz w:val="24"/>
        </w:rPr>
        <w:t>第一章</w:t>
      </w:r>
      <w:r>
        <w:rPr>
          <w:rStyle w:val="52"/>
          <w:b/>
          <w:color w:val="auto"/>
          <w:sz w:val="24"/>
        </w:rPr>
        <w:t xml:space="preserve"> </w:t>
      </w:r>
      <w:r>
        <w:rPr>
          <w:rStyle w:val="52"/>
          <w:rFonts w:hint="eastAsia"/>
          <w:b/>
          <w:color w:val="auto"/>
          <w:sz w:val="24"/>
        </w:rPr>
        <w:t>竞争性磋商公告</w:t>
      </w:r>
      <w:r>
        <w:rPr>
          <w:b/>
          <w:color w:val="auto"/>
          <w:sz w:val="24"/>
        </w:rPr>
        <w:tab/>
      </w:r>
      <w:r>
        <w:rPr>
          <w:b/>
          <w:color w:val="auto"/>
          <w:sz w:val="24"/>
        </w:rPr>
        <w:fldChar w:fldCharType="begin"/>
      </w:r>
      <w:r>
        <w:rPr>
          <w:b/>
          <w:color w:val="auto"/>
          <w:sz w:val="24"/>
        </w:rPr>
        <w:instrText xml:space="preserve"> PAGEREF _Toc122424244 \h </w:instrText>
      </w:r>
      <w:r>
        <w:rPr>
          <w:b/>
          <w:color w:val="auto"/>
          <w:sz w:val="24"/>
        </w:rPr>
        <w:fldChar w:fldCharType="separate"/>
      </w:r>
      <w:r>
        <w:rPr>
          <w:b/>
          <w:color w:val="auto"/>
          <w:sz w:val="24"/>
        </w:rPr>
        <w:t>2</w:t>
      </w:r>
      <w:r>
        <w:rPr>
          <w:b/>
          <w:color w:val="auto"/>
          <w:sz w:val="24"/>
        </w:rPr>
        <w:fldChar w:fldCharType="end"/>
      </w:r>
      <w:r>
        <w:rPr>
          <w:b/>
          <w:color w:val="auto"/>
          <w:sz w:val="24"/>
        </w:rPr>
        <w:fldChar w:fldCharType="end"/>
      </w:r>
    </w:p>
    <w:p w14:paraId="3EA92F04">
      <w:pPr>
        <w:pStyle w:val="33"/>
        <w:tabs>
          <w:tab w:val="right" w:leader="dot" w:pos="8869"/>
        </w:tabs>
        <w:spacing w:line="360" w:lineRule="auto"/>
        <w:rPr>
          <w:rFonts w:ascii="Calibri" w:hAnsi="Calibri"/>
          <w:b/>
          <w:color w:val="auto"/>
          <w:sz w:val="24"/>
        </w:rPr>
      </w:pPr>
      <w:r>
        <w:rPr>
          <w:color w:val="auto"/>
        </w:rPr>
        <w:fldChar w:fldCharType="begin"/>
      </w:r>
      <w:r>
        <w:rPr>
          <w:color w:val="auto"/>
        </w:rPr>
        <w:instrText xml:space="preserve"> HYPERLINK \l "_Toc122424245" </w:instrText>
      </w:r>
      <w:r>
        <w:rPr>
          <w:color w:val="auto"/>
        </w:rPr>
        <w:fldChar w:fldCharType="separate"/>
      </w:r>
      <w:r>
        <w:rPr>
          <w:rStyle w:val="52"/>
          <w:rFonts w:hint="eastAsia"/>
          <w:b/>
          <w:color w:val="auto"/>
          <w:sz w:val="24"/>
        </w:rPr>
        <w:t>第二章</w:t>
      </w:r>
      <w:r>
        <w:rPr>
          <w:rStyle w:val="52"/>
          <w:b/>
          <w:color w:val="auto"/>
          <w:sz w:val="24"/>
        </w:rPr>
        <w:t xml:space="preserve"> </w:t>
      </w:r>
      <w:r>
        <w:rPr>
          <w:rStyle w:val="52"/>
          <w:rFonts w:hint="eastAsia"/>
          <w:b/>
          <w:color w:val="auto"/>
          <w:sz w:val="24"/>
        </w:rPr>
        <w:t>供应商须知</w:t>
      </w:r>
      <w:r>
        <w:rPr>
          <w:b/>
          <w:color w:val="auto"/>
          <w:sz w:val="24"/>
        </w:rPr>
        <w:tab/>
      </w:r>
      <w:r>
        <w:rPr>
          <w:b/>
          <w:color w:val="auto"/>
          <w:sz w:val="24"/>
        </w:rPr>
        <w:fldChar w:fldCharType="begin"/>
      </w:r>
      <w:r>
        <w:rPr>
          <w:b/>
          <w:color w:val="auto"/>
          <w:sz w:val="24"/>
        </w:rPr>
        <w:instrText xml:space="preserve"> PAGEREF _Toc122424245 \h </w:instrText>
      </w:r>
      <w:r>
        <w:rPr>
          <w:b/>
          <w:color w:val="auto"/>
          <w:sz w:val="24"/>
        </w:rPr>
        <w:fldChar w:fldCharType="separate"/>
      </w:r>
      <w:r>
        <w:rPr>
          <w:b/>
          <w:color w:val="auto"/>
          <w:sz w:val="24"/>
        </w:rPr>
        <w:t>6</w:t>
      </w:r>
      <w:r>
        <w:rPr>
          <w:b/>
          <w:color w:val="auto"/>
          <w:sz w:val="24"/>
        </w:rPr>
        <w:fldChar w:fldCharType="end"/>
      </w:r>
      <w:r>
        <w:rPr>
          <w:b/>
          <w:color w:val="auto"/>
          <w:sz w:val="24"/>
        </w:rPr>
        <w:fldChar w:fldCharType="end"/>
      </w:r>
    </w:p>
    <w:p w14:paraId="5A0C4A7F">
      <w:pPr>
        <w:pStyle w:val="33"/>
        <w:tabs>
          <w:tab w:val="right" w:leader="dot" w:pos="8869"/>
        </w:tabs>
        <w:spacing w:line="360" w:lineRule="auto"/>
        <w:rPr>
          <w:rFonts w:ascii="Calibri" w:hAnsi="Calibri"/>
          <w:b/>
          <w:color w:val="auto"/>
          <w:sz w:val="24"/>
        </w:rPr>
      </w:pPr>
      <w:r>
        <w:rPr>
          <w:color w:val="auto"/>
        </w:rPr>
        <w:fldChar w:fldCharType="begin"/>
      </w:r>
      <w:r>
        <w:rPr>
          <w:color w:val="auto"/>
        </w:rPr>
        <w:instrText xml:space="preserve"> HYPERLINK \l "_Toc122424246" </w:instrText>
      </w:r>
      <w:r>
        <w:rPr>
          <w:color w:val="auto"/>
        </w:rPr>
        <w:fldChar w:fldCharType="separate"/>
      </w:r>
      <w:r>
        <w:rPr>
          <w:rStyle w:val="52"/>
          <w:rFonts w:hint="eastAsia"/>
          <w:b/>
          <w:color w:val="auto"/>
          <w:sz w:val="24"/>
        </w:rPr>
        <w:t>第三章</w:t>
      </w:r>
      <w:r>
        <w:rPr>
          <w:rStyle w:val="52"/>
          <w:b/>
          <w:color w:val="auto"/>
          <w:sz w:val="24"/>
        </w:rPr>
        <w:t xml:space="preserve"> </w:t>
      </w:r>
      <w:r>
        <w:rPr>
          <w:rStyle w:val="52"/>
          <w:rFonts w:hint="eastAsia"/>
          <w:b/>
          <w:color w:val="auto"/>
          <w:sz w:val="24"/>
        </w:rPr>
        <w:t>采购需求</w:t>
      </w:r>
      <w:r>
        <w:rPr>
          <w:b/>
          <w:color w:val="auto"/>
          <w:sz w:val="24"/>
        </w:rPr>
        <w:tab/>
      </w:r>
      <w:r>
        <w:rPr>
          <w:b/>
          <w:color w:val="auto"/>
          <w:sz w:val="24"/>
        </w:rPr>
        <w:fldChar w:fldCharType="begin"/>
      </w:r>
      <w:r>
        <w:rPr>
          <w:b/>
          <w:color w:val="auto"/>
          <w:sz w:val="24"/>
        </w:rPr>
        <w:instrText xml:space="preserve"> PAGEREF _Toc122424246 \h </w:instrText>
      </w:r>
      <w:r>
        <w:rPr>
          <w:b/>
          <w:color w:val="auto"/>
          <w:sz w:val="24"/>
        </w:rPr>
        <w:fldChar w:fldCharType="separate"/>
      </w:r>
      <w:r>
        <w:rPr>
          <w:b/>
          <w:color w:val="auto"/>
          <w:sz w:val="24"/>
        </w:rPr>
        <w:t>26</w:t>
      </w:r>
      <w:r>
        <w:rPr>
          <w:b/>
          <w:color w:val="auto"/>
          <w:sz w:val="24"/>
        </w:rPr>
        <w:fldChar w:fldCharType="end"/>
      </w:r>
      <w:r>
        <w:rPr>
          <w:b/>
          <w:color w:val="auto"/>
          <w:sz w:val="24"/>
        </w:rPr>
        <w:fldChar w:fldCharType="end"/>
      </w:r>
    </w:p>
    <w:p w14:paraId="73A8CCD9">
      <w:pPr>
        <w:pStyle w:val="33"/>
        <w:tabs>
          <w:tab w:val="right" w:leader="dot" w:pos="8869"/>
        </w:tabs>
        <w:spacing w:line="360" w:lineRule="auto"/>
        <w:rPr>
          <w:rFonts w:ascii="Calibri" w:hAnsi="Calibri"/>
          <w:b/>
          <w:color w:val="auto"/>
          <w:sz w:val="24"/>
        </w:rPr>
      </w:pPr>
      <w:r>
        <w:rPr>
          <w:color w:val="auto"/>
        </w:rPr>
        <w:fldChar w:fldCharType="begin"/>
      </w:r>
      <w:r>
        <w:rPr>
          <w:color w:val="auto"/>
        </w:rPr>
        <w:instrText xml:space="preserve"> HYPERLINK \l "_Toc122424247" </w:instrText>
      </w:r>
      <w:r>
        <w:rPr>
          <w:color w:val="auto"/>
        </w:rPr>
        <w:fldChar w:fldCharType="separate"/>
      </w:r>
      <w:r>
        <w:rPr>
          <w:rStyle w:val="52"/>
          <w:rFonts w:hint="eastAsia"/>
          <w:b/>
          <w:color w:val="auto"/>
          <w:sz w:val="24"/>
        </w:rPr>
        <w:t>第四章</w:t>
      </w:r>
      <w:r>
        <w:rPr>
          <w:rStyle w:val="52"/>
          <w:b/>
          <w:color w:val="auto"/>
          <w:sz w:val="24"/>
        </w:rPr>
        <w:t xml:space="preserve"> </w:t>
      </w:r>
      <w:r>
        <w:rPr>
          <w:rStyle w:val="52"/>
          <w:rFonts w:hint="eastAsia"/>
          <w:b/>
          <w:color w:val="auto"/>
          <w:sz w:val="24"/>
        </w:rPr>
        <w:t>评审程序、评审方法和评审标准</w:t>
      </w:r>
      <w:r>
        <w:rPr>
          <w:b/>
          <w:color w:val="auto"/>
          <w:sz w:val="24"/>
        </w:rPr>
        <w:tab/>
      </w:r>
      <w:r>
        <w:rPr>
          <w:b/>
          <w:color w:val="auto"/>
          <w:sz w:val="24"/>
        </w:rPr>
        <w:fldChar w:fldCharType="begin"/>
      </w:r>
      <w:r>
        <w:rPr>
          <w:b/>
          <w:color w:val="auto"/>
          <w:sz w:val="24"/>
        </w:rPr>
        <w:instrText xml:space="preserve"> PAGEREF _Toc122424247 \h </w:instrText>
      </w:r>
      <w:r>
        <w:rPr>
          <w:b/>
          <w:color w:val="auto"/>
          <w:sz w:val="24"/>
        </w:rPr>
        <w:fldChar w:fldCharType="separate"/>
      </w:r>
      <w:r>
        <w:rPr>
          <w:b/>
          <w:color w:val="auto"/>
          <w:sz w:val="24"/>
        </w:rPr>
        <w:t>28</w:t>
      </w:r>
      <w:r>
        <w:rPr>
          <w:b/>
          <w:color w:val="auto"/>
          <w:sz w:val="24"/>
        </w:rPr>
        <w:fldChar w:fldCharType="end"/>
      </w:r>
      <w:r>
        <w:rPr>
          <w:b/>
          <w:color w:val="auto"/>
          <w:sz w:val="24"/>
        </w:rPr>
        <w:fldChar w:fldCharType="end"/>
      </w:r>
    </w:p>
    <w:p w14:paraId="6E8392F6">
      <w:pPr>
        <w:pStyle w:val="33"/>
        <w:tabs>
          <w:tab w:val="right" w:leader="dot" w:pos="8869"/>
        </w:tabs>
        <w:spacing w:line="360" w:lineRule="auto"/>
        <w:rPr>
          <w:rFonts w:ascii="Calibri" w:hAnsi="Calibri"/>
          <w:b/>
          <w:color w:val="auto"/>
          <w:sz w:val="24"/>
        </w:rPr>
      </w:pPr>
      <w:r>
        <w:rPr>
          <w:color w:val="auto"/>
        </w:rPr>
        <w:fldChar w:fldCharType="begin"/>
      </w:r>
      <w:r>
        <w:rPr>
          <w:color w:val="auto"/>
        </w:rPr>
        <w:instrText xml:space="preserve"> HYPERLINK \l "_Toc122424248" </w:instrText>
      </w:r>
      <w:r>
        <w:rPr>
          <w:color w:val="auto"/>
        </w:rPr>
        <w:fldChar w:fldCharType="separate"/>
      </w:r>
      <w:r>
        <w:rPr>
          <w:rStyle w:val="52"/>
          <w:rFonts w:hint="eastAsia"/>
          <w:b/>
          <w:color w:val="auto"/>
          <w:sz w:val="24"/>
        </w:rPr>
        <w:t>第五章</w:t>
      </w:r>
      <w:r>
        <w:rPr>
          <w:rStyle w:val="52"/>
          <w:b/>
          <w:color w:val="auto"/>
          <w:sz w:val="24"/>
        </w:rPr>
        <w:t xml:space="preserve"> </w:t>
      </w:r>
      <w:r>
        <w:rPr>
          <w:rStyle w:val="52"/>
          <w:rFonts w:hint="eastAsia"/>
          <w:b/>
          <w:color w:val="auto"/>
          <w:sz w:val="24"/>
        </w:rPr>
        <w:t>工程量清单及图纸</w:t>
      </w:r>
      <w:r>
        <w:rPr>
          <w:b/>
          <w:color w:val="auto"/>
          <w:sz w:val="24"/>
        </w:rPr>
        <w:tab/>
      </w:r>
      <w:r>
        <w:rPr>
          <w:b/>
          <w:color w:val="auto"/>
          <w:sz w:val="24"/>
        </w:rPr>
        <w:fldChar w:fldCharType="begin"/>
      </w:r>
      <w:r>
        <w:rPr>
          <w:b/>
          <w:color w:val="auto"/>
          <w:sz w:val="24"/>
        </w:rPr>
        <w:instrText xml:space="preserve"> PAGEREF _Toc122424248 \h </w:instrText>
      </w:r>
      <w:r>
        <w:rPr>
          <w:b/>
          <w:color w:val="auto"/>
          <w:sz w:val="24"/>
        </w:rPr>
        <w:fldChar w:fldCharType="separate"/>
      </w:r>
      <w:r>
        <w:rPr>
          <w:b/>
          <w:color w:val="auto"/>
          <w:sz w:val="24"/>
        </w:rPr>
        <w:t>38</w:t>
      </w:r>
      <w:r>
        <w:rPr>
          <w:b/>
          <w:color w:val="auto"/>
          <w:sz w:val="24"/>
        </w:rPr>
        <w:fldChar w:fldCharType="end"/>
      </w:r>
      <w:r>
        <w:rPr>
          <w:b/>
          <w:color w:val="auto"/>
          <w:sz w:val="24"/>
        </w:rPr>
        <w:fldChar w:fldCharType="end"/>
      </w:r>
    </w:p>
    <w:p w14:paraId="577F8BBB">
      <w:pPr>
        <w:pStyle w:val="33"/>
        <w:tabs>
          <w:tab w:val="right" w:leader="dot" w:pos="8869"/>
        </w:tabs>
        <w:spacing w:line="360" w:lineRule="auto"/>
        <w:rPr>
          <w:rFonts w:ascii="Calibri" w:hAnsi="Calibri"/>
          <w:b/>
          <w:color w:val="auto"/>
          <w:sz w:val="24"/>
        </w:rPr>
      </w:pPr>
      <w:r>
        <w:rPr>
          <w:color w:val="auto"/>
        </w:rPr>
        <w:fldChar w:fldCharType="begin"/>
      </w:r>
      <w:r>
        <w:rPr>
          <w:color w:val="auto"/>
        </w:rPr>
        <w:instrText xml:space="preserve"> HYPERLINK \l "_Toc122424265" </w:instrText>
      </w:r>
      <w:r>
        <w:rPr>
          <w:color w:val="auto"/>
        </w:rPr>
        <w:fldChar w:fldCharType="separate"/>
      </w:r>
      <w:r>
        <w:rPr>
          <w:rStyle w:val="52"/>
          <w:rFonts w:hint="eastAsia"/>
          <w:b/>
          <w:color w:val="auto"/>
          <w:sz w:val="24"/>
        </w:rPr>
        <w:t>第六章</w:t>
      </w:r>
      <w:r>
        <w:rPr>
          <w:rStyle w:val="52"/>
          <w:b/>
          <w:color w:val="auto"/>
          <w:sz w:val="24"/>
        </w:rPr>
        <w:t xml:space="preserve"> </w:t>
      </w:r>
      <w:r>
        <w:rPr>
          <w:rStyle w:val="52"/>
          <w:rFonts w:hint="eastAsia"/>
          <w:b/>
          <w:color w:val="auto"/>
          <w:sz w:val="24"/>
        </w:rPr>
        <w:t>响应文件格式</w:t>
      </w:r>
      <w:r>
        <w:rPr>
          <w:b/>
          <w:color w:val="auto"/>
          <w:sz w:val="24"/>
        </w:rPr>
        <w:tab/>
      </w:r>
      <w:r>
        <w:rPr>
          <w:b/>
          <w:color w:val="auto"/>
          <w:sz w:val="24"/>
        </w:rPr>
        <w:fldChar w:fldCharType="begin"/>
      </w:r>
      <w:r>
        <w:rPr>
          <w:b/>
          <w:color w:val="auto"/>
          <w:sz w:val="24"/>
        </w:rPr>
        <w:instrText xml:space="preserve"> PAGEREF _Toc122424265 \h </w:instrText>
      </w:r>
      <w:r>
        <w:rPr>
          <w:b/>
          <w:color w:val="auto"/>
          <w:sz w:val="24"/>
        </w:rPr>
        <w:fldChar w:fldCharType="separate"/>
      </w:r>
      <w:r>
        <w:rPr>
          <w:b/>
          <w:color w:val="auto"/>
          <w:sz w:val="24"/>
        </w:rPr>
        <w:t>43</w:t>
      </w:r>
      <w:r>
        <w:rPr>
          <w:b/>
          <w:color w:val="auto"/>
          <w:sz w:val="24"/>
        </w:rPr>
        <w:fldChar w:fldCharType="end"/>
      </w:r>
      <w:r>
        <w:rPr>
          <w:b/>
          <w:color w:val="auto"/>
          <w:sz w:val="24"/>
        </w:rPr>
        <w:fldChar w:fldCharType="end"/>
      </w:r>
    </w:p>
    <w:p w14:paraId="608F8243">
      <w:pPr>
        <w:pStyle w:val="33"/>
        <w:tabs>
          <w:tab w:val="right" w:leader="dot" w:pos="8869"/>
        </w:tabs>
        <w:spacing w:line="360" w:lineRule="auto"/>
        <w:rPr>
          <w:rFonts w:ascii="Calibri" w:hAnsi="Calibri"/>
          <w:b/>
          <w:color w:val="auto"/>
          <w:sz w:val="24"/>
        </w:rPr>
      </w:pPr>
      <w:r>
        <w:rPr>
          <w:color w:val="auto"/>
        </w:rPr>
        <w:fldChar w:fldCharType="begin"/>
      </w:r>
      <w:r>
        <w:rPr>
          <w:color w:val="auto"/>
        </w:rPr>
        <w:instrText xml:space="preserve"> HYPERLINK \l "_Toc122424267" </w:instrText>
      </w:r>
      <w:r>
        <w:rPr>
          <w:color w:val="auto"/>
        </w:rPr>
        <w:fldChar w:fldCharType="separate"/>
      </w:r>
      <w:r>
        <w:rPr>
          <w:rStyle w:val="52"/>
          <w:rFonts w:hint="eastAsia"/>
          <w:b/>
          <w:color w:val="auto"/>
          <w:sz w:val="24"/>
        </w:rPr>
        <w:t>第七章</w:t>
      </w:r>
      <w:r>
        <w:rPr>
          <w:rStyle w:val="52"/>
          <w:b/>
          <w:color w:val="auto"/>
          <w:sz w:val="24"/>
        </w:rPr>
        <w:t xml:space="preserve"> </w:t>
      </w:r>
      <w:r>
        <w:rPr>
          <w:rStyle w:val="52"/>
          <w:rFonts w:hint="eastAsia"/>
          <w:b/>
          <w:color w:val="auto"/>
          <w:sz w:val="24"/>
        </w:rPr>
        <w:t>合同文本</w:t>
      </w:r>
      <w:r>
        <w:rPr>
          <w:b/>
          <w:color w:val="auto"/>
          <w:sz w:val="24"/>
        </w:rPr>
        <w:tab/>
      </w:r>
      <w:r>
        <w:rPr>
          <w:b/>
          <w:color w:val="auto"/>
          <w:sz w:val="24"/>
        </w:rPr>
        <w:fldChar w:fldCharType="begin"/>
      </w:r>
      <w:r>
        <w:rPr>
          <w:b/>
          <w:color w:val="auto"/>
          <w:sz w:val="24"/>
        </w:rPr>
        <w:instrText xml:space="preserve"> PAGEREF _Toc122424267 \h </w:instrText>
      </w:r>
      <w:r>
        <w:rPr>
          <w:b/>
          <w:color w:val="auto"/>
          <w:sz w:val="24"/>
        </w:rPr>
        <w:fldChar w:fldCharType="separate"/>
      </w:r>
      <w:r>
        <w:rPr>
          <w:b/>
          <w:color w:val="auto"/>
          <w:sz w:val="24"/>
        </w:rPr>
        <w:t>80</w:t>
      </w:r>
      <w:r>
        <w:rPr>
          <w:b/>
          <w:color w:val="auto"/>
          <w:sz w:val="24"/>
        </w:rPr>
        <w:fldChar w:fldCharType="end"/>
      </w:r>
      <w:r>
        <w:rPr>
          <w:b/>
          <w:color w:val="auto"/>
          <w:sz w:val="24"/>
        </w:rPr>
        <w:fldChar w:fldCharType="end"/>
      </w:r>
    </w:p>
    <w:p w14:paraId="179184D9">
      <w:pPr>
        <w:pStyle w:val="33"/>
        <w:tabs>
          <w:tab w:val="right" w:leader="dot" w:pos="8869"/>
        </w:tabs>
        <w:spacing w:line="360" w:lineRule="auto"/>
        <w:rPr>
          <w:rFonts w:ascii="宋体" w:hAnsi="宋体"/>
          <w:b/>
          <w:color w:val="auto"/>
          <w:sz w:val="24"/>
        </w:rPr>
      </w:pPr>
      <w:r>
        <w:rPr>
          <w:rFonts w:ascii="宋体" w:hAnsi="宋体"/>
          <w:b/>
          <w:color w:val="auto"/>
          <w:sz w:val="24"/>
        </w:rPr>
        <w:fldChar w:fldCharType="end"/>
      </w:r>
    </w:p>
    <w:p w14:paraId="03866B4E">
      <w:pPr>
        <w:spacing w:line="360" w:lineRule="auto"/>
        <w:jc w:val="left"/>
        <w:rPr>
          <w:rFonts w:ascii="宋体" w:hAnsi="宋体"/>
          <w:b/>
          <w:color w:val="auto"/>
          <w:sz w:val="32"/>
          <w:szCs w:val="32"/>
        </w:rPr>
      </w:pPr>
    </w:p>
    <w:p w14:paraId="427CC40E">
      <w:pPr>
        <w:spacing w:line="400" w:lineRule="exact"/>
        <w:jc w:val="center"/>
        <w:rPr>
          <w:rFonts w:ascii="宋体" w:hAnsi="宋体"/>
          <w:b/>
          <w:color w:val="auto"/>
          <w:sz w:val="32"/>
          <w:szCs w:val="32"/>
        </w:rPr>
      </w:pPr>
    </w:p>
    <w:p w14:paraId="55423C7B">
      <w:pPr>
        <w:spacing w:line="400" w:lineRule="exact"/>
        <w:jc w:val="center"/>
        <w:rPr>
          <w:rFonts w:ascii="宋体" w:hAnsi="宋体"/>
          <w:b/>
          <w:color w:val="auto"/>
          <w:sz w:val="32"/>
          <w:szCs w:val="32"/>
        </w:rPr>
      </w:pPr>
    </w:p>
    <w:p w14:paraId="6EF56D15">
      <w:pPr>
        <w:spacing w:line="400" w:lineRule="exact"/>
        <w:jc w:val="center"/>
        <w:rPr>
          <w:rFonts w:ascii="宋体" w:hAnsi="宋体"/>
          <w:b/>
          <w:color w:val="auto"/>
          <w:sz w:val="32"/>
          <w:szCs w:val="32"/>
        </w:rPr>
      </w:pPr>
    </w:p>
    <w:p w14:paraId="541A4CD4">
      <w:pPr>
        <w:spacing w:line="400" w:lineRule="exact"/>
        <w:jc w:val="center"/>
        <w:rPr>
          <w:rFonts w:ascii="宋体" w:hAnsi="宋体"/>
          <w:b/>
          <w:color w:val="auto"/>
          <w:sz w:val="32"/>
          <w:szCs w:val="32"/>
        </w:rPr>
      </w:pPr>
    </w:p>
    <w:p w14:paraId="019BC75B">
      <w:pPr>
        <w:spacing w:line="400" w:lineRule="exact"/>
        <w:rPr>
          <w:rFonts w:ascii="宋体" w:hAnsi="宋体"/>
          <w:b/>
          <w:color w:val="auto"/>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bookmarkStart w:id="839" w:name="_GoBack"/>
      <w:bookmarkEnd w:id="839"/>
    </w:p>
    <w:p w14:paraId="1D73F74E">
      <w:pPr>
        <w:pStyle w:val="3"/>
        <w:spacing w:after="340" w:line="360" w:lineRule="auto"/>
        <w:jc w:val="center"/>
        <w:rPr>
          <w:color w:val="auto"/>
        </w:rPr>
      </w:pPr>
      <w:bookmarkStart w:id="0" w:name="_Toc122424244"/>
      <w:r>
        <w:rPr>
          <w:rFonts w:hint="eastAsia"/>
          <w:color w:val="auto"/>
        </w:rPr>
        <w:t xml:space="preserve">第一章 </w:t>
      </w:r>
      <w:bookmarkEnd w:id="0"/>
      <w:r>
        <w:rPr>
          <w:rFonts w:hint="eastAsia"/>
          <w:color w:val="auto"/>
        </w:rPr>
        <w:t>竞争性磋商公告</w:t>
      </w:r>
    </w:p>
    <w:p w14:paraId="3BEC17D1">
      <w:pPr>
        <w:spacing w:line="400" w:lineRule="exact"/>
        <w:jc w:val="center"/>
        <w:rPr>
          <w:rFonts w:ascii="宋体" w:hAnsi="宋体"/>
          <w:b/>
          <w:bCs/>
          <w:color w:val="auto"/>
          <w:sz w:val="32"/>
          <w:szCs w:val="32"/>
        </w:rPr>
      </w:pPr>
      <w:r>
        <w:rPr>
          <w:rFonts w:hint="eastAsia" w:ascii="宋体" w:hAnsi="宋体"/>
          <w:b/>
          <w:bCs/>
          <w:color w:val="auto"/>
          <w:sz w:val="32"/>
          <w:szCs w:val="32"/>
        </w:rPr>
        <w:t>竞争性磋商公告</w:t>
      </w:r>
    </w:p>
    <w:p w14:paraId="4CB28D7E">
      <w:pPr>
        <w:spacing w:line="360" w:lineRule="auto"/>
        <w:rPr>
          <w:rFonts w:ascii="宋体" w:hAnsi="宋体"/>
          <w:color w:val="auto"/>
          <w:szCs w:val="21"/>
        </w:rPr>
      </w:pPr>
    </w:p>
    <w:p w14:paraId="1943AEC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bookmarkStart w:id="1" w:name="_Hlk37430271"/>
      <w:r>
        <w:rPr>
          <w:rFonts w:hint="eastAsia" w:ascii="宋体" w:hAnsi="宋体"/>
          <w:color w:val="auto"/>
          <w:szCs w:val="21"/>
        </w:rPr>
        <w:t>项目概况</w:t>
      </w:r>
    </w:p>
    <w:p w14:paraId="46F14ED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rPr>
      </w:pPr>
      <w:r>
        <w:rPr>
          <w:rFonts w:hint="eastAsia" w:ascii="宋体" w:hAnsi="宋体"/>
          <w:color w:val="auto"/>
          <w:szCs w:val="21"/>
          <w:u w:val="single"/>
        </w:rPr>
        <w:t xml:space="preserve"> </w:t>
      </w:r>
      <w:r>
        <w:rPr>
          <w:rFonts w:hint="eastAsia" w:ascii="宋体" w:hAnsi="宋体"/>
          <w:color w:val="auto"/>
          <w:szCs w:val="21"/>
          <w:u w:val="single"/>
          <w:lang w:eastAsia="zh-CN"/>
        </w:rPr>
        <w:t>钦州市公安局反恐怖和特巡警支队营房改造修缮项目</w:t>
      </w:r>
      <w:r>
        <w:rPr>
          <w:rFonts w:hint="eastAsia" w:ascii="宋体" w:hAnsi="宋体"/>
          <w:color w:val="auto"/>
          <w:szCs w:val="21"/>
          <w:u w:val="single"/>
        </w:rPr>
        <w:t xml:space="preserve"> </w:t>
      </w:r>
      <w:r>
        <w:rPr>
          <w:rFonts w:hint="eastAsia" w:ascii="宋体" w:hAnsi="宋体"/>
          <w:color w:val="auto"/>
          <w:szCs w:val="21"/>
        </w:rPr>
        <w:t>采购项目的潜在供应商应在广西政府采购云平台（https://www.gcy.zfcg.gxzf.gov.cn）获取（下载）竞争性磋商文件，并于</w:t>
      </w:r>
      <w:r>
        <w:rPr>
          <w:rFonts w:hint="eastAsia" w:ascii="宋体" w:hAnsi="宋体"/>
          <w:bCs/>
          <w:color w:val="auto"/>
          <w:szCs w:val="21"/>
          <w:u w:val="single"/>
        </w:rPr>
        <w:t>2026年</w:t>
      </w:r>
      <w:r>
        <w:rPr>
          <w:rFonts w:hint="eastAsia" w:ascii="宋体" w:hAnsi="宋体"/>
          <w:bCs/>
          <w:color w:val="auto"/>
          <w:szCs w:val="21"/>
          <w:u w:val="single"/>
          <w:lang w:val="en-US" w:eastAsia="zh-CN"/>
        </w:rPr>
        <w:t>2</w:t>
      </w:r>
      <w:r>
        <w:rPr>
          <w:rFonts w:hint="eastAsia" w:ascii="宋体" w:hAnsi="宋体"/>
          <w:bCs/>
          <w:color w:val="auto"/>
          <w:szCs w:val="21"/>
          <w:u w:val="single"/>
        </w:rPr>
        <w:t>月</w:t>
      </w:r>
      <w:r>
        <w:rPr>
          <w:rFonts w:hint="eastAsia" w:ascii="宋体" w:hAnsi="宋体"/>
          <w:bCs/>
          <w:color w:val="auto"/>
          <w:szCs w:val="21"/>
          <w:u w:val="single"/>
          <w:lang w:val="en-US" w:eastAsia="zh-CN"/>
        </w:rPr>
        <w:t>4</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时</w:t>
      </w:r>
      <w:r>
        <w:rPr>
          <w:rFonts w:hint="eastAsia" w:ascii="宋体" w:hAnsi="宋体"/>
          <w:bCs/>
          <w:color w:val="auto"/>
          <w:szCs w:val="21"/>
          <w:u w:val="single"/>
          <w:lang w:val="en-US" w:eastAsia="zh-CN"/>
        </w:rPr>
        <w:t>3</w:t>
      </w:r>
      <w:r>
        <w:rPr>
          <w:rFonts w:hint="eastAsia" w:ascii="宋体" w:hAnsi="宋体"/>
          <w:bCs/>
          <w:color w:val="auto"/>
          <w:szCs w:val="21"/>
          <w:u w:val="single"/>
        </w:rPr>
        <w:t>0分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14:paraId="7C69B98B">
      <w:pPr>
        <w:spacing w:line="360" w:lineRule="auto"/>
        <w:rPr>
          <w:rFonts w:ascii="宋体" w:hAnsi="宋体"/>
          <w:color w:val="auto"/>
          <w:szCs w:val="21"/>
        </w:rPr>
      </w:pPr>
    </w:p>
    <w:p w14:paraId="6DC2DC13">
      <w:pPr>
        <w:spacing w:line="360" w:lineRule="auto"/>
        <w:ind w:firstLine="354" w:firstLineChars="147"/>
        <w:rPr>
          <w:rFonts w:ascii="黑体" w:hAnsi="黑体" w:eastAsia="黑体"/>
          <w:b/>
          <w:color w:val="auto"/>
          <w:sz w:val="24"/>
        </w:rPr>
      </w:pPr>
      <w:bookmarkStart w:id="2" w:name="_Toc35393629"/>
      <w:bookmarkStart w:id="3" w:name="_Toc35393798"/>
      <w:bookmarkStart w:id="4" w:name="_Toc44229878"/>
      <w:bookmarkStart w:id="5" w:name="_Toc28359089"/>
      <w:bookmarkStart w:id="6" w:name="_Toc71365905"/>
      <w:bookmarkStart w:id="7" w:name="_Toc28359012"/>
      <w:r>
        <w:rPr>
          <w:rFonts w:hint="eastAsia" w:ascii="黑体" w:hAnsi="黑体" w:eastAsia="黑体"/>
          <w:b/>
          <w:color w:val="auto"/>
          <w:sz w:val="24"/>
        </w:rPr>
        <w:t>一、项目基本情况</w:t>
      </w:r>
      <w:bookmarkEnd w:id="2"/>
      <w:bookmarkEnd w:id="3"/>
      <w:bookmarkEnd w:id="4"/>
      <w:bookmarkEnd w:id="5"/>
      <w:bookmarkEnd w:id="6"/>
      <w:bookmarkEnd w:id="7"/>
    </w:p>
    <w:p w14:paraId="03EE0CFB">
      <w:pPr>
        <w:spacing w:line="360" w:lineRule="auto"/>
        <w:ind w:firstLine="420" w:firstLineChars="200"/>
        <w:rPr>
          <w:rFonts w:ascii="宋体" w:hAnsi="宋体"/>
          <w:color w:val="auto"/>
          <w:szCs w:val="21"/>
        </w:rPr>
      </w:pPr>
      <w:r>
        <w:rPr>
          <w:rFonts w:hint="eastAsia" w:ascii="宋体" w:hAnsi="宋体"/>
          <w:color w:val="auto"/>
          <w:szCs w:val="21"/>
        </w:rPr>
        <w:t>项目编号：QZZC2026-C2-990035-YZLZ</w:t>
      </w:r>
    </w:p>
    <w:p w14:paraId="6638C322">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钦州市公安局反恐怖和特巡警支队营房改造修缮项目</w:t>
      </w:r>
    </w:p>
    <w:p w14:paraId="422BEC54">
      <w:pPr>
        <w:spacing w:line="360" w:lineRule="auto"/>
        <w:ind w:firstLine="420" w:firstLineChars="200"/>
        <w:rPr>
          <w:rFonts w:ascii="宋体" w:hAnsi="宋体"/>
          <w:color w:val="auto"/>
          <w:szCs w:val="21"/>
        </w:rPr>
      </w:pPr>
      <w:r>
        <w:rPr>
          <w:rFonts w:hint="eastAsia" w:ascii="宋体" w:hAnsi="宋体"/>
          <w:color w:val="auto"/>
          <w:szCs w:val="21"/>
        </w:rPr>
        <w:t>采购方式：竞争性磋商</w:t>
      </w:r>
    </w:p>
    <w:p w14:paraId="5FD33BF2">
      <w:pPr>
        <w:spacing w:line="360" w:lineRule="auto"/>
        <w:ind w:firstLine="420" w:firstLineChars="200"/>
        <w:rPr>
          <w:rFonts w:ascii="宋体" w:hAnsi="宋体"/>
          <w:color w:val="auto"/>
          <w:szCs w:val="21"/>
        </w:rPr>
      </w:pPr>
      <w:r>
        <w:rPr>
          <w:rFonts w:hint="eastAsia" w:ascii="宋体" w:hAnsi="宋体"/>
          <w:color w:val="auto"/>
          <w:szCs w:val="21"/>
        </w:rPr>
        <w:t>预算金额：</w:t>
      </w:r>
      <w:r>
        <w:rPr>
          <w:rFonts w:hint="eastAsia" w:ascii="宋体" w:hAnsi="宋体"/>
          <w:color w:val="auto"/>
          <w:szCs w:val="21"/>
          <w:u w:val="single"/>
        </w:rPr>
        <w:t>人民币贰佰叁拾肆万肆仟捌佰伍拾玖元捌角整（</w:t>
      </w:r>
      <w:r>
        <w:rPr>
          <w:rFonts w:hint="eastAsia" w:ascii="Microsoft JhengHei" w:hAnsi="Microsoft JhengHei" w:eastAsia="Microsoft JhengHei" w:cs="仿宋"/>
          <w:color w:val="auto"/>
          <w:szCs w:val="21"/>
          <w:u w:val="single"/>
        </w:rPr>
        <w:t>￥2344859.80</w:t>
      </w:r>
      <w:r>
        <w:rPr>
          <w:rFonts w:hint="eastAsia" w:ascii="宋体" w:hAnsi="宋体"/>
          <w:color w:val="auto"/>
          <w:szCs w:val="21"/>
          <w:u w:val="single"/>
        </w:rPr>
        <w:t>）</w:t>
      </w:r>
    </w:p>
    <w:p w14:paraId="37EC82FD">
      <w:pPr>
        <w:spacing w:line="360" w:lineRule="auto"/>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color w:val="auto"/>
          <w:szCs w:val="21"/>
          <w:u w:val="single"/>
        </w:rPr>
        <w:t>人民币贰佰叁拾肆万肆仟捌佰伍拾玖元捌角整（</w:t>
      </w:r>
      <w:r>
        <w:rPr>
          <w:rFonts w:hint="eastAsia" w:ascii="Microsoft JhengHei" w:hAnsi="Microsoft JhengHei" w:eastAsia="Microsoft JhengHei" w:cs="仿宋"/>
          <w:color w:val="auto"/>
          <w:szCs w:val="21"/>
          <w:u w:val="single"/>
        </w:rPr>
        <w:t>￥2344859.80</w:t>
      </w:r>
      <w:r>
        <w:rPr>
          <w:rFonts w:hint="eastAsia" w:ascii="宋体" w:hAnsi="宋体"/>
          <w:color w:val="auto"/>
          <w:szCs w:val="21"/>
          <w:u w:val="single"/>
        </w:rPr>
        <w:t>）</w:t>
      </w:r>
    </w:p>
    <w:p w14:paraId="64F0FDDE">
      <w:pPr>
        <w:spacing w:line="360" w:lineRule="auto"/>
        <w:ind w:firstLine="420" w:firstLineChars="200"/>
        <w:rPr>
          <w:rFonts w:ascii="宋体" w:hAnsi="宋体"/>
          <w:color w:val="auto"/>
          <w:szCs w:val="21"/>
        </w:rPr>
      </w:pPr>
      <w:r>
        <w:rPr>
          <w:rFonts w:hint="eastAsia" w:ascii="宋体" w:hAnsi="宋体"/>
          <w:color w:val="auto"/>
          <w:szCs w:val="21"/>
        </w:rPr>
        <w:t>采购需求：</w:t>
      </w:r>
    </w:p>
    <w:tbl>
      <w:tblPr>
        <w:tblStyle w:val="44"/>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2691"/>
        <w:gridCol w:w="862"/>
        <w:gridCol w:w="5093"/>
      </w:tblGrid>
      <w:tr w14:paraId="6DED8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14:paraId="622600F1">
            <w:pPr>
              <w:snapToGrid w:val="0"/>
              <w:spacing w:line="360" w:lineRule="auto"/>
              <w:jc w:val="center"/>
              <w:rPr>
                <w:rFonts w:ascii="宋体" w:hAnsi="宋体"/>
                <w:color w:val="auto"/>
                <w:szCs w:val="21"/>
              </w:rPr>
            </w:pPr>
            <w:r>
              <w:rPr>
                <w:rFonts w:hint="eastAsia" w:ascii="宋体" w:hAnsi="宋体"/>
                <w:color w:val="auto"/>
                <w:szCs w:val="21"/>
              </w:rPr>
              <w:t>序号</w:t>
            </w:r>
          </w:p>
        </w:tc>
        <w:tc>
          <w:tcPr>
            <w:tcW w:w="2691" w:type="dxa"/>
            <w:tcBorders>
              <w:top w:val="single" w:color="auto" w:sz="4" w:space="0"/>
              <w:left w:val="single" w:color="auto" w:sz="4" w:space="0"/>
              <w:bottom w:val="single" w:color="auto" w:sz="4" w:space="0"/>
              <w:right w:val="single" w:color="auto" w:sz="4" w:space="0"/>
            </w:tcBorders>
            <w:vAlign w:val="center"/>
          </w:tcPr>
          <w:p w14:paraId="48668A71">
            <w:pPr>
              <w:snapToGrid w:val="0"/>
              <w:spacing w:line="360" w:lineRule="auto"/>
              <w:jc w:val="center"/>
              <w:rPr>
                <w:rFonts w:ascii="宋体" w:hAnsi="宋体"/>
                <w:color w:val="auto"/>
                <w:szCs w:val="21"/>
              </w:rPr>
            </w:pPr>
            <w:r>
              <w:rPr>
                <w:rFonts w:hint="eastAsia" w:ascii="宋体" w:hAnsi="宋体"/>
                <w:color w:val="auto"/>
                <w:szCs w:val="21"/>
              </w:rPr>
              <w:t>标的的名称</w:t>
            </w:r>
          </w:p>
        </w:tc>
        <w:tc>
          <w:tcPr>
            <w:tcW w:w="862" w:type="dxa"/>
            <w:tcBorders>
              <w:top w:val="single" w:color="auto" w:sz="4" w:space="0"/>
              <w:left w:val="single" w:color="auto" w:sz="4" w:space="0"/>
              <w:bottom w:val="single" w:color="auto" w:sz="4" w:space="0"/>
              <w:right w:val="single" w:color="auto" w:sz="4" w:space="0"/>
            </w:tcBorders>
            <w:vAlign w:val="center"/>
          </w:tcPr>
          <w:p w14:paraId="1E0930CE">
            <w:pPr>
              <w:snapToGrid w:val="0"/>
              <w:spacing w:line="360" w:lineRule="auto"/>
              <w:jc w:val="center"/>
              <w:rPr>
                <w:rFonts w:ascii="宋体" w:hAnsi="宋体"/>
                <w:color w:val="auto"/>
                <w:szCs w:val="21"/>
              </w:rPr>
            </w:pPr>
            <w:r>
              <w:rPr>
                <w:rFonts w:hint="eastAsia" w:ascii="宋体" w:hAnsi="宋体"/>
                <w:color w:val="auto"/>
                <w:szCs w:val="21"/>
              </w:rPr>
              <w:t>数量及</w:t>
            </w:r>
          </w:p>
          <w:p w14:paraId="115575FC">
            <w:pPr>
              <w:snapToGrid w:val="0"/>
              <w:spacing w:line="360" w:lineRule="auto"/>
              <w:jc w:val="center"/>
              <w:rPr>
                <w:rFonts w:ascii="宋体" w:hAnsi="宋体"/>
                <w:color w:val="auto"/>
                <w:szCs w:val="21"/>
              </w:rPr>
            </w:pPr>
            <w:r>
              <w:rPr>
                <w:rFonts w:hint="eastAsia" w:ascii="宋体" w:hAnsi="宋体"/>
                <w:color w:val="auto"/>
                <w:szCs w:val="21"/>
              </w:rPr>
              <w:t>单位</w:t>
            </w:r>
          </w:p>
        </w:tc>
        <w:tc>
          <w:tcPr>
            <w:tcW w:w="5093" w:type="dxa"/>
            <w:tcBorders>
              <w:top w:val="single" w:color="auto" w:sz="4" w:space="0"/>
              <w:left w:val="single" w:color="auto" w:sz="4" w:space="0"/>
              <w:bottom w:val="single" w:color="auto" w:sz="4" w:space="0"/>
              <w:right w:val="single" w:color="auto" w:sz="4" w:space="0"/>
            </w:tcBorders>
            <w:vAlign w:val="center"/>
          </w:tcPr>
          <w:p w14:paraId="0754F8F7">
            <w:pPr>
              <w:snapToGrid w:val="0"/>
              <w:spacing w:line="360" w:lineRule="auto"/>
              <w:jc w:val="center"/>
              <w:rPr>
                <w:rFonts w:ascii="宋体" w:hAnsi="宋体"/>
                <w:color w:val="auto"/>
                <w:szCs w:val="21"/>
              </w:rPr>
            </w:pPr>
            <w:r>
              <w:rPr>
                <w:rFonts w:hint="eastAsia" w:ascii="宋体" w:hAnsi="宋体"/>
                <w:color w:val="auto"/>
                <w:szCs w:val="21"/>
              </w:rPr>
              <w:t>简要技术需求或者服务要求</w:t>
            </w:r>
          </w:p>
        </w:tc>
      </w:tr>
      <w:tr w14:paraId="35678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vAlign w:val="center"/>
          </w:tcPr>
          <w:p w14:paraId="0418A0C9">
            <w:pPr>
              <w:snapToGrid w:val="0"/>
              <w:spacing w:line="360" w:lineRule="auto"/>
              <w:jc w:val="center"/>
              <w:rPr>
                <w:rFonts w:ascii="宋体" w:hAnsi="宋体"/>
                <w:color w:val="auto"/>
                <w:szCs w:val="21"/>
              </w:rPr>
            </w:pPr>
            <w:r>
              <w:rPr>
                <w:rFonts w:hint="eastAsia" w:ascii="宋体" w:hAnsi="宋体"/>
                <w:color w:val="auto"/>
                <w:szCs w:val="21"/>
              </w:rPr>
              <w:t>01</w:t>
            </w:r>
          </w:p>
        </w:tc>
        <w:tc>
          <w:tcPr>
            <w:tcW w:w="2691" w:type="dxa"/>
            <w:tcBorders>
              <w:top w:val="single" w:color="auto" w:sz="4" w:space="0"/>
              <w:left w:val="single" w:color="auto" w:sz="4" w:space="0"/>
              <w:bottom w:val="single" w:color="auto" w:sz="4" w:space="0"/>
              <w:right w:val="single" w:color="auto" w:sz="4" w:space="0"/>
            </w:tcBorders>
            <w:vAlign w:val="center"/>
          </w:tcPr>
          <w:p w14:paraId="7372EE3C">
            <w:pPr>
              <w:spacing w:line="360" w:lineRule="auto"/>
              <w:rPr>
                <w:rFonts w:ascii="宋体" w:hAnsi="宋体"/>
                <w:color w:val="auto"/>
                <w:szCs w:val="21"/>
              </w:rPr>
            </w:pPr>
            <w:r>
              <w:rPr>
                <w:rFonts w:hint="eastAsia" w:ascii="宋体" w:hAnsi="宋体"/>
                <w:color w:val="auto"/>
                <w:szCs w:val="21"/>
                <w:lang w:eastAsia="zh-CN"/>
              </w:rPr>
              <w:t>钦州市公安局反恐怖和特巡警支队营房改造修缮项目</w:t>
            </w:r>
            <w:r>
              <w:rPr>
                <w:rFonts w:ascii="宋体" w:hAnsi="宋体"/>
                <w:color w:val="auto"/>
                <w:szCs w:val="21"/>
              </w:rPr>
              <w:t xml:space="preserve"> </w:t>
            </w:r>
          </w:p>
        </w:tc>
        <w:tc>
          <w:tcPr>
            <w:tcW w:w="862" w:type="dxa"/>
            <w:tcBorders>
              <w:top w:val="single" w:color="auto" w:sz="4" w:space="0"/>
              <w:left w:val="single" w:color="auto" w:sz="4" w:space="0"/>
              <w:bottom w:val="single" w:color="auto" w:sz="4" w:space="0"/>
              <w:right w:val="single" w:color="auto" w:sz="4" w:space="0"/>
            </w:tcBorders>
            <w:vAlign w:val="center"/>
          </w:tcPr>
          <w:p w14:paraId="5FE0F4A5">
            <w:pPr>
              <w:snapToGrid w:val="0"/>
              <w:spacing w:line="360" w:lineRule="auto"/>
              <w:jc w:val="center"/>
              <w:rPr>
                <w:rFonts w:ascii="宋体" w:hAnsi="宋体"/>
                <w:color w:val="auto"/>
                <w:szCs w:val="21"/>
              </w:rPr>
            </w:pPr>
            <w:r>
              <w:rPr>
                <w:rFonts w:hint="eastAsia" w:ascii="宋体" w:hAnsi="宋体"/>
                <w:color w:val="auto"/>
                <w:szCs w:val="21"/>
              </w:rPr>
              <w:t>1项</w:t>
            </w:r>
          </w:p>
        </w:tc>
        <w:tc>
          <w:tcPr>
            <w:tcW w:w="5093" w:type="dxa"/>
            <w:tcBorders>
              <w:top w:val="single" w:color="auto" w:sz="4" w:space="0"/>
              <w:left w:val="single" w:color="auto" w:sz="4" w:space="0"/>
              <w:bottom w:val="single" w:color="auto" w:sz="4" w:space="0"/>
              <w:right w:val="single" w:color="auto" w:sz="4" w:space="0"/>
            </w:tcBorders>
            <w:vAlign w:val="center"/>
          </w:tcPr>
          <w:p w14:paraId="33B9232D">
            <w:pPr>
              <w:spacing w:line="360" w:lineRule="auto"/>
              <w:rPr>
                <w:rFonts w:ascii="宋体" w:hAnsi="宋体"/>
                <w:color w:val="auto"/>
                <w:szCs w:val="21"/>
              </w:rPr>
            </w:pPr>
            <w:r>
              <w:rPr>
                <w:rFonts w:hint="eastAsia" w:ascii="宋体" w:hAnsi="宋体"/>
                <w:color w:val="auto"/>
                <w:szCs w:val="21"/>
              </w:rPr>
              <w:t>一、建设地点：钦州市拘留所一期地块（玛氏火龙果山庄斜对面）。</w:t>
            </w:r>
          </w:p>
          <w:p w14:paraId="34419E29">
            <w:pPr>
              <w:spacing w:line="360" w:lineRule="auto"/>
              <w:rPr>
                <w:rFonts w:ascii="宋体" w:hAnsi="宋体"/>
                <w:color w:val="auto"/>
                <w:szCs w:val="21"/>
              </w:rPr>
            </w:pPr>
            <w:r>
              <w:rPr>
                <w:rFonts w:hint="eastAsia" w:ascii="宋体" w:hAnsi="宋体"/>
                <w:color w:val="auto"/>
                <w:szCs w:val="21"/>
              </w:rPr>
              <w:t>二、建设规模：拟对拘留所一期业务技术用房及监区综合楼进行改造，总占地面积3241.42平米，总建筑面积6678.81平方米，并对室外场地进行配套建设。</w:t>
            </w:r>
          </w:p>
          <w:p w14:paraId="6AA3B022">
            <w:pPr>
              <w:spacing w:line="360" w:lineRule="auto"/>
              <w:rPr>
                <w:rFonts w:ascii="宋体" w:hAnsi="宋体"/>
                <w:color w:val="auto"/>
                <w:szCs w:val="21"/>
              </w:rPr>
            </w:pPr>
            <w:r>
              <w:rPr>
                <w:rFonts w:hint="eastAsia" w:ascii="宋体" w:hAnsi="宋体"/>
                <w:color w:val="auto"/>
                <w:szCs w:val="21"/>
              </w:rPr>
              <w:t>....具体详见竞争性磋商文件及工程量清单。</w:t>
            </w:r>
          </w:p>
        </w:tc>
      </w:tr>
    </w:tbl>
    <w:p w14:paraId="67809617">
      <w:pPr>
        <w:spacing w:line="360" w:lineRule="auto"/>
        <w:ind w:firstLine="420" w:firstLineChars="200"/>
        <w:rPr>
          <w:rFonts w:ascii="宋体" w:hAnsi="宋体"/>
          <w:color w:val="auto"/>
          <w:lang w:val="zh-CN"/>
        </w:rPr>
      </w:pPr>
      <w:r>
        <w:rPr>
          <w:rFonts w:hint="eastAsia" w:ascii="宋体" w:hAnsi="宋体"/>
          <w:color w:val="auto"/>
          <w:szCs w:val="21"/>
        </w:rPr>
        <w:t>合同履行期限：</w:t>
      </w:r>
      <w:r>
        <w:rPr>
          <w:rFonts w:hint="eastAsia" w:ascii="宋体" w:hAnsi="宋体"/>
          <w:color w:val="auto"/>
        </w:rPr>
        <w:t>要求工期为90日历天</w:t>
      </w:r>
      <w:r>
        <w:rPr>
          <w:rFonts w:hint="eastAsia" w:ascii="宋体" w:hAnsi="宋体"/>
          <w:color w:val="auto"/>
          <w:lang w:val="zh-CN"/>
        </w:rPr>
        <w:t>。</w:t>
      </w:r>
    </w:p>
    <w:p w14:paraId="0919F012">
      <w:pPr>
        <w:spacing w:line="360" w:lineRule="auto"/>
        <w:ind w:firstLine="420" w:firstLineChars="200"/>
        <w:rPr>
          <w:rFonts w:ascii="宋体" w:hAnsi="宋体"/>
          <w:color w:val="auto"/>
          <w:szCs w:val="21"/>
        </w:rPr>
      </w:pPr>
      <w:r>
        <w:rPr>
          <w:rFonts w:hint="eastAsia" w:ascii="宋体" w:hAnsi="宋体"/>
          <w:color w:val="auto"/>
          <w:szCs w:val="21"/>
        </w:rPr>
        <w:t>本项目（</w:t>
      </w:r>
      <w:r>
        <w:rPr>
          <w:rFonts w:ascii="宋体" w:hAnsi="宋体"/>
          <w:color w:val="auto"/>
          <w:szCs w:val="21"/>
        </w:rPr>
        <w:t>否</w:t>
      </w:r>
      <w:r>
        <w:rPr>
          <w:rFonts w:hint="eastAsia" w:ascii="宋体" w:hAnsi="宋体"/>
          <w:color w:val="auto"/>
          <w:szCs w:val="21"/>
        </w:rPr>
        <w:t>）接受联合体。</w:t>
      </w:r>
    </w:p>
    <w:p w14:paraId="648E6A73">
      <w:pPr>
        <w:spacing w:line="360" w:lineRule="auto"/>
        <w:ind w:firstLine="354" w:firstLineChars="147"/>
        <w:rPr>
          <w:rFonts w:ascii="黑体" w:hAnsi="黑体" w:eastAsia="黑体"/>
          <w:b/>
          <w:color w:val="auto"/>
          <w:sz w:val="24"/>
        </w:rPr>
      </w:pPr>
      <w:bookmarkStart w:id="8" w:name="_Toc28359090"/>
      <w:bookmarkStart w:id="9" w:name="_Toc35393630"/>
      <w:bookmarkStart w:id="10" w:name="_Toc35393799"/>
      <w:bookmarkStart w:id="11" w:name="_Toc44229879"/>
      <w:bookmarkStart w:id="12" w:name="_Toc71365906"/>
      <w:bookmarkStart w:id="13" w:name="_Toc28359013"/>
      <w:r>
        <w:rPr>
          <w:rFonts w:hint="eastAsia" w:ascii="黑体" w:hAnsi="黑体" w:eastAsia="黑体"/>
          <w:b/>
          <w:color w:val="auto"/>
          <w:sz w:val="24"/>
        </w:rPr>
        <w:t>二、申请人的资格条件：</w:t>
      </w:r>
      <w:bookmarkEnd w:id="8"/>
      <w:bookmarkEnd w:id="9"/>
      <w:bookmarkEnd w:id="10"/>
      <w:bookmarkEnd w:id="11"/>
      <w:bookmarkEnd w:id="12"/>
      <w:bookmarkEnd w:id="13"/>
    </w:p>
    <w:p w14:paraId="1C101D58">
      <w:pPr>
        <w:spacing w:line="360" w:lineRule="auto"/>
        <w:ind w:firstLine="420" w:firstLineChars="200"/>
        <w:rPr>
          <w:rFonts w:ascii="宋体" w:hAnsi="宋体"/>
          <w:color w:val="auto"/>
          <w:szCs w:val="21"/>
        </w:rPr>
      </w:pPr>
      <w:bookmarkStart w:id="14" w:name="_Toc35393800"/>
      <w:bookmarkStart w:id="15" w:name="_Toc35393631"/>
      <w:bookmarkStart w:id="16" w:name="_Toc44229880"/>
      <w:bookmarkStart w:id="17" w:name="_Toc28359091"/>
      <w:bookmarkStart w:id="18" w:name="_Toc28359014"/>
      <w:r>
        <w:rPr>
          <w:rFonts w:hint="eastAsia" w:ascii="宋体" w:hAnsi="宋体"/>
          <w:color w:val="auto"/>
          <w:szCs w:val="21"/>
        </w:rPr>
        <w:t>1.满足《中华人民共和国政府采购法》第二十二条规定；</w:t>
      </w:r>
    </w:p>
    <w:p w14:paraId="38200A18">
      <w:pPr>
        <w:spacing w:line="360" w:lineRule="auto"/>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落实政府采购政策需满足的资格要求：本项目为专门面向中小企业预留项目，参加本项目磋商的供应商必须为中小微型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p>
    <w:p w14:paraId="366518AC">
      <w:pPr>
        <w:spacing w:line="360" w:lineRule="auto"/>
        <w:ind w:firstLine="420" w:firstLineChars="200"/>
        <w:rPr>
          <w:rFonts w:ascii="宋体" w:hAnsi="宋体"/>
          <w:color w:val="auto"/>
          <w:szCs w:val="21"/>
          <w:u w:val="single"/>
        </w:rPr>
      </w:pPr>
      <w:r>
        <w:rPr>
          <w:rFonts w:hint="eastAsia" w:ascii="宋体" w:hAnsi="宋体"/>
          <w:color w:val="auto"/>
          <w:szCs w:val="21"/>
        </w:rPr>
        <w:t>3.本项目的特定资格要求：</w:t>
      </w:r>
    </w:p>
    <w:p w14:paraId="5129BD29">
      <w:pPr>
        <w:spacing w:line="360" w:lineRule="auto"/>
        <w:ind w:firstLine="422" w:firstLineChars="200"/>
        <w:rPr>
          <w:rFonts w:ascii="宋体" w:hAnsi="宋体"/>
          <w:b/>
          <w:color w:val="auto"/>
          <w:szCs w:val="21"/>
        </w:rPr>
      </w:pPr>
      <w:bookmarkStart w:id="19" w:name="_Toc71365907"/>
      <w:r>
        <w:rPr>
          <w:rFonts w:hint="eastAsia" w:ascii="宋体" w:hAnsi="宋体"/>
          <w:b/>
          <w:color w:val="auto"/>
          <w:szCs w:val="21"/>
        </w:rPr>
        <w:t>（1）供应商具备建筑工程施工总承包三级及以上资质及具有有效的安全生产许可证，并在人员、设备、资金等方面具有相应能力的施工企业；</w:t>
      </w:r>
    </w:p>
    <w:p w14:paraId="54EEC47B">
      <w:pPr>
        <w:spacing w:line="360" w:lineRule="auto"/>
        <w:ind w:firstLine="422" w:firstLineChars="200"/>
        <w:rPr>
          <w:rFonts w:ascii="宋体" w:hAnsi="宋体"/>
          <w:b/>
          <w:color w:val="auto"/>
          <w:szCs w:val="21"/>
        </w:rPr>
      </w:pPr>
      <w:r>
        <w:rPr>
          <w:rFonts w:hint="eastAsia" w:ascii="宋体" w:hAnsi="宋体"/>
          <w:b/>
          <w:color w:val="auto"/>
          <w:szCs w:val="21"/>
        </w:rPr>
        <w:t xml:space="preserve">（2）拟投入本工程的项目经理具有建筑工程专业贰级以上（含贰级）注册建造师资格并获得有效的安全生产考核合格证（B证），且未担任其他在施建设工程项目的项目经理。 </w:t>
      </w:r>
    </w:p>
    <w:p w14:paraId="36987158">
      <w:pPr>
        <w:spacing w:line="360" w:lineRule="auto"/>
        <w:ind w:firstLine="422" w:firstLineChars="200"/>
        <w:rPr>
          <w:rFonts w:ascii="宋体" w:hAnsi="宋体"/>
          <w:b/>
          <w:color w:val="auto"/>
          <w:szCs w:val="21"/>
        </w:rPr>
      </w:pPr>
      <w:r>
        <w:rPr>
          <w:rFonts w:hint="eastAsia" w:ascii="宋体" w:hAnsi="宋体"/>
          <w:b/>
          <w:color w:val="auto"/>
          <w:szCs w:val="21"/>
        </w:rPr>
        <w:t>（3）拟投入本工程的技术负责人具有建筑工程相关专业工程师及以上职称证书；</w:t>
      </w:r>
    </w:p>
    <w:p w14:paraId="4099AB78">
      <w:pPr>
        <w:spacing w:line="360" w:lineRule="auto"/>
        <w:ind w:firstLine="422" w:firstLineChars="200"/>
        <w:rPr>
          <w:rFonts w:ascii="宋体" w:hAnsi="宋体"/>
          <w:b/>
          <w:color w:val="auto"/>
          <w:szCs w:val="21"/>
          <w:u w:val="single"/>
        </w:rPr>
      </w:pPr>
      <w:r>
        <w:rPr>
          <w:rFonts w:hint="eastAsia" w:ascii="宋体" w:hAnsi="宋体"/>
          <w:b/>
          <w:color w:val="auto"/>
          <w:szCs w:val="21"/>
        </w:rPr>
        <w:t>（4）拟投入本工程四大员（施工员、质量员、专职安全生产管理人员、材料员）中，专职安全生产管理人员具有有效的安全生产考核合格证（C类），施工员、质量员、材料员具有有效的相应的施工现场专业人员职业培训合格证书。</w:t>
      </w:r>
    </w:p>
    <w:p w14:paraId="0B3393D9">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三、获取竞争性磋商文件</w:t>
      </w:r>
      <w:bookmarkEnd w:id="14"/>
      <w:bookmarkEnd w:id="15"/>
      <w:bookmarkEnd w:id="16"/>
      <w:bookmarkEnd w:id="17"/>
      <w:bookmarkEnd w:id="18"/>
      <w:bookmarkEnd w:id="19"/>
    </w:p>
    <w:p w14:paraId="05F17305">
      <w:pPr>
        <w:spacing w:line="360" w:lineRule="auto"/>
        <w:ind w:firstLine="420" w:firstLineChars="200"/>
        <w:rPr>
          <w:rFonts w:ascii="宋体" w:hAnsi="宋体" w:cs="宋体"/>
          <w:bCs/>
          <w:color w:val="auto"/>
          <w:kern w:val="0"/>
          <w:szCs w:val="21"/>
        </w:rPr>
      </w:pPr>
      <w:bookmarkStart w:id="20" w:name="_Toc28359092"/>
      <w:bookmarkStart w:id="21" w:name="_Toc44229881"/>
      <w:bookmarkStart w:id="22" w:name="_Toc28359015"/>
      <w:bookmarkStart w:id="23" w:name="_Toc35393632"/>
      <w:bookmarkStart w:id="24" w:name="_Toc35393801"/>
      <w:r>
        <w:rPr>
          <w:rFonts w:hint="eastAsia" w:ascii="宋体" w:hAnsi="宋体" w:cs="宋体"/>
          <w:bCs/>
          <w:color w:val="auto"/>
          <w:kern w:val="0"/>
          <w:szCs w:val="21"/>
        </w:rPr>
        <w:t>时间：</w:t>
      </w:r>
      <w:r>
        <w:rPr>
          <w:rFonts w:hint="eastAsia" w:ascii="宋体" w:hAnsi="宋体"/>
          <w:bCs/>
          <w:color w:val="auto"/>
          <w:szCs w:val="21"/>
          <w:u w:val="single"/>
        </w:rPr>
        <w:t xml:space="preserve"> 2026</w:t>
      </w:r>
      <w:r>
        <w:rPr>
          <w:rFonts w:hint="eastAsia" w:ascii="宋体" w:hAnsi="宋体"/>
          <w:bCs/>
          <w:color w:val="auto"/>
          <w:szCs w:val="21"/>
        </w:rPr>
        <w:t>年</w:t>
      </w:r>
      <w:r>
        <w:rPr>
          <w:rFonts w:hint="eastAsia" w:ascii="宋体" w:hAnsi="宋体"/>
          <w:bCs/>
          <w:color w:val="auto"/>
          <w:szCs w:val="21"/>
          <w:u w:val="single"/>
        </w:rPr>
        <w:t>1</w:t>
      </w:r>
      <w:r>
        <w:rPr>
          <w:rFonts w:hint="eastAsia" w:ascii="宋体" w:hAnsi="宋体"/>
          <w:bCs/>
          <w:color w:val="auto"/>
          <w:szCs w:val="21"/>
        </w:rPr>
        <w:t>月</w:t>
      </w:r>
      <w:r>
        <w:rPr>
          <w:rFonts w:hint="eastAsia" w:ascii="宋体" w:hAnsi="宋体"/>
          <w:bCs/>
          <w:color w:val="auto"/>
          <w:szCs w:val="21"/>
          <w:u w:val="single"/>
          <w:lang w:val="en-US" w:eastAsia="zh-CN"/>
        </w:rPr>
        <w:t>24</w:t>
      </w:r>
      <w:r>
        <w:rPr>
          <w:rFonts w:hint="eastAsia" w:ascii="宋体" w:hAnsi="宋体"/>
          <w:bCs/>
          <w:color w:val="auto"/>
          <w:szCs w:val="21"/>
        </w:rPr>
        <w:t>日</w:t>
      </w:r>
      <w:r>
        <w:rPr>
          <w:rFonts w:hint="eastAsia" w:ascii="宋体" w:hAnsi="宋体" w:cs="宋体"/>
          <w:bCs/>
          <w:color w:val="auto"/>
          <w:kern w:val="0"/>
          <w:szCs w:val="21"/>
        </w:rPr>
        <w:t>至</w:t>
      </w:r>
      <w:r>
        <w:rPr>
          <w:rFonts w:hint="eastAsia" w:ascii="宋体" w:hAnsi="宋体"/>
          <w:bCs/>
          <w:color w:val="auto"/>
          <w:szCs w:val="21"/>
          <w:u w:val="single"/>
        </w:rPr>
        <w:t>2026</w:t>
      </w:r>
      <w:r>
        <w:rPr>
          <w:rFonts w:hint="eastAsia" w:ascii="宋体" w:hAnsi="宋体"/>
          <w:bCs/>
          <w:color w:val="auto"/>
          <w:szCs w:val="21"/>
        </w:rPr>
        <w:t>年</w:t>
      </w:r>
      <w:r>
        <w:rPr>
          <w:rFonts w:hint="eastAsia" w:ascii="宋体" w:hAnsi="宋体"/>
          <w:bCs/>
          <w:color w:val="auto"/>
          <w:szCs w:val="21"/>
          <w:u w:val="single"/>
        </w:rPr>
        <w:t>1</w:t>
      </w:r>
      <w:r>
        <w:rPr>
          <w:rFonts w:hint="eastAsia" w:ascii="宋体" w:hAnsi="宋体"/>
          <w:bCs/>
          <w:color w:val="auto"/>
          <w:szCs w:val="21"/>
        </w:rPr>
        <w:t>月</w:t>
      </w:r>
      <w:r>
        <w:rPr>
          <w:rFonts w:hint="eastAsia" w:ascii="宋体" w:hAnsi="宋体"/>
          <w:bCs/>
          <w:color w:val="auto"/>
          <w:szCs w:val="21"/>
          <w:u w:val="single"/>
          <w:lang w:val="en-US" w:eastAsia="zh-CN"/>
        </w:rPr>
        <w:t>30</w:t>
      </w:r>
      <w:r>
        <w:rPr>
          <w:rFonts w:hint="eastAsia" w:ascii="宋体" w:hAnsi="宋体"/>
          <w:bCs/>
          <w:color w:val="auto"/>
          <w:szCs w:val="21"/>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8:00</w:t>
      </w:r>
      <w:r>
        <w:rPr>
          <w:rFonts w:hint="eastAsia" w:ascii="宋体" w:hAnsi="宋体" w:cs="宋体"/>
          <w:bCs/>
          <w:color w:val="auto"/>
          <w:kern w:val="0"/>
          <w:szCs w:val="21"/>
        </w:rPr>
        <w:t>至</w:t>
      </w:r>
      <w:r>
        <w:rPr>
          <w:rFonts w:hint="eastAsia" w:ascii="宋体" w:hAnsi="宋体" w:cs="宋体"/>
          <w:bCs/>
          <w:color w:val="auto"/>
          <w:kern w:val="0"/>
          <w:szCs w:val="21"/>
          <w:u w:val="single"/>
        </w:rPr>
        <w:t>12:00</w:t>
      </w:r>
      <w:r>
        <w:rPr>
          <w:rFonts w:hint="eastAsia" w:ascii="宋体" w:hAnsi="宋体" w:cs="宋体"/>
          <w:bCs/>
          <w:color w:val="auto"/>
          <w:kern w:val="0"/>
          <w:szCs w:val="21"/>
        </w:rPr>
        <w:t>，下午</w:t>
      </w:r>
      <w:r>
        <w:rPr>
          <w:rFonts w:hint="eastAsia" w:ascii="宋体" w:hAnsi="宋体" w:cs="宋体"/>
          <w:bCs/>
          <w:color w:val="auto"/>
          <w:kern w:val="0"/>
          <w:szCs w:val="21"/>
          <w:u w:val="single"/>
        </w:rPr>
        <w:t>3:00</w:t>
      </w:r>
      <w:r>
        <w:rPr>
          <w:rFonts w:hint="eastAsia" w:ascii="宋体" w:hAnsi="宋体" w:cs="宋体"/>
          <w:bCs/>
          <w:color w:val="auto"/>
          <w:kern w:val="0"/>
          <w:szCs w:val="21"/>
        </w:rPr>
        <w:t>至6:00</w:t>
      </w:r>
      <w:r>
        <w:rPr>
          <w:rFonts w:hint="eastAsia" w:ascii="宋体" w:hAnsi="宋体" w:cs="宋体"/>
          <w:bCs/>
          <w:color w:val="auto"/>
          <w:kern w:val="0"/>
          <w:szCs w:val="21"/>
          <w:u w:val="single"/>
        </w:rPr>
        <w:t>　</w:t>
      </w:r>
      <w:r>
        <w:rPr>
          <w:rFonts w:hint="eastAsia" w:ascii="宋体" w:hAnsi="宋体" w:cs="宋体"/>
          <w:bCs/>
          <w:color w:val="auto"/>
          <w:kern w:val="0"/>
          <w:szCs w:val="21"/>
        </w:rPr>
        <w:t>（北京时间，</w:t>
      </w:r>
      <w:r>
        <w:rPr>
          <w:rFonts w:ascii="宋体" w:hAnsi="宋体" w:cs="宋体"/>
          <w:bCs/>
          <w:color w:val="auto"/>
          <w:kern w:val="0"/>
          <w:szCs w:val="21"/>
        </w:rPr>
        <w:t>法定节假日</w:t>
      </w:r>
      <w:r>
        <w:rPr>
          <w:rFonts w:hint="eastAsia" w:ascii="宋体" w:hAnsi="宋体" w:cs="宋体"/>
          <w:bCs/>
          <w:color w:val="auto"/>
          <w:kern w:val="0"/>
          <w:szCs w:val="21"/>
        </w:rPr>
        <w:t>除外）</w:t>
      </w:r>
    </w:p>
    <w:p w14:paraId="1FFB2B9A">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地点：广西政府采购云平台（https://www.gcy.zfcg.gxzf.gov.cn）</w:t>
      </w:r>
    </w:p>
    <w:p w14:paraId="30B554AB">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https://www.gcy.zfcg.gxzf.gov.cn）-进入“项目采购”应用，在获取采购文件-待获取列表菜单中选择项目，获取竞争性磋商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制作需要基于广西政府采购云平台获取的磋商文件编制，</w:t>
      </w:r>
      <w:r>
        <w:rPr>
          <w:rFonts w:hint="eastAsia" w:ascii="宋体" w:hAnsi="宋体" w:cs="宋体"/>
          <w:bCs/>
          <w:color w:val="auto"/>
          <w:kern w:val="0"/>
          <w:szCs w:val="21"/>
        </w:rPr>
        <w:t>通过其他方式获取磋商文件的，将有可能导致供应商无法在广西政府采购云平台编制及上传响应文件。</w:t>
      </w:r>
    </w:p>
    <w:p w14:paraId="19D71F7D">
      <w:pPr>
        <w:spacing w:line="360" w:lineRule="auto"/>
        <w:ind w:firstLine="420" w:firstLineChars="200"/>
        <w:rPr>
          <w:rFonts w:ascii="宋体" w:hAnsi="宋体" w:cs="宋体"/>
          <w:color w:val="auto"/>
          <w:szCs w:val="21"/>
        </w:rPr>
      </w:pPr>
      <w:r>
        <w:rPr>
          <w:rFonts w:hint="eastAsia" w:ascii="宋体" w:hAnsi="宋体" w:cs="宋体"/>
          <w:bCs/>
          <w:color w:val="auto"/>
          <w:kern w:val="0"/>
          <w:szCs w:val="21"/>
        </w:rPr>
        <w:t>售价：</w:t>
      </w:r>
      <w:r>
        <w:rPr>
          <w:rFonts w:hint="eastAsia" w:ascii="宋体" w:hAnsi="宋体" w:cs="宋体"/>
          <w:iCs/>
          <w:color w:val="auto"/>
          <w:szCs w:val="21"/>
          <w:u w:val="single"/>
        </w:rPr>
        <w:t>0</w:t>
      </w:r>
      <w:r>
        <w:rPr>
          <w:rFonts w:hint="eastAsia" w:ascii="宋体" w:hAnsi="宋体" w:cs="宋体"/>
          <w:color w:val="auto"/>
          <w:szCs w:val="21"/>
        </w:rPr>
        <w:t>元</w:t>
      </w:r>
    </w:p>
    <w:p w14:paraId="17709C2C">
      <w:pPr>
        <w:spacing w:line="360" w:lineRule="auto"/>
        <w:ind w:firstLine="354" w:firstLineChars="147"/>
        <w:rPr>
          <w:rFonts w:ascii="黑体" w:hAnsi="黑体" w:eastAsia="黑体"/>
          <w:b/>
          <w:color w:val="auto"/>
          <w:sz w:val="24"/>
        </w:rPr>
      </w:pPr>
      <w:bookmarkStart w:id="25" w:name="_Toc71365908"/>
      <w:r>
        <w:rPr>
          <w:rFonts w:hint="eastAsia" w:ascii="黑体" w:hAnsi="黑体" w:eastAsia="黑体"/>
          <w:b/>
          <w:color w:val="auto"/>
          <w:sz w:val="24"/>
        </w:rPr>
        <w:t>四、响应文件提交</w:t>
      </w:r>
      <w:bookmarkEnd w:id="20"/>
      <w:bookmarkEnd w:id="21"/>
      <w:bookmarkEnd w:id="22"/>
      <w:bookmarkEnd w:id="23"/>
      <w:bookmarkEnd w:id="24"/>
      <w:bookmarkEnd w:id="25"/>
    </w:p>
    <w:p w14:paraId="4EC8C722">
      <w:pPr>
        <w:spacing w:line="360" w:lineRule="auto"/>
        <w:ind w:firstLine="420" w:firstLineChars="200"/>
        <w:rPr>
          <w:rFonts w:ascii="宋体" w:hAnsi="宋体"/>
          <w:bCs/>
          <w:color w:val="auto"/>
          <w:szCs w:val="21"/>
        </w:rPr>
      </w:pPr>
      <w:bookmarkStart w:id="26" w:name="_Toc44229882"/>
      <w:bookmarkStart w:id="27" w:name="_Toc35393633"/>
      <w:bookmarkStart w:id="28" w:name="_Toc28359093"/>
      <w:bookmarkStart w:id="29" w:name="_Toc28359016"/>
      <w:bookmarkStart w:id="30" w:name="_Toc35393802"/>
      <w:r>
        <w:rPr>
          <w:rFonts w:hint="eastAsia" w:ascii="宋体" w:hAnsi="宋体"/>
          <w:color w:val="auto"/>
          <w:szCs w:val="21"/>
        </w:rPr>
        <w:t>截止时间：</w:t>
      </w:r>
      <w:r>
        <w:rPr>
          <w:rFonts w:hint="eastAsia" w:ascii="宋体" w:hAnsi="宋体"/>
          <w:bCs/>
          <w:color w:val="auto"/>
          <w:szCs w:val="21"/>
          <w:u w:val="single"/>
        </w:rPr>
        <w:t>2026年</w:t>
      </w:r>
      <w:r>
        <w:rPr>
          <w:rFonts w:hint="eastAsia" w:ascii="宋体" w:hAnsi="宋体"/>
          <w:bCs/>
          <w:color w:val="auto"/>
          <w:szCs w:val="21"/>
          <w:u w:val="single"/>
          <w:lang w:val="en-US" w:eastAsia="zh-CN"/>
        </w:rPr>
        <w:t>2</w:t>
      </w:r>
      <w:r>
        <w:rPr>
          <w:rFonts w:hint="eastAsia" w:ascii="宋体" w:hAnsi="宋体"/>
          <w:bCs/>
          <w:color w:val="auto"/>
          <w:szCs w:val="21"/>
          <w:u w:val="single"/>
        </w:rPr>
        <w:t>月</w:t>
      </w:r>
      <w:r>
        <w:rPr>
          <w:rFonts w:hint="eastAsia" w:ascii="宋体" w:hAnsi="宋体"/>
          <w:bCs/>
          <w:color w:val="auto"/>
          <w:szCs w:val="21"/>
          <w:u w:val="single"/>
          <w:lang w:val="en-US" w:eastAsia="zh-CN"/>
        </w:rPr>
        <w:t>4</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时</w:t>
      </w:r>
      <w:r>
        <w:rPr>
          <w:rFonts w:hint="eastAsia" w:ascii="宋体" w:hAnsi="宋体"/>
          <w:bCs/>
          <w:color w:val="auto"/>
          <w:szCs w:val="21"/>
          <w:u w:val="single"/>
          <w:lang w:val="en-US" w:eastAsia="zh-CN"/>
        </w:rPr>
        <w:t>3</w:t>
      </w:r>
      <w:r>
        <w:rPr>
          <w:rFonts w:hint="eastAsia" w:ascii="宋体" w:hAnsi="宋体"/>
          <w:bCs/>
          <w:color w:val="auto"/>
          <w:szCs w:val="21"/>
          <w:u w:val="single"/>
        </w:rPr>
        <w:t>0分</w:t>
      </w:r>
      <w:r>
        <w:rPr>
          <w:rFonts w:hint="eastAsia" w:ascii="宋体" w:hAnsi="宋体"/>
          <w:bCs/>
          <w:color w:val="auto"/>
          <w:szCs w:val="21"/>
        </w:rPr>
        <w:t>（北京时间）</w:t>
      </w:r>
    </w:p>
    <w:p w14:paraId="74977AE9">
      <w:pPr>
        <w:spacing w:line="360" w:lineRule="auto"/>
        <w:ind w:firstLine="420" w:firstLineChars="200"/>
        <w:rPr>
          <w:rFonts w:ascii="宋体" w:hAnsi="宋体"/>
          <w:color w:val="auto"/>
          <w:szCs w:val="21"/>
        </w:rPr>
      </w:pP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182BBEFB">
      <w:pPr>
        <w:spacing w:line="360" w:lineRule="auto"/>
        <w:ind w:firstLine="354" w:firstLineChars="147"/>
        <w:rPr>
          <w:rFonts w:ascii="黑体" w:hAnsi="黑体" w:eastAsia="黑体"/>
          <w:b/>
          <w:color w:val="auto"/>
          <w:sz w:val="24"/>
        </w:rPr>
      </w:pPr>
      <w:bookmarkStart w:id="31" w:name="_Toc71365909"/>
      <w:r>
        <w:rPr>
          <w:rFonts w:hint="eastAsia" w:ascii="黑体" w:hAnsi="黑体" w:eastAsia="黑体"/>
          <w:b/>
          <w:color w:val="auto"/>
          <w:sz w:val="24"/>
        </w:rPr>
        <w:t>五、开启</w:t>
      </w:r>
      <w:bookmarkEnd w:id="26"/>
      <w:bookmarkEnd w:id="27"/>
      <w:bookmarkEnd w:id="28"/>
      <w:bookmarkEnd w:id="29"/>
      <w:bookmarkEnd w:id="30"/>
      <w:bookmarkEnd w:id="31"/>
    </w:p>
    <w:p w14:paraId="74E156BA">
      <w:pPr>
        <w:spacing w:line="360" w:lineRule="auto"/>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hint="eastAsia" w:ascii="宋体" w:hAnsi="宋体"/>
          <w:bCs/>
          <w:color w:val="auto"/>
          <w:szCs w:val="21"/>
          <w:u w:val="single"/>
        </w:rPr>
        <w:t>2026年</w:t>
      </w:r>
      <w:r>
        <w:rPr>
          <w:rFonts w:hint="eastAsia" w:ascii="宋体" w:hAnsi="宋体"/>
          <w:bCs/>
          <w:color w:val="auto"/>
          <w:szCs w:val="21"/>
          <w:u w:val="single"/>
          <w:lang w:val="en-US" w:eastAsia="zh-CN"/>
        </w:rPr>
        <w:t>2</w:t>
      </w:r>
      <w:r>
        <w:rPr>
          <w:rFonts w:hint="eastAsia" w:ascii="宋体" w:hAnsi="宋体"/>
          <w:bCs/>
          <w:color w:val="auto"/>
          <w:szCs w:val="21"/>
          <w:u w:val="single"/>
        </w:rPr>
        <w:t>月</w:t>
      </w:r>
      <w:r>
        <w:rPr>
          <w:rFonts w:hint="eastAsia" w:ascii="宋体" w:hAnsi="宋体"/>
          <w:bCs/>
          <w:color w:val="auto"/>
          <w:szCs w:val="21"/>
          <w:u w:val="single"/>
          <w:lang w:val="en-US" w:eastAsia="zh-CN"/>
        </w:rPr>
        <w:t>4</w:t>
      </w:r>
      <w:r>
        <w:rPr>
          <w:rFonts w:hint="eastAsia" w:ascii="宋体" w:hAnsi="宋体"/>
          <w:bCs/>
          <w:color w:val="auto"/>
          <w:szCs w:val="21"/>
          <w:u w:val="single"/>
        </w:rPr>
        <w:t>日</w:t>
      </w:r>
      <w:r>
        <w:rPr>
          <w:rFonts w:hint="eastAsia" w:ascii="宋体" w:hAnsi="宋体"/>
          <w:bCs/>
          <w:color w:val="auto"/>
          <w:szCs w:val="21"/>
          <w:u w:val="single"/>
          <w:lang w:val="en-US" w:eastAsia="zh-CN"/>
        </w:rPr>
        <w:t>9</w:t>
      </w:r>
      <w:r>
        <w:rPr>
          <w:rFonts w:hint="eastAsia" w:ascii="宋体" w:hAnsi="宋体"/>
          <w:bCs/>
          <w:color w:val="auto"/>
          <w:szCs w:val="21"/>
          <w:u w:val="single"/>
        </w:rPr>
        <w:t>时</w:t>
      </w:r>
      <w:r>
        <w:rPr>
          <w:rFonts w:hint="eastAsia" w:ascii="宋体" w:hAnsi="宋体"/>
          <w:bCs/>
          <w:color w:val="auto"/>
          <w:szCs w:val="21"/>
          <w:u w:val="single"/>
          <w:lang w:val="en-US" w:eastAsia="zh-CN"/>
        </w:rPr>
        <w:t>3</w:t>
      </w:r>
      <w:r>
        <w:rPr>
          <w:rFonts w:hint="eastAsia" w:ascii="宋体" w:hAnsi="宋体"/>
          <w:bCs/>
          <w:color w:val="auto"/>
          <w:szCs w:val="21"/>
          <w:u w:val="single"/>
        </w:rPr>
        <w:t>0分</w:t>
      </w:r>
      <w:r>
        <w:rPr>
          <w:rFonts w:hint="eastAsia" w:ascii="宋体" w:hAnsi="宋体"/>
          <w:bCs/>
          <w:color w:val="auto"/>
          <w:szCs w:val="21"/>
        </w:rPr>
        <w:t>（北京时间）</w:t>
      </w:r>
    </w:p>
    <w:p w14:paraId="46BDEC92">
      <w:pPr>
        <w:spacing w:line="360" w:lineRule="auto"/>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地点：广西政府采购云平台</w:t>
      </w:r>
      <w:r>
        <w:rPr>
          <w:rFonts w:hint="eastAsia" w:ascii="宋体" w:hAnsi="宋体" w:cs="宋体"/>
          <w:bCs/>
          <w:color w:val="auto"/>
          <w:kern w:val="0"/>
          <w:szCs w:val="21"/>
        </w:rPr>
        <w:t>（https://www.gcy.zfcg.gxzf.gov.cn）</w:t>
      </w:r>
    </w:p>
    <w:p w14:paraId="61F10D6C">
      <w:pPr>
        <w:spacing w:line="360" w:lineRule="auto"/>
        <w:ind w:firstLine="354" w:firstLineChars="147"/>
        <w:rPr>
          <w:rFonts w:ascii="黑体" w:hAnsi="黑体" w:eastAsia="黑体"/>
          <w:b/>
          <w:color w:val="auto"/>
          <w:sz w:val="24"/>
        </w:rPr>
      </w:pPr>
      <w:bookmarkStart w:id="32" w:name="_Toc44229883"/>
      <w:bookmarkStart w:id="33" w:name="_Toc28359094"/>
      <w:bookmarkStart w:id="34" w:name="_Toc35393803"/>
      <w:bookmarkStart w:id="35" w:name="_Toc71365910"/>
      <w:bookmarkStart w:id="36" w:name="_Toc28359017"/>
      <w:bookmarkStart w:id="37" w:name="_Toc35393634"/>
      <w:r>
        <w:rPr>
          <w:rFonts w:hint="eastAsia" w:ascii="黑体" w:hAnsi="黑体" w:eastAsia="黑体"/>
          <w:b/>
          <w:color w:val="auto"/>
          <w:sz w:val="24"/>
        </w:rPr>
        <w:t>六、公告期限</w:t>
      </w:r>
      <w:bookmarkEnd w:id="32"/>
      <w:bookmarkEnd w:id="33"/>
      <w:bookmarkEnd w:id="34"/>
      <w:bookmarkEnd w:id="35"/>
      <w:bookmarkEnd w:id="36"/>
      <w:bookmarkEnd w:id="37"/>
    </w:p>
    <w:p w14:paraId="7A7E7CB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DCE16E8">
      <w:pPr>
        <w:spacing w:line="360" w:lineRule="auto"/>
        <w:ind w:firstLine="354" w:firstLineChars="147"/>
        <w:rPr>
          <w:rFonts w:ascii="黑体" w:hAnsi="黑体" w:eastAsia="黑体"/>
          <w:b/>
          <w:color w:val="auto"/>
          <w:sz w:val="24"/>
        </w:rPr>
      </w:pPr>
      <w:bookmarkStart w:id="38" w:name="_Toc71365911"/>
      <w:bookmarkStart w:id="39" w:name="_Toc44229884"/>
      <w:bookmarkStart w:id="40" w:name="_Toc35393635"/>
      <w:bookmarkStart w:id="41" w:name="_Toc35393804"/>
      <w:r>
        <w:rPr>
          <w:rFonts w:hint="eastAsia" w:ascii="黑体" w:hAnsi="黑体" w:eastAsia="黑体"/>
          <w:b/>
          <w:color w:val="auto"/>
          <w:sz w:val="24"/>
        </w:rPr>
        <w:t>七、其他补充事宜</w:t>
      </w:r>
      <w:bookmarkEnd w:id="38"/>
      <w:bookmarkEnd w:id="39"/>
      <w:bookmarkEnd w:id="40"/>
      <w:bookmarkEnd w:id="41"/>
    </w:p>
    <w:p w14:paraId="41B2135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网上查询地址</w:t>
      </w:r>
    </w:p>
    <w:p w14:paraId="3E0DF140">
      <w:pPr>
        <w:spacing w:line="360" w:lineRule="auto"/>
        <w:ind w:firstLine="424" w:firstLineChars="202"/>
        <w:rPr>
          <w:rFonts w:ascii="宋体" w:hAnsi="宋体" w:cs="宋体"/>
          <w:color w:val="auto"/>
          <w:kern w:val="0"/>
          <w:szCs w:val="21"/>
        </w:rPr>
      </w:pPr>
      <w:r>
        <w:rPr>
          <w:rFonts w:hint="eastAsia" w:ascii="宋体" w:hAnsi="宋体"/>
          <w:color w:val="auto"/>
          <w:szCs w:val="21"/>
        </w:rPr>
        <w:t>www.ccgp.gov.cn</w:t>
      </w:r>
      <w:r>
        <w:rPr>
          <w:rFonts w:hint="eastAsia" w:ascii="宋体" w:hAnsi="宋体" w:cs="宋体"/>
          <w:color w:val="auto"/>
          <w:kern w:val="0"/>
          <w:szCs w:val="21"/>
        </w:rPr>
        <w:t>（中国政府采购网）、</w:t>
      </w:r>
      <w:r>
        <w:rPr>
          <w:rFonts w:hint="eastAsia" w:ascii="宋体" w:hAnsi="宋体"/>
          <w:color w:val="auto"/>
          <w:szCs w:val="21"/>
        </w:rPr>
        <w:t>https：//</w:t>
      </w:r>
      <w:r>
        <w:rPr>
          <w:rFonts w:hint="eastAsia" w:ascii="宋体" w:hAnsi="宋体" w:cs="宋体"/>
          <w:color w:val="auto"/>
          <w:kern w:val="0"/>
          <w:szCs w:val="21"/>
        </w:rPr>
        <w:t>zfcg.gxzf.gov.cn（广西壮族自治区政府采购网</w:t>
      </w:r>
      <w:bookmarkStart w:id="42" w:name="_Hlk37429674"/>
      <w:bookmarkStart w:id="43" w:name="_Toc28359018"/>
      <w:bookmarkStart w:id="44" w:name="_Toc35393636"/>
      <w:bookmarkStart w:id="45" w:name="_Toc44229885"/>
      <w:bookmarkStart w:id="46" w:name="_Toc35393805"/>
      <w:bookmarkStart w:id="47" w:name="_Toc28359095"/>
      <w:r>
        <w:rPr>
          <w:rFonts w:hint="eastAsia" w:ascii="宋体" w:hAnsi="宋体" w:cs="宋体"/>
          <w:color w:val="auto"/>
          <w:kern w:val="0"/>
          <w:szCs w:val="21"/>
        </w:rPr>
        <w:t>）</w:t>
      </w:r>
    </w:p>
    <w:p w14:paraId="2805ABEA">
      <w:pPr>
        <w:spacing w:line="360" w:lineRule="auto"/>
        <w:ind w:firstLine="424" w:firstLineChars="202"/>
        <w:rPr>
          <w:rFonts w:ascii="宋体" w:hAnsi="宋体" w:cs="宋体"/>
          <w:color w:val="auto"/>
          <w:kern w:val="0"/>
          <w:szCs w:val="21"/>
        </w:rPr>
      </w:pPr>
      <w:r>
        <w:rPr>
          <w:rFonts w:hint="eastAsia" w:ascii="宋体" w:hAnsi="宋体"/>
          <w:color w:val="auto"/>
          <w:szCs w:val="21"/>
        </w:rPr>
        <w:t>2</w:t>
      </w:r>
      <w:r>
        <w:rPr>
          <w:rFonts w:ascii="宋体" w:hAnsi="宋体"/>
          <w:color w:val="auto"/>
          <w:szCs w:val="21"/>
        </w:rPr>
        <w:t>.</w:t>
      </w:r>
      <w:r>
        <w:rPr>
          <w:rFonts w:hint="eastAsia" w:ascii="宋体" w:hAnsi="宋体" w:cs="宋体"/>
          <w:color w:val="auto"/>
          <w:kern w:val="0"/>
          <w:szCs w:val="21"/>
        </w:rPr>
        <w:t>本项目执行采购政策</w:t>
      </w:r>
    </w:p>
    <w:bookmarkEnd w:id="42"/>
    <w:p w14:paraId="78F8D1C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6CB8C0F0">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61E6D64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F70E51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33FB8ED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5DD34898">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3.供应商</w:t>
      </w:r>
      <w:r>
        <w:rPr>
          <w:rFonts w:hint="eastAsia" w:ascii="宋体" w:hAnsi="宋体"/>
          <w:color w:val="auto"/>
          <w:szCs w:val="21"/>
        </w:rPr>
        <w:t>竞标注意事项</w:t>
      </w:r>
    </w:p>
    <w:p w14:paraId="72F9AA4F">
      <w:pPr>
        <w:widowControl/>
        <w:spacing w:line="360" w:lineRule="auto"/>
        <w:ind w:firstLine="420" w:firstLineChars="200"/>
        <w:rPr>
          <w:rFonts w:ascii="宋体" w:hAnsi="宋体"/>
          <w:color w:val="auto"/>
          <w:szCs w:val="21"/>
        </w:rPr>
      </w:pPr>
      <w:r>
        <w:rPr>
          <w:rFonts w:hint="eastAsia" w:ascii="宋体" w:hAnsi="宋体"/>
          <w:color w:val="auto"/>
          <w:szCs w:val="21"/>
        </w:rPr>
        <w:t>（1）本项目为全流程电子化采购项目，通过广西政府采购云平台（https://www.gcy.zfcg.gxzf.gov.cn）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帮助中心-项目采购-操作手册-电子招投标”查看电子竞标具体操作流程。如在操作过程中遇到问题或者需要技术支持，请致电客服热线：95763或者0771-3381253。</w:t>
      </w:r>
    </w:p>
    <w:p w14:paraId="607E3FCE">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系统管理-CA管理-申领CA”中查看CA服务商并选择其中任意一家CA服务商办理CA数字证书。如在操作过程中遇到问题或者需要技术支持，请致电相应的CA服务商客服咨询电话）。</w:t>
      </w:r>
    </w:p>
    <w:p w14:paraId="4F61290D">
      <w:pPr>
        <w:widowControl/>
        <w:spacing w:line="360" w:lineRule="auto"/>
        <w:ind w:firstLine="420" w:firstLineChars="200"/>
        <w:jc w:val="left"/>
        <w:rPr>
          <w:rFonts w:ascii="宋体" w:hAnsi="宋体" w:cs="宋体"/>
          <w:color w:val="auto"/>
          <w:kern w:val="0"/>
          <w:szCs w:val="21"/>
        </w:rPr>
      </w:pPr>
      <w:r>
        <w:rPr>
          <w:rFonts w:hint="eastAsia" w:ascii="宋体" w:hAnsi="宋体"/>
          <w:color w:val="auto"/>
          <w:szCs w:val="21"/>
        </w:rPr>
        <w:t>（3）CA证书在线解密：首次响应文件开启时，需携带制作响应文件时用来加密的有效数字证书（CA认证）登录广西政府采购云</w:t>
      </w:r>
      <w:r>
        <w:rPr>
          <w:rFonts w:hint="eastAsia" w:ascii="宋体" w:hAnsi="宋体" w:cs="宋体"/>
          <w:color w:val="auto"/>
          <w:kern w:val="0"/>
          <w:szCs w:val="21"/>
        </w:rPr>
        <w:t>平台电子开标大厅现场按规定时间对加密的响应文件进行解密，否则后果自负。</w:t>
      </w:r>
    </w:p>
    <w:p w14:paraId="63A77DAB">
      <w:pPr>
        <w:widowControl/>
        <w:spacing w:line="360" w:lineRule="auto"/>
        <w:ind w:firstLine="420" w:firstLineChars="200"/>
        <w:jc w:val="left"/>
        <w:rPr>
          <w:rFonts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ED47DA6">
      <w:pPr>
        <w:spacing w:line="360" w:lineRule="auto"/>
        <w:ind w:firstLine="420" w:firstLineChars="200"/>
        <w:rPr>
          <w:rFonts w:ascii="宋体" w:hAnsi="宋体"/>
          <w:color w:val="auto"/>
          <w:szCs w:val="21"/>
          <w:u w:val="single"/>
        </w:rPr>
      </w:pPr>
      <w:r>
        <w:rPr>
          <w:rFonts w:hint="eastAsia" w:ascii="宋体" w:hAnsi="宋体" w:cs="宋体"/>
          <w:color w:val="auto"/>
          <w:kern w:val="0"/>
          <w:szCs w:val="21"/>
        </w:rPr>
        <w:t>（4）供应商需要在具备有摄像头及语音功能且互联网网络状况良好的电脑登录广西政府采购云平台远程开标大厅参与本次磋商，否则后果自负。</w:t>
      </w:r>
    </w:p>
    <w:p w14:paraId="49B5F613">
      <w:pPr>
        <w:spacing w:line="360" w:lineRule="auto"/>
        <w:ind w:firstLine="354" w:firstLineChars="147"/>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43"/>
      <w:bookmarkEnd w:id="44"/>
      <w:bookmarkEnd w:id="45"/>
      <w:bookmarkEnd w:id="46"/>
      <w:bookmarkEnd w:id="47"/>
    </w:p>
    <w:bookmarkEnd w:id="1"/>
    <w:p w14:paraId="65C2DB3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2EBACA9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 称：钦州市公安局　</w:t>
      </w:r>
    </w:p>
    <w:p w14:paraId="259E491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 址：</w:t>
      </w:r>
      <w:bookmarkStart w:id="48" w:name="_Toc28359009"/>
      <w:bookmarkStart w:id="49" w:name="_Toc28359086"/>
      <w:r>
        <w:rPr>
          <w:rFonts w:hint="eastAsia" w:ascii="宋体" w:hAnsi="宋体" w:cs="宋体"/>
          <w:color w:val="auto"/>
          <w:kern w:val="0"/>
          <w:szCs w:val="21"/>
        </w:rPr>
        <w:t>钦州市子材东大街6号</w:t>
      </w:r>
    </w:p>
    <w:p w14:paraId="6D77280D">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 xml:space="preserve">联系方式：章年浩  0777-2820280 </w:t>
      </w:r>
    </w:p>
    <w:p w14:paraId="7483B18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2.采购代理机构信息</w:t>
      </w:r>
      <w:bookmarkEnd w:id="48"/>
      <w:bookmarkEnd w:id="49"/>
    </w:p>
    <w:p w14:paraId="7603296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名 称：云之龙咨询集团有限公司　</w:t>
      </w:r>
    </w:p>
    <w:p w14:paraId="06C2B5E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地址：广西钦州市子材东大街19号奥林名城8号楼8层</w:t>
      </w:r>
    </w:p>
    <w:p w14:paraId="0F3C1EE6">
      <w:pPr>
        <w:spacing w:line="360" w:lineRule="auto"/>
        <w:ind w:firstLine="420" w:firstLineChars="200"/>
        <w:rPr>
          <w:rFonts w:hint="eastAsia" w:ascii="宋体" w:hAnsi="宋体" w:eastAsia="宋体" w:cs="宋体"/>
          <w:color w:val="auto"/>
          <w:kern w:val="0"/>
          <w:szCs w:val="21"/>
          <w:lang w:val="en-US" w:eastAsia="zh-CN"/>
        </w:rPr>
      </w:pPr>
      <w:r>
        <w:rPr>
          <w:rFonts w:hint="eastAsia" w:ascii="宋体" w:hAnsi="宋体" w:cs="宋体"/>
          <w:color w:val="auto"/>
          <w:kern w:val="0"/>
          <w:szCs w:val="21"/>
        </w:rPr>
        <w:t>项目联系人姓名：黄洁年、</w:t>
      </w:r>
      <w:r>
        <w:rPr>
          <w:rFonts w:hint="eastAsia" w:ascii="宋体" w:hAnsi="宋体" w:cs="宋体"/>
          <w:color w:val="auto"/>
          <w:kern w:val="0"/>
          <w:szCs w:val="21"/>
          <w:lang w:val="en-US" w:eastAsia="zh-CN"/>
        </w:rPr>
        <w:t>秦绍袁</w:t>
      </w:r>
    </w:p>
    <w:p w14:paraId="284A6E13">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联系电话：0777-5619366</w:t>
      </w:r>
    </w:p>
    <w:p w14:paraId="56B9964F">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3.项目联系方式</w:t>
      </w:r>
    </w:p>
    <w:p w14:paraId="67E7D3E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项目联系人：黄洁年、</w:t>
      </w:r>
      <w:r>
        <w:rPr>
          <w:rFonts w:hint="eastAsia" w:ascii="宋体" w:hAnsi="宋体" w:cs="宋体"/>
          <w:color w:val="auto"/>
          <w:kern w:val="0"/>
          <w:szCs w:val="21"/>
          <w:lang w:val="en-US" w:eastAsia="zh-CN"/>
        </w:rPr>
        <w:t>秦绍袁</w:t>
      </w:r>
    </w:p>
    <w:p w14:paraId="3F2D9220">
      <w:pPr>
        <w:spacing w:line="320" w:lineRule="exact"/>
        <w:ind w:firstLine="420" w:firstLineChars="200"/>
        <w:rPr>
          <w:rFonts w:ascii="宋体" w:hAnsi="宋体" w:cs="宋体"/>
          <w:color w:val="auto"/>
          <w:kern w:val="0"/>
          <w:szCs w:val="21"/>
        </w:rPr>
      </w:pPr>
      <w:r>
        <w:rPr>
          <w:rFonts w:hint="eastAsia" w:ascii="宋体" w:hAnsi="宋体" w:cs="宋体"/>
          <w:color w:val="auto"/>
          <w:kern w:val="0"/>
          <w:szCs w:val="21"/>
        </w:rPr>
        <w:t>电　话：0777-5619366　</w:t>
      </w:r>
    </w:p>
    <w:p w14:paraId="51411061">
      <w:pPr>
        <w:rPr>
          <w:rFonts w:ascii="宋体" w:hAnsi="宋体" w:cs="宋体"/>
          <w:color w:val="auto"/>
          <w:kern w:val="0"/>
          <w:szCs w:val="21"/>
        </w:rPr>
      </w:pPr>
      <w:r>
        <w:rPr>
          <w:rFonts w:hint="eastAsia" w:ascii="宋体" w:hAnsi="宋体" w:cs="宋体"/>
          <w:color w:val="auto"/>
          <w:kern w:val="0"/>
          <w:szCs w:val="21"/>
        </w:rPr>
        <w:br w:type="page"/>
      </w:r>
    </w:p>
    <w:p w14:paraId="3FD6A7DD">
      <w:pPr>
        <w:pStyle w:val="3"/>
        <w:spacing w:before="300" w:after="300" w:line="360" w:lineRule="auto"/>
        <w:ind w:firstLine="883" w:firstLineChars="200"/>
        <w:jc w:val="center"/>
        <w:rPr>
          <w:color w:val="auto"/>
        </w:rPr>
      </w:pPr>
      <w:bookmarkStart w:id="50" w:name="_Toc122424245"/>
      <w:r>
        <w:rPr>
          <w:rFonts w:hint="eastAsia"/>
          <w:color w:val="auto"/>
        </w:rPr>
        <w:t>第二章 供应商须知</w:t>
      </w:r>
      <w:bookmarkEnd w:id="50"/>
    </w:p>
    <w:p w14:paraId="79750F6F">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14:paraId="7E0B3290">
      <w:pPr>
        <w:spacing w:line="400" w:lineRule="exact"/>
        <w:jc w:val="center"/>
        <w:rPr>
          <w:rFonts w:ascii="宋体" w:hAnsi="宋体"/>
          <w:b/>
          <w:color w:val="auto"/>
          <w:sz w:val="32"/>
          <w:szCs w:val="32"/>
        </w:rPr>
      </w:pPr>
    </w:p>
    <w:tbl>
      <w:tblPr>
        <w:tblStyle w:val="4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31DAC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tcPr>
          <w:p w14:paraId="7062E54F">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5E34D287">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4FC2B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02ACE25">
            <w:pPr>
              <w:spacing w:line="360" w:lineRule="auto"/>
              <w:jc w:val="center"/>
              <w:rPr>
                <w:rFonts w:ascii="宋体" w:hAnsi="宋体" w:cs="宋体"/>
                <w:color w:val="auto"/>
                <w:szCs w:val="21"/>
              </w:rPr>
            </w:pPr>
            <w:r>
              <w:rPr>
                <w:rFonts w:hint="eastAsia" w:ascii="宋体" w:hAnsi="宋体" w:cs="宋体"/>
                <w:color w:val="auto"/>
                <w:szCs w:val="21"/>
              </w:rPr>
              <w:t>3.1</w:t>
            </w:r>
          </w:p>
        </w:tc>
        <w:tc>
          <w:tcPr>
            <w:tcW w:w="7912" w:type="dxa"/>
            <w:vAlign w:val="center"/>
          </w:tcPr>
          <w:p w14:paraId="2AB4D577">
            <w:pPr>
              <w:spacing w:line="360" w:lineRule="auto"/>
              <w:rPr>
                <w:rFonts w:ascii="宋体" w:hAnsi="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w:t>
            </w:r>
            <w:r>
              <w:rPr>
                <w:rFonts w:hint="eastAsia" w:ascii="宋体" w:hAnsi="宋体" w:cs="宋体"/>
                <w:iCs/>
                <w:color w:val="auto"/>
                <w:szCs w:val="21"/>
                <w:u w:val="single"/>
              </w:rPr>
              <w:t>详见竞争性磋商公告</w:t>
            </w:r>
          </w:p>
        </w:tc>
      </w:tr>
      <w:tr w14:paraId="21C4B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CAD8224">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6173A564">
            <w:pPr>
              <w:spacing w:line="360" w:lineRule="auto"/>
              <w:rPr>
                <w:rFonts w:ascii="宋体" w:hAnsi="宋体" w:cs="宋体"/>
                <w:color w:val="auto"/>
                <w:szCs w:val="21"/>
              </w:rPr>
            </w:pPr>
            <w:r>
              <w:rPr>
                <w:rFonts w:hint="eastAsia" w:ascii="宋体" w:hAnsi="宋体" w:cs="宋体"/>
                <w:color w:val="auto"/>
                <w:szCs w:val="21"/>
              </w:rPr>
              <w:t>是否接受联合体竞标: 本项目不接受联合体</w:t>
            </w:r>
          </w:p>
        </w:tc>
      </w:tr>
      <w:tr w14:paraId="6E3E3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4AA9A0">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2CF5BB33">
            <w:pPr>
              <w:pStyle w:val="18"/>
              <w:spacing w:line="360" w:lineRule="auto"/>
              <w:rPr>
                <w:rFonts w:ascii="宋体" w:hAnsi="宋体"/>
                <w:color w:val="auto"/>
                <w:szCs w:val="21"/>
              </w:rPr>
            </w:pPr>
            <w:r>
              <w:rPr>
                <w:rFonts w:hint="eastAsia" w:ascii="宋体" w:hAnsi="宋体"/>
                <w:color w:val="auto"/>
                <w:szCs w:val="21"/>
              </w:rPr>
              <w:t>☑不允许分包</w:t>
            </w:r>
          </w:p>
          <w:p w14:paraId="05EC9306">
            <w:pPr>
              <w:pStyle w:val="18"/>
              <w:spacing w:line="360" w:lineRule="auto"/>
              <w:rPr>
                <w:rFonts w:ascii="宋体" w:hAnsi="宋体" w:cs="宋体"/>
                <w:color w:val="auto"/>
                <w:szCs w:val="21"/>
              </w:rPr>
            </w:pPr>
            <w:r>
              <w:rPr>
                <w:rFonts w:hint="eastAsia" w:ascii="宋体" w:hAnsi="宋体"/>
                <w:color w:val="auto"/>
                <w:szCs w:val="21"/>
              </w:rPr>
              <w:t>□允许分包</w:t>
            </w:r>
          </w:p>
        </w:tc>
      </w:tr>
      <w:tr w14:paraId="0AFDC0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F08DE6">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4B183140">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384D9A85">
            <w:pPr>
              <w:pStyle w:val="18"/>
              <w:spacing w:line="360" w:lineRule="auto"/>
              <w:rPr>
                <w:rFonts w:ascii="宋体" w:hAnsi="宋体"/>
                <w:color w:val="auto"/>
                <w:szCs w:val="21"/>
              </w:rPr>
            </w:pPr>
            <w:r>
              <w:rPr>
                <w:rFonts w:hint="eastAsia" w:ascii="宋体" w:hAnsi="宋体" w:cs="宋体"/>
                <w:color w:val="auto"/>
                <w:szCs w:val="21"/>
              </w:rPr>
              <w:t>1.供应商为法人或者其他组织的提供其营业执照等证明文件复印件（如营业执照或者事业单位法人证书或者执业许可证或者登记证书等）；（</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1AB8229">
            <w:pPr>
              <w:spacing w:line="360" w:lineRule="auto"/>
              <w:contextualSpacing/>
              <w:jc w:val="left"/>
              <w:rPr>
                <w:rFonts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u w:val="single"/>
              </w:rPr>
              <w:t>2025年1月至2026年1月内</w:t>
            </w:r>
            <w:r>
              <w:rPr>
                <w:rFonts w:hint="eastAsia" w:ascii="宋体" w:hAnsi="宋体" w:cs="宋体"/>
                <w:color w:val="auto"/>
                <w:szCs w:val="21"/>
              </w:rPr>
              <w:t>任意</w:t>
            </w:r>
            <w:r>
              <w:rPr>
                <w:rFonts w:hint="eastAsia" w:ascii="宋体" w:hAnsi="宋体" w:cs="宋体"/>
                <w:color w:val="auto"/>
                <w:szCs w:val="21"/>
                <w:u w:val="single"/>
              </w:rPr>
              <w:t xml:space="preserve"> 3</w:t>
            </w:r>
            <w:r>
              <w:rPr>
                <w:rFonts w:hint="eastAsia" w:ascii="宋体" w:hAnsi="宋体" w:cs="宋体"/>
                <w:color w:val="auto"/>
                <w:szCs w:val="21"/>
              </w:rPr>
              <w:t>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9D56AC4">
            <w:pPr>
              <w:spacing w:line="360" w:lineRule="auto"/>
              <w:contextualSpacing/>
              <w:jc w:val="left"/>
              <w:rPr>
                <w:rFonts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u w:val="single"/>
              </w:rPr>
              <w:t>2025年1月至2026年1月内</w:t>
            </w:r>
            <w:r>
              <w:rPr>
                <w:rFonts w:hint="eastAsia" w:ascii="宋体" w:hAnsi="宋体" w:cs="宋体"/>
                <w:color w:val="auto"/>
                <w:szCs w:val="21"/>
              </w:rPr>
              <w:t>任意</w:t>
            </w:r>
            <w:r>
              <w:rPr>
                <w:rFonts w:hint="eastAsia" w:ascii="宋体" w:hAnsi="宋体" w:cs="宋体"/>
                <w:color w:val="auto"/>
                <w:szCs w:val="21"/>
                <w:u w:val="single"/>
              </w:rPr>
              <w:t xml:space="preserve"> 3</w:t>
            </w:r>
            <w:r>
              <w:rPr>
                <w:rFonts w:hint="eastAsia" w:ascii="宋体" w:hAnsi="宋体" w:cs="宋体"/>
                <w:color w:val="auto"/>
                <w:szCs w:val="21"/>
              </w:rPr>
              <w:t>个的依法缴纳社会保障资金的缴费凭证（专用收据或者社会保险缴纳清单）复印件；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7C4A291B">
            <w:pPr>
              <w:spacing w:line="360" w:lineRule="auto"/>
              <w:contextualSpacing/>
              <w:jc w:val="left"/>
              <w:rPr>
                <w:rFonts w:ascii="宋体" w:hAnsi="宋体" w:cs="宋体"/>
                <w:b/>
                <w:color w:val="auto"/>
                <w:szCs w:val="21"/>
              </w:rPr>
            </w:pPr>
            <w:r>
              <w:rPr>
                <w:rFonts w:hint="eastAsia" w:ascii="宋体" w:hAnsi="宋体" w:cs="宋体"/>
                <w:color w:val="auto"/>
                <w:szCs w:val="21"/>
              </w:rPr>
              <w:t>4.供应商</w:t>
            </w:r>
            <w:r>
              <w:rPr>
                <w:rFonts w:hint="eastAsia"/>
                <w:color w:val="auto"/>
                <w:szCs w:val="21"/>
              </w:rPr>
              <w:t>财务状况报告（</w:t>
            </w:r>
            <w:r>
              <w:rPr>
                <w:rFonts w:hint="eastAsia"/>
                <w:color w:val="auto"/>
                <w:szCs w:val="21"/>
                <w:u w:val="single"/>
              </w:rPr>
              <w:t>2024</w:t>
            </w:r>
            <w:r>
              <w:rPr>
                <w:rFonts w:hint="eastAsia"/>
                <w:color w:val="auto"/>
                <w:szCs w:val="21"/>
              </w:rPr>
              <w:t>年度财务报表复印件，或者银行出具的资信证明，或者中国人民银行征信中心出具的信用报告；供应商属于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或银行出具的资信证明或者中国人民银行征信中心出具的企业信用报告；资信证明应在有效期内，未注明有效期的，银行出具时间至响应文件提交截止时间不得超过一年）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，否则响应文件按无效处理</w:t>
            </w:r>
            <w:r>
              <w:rPr>
                <w:rFonts w:hint="eastAsia" w:ascii="宋体" w:hAnsi="宋体" w:cs="宋体"/>
                <w:bCs/>
                <w:color w:val="auto"/>
                <w:szCs w:val="21"/>
              </w:rPr>
              <w:t>）</w:t>
            </w:r>
          </w:p>
          <w:p w14:paraId="610DAD81">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D58D5EC">
            <w:pPr>
              <w:snapToGrid w:val="0"/>
              <w:spacing w:line="360" w:lineRule="auto"/>
              <w:jc w:val="left"/>
              <w:rPr>
                <w:rFonts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97A3F13">
            <w:pPr>
              <w:snapToGrid w:val="0"/>
              <w:spacing w:line="360" w:lineRule="auto"/>
              <w:jc w:val="left"/>
              <w:rPr>
                <w:rFonts w:ascii="宋体" w:hAnsi="宋体" w:cs="宋体"/>
                <w:b/>
                <w:color w:val="auto"/>
                <w:szCs w:val="21"/>
              </w:rPr>
            </w:pPr>
            <w:r>
              <w:rPr>
                <w:rFonts w:hint="eastAsia" w:ascii="宋体" w:hAnsi="宋体"/>
                <w:color w:val="auto"/>
                <w:szCs w:val="21"/>
              </w:rPr>
              <w:t>7.</w:t>
            </w:r>
            <w:r>
              <w:rPr>
                <w:rFonts w:hint="eastAsia"/>
                <w:color w:val="auto"/>
              </w:rPr>
              <w:t>供应商</w:t>
            </w:r>
            <w:r>
              <w:rPr>
                <w:rFonts w:hint="eastAsia" w:ascii="宋体" w:hAnsi="宋体" w:cs="宋体"/>
                <w:color w:val="auto"/>
                <w:szCs w:val="21"/>
              </w:rPr>
              <w:t>有效的建筑工程施工总承包三级及以上资质</w:t>
            </w:r>
            <w:r>
              <w:rPr>
                <w:color w:val="auto"/>
              </w:rPr>
              <w:t>证书复印件及有效的</w:t>
            </w:r>
            <w:r>
              <w:rPr>
                <w:rFonts w:hint="eastAsia" w:ascii="宋体" w:hAnsi="宋体" w:cs="宋体"/>
                <w:color w:val="auto"/>
                <w:szCs w:val="21"/>
              </w:rPr>
              <w:t>安全生产许可证</w:t>
            </w:r>
            <w:r>
              <w:rPr>
                <w:color w:val="auto"/>
              </w:rPr>
              <w:t>复印件</w:t>
            </w:r>
            <w:r>
              <w:rPr>
                <w:rFonts w:hint="eastAsia" w:ascii="宋体" w:hAnsi="宋体" w:cs="宋体"/>
                <w:color w:val="auto"/>
                <w:szCs w:val="21"/>
              </w:rPr>
              <w:t>；</w:t>
            </w:r>
            <w:r>
              <w:rPr>
                <w:rFonts w:hint="eastAsia" w:ascii="宋体" w:hAnsi="宋体" w:cs="宋体"/>
                <w:b/>
                <w:bCs/>
                <w:color w:val="auto"/>
                <w:szCs w:val="21"/>
              </w:rPr>
              <w:t xml:space="preserve"> </w:t>
            </w:r>
            <w:r>
              <w:rPr>
                <w:rFonts w:hint="eastAsia" w:ascii="宋体" w:hAnsi="宋体" w:cs="宋体"/>
                <w:b/>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按无效处理</w:t>
            </w:r>
            <w:r>
              <w:rPr>
                <w:rFonts w:hint="eastAsia" w:ascii="宋体" w:hAnsi="宋体" w:cs="宋体"/>
                <w:b/>
                <w:color w:val="auto"/>
                <w:szCs w:val="21"/>
              </w:rPr>
              <w:t>）；</w:t>
            </w:r>
          </w:p>
          <w:p w14:paraId="23671ED2">
            <w:pPr>
              <w:snapToGrid w:val="0"/>
              <w:spacing w:line="360" w:lineRule="auto"/>
              <w:jc w:val="left"/>
              <w:rPr>
                <w:rFonts w:ascii="宋体" w:hAnsi="宋体" w:cs="宋体"/>
                <w:b/>
                <w:color w:val="auto"/>
                <w:szCs w:val="21"/>
              </w:rPr>
            </w:pPr>
            <w:r>
              <w:rPr>
                <w:rFonts w:hint="eastAsia" w:ascii="宋体" w:hAnsi="宋体" w:cs="宋体"/>
                <w:color w:val="auto"/>
                <w:szCs w:val="21"/>
              </w:rPr>
              <w:t>8.拟投入本工程的项目经理有效的建造师资格证复印件或打印件、安全生产考核合格证（B类）复印件或打印件、有效的身份证正反面复印件及项目经理不在其他项目服务的承诺书</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按无效处理）</w:t>
            </w:r>
          </w:p>
          <w:p w14:paraId="0DDFA8A0">
            <w:pPr>
              <w:snapToGrid w:val="0"/>
              <w:spacing w:line="360" w:lineRule="auto"/>
              <w:jc w:val="left"/>
              <w:rPr>
                <w:rFonts w:ascii="宋体" w:hAnsi="宋体" w:cs="宋体"/>
                <w:b/>
                <w:bCs/>
                <w:color w:val="auto"/>
                <w:szCs w:val="21"/>
              </w:rPr>
            </w:pPr>
            <w:r>
              <w:rPr>
                <w:rFonts w:hint="eastAsia" w:ascii="宋体" w:hAnsi="宋体" w:cs="宋体"/>
                <w:bCs/>
                <w:color w:val="auto"/>
                <w:szCs w:val="21"/>
              </w:rPr>
              <w:t>9.</w:t>
            </w:r>
            <w:r>
              <w:rPr>
                <w:rFonts w:hint="eastAsia"/>
                <w:color w:val="auto"/>
              </w:rPr>
              <w:t>供应商</w:t>
            </w:r>
            <w:r>
              <w:rPr>
                <w:rFonts w:hint="eastAsia" w:ascii="宋体" w:hAnsi="宋体" w:cs="宋体"/>
                <w:bCs/>
                <w:color w:val="auto"/>
                <w:szCs w:val="21"/>
              </w:rPr>
              <w:t>拟投入本工程的技术负责人建筑工程相关专业工程师及以上职称证书复印件或打印件；</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按无效处理）</w:t>
            </w:r>
          </w:p>
          <w:p w14:paraId="1BED49DF">
            <w:pPr>
              <w:snapToGrid w:val="0"/>
              <w:spacing w:line="360" w:lineRule="auto"/>
              <w:jc w:val="left"/>
              <w:rPr>
                <w:rFonts w:ascii="宋体" w:hAnsi="宋体" w:cs="宋体"/>
                <w:color w:val="auto"/>
                <w:szCs w:val="21"/>
              </w:rPr>
            </w:pPr>
            <w:r>
              <w:rPr>
                <w:rFonts w:hint="eastAsia"/>
                <w:color w:val="auto"/>
              </w:rPr>
              <w:t>10.供应商</w:t>
            </w:r>
            <w:r>
              <w:rPr>
                <w:rFonts w:hint="eastAsia" w:ascii="宋体" w:hAnsi="宋体" w:cs="宋体"/>
                <w:color w:val="auto"/>
                <w:szCs w:val="21"/>
              </w:rPr>
              <w:t>拟投入本工程四大员（施工员、质量员、专职安全生产管理人员、材料员）中，专职安全生产管理人员有效的安全生产考核合格证（C类）复印件或打印件及身份证正反面复印件，施工员、质量员、材料员有效的</w:t>
            </w:r>
            <w:r>
              <w:rPr>
                <w:rFonts w:hint="eastAsia"/>
                <w:color w:val="auto"/>
              </w:rPr>
              <w:t>职业相应的施工现场专业人员职业培训合格证书</w:t>
            </w:r>
            <w:r>
              <w:rPr>
                <w:rFonts w:hint="eastAsia" w:ascii="宋体" w:hAnsi="宋体" w:cs="宋体"/>
                <w:color w:val="auto"/>
                <w:szCs w:val="21"/>
              </w:rPr>
              <w:t>复印件或打印件及身份证正反面复印件；</w:t>
            </w:r>
            <w:r>
              <w:rPr>
                <w:rFonts w:hint="eastAsia" w:ascii="宋体" w:hAnsi="宋体" w:cs="宋体"/>
                <w:b/>
                <w:color w:val="auto"/>
                <w:szCs w:val="21"/>
              </w:rPr>
              <w:t>（</w:t>
            </w:r>
            <w:r>
              <w:rPr>
                <w:rFonts w:hint="eastAsia" w:ascii="宋体" w:hAnsi="宋体" w:cs="宋体"/>
                <w:b/>
                <w:bCs/>
                <w:color w:val="auto"/>
                <w:szCs w:val="21"/>
              </w:rPr>
              <w:t>必须提供，否则</w:t>
            </w:r>
            <w:r>
              <w:rPr>
                <w:rFonts w:hint="eastAsia" w:ascii="宋体" w:hAnsi="宋体" w:cs="宋体"/>
                <w:b/>
                <w:color w:val="auto"/>
                <w:szCs w:val="21"/>
              </w:rPr>
              <w:t>响应文件</w:t>
            </w:r>
            <w:r>
              <w:rPr>
                <w:rFonts w:hint="eastAsia" w:ascii="宋体" w:hAnsi="宋体" w:cs="宋体"/>
                <w:b/>
                <w:bCs/>
                <w:color w:val="auto"/>
                <w:szCs w:val="21"/>
              </w:rPr>
              <w:t>按无效处理</w:t>
            </w:r>
            <w:r>
              <w:rPr>
                <w:rFonts w:hint="eastAsia" w:ascii="宋体" w:hAnsi="宋体" w:cs="宋体"/>
                <w:b/>
                <w:color w:val="auto"/>
                <w:szCs w:val="21"/>
              </w:rPr>
              <w:t>）</w:t>
            </w:r>
          </w:p>
          <w:p w14:paraId="65690A6E">
            <w:pPr>
              <w:snapToGrid w:val="0"/>
              <w:spacing w:line="360" w:lineRule="auto"/>
              <w:jc w:val="left"/>
              <w:rPr>
                <w:rFonts w:ascii="宋体" w:hAnsi="宋体" w:cs="宋体"/>
                <w:color w:val="auto"/>
                <w:szCs w:val="21"/>
              </w:rPr>
            </w:pPr>
            <w:r>
              <w:rPr>
                <w:rFonts w:hint="eastAsia" w:ascii="宋体" w:hAnsi="宋体" w:cs="宋体"/>
                <w:color w:val="auto"/>
                <w:szCs w:val="21"/>
              </w:rPr>
              <w:t>11.供应商的《中小企业声明函》或《残疾人福利性单位声明函》或属于监狱企业的证明文件；（</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1A02A95">
            <w:pPr>
              <w:snapToGrid w:val="0"/>
              <w:spacing w:line="360" w:lineRule="auto"/>
              <w:jc w:val="left"/>
              <w:rPr>
                <w:rFonts w:ascii="宋体" w:hAnsi="宋体" w:cs="宋体"/>
                <w:color w:val="auto"/>
                <w:szCs w:val="21"/>
              </w:rPr>
            </w:pPr>
            <w:r>
              <w:rPr>
                <w:rFonts w:hint="eastAsia" w:ascii="宋体" w:hAnsi="宋体" w:cs="宋体"/>
                <w:color w:val="auto"/>
                <w:szCs w:val="21"/>
              </w:rPr>
              <w:t>12.除磋商文件规定必须提供以外，供应商认为需要提供的其他证明材料；</w:t>
            </w:r>
          </w:p>
          <w:p w14:paraId="6C9FDB2F">
            <w:pPr>
              <w:snapToGrid w:val="0"/>
              <w:spacing w:line="360" w:lineRule="auto"/>
              <w:jc w:val="left"/>
              <w:rPr>
                <w:rFonts w:ascii="宋体" w:hAnsi="宋体" w:cs="宋体"/>
                <w:b/>
                <w:color w:val="auto"/>
                <w:szCs w:val="21"/>
              </w:rPr>
            </w:pPr>
            <w:r>
              <w:rPr>
                <w:rFonts w:hint="eastAsia" w:ascii="宋体" w:hAnsi="宋体" w:cs="宋体"/>
                <w:b/>
                <w:color w:val="auto"/>
                <w:szCs w:val="21"/>
              </w:rPr>
              <w:t>注：</w:t>
            </w:r>
          </w:p>
          <w:p w14:paraId="73FAC863">
            <w:pPr>
              <w:snapToGrid w:val="0"/>
              <w:spacing w:line="360" w:lineRule="auto"/>
              <w:jc w:val="left"/>
              <w:rPr>
                <w:rFonts w:ascii="宋体" w:hAnsi="宋体" w:cs="宋体"/>
                <w:b/>
                <w:color w:val="auto"/>
                <w:szCs w:val="21"/>
              </w:rPr>
            </w:pPr>
            <w:r>
              <w:rPr>
                <w:rFonts w:hint="eastAsia" w:ascii="宋体" w:hAnsi="宋体" w:cs="宋体"/>
                <w:b/>
                <w:color w:val="auto"/>
                <w:szCs w:val="21"/>
              </w:rPr>
              <w:t>以上</w:t>
            </w:r>
            <w:r>
              <w:rPr>
                <w:rFonts w:hint="eastAsia"/>
                <w:b/>
                <w:bCs/>
                <w:color w:val="auto"/>
              </w:rPr>
              <w:t>标明“必须提供”的材料 ，必须加盖供应商</w:t>
            </w:r>
            <w:r>
              <w:rPr>
                <w:rFonts w:hint="eastAsia"/>
                <w:b/>
                <w:color w:val="auto"/>
              </w:rPr>
              <w:t>电子签章</w:t>
            </w:r>
            <w:r>
              <w:rPr>
                <w:rFonts w:hint="eastAsia"/>
                <w:b/>
                <w:bCs/>
                <w:color w:val="auto"/>
              </w:rPr>
              <w:t>；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w:t>
            </w:r>
            <w:r>
              <w:rPr>
                <w:rFonts w:hint="eastAsia"/>
                <w:b/>
                <w:color w:val="auto"/>
              </w:rPr>
              <w:t>电子签章</w:t>
            </w:r>
            <w:r>
              <w:rPr>
                <w:rFonts w:hint="eastAsia"/>
                <w:b/>
                <w:bCs/>
                <w:color w:val="auto"/>
              </w:rPr>
              <w:t>，否则响应文件按无效响应处理。</w:t>
            </w:r>
          </w:p>
        </w:tc>
      </w:tr>
      <w:tr w14:paraId="0EB2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D0A18FB">
            <w:pPr>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vAlign w:val="center"/>
          </w:tcPr>
          <w:p w14:paraId="04DD31AE">
            <w:pPr>
              <w:spacing w:line="360" w:lineRule="auto"/>
              <w:rPr>
                <w:rFonts w:ascii="宋体" w:hAnsi="宋体" w:cs="宋体"/>
                <w:color w:val="auto"/>
                <w:szCs w:val="21"/>
              </w:rPr>
            </w:pPr>
            <w:r>
              <w:rPr>
                <w:rFonts w:hint="eastAsia" w:ascii="宋体" w:hAnsi="宋体" w:cs="宋体"/>
                <w:color w:val="auto"/>
                <w:szCs w:val="21"/>
              </w:rPr>
              <w:t>报价文件</w:t>
            </w:r>
          </w:p>
          <w:p w14:paraId="57B7A86B">
            <w:pPr>
              <w:spacing w:line="360" w:lineRule="auto"/>
              <w:rPr>
                <w:rFonts w:ascii="宋体" w:hAnsi="宋体" w:cs="宋体"/>
                <w:color w:val="auto"/>
                <w:szCs w:val="21"/>
              </w:rPr>
            </w:pPr>
            <w:r>
              <w:rPr>
                <w:rFonts w:hint="eastAsia" w:ascii="宋体" w:hAnsi="宋体" w:cs="宋体"/>
                <w:color w:val="auto"/>
                <w:szCs w:val="21"/>
              </w:rPr>
              <w:t>1.竞标函及竞标函附录（格式后附）；（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475C54C5">
            <w:pPr>
              <w:spacing w:line="360" w:lineRule="auto"/>
              <w:rPr>
                <w:rFonts w:ascii="宋体" w:hAnsi="宋体" w:cs="宋体"/>
                <w:color w:val="auto"/>
                <w:szCs w:val="21"/>
              </w:rPr>
            </w:pPr>
            <w:r>
              <w:rPr>
                <w:rFonts w:hint="eastAsia" w:ascii="宋体" w:hAnsi="宋体" w:cs="宋体"/>
                <w:color w:val="auto"/>
                <w:szCs w:val="21"/>
              </w:rPr>
              <w:t>2.竞标报价表（格式后附）；（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60332EA">
            <w:pPr>
              <w:spacing w:line="360" w:lineRule="auto"/>
              <w:rPr>
                <w:rFonts w:ascii="宋体" w:hAnsi="宋体" w:cs="宋体"/>
                <w:color w:val="auto"/>
                <w:szCs w:val="21"/>
              </w:rPr>
            </w:pPr>
            <w:r>
              <w:rPr>
                <w:rFonts w:hint="eastAsia" w:ascii="宋体" w:hAnsi="宋体" w:cs="宋体"/>
                <w:color w:val="auto"/>
                <w:szCs w:val="21"/>
              </w:rPr>
              <w:t>3.已标价工程量清单；（</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A21D7E4">
            <w:pPr>
              <w:spacing w:line="360" w:lineRule="auto"/>
              <w:rPr>
                <w:rFonts w:ascii="宋体" w:hAnsi="宋体" w:cs="宋体"/>
                <w:color w:val="auto"/>
                <w:szCs w:val="21"/>
              </w:rPr>
            </w:pPr>
            <w:r>
              <w:rPr>
                <w:rFonts w:hint="eastAsia" w:ascii="宋体" w:hAnsi="宋体" w:cs="宋体"/>
                <w:color w:val="auto"/>
                <w:szCs w:val="21"/>
              </w:rPr>
              <w:t>4.供应商认为需要提供的其他有关资料。</w:t>
            </w:r>
          </w:p>
        </w:tc>
      </w:tr>
      <w:tr w14:paraId="2296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BA2DBF">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vAlign w:val="center"/>
          </w:tcPr>
          <w:p w14:paraId="40E1BF61">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0E2EF3BB">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5D5E5A3A">
            <w:pPr>
              <w:spacing w:line="360" w:lineRule="auto"/>
              <w:rPr>
                <w:rFonts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2194377F">
            <w:pPr>
              <w:spacing w:line="360" w:lineRule="auto"/>
              <w:rPr>
                <w:rFonts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委托时必须提供，否则响应文件按无效处理</w:t>
            </w:r>
            <w:r>
              <w:rPr>
                <w:rFonts w:hint="eastAsia" w:ascii="宋体" w:hAnsi="宋体" w:cs="宋体"/>
                <w:color w:val="auto"/>
                <w:szCs w:val="21"/>
              </w:rPr>
              <w:t>）</w:t>
            </w:r>
          </w:p>
          <w:p w14:paraId="53CE82EC">
            <w:pPr>
              <w:spacing w:line="360" w:lineRule="auto"/>
              <w:rPr>
                <w:rFonts w:ascii="宋体" w:hAnsi="宋体" w:cs="宋体"/>
                <w:color w:val="auto"/>
                <w:szCs w:val="21"/>
              </w:rPr>
            </w:pPr>
            <w:r>
              <w:rPr>
                <w:rFonts w:hint="eastAsia" w:ascii="宋体" w:hAnsi="宋体" w:cs="宋体"/>
                <w:color w:val="auto"/>
                <w:szCs w:val="21"/>
              </w:rPr>
              <w:t>4.建筑材料和设备节能环保要求承诺书（格式后附）；（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51D5514">
            <w:pPr>
              <w:spacing w:line="360" w:lineRule="auto"/>
              <w:rPr>
                <w:rFonts w:hint="eastAsia" w:ascii="宋体" w:hAnsi="宋体" w:cs="宋体"/>
                <w:color w:val="auto"/>
                <w:szCs w:val="21"/>
              </w:rPr>
            </w:pPr>
            <w:r>
              <w:rPr>
                <w:rFonts w:hint="eastAsia" w:ascii="宋体" w:hAnsi="宋体" w:cs="宋体"/>
                <w:color w:val="auto"/>
                <w:szCs w:val="21"/>
              </w:rPr>
              <w:t>5.代理服务费承诺书（格式后附）；</w:t>
            </w:r>
          </w:p>
          <w:p w14:paraId="51BABF78">
            <w:pPr>
              <w:spacing w:line="360" w:lineRule="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.商务要求响应表；（</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6D934218">
            <w:pPr>
              <w:spacing w:line="360" w:lineRule="auto"/>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.施工组织设计（格式自拟）；（</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148699A6">
            <w:pPr>
              <w:spacing w:line="360" w:lineRule="auto"/>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.项目管理机构配备情况表及主要人员简历表（格式后附）；（</w:t>
            </w:r>
            <w:r>
              <w:rPr>
                <w:rFonts w:hint="eastAsia" w:ascii="宋体" w:hAnsi="宋体" w:cs="宋体"/>
                <w:b/>
                <w:color w:val="auto"/>
                <w:szCs w:val="21"/>
              </w:rPr>
              <w:t>必须提供，否则响应文件按无效处理</w:t>
            </w:r>
            <w:r>
              <w:rPr>
                <w:rFonts w:hint="eastAsia" w:ascii="宋体" w:hAnsi="宋体" w:cs="宋体"/>
                <w:color w:val="auto"/>
                <w:szCs w:val="21"/>
              </w:rPr>
              <w:t xml:space="preserve">） </w:t>
            </w:r>
          </w:p>
          <w:p w14:paraId="1CFC1187">
            <w:pPr>
              <w:spacing w:line="360" w:lineRule="auto"/>
              <w:rPr>
                <w:rFonts w:hint="default" w:eastAsia="宋体"/>
                <w:lang w:val="en-US" w:eastAsia="zh-CN"/>
              </w:rPr>
            </w:pPr>
            <w:r>
              <w:rPr>
                <w:rFonts w:hint="eastAsia" w:ascii="宋体" w:hAnsi="宋体" w:cs="宋体"/>
                <w:color w:val="auto"/>
                <w:szCs w:val="21"/>
                <w:lang w:val="en-US" w:eastAsia="zh-CN"/>
              </w:rPr>
              <w:t>9.</w:t>
            </w:r>
            <w:r>
              <w:rPr>
                <w:rFonts w:hint="eastAsia" w:ascii="宋体" w:hAnsi="宋体" w:cs="宋体"/>
                <w:color w:val="auto"/>
                <w:szCs w:val="21"/>
              </w:rPr>
              <w:t>技术要求响应表；（</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0D204EA8">
            <w:pPr>
              <w:wordWrap w:val="0"/>
              <w:spacing w:line="400" w:lineRule="exact"/>
              <w:rPr>
                <w:rFonts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bCs/>
                <w:color w:val="auto"/>
                <w:kern w:val="0"/>
                <w:szCs w:val="21"/>
              </w:rPr>
              <w:t>建设工程项目管理承诺书（格式后附）</w:t>
            </w:r>
            <w:r>
              <w:rPr>
                <w:rFonts w:hint="eastAsia" w:ascii="宋体" w:hAnsi="宋体" w:cs="宋体"/>
                <w:color w:val="auto"/>
                <w:szCs w:val="21"/>
              </w:rPr>
              <w:t>；（</w:t>
            </w:r>
            <w:r>
              <w:rPr>
                <w:rFonts w:hint="eastAsia" w:ascii="宋体" w:hAnsi="宋体" w:cs="宋体"/>
                <w:b/>
                <w:color w:val="auto"/>
                <w:szCs w:val="21"/>
              </w:rPr>
              <w:t>必须提供，否则响应文件按无效处理</w:t>
            </w:r>
            <w:r>
              <w:rPr>
                <w:rFonts w:hint="eastAsia" w:ascii="宋体" w:hAnsi="宋体" w:cs="宋体"/>
                <w:color w:val="auto"/>
                <w:szCs w:val="21"/>
              </w:rPr>
              <w:t>）</w:t>
            </w:r>
          </w:p>
          <w:p w14:paraId="34B16D44">
            <w:pPr>
              <w:spacing w:line="360" w:lineRule="auto"/>
              <w:rPr>
                <w:rFonts w:ascii="宋体" w:hAnsi="宋体" w:cs="宋体"/>
                <w:color w:val="auto"/>
                <w:szCs w:val="21"/>
              </w:rPr>
            </w:pPr>
            <w:r>
              <w:rPr>
                <w:rFonts w:hint="eastAsia" w:ascii="宋体" w:hAnsi="宋体" w:cs="宋体"/>
                <w:color w:val="auto"/>
                <w:szCs w:val="21"/>
                <w:lang w:val="en-US" w:eastAsia="zh-CN"/>
              </w:rPr>
              <w:t>11</w:t>
            </w:r>
            <w:r>
              <w:rPr>
                <w:rFonts w:hint="eastAsia" w:ascii="宋体" w:hAnsi="宋体" w:cs="宋体"/>
                <w:color w:val="auto"/>
                <w:szCs w:val="21"/>
              </w:rPr>
              <w:t>.供应商认为需要提供的其他有关资料。</w:t>
            </w:r>
          </w:p>
          <w:p w14:paraId="1A1E4EE3">
            <w:pPr>
              <w:spacing w:line="360" w:lineRule="auto"/>
              <w:rPr>
                <w:rFonts w:ascii="宋体" w:hAnsi="宋体" w:cs="宋体"/>
                <w:b/>
                <w:color w:val="auto"/>
                <w:szCs w:val="21"/>
              </w:rPr>
            </w:pPr>
            <w:r>
              <w:rPr>
                <w:rFonts w:hint="eastAsia"/>
                <w:b/>
                <w:bCs/>
                <w:color w:val="auto"/>
              </w:rPr>
              <w:t>注：</w:t>
            </w:r>
            <w:r>
              <w:rPr>
                <w:rFonts w:hint="eastAsia" w:ascii="宋体" w:hAnsi="宋体" w:cs="宋体"/>
                <w:b/>
                <w:color w:val="auto"/>
                <w:szCs w:val="21"/>
              </w:rPr>
              <w:t>以上标明“必须提供”的材料，必须加盖供应商电子签章；必须提供的材料在第五章“响应文件格式”中有要求法定代表人或委托代理人签字的，必须由法定代表人或委托代理人签字，否则响应文件按无效响应处理。</w:t>
            </w:r>
          </w:p>
        </w:tc>
      </w:tr>
      <w:tr w14:paraId="4D3EF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0220B7">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14:paraId="6AAD76FF">
            <w:pPr>
              <w:spacing w:line="360" w:lineRule="auto"/>
              <w:contextualSpacing/>
              <w:jc w:val="left"/>
              <w:rPr>
                <w:rFonts w:ascii="宋体" w:hAnsi="宋体" w:cs="宋体"/>
                <w:color w:val="auto"/>
                <w:szCs w:val="21"/>
              </w:rPr>
            </w:pPr>
            <w:r>
              <w:rPr>
                <w:rFonts w:hint="eastAsia" w:ascii="宋体" w:hAnsi="宋体"/>
                <w:color w:val="auto"/>
                <w:szCs w:val="21"/>
              </w:rPr>
              <w:t>竞标报价是履行合同的最终价格，包括了</w:t>
            </w:r>
            <w:r>
              <w:rPr>
                <w:rFonts w:hint="eastAsia" w:ascii="宋体" w:hAnsi="宋体" w:cs="宋体"/>
                <w:color w:val="auto"/>
                <w:szCs w:val="21"/>
              </w:rPr>
              <w:t>为实施和完成合同工程所需的劳务、材料、机械、质检（自检）、安装、缺陷修复、管理、保险、税费、利润等费用，以及合同明示或暗示的所有责任、义务和一般风险。</w:t>
            </w:r>
          </w:p>
        </w:tc>
      </w:tr>
      <w:tr w14:paraId="705F4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148D3C">
            <w:pPr>
              <w:spacing w:line="360" w:lineRule="auto"/>
              <w:jc w:val="center"/>
              <w:rPr>
                <w:rFonts w:ascii="宋体" w:hAnsi="宋体" w:cs="宋体"/>
                <w:color w:val="auto"/>
                <w:szCs w:val="21"/>
              </w:rPr>
            </w:pPr>
            <w:r>
              <w:rPr>
                <w:rFonts w:hint="eastAsia" w:ascii="宋体" w:hAnsi="宋体" w:cs="宋体"/>
                <w:color w:val="auto"/>
                <w:szCs w:val="21"/>
              </w:rPr>
              <w:t>15.3</w:t>
            </w:r>
          </w:p>
        </w:tc>
        <w:tc>
          <w:tcPr>
            <w:tcW w:w="7912" w:type="dxa"/>
            <w:vAlign w:val="center"/>
          </w:tcPr>
          <w:p w14:paraId="538D0CA9">
            <w:pPr>
              <w:spacing w:line="360" w:lineRule="auto"/>
              <w:contextualSpacing/>
              <w:jc w:val="left"/>
              <w:rPr>
                <w:rFonts w:ascii="宋体" w:hAnsi="宋体"/>
                <w:color w:val="auto"/>
                <w:szCs w:val="21"/>
              </w:rPr>
            </w:pPr>
            <w:r>
              <w:rPr>
                <w:rFonts w:hint="eastAsia" w:cs="宋体"/>
                <w:color w:val="auto"/>
              </w:rPr>
              <w:t>本工程增值税计税方法：☑一般计税法； □简易计税法</w:t>
            </w:r>
          </w:p>
        </w:tc>
      </w:tr>
      <w:tr w14:paraId="6D57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640B85">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6DB08B89">
            <w:pPr>
              <w:pStyle w:val="15"/>
              <w:widowControl w:val="0"/>
              <w:tabs>
                <w:tab w:val="clear" w:pos="454"/>
              </w:tabs>
              <w:snapToGrid w:val="0"/>
              <w:spacing w:afterLines="0" w:line="360" w:lineRule="auto"/>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hint="eastAsia" w:ascii="宋体" w:hAnsi="宋体" w:cs="宋体"/>
                <w:color w:val="auto"/>
                <w:kern w:val="2"/>
                <w:sz w:val="21"/>
                <w:szCs w:val="21"/>
                <w:u w:val="single"/>
              </w:rPr>
              <w:t>60</w:t>
            </w:r>
            <w:r>
              <w:rPr>
                <w:rFonts w:hint="eastAsia" w:ascii="宋体" w:hAnsi="宋体" w:cs="宋体"/>
                <w:color w:val="auto"/>
                <w:kern w:val="2"/>
                <w:sz w:val="21"/>
                <w:szCs w:val="21"/>
              </w:rPr>
              <w:t>日。</w:t>
            </w:r>
          </w:p>
        </w:tc>
      </w:tr>
      <w:tr w14:paraId="2F5A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571B8D">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6804E571">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□本项目不收取磋商保证金。</w:t>
            </w:r>
          </w:p>
          <w:p w14:paraId="713F63C5">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☑本项目收取磋商保证金，具体规定如下：</w:t>
            </w:r>
          </w:p>
          <w:p w14:paraId="46ED9EC3">
            <w:pPr>
              <w:autoSpaceDE w:val="0"/>
              <w:autoSpaceDN w:val="0"/>
              <w:snapToGrid w:val="0"/>
              <w:spacing w:line="360" w:lineRule="auto"/>
              <w:textAlignment w:val="bottom"/>
              <w:rPr>
                <w:rFonts w:hint="eastAsia" w:ascii="宋体" w:hAnsi="宋体" w:cs="宋体"/>
                <w:color w:val="auto"/>
                <w:kern w:val="0"/>
                <w:szCs w:val="21"/>
              </w:rPr>
            </w:pPr>
            <w:r>
              <w:rPr>
                <w:rFonts w:hint="eastAsia" w:ascii="宋体" w:hAnsi="宋体" w:cs="宋体"/>
                <w:color w:val="auto"/>
                <w:kern w:val="0"/>
                <w:szCs w:val="21"/>
              </w:rPr>
              <w:t>磋商保证金</w:t>
            </w:r>
            <w:r>
              <w:rPr>
                <w:rFonts w:hint="eastAsia" w:ascii="宋体" w:hAnsi="宋体" w:cs="宋体"/>
                <w:color w:val="auto"/>
                <w:kern w:val="0"/>
                <w:szCs w:val="21"/>
                <w:lang w:val="en-US" w:eastAsia="zh-CN"/>
              </w:rPr>
              <w:t>为：</w:t>
            </w:r>
            <w:r>
              <w:rPr>
                <w:rFonts w:hint="eastAsia" w:ascii="宋体" w:hAnsi="宋体" w:cs="宋体"/>
                <w:color w:val="auto"/>
                <w:kern w:val="0"/>
                <w:szCs w:val="21"/>
              </w:rPr>
              <w:t>人民币</w:t>
            </w:r>
            <w:r>
              <w:rPr>
                <w:rFonts w:hint="eastAsia" w:ascii="宋体" w:hAnsi="宋体" w:cs="宋体"/>
                <w:b/>
                <w:color w:val="auto"/>
                <w:kern w:val="0"/>
                <w:szCs w:val="21"/>
                <w:u w:val="single"/>
              </w:rPr>
              <w:t xml:space="preserve"> </w:t>
            </w:r>
            <w:r>
              <w:rPr>
                <w:rFonts w:hint="eastAsia" w:ascii="宋体" w:hAnsi="宋体" w:cs="宋体"/>
                <w:bCs/>
                <w:color w:val="auto"/>
                <w:kern w:val="0"/>
                <w:szCs w:val="21"/>
                <w:u w:val="single"/>
                <w:lang w:val="en-US" w:eastAsia="zh-CN"/>
              </w:rPr>
              <w:t>壹万元整</w:t>
            </w:r>
            <w:r>
              <w:rPr>
                <w:rFonts w:hint="eastAsia" w:ascii="宋体" w:hAnsi="宋体"/>
                <w:bCs/>
                <w:color w:val="auto"/>
                <w:szCs w:val="21"/>
                <w:u w:val="single"/>
              </w:rPr>
              <w:t>（</w:t>
            </w:r>
            <w:r>
              <w:rPr>
                <w:rFonts w:hint="eastAsia" w:ascii="Microsoft JhengHei" w:hAnsi="Microsoft JhengHei" w:eastAsia="Microsoft JhengHei" w:cs="仿宋"/>
                <w:bCs/>
                <w:color w:val="auto"/>
                <w:szCs w:val="21"/>
                <w:u w:val="single"/>
              </w:rPr>
              <w:t>￥</w:t>
            </w:r>
            <w:r>
              <w:rPr>
                <w:rFonts w:hint="eastAsia" w:ascii="Microsoft JhengHei" w:hAnsi="Microsoft JhengHei" w:cs="仿宋"/>
                <w:bCs/>
                <w:color w:val="auto"/>
                <w:szCs w:val="21"/>
                <w:u w:val="single"/>
                <w:lang w:val="en-US" w:eastAsia="zh-CN"/>
              </w:rPr>
              <w:t>10</w:t>
            </w:r>
            <w:r>
              <w:rPr>
                <w:rFonts w:hint="eastAsia" w:ascii="Microsoft JhengHei" w:hAnsi="Microsoft JhengHei" w:cs="仿宋"/>
                <w:bCs/>
                <w:color w:val="auto"/>
                <w:szCs w:val="21"/>
                <w:u w:val="single"/>
              </w:rPr>
              <w:t>000.00</w:t>
            </w:r>
            <w:r>
              <w:rPr>
                <w:rFonts w:hint="eastAsia" w:ascii="宋体" w:hAnsi="宋体"/>
                <w:bCs/>
                <w:color w:val="auto"/>
                <w:szCs w:val="21"/>
                <w:u w:val="single"/>
              </w:rPr>
              <w:t>）</w:t>
            </w:r>
            <w:r>
              <w:rPr>
                <w:rFonts w:hint="eastAsia" w:ascii="宋体" w:hAnsi="宋体" w:cs="宋体"/>
                <w:bCs/>
                <w:color w:val="auto"/>
                <w:kern w:val="0"/>
                <w:szCs w:val="21"/>
                <w:u w:val="single"/>
              </w:rPr>
              <w:t xml:space="preserve"> </w:t>
            </w:r>
            <w:r>
              <w:rPr>
                <w:rFonts w:hint="eastAsia" w:ascii="宋体" w:hAnsi="宋体" w:cs="宋体"/>
                <w:b/>
                <w:color w:val="auto"/>
                <w:kern w:val="0"/>
                <w:szCs w:val="21"/>
                <w:u w:val="single"/>
              </w:rPr>
              <w:t xml:space="preserve"> </w:t>
            </w:r>
            <w:r>
              <w:rPr>
                <w:rFonts w:hint="eastAsia" w:ascii="宋体" w:hAnsi="宋体" w:cs="宋体"/>
                <w:color w:val="auto"/>
                <w:kern w:val="0"/>
                <w:szCs w:val="21"/>
              </w:rPr>
              <w:t>。</w:t>
            </w:r>
          </w:p>
          <w:p w14:paraId="75EE6177">
            <w:pPr>
              <w:autoSpaceDE w:val="0"/>
              <w:autoSpaceDN w:val="0"/>
              <w:snapToGrid w:val="0"/>
              <w:spacing w:line="360" w:lineRule="auto"/>
              <w:textAlignment w:val="bottom"/>
              <w:rPr>
                <w:rFonts w:ascii="宋体" w:hAnsi="宋体" w:cs="宋体"/>
                <w:color w:val="auto"/>
                <w:kern w:val="0"/>
                <w:szCs w:val="21"/>
              </w:rPr>
            </w:pPr>
            <w:r>
              <w:rPr>
                <w:rFonts w:hint="eastAsia" w:ascii="宋体" w:hAnsi="宋体" w:cs="宋体"/>
                <w:color w:val="auto"/>
                <w:kern w:val="0"/>
                <w:szCs w:val="21"/>
              </w:rPr>
              <w:t>磋商保证金的交纳方式：银行转账、支票、汇票、本票或者银行、保险机构出具的保函（包含电子保函），禁止采用现钞方式。采用银行转账方式的，在响应文件提交截止时间前交至指定账户并且到账（</w:t>
            </w:r>
            <w:r>
              <w:rPr>
                <w:rFonts w:hint="eastAsia" w:ascii="宋体" w:hAnsi="宋体" w:cs="宋体"/>
                <w:color w:val="auto"/>
                <w:kern w:val="0"/>
                <w:szCs w:val="21"/>
                <w:u w:val="single"/>
              </w:rPr>
              <w:t>开户名：云之龙咨询集团有限公司钦州分公司；开户银行：中信银行南宁东葛支行；银行账号：8113 0010 1460 0074 523</w:t>
            </w:r>
            <w:r>
              <w:rPr>
                <w:rFonts w:hint="eastAsia" w:ascii="宋体" w:hAnsi="宋体" w:cs="宋体"/>
                <w:color w:val="auto"/>
                <w:kern w:val="0"/>
                <w:szCs w:val="21"/>
              </w:rPr>
              <w:t>）；采用支票、汇票、本票或者保函（不包含电子保函）等方式的，在响应文件提交截止时间前，供应商必须提交单独密封的支票、汇票、本票或者保函原件。</w:t>
            </w:r>
            <w:r>
              <w:rPr>
                <w:rFonts w:hint="eastAsia" w:ascii="宋体" w:hAnsi="宋体" w:cs="宋体"/>
                <w:b/>
                <w:color w:val="auto"/>
                <w:kern w:val="0"/>
                <w:szCs w:val="21"/>
              </w:rPr>
              <w:t>否则视为无效磋商保证金。</w:t>
            </w:r>
          </w:p>
          <w:p w14:paraId="753FDDFF">
            <w:pPr>
              <w:snapToGrid w:val="0"/>
              <w:spacing w:line="360" w:lineRule="auto"/>
              <w:rPr>
                <w:rFonts w:ascii="宋体" w:hAnsi="宋体" w:cs="宋体"/>
                <w:b/>
                <w:color w:val="auto"/>
                <w:szCs w:val="21"/>
              </w:rPr>
            </w:pPr>
            <w:r>
              <w:rPr>
                <w:rFonts w:hint="eastAsia" w:ascii="宋体" w:hAnsi="宋体" w:cs="宋体"/>
                <w:b/>
                <w:color w:val="auto"/>
                <w:szCs w:val="21"/>
              </w:rPr>
              <w:t>相关要求：</w:t>
            </w:r>
          </w:p>
          <w:p w14:paraId="10A1E643">
            <w:pPr>
              <w:snapToGrid w:val="0"/>
              <w:spacing w:line="360" w:lineRule="auto"/>
              <w:rPr>
                <w:rFonts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否则响应文件按无效处理</w:t>
            </w:r>
            <w:r>
              <w:rPr>
                <w:rFonts w:hint="eastAsia" w:ascii="宋体" w:hAnsi="宋体" w:cs="宋体"/>
                <w:color w:val="auto"/>
                <w:szCs w:val="21"/>
              </w:rPr>
              <w:t>。</w:t>
            </w:r>
          </w:p>
          <w:p w14:paraId="13FCB45D">
            <w:pPr>
              <w:snapToGrid w:val="0"/>
              <w:spacing w:line="360" w:lineRule="auto"/>
              <w:rPr>
                <w:rFonts w:ascii="宋体" w:hAnsi="宋体"/>
                <w:color w:val="auto"/>
                <w:szCs w:val="21"/>
              </w:rPr>
            </w:pPr>
            <w:r>
              <w:rPr>
                <w:rFonts w:hint="eastAsia" w:ascii="宋体" w:hAnsi="宋体"/>
                <w:color w:val="auto"/>
                <w:szCs w:val="21"/>
              </w:rPr>
              <w:t>2.磋商保证金采用支票、汇票、本票或者银行、保险机构出具的保函（包含电子保函）交纳方式的，供应商应将支票、汇票、本票或者银行、保险机构出具的保函（包含电子保函）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ascii="宋体" w:hAnsi="宋体" w:cs="宋体"/>
                <w:color w:val="auto"/>
                <w:kern w:val="0"/>
                <w:szCs w:val="21"/>
                <w:u w:val="single"/>
              </w:rPr>
              <w:t>广西钦州市子材东大街19号奥林名城8号楼8层云之龙咨询集团有限公司</w:t>
            </w:r>
            <w:r>
              <w:rPr>
                <w:rFonts w:hint="eastAsia"/>
                <w:color w:val="auto"/>
              </w:rPr>
              <w:t>；邮寄地址：</w:t>
            </w:r>
            <w:r>
              <w:rPr>
                <w:rFonts w:hint="eastAsia" w:ascii="宋体" w:hAnsi="宋体" w:cs="宋体"/>
                <w:color w:val="auto"/>
                <w:kern w:val="0"/>
                <w:szCs w:val="21"/>
                <w:u w:val="single"/>
              </w:rPr>
              <w:t>广西钦州市子材东大街19号奥林名城8号楼8层云之龙咨询集团有限公司，联系人：郑全荣，电话：0777-5619399。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w:t>
            </w:r>
            <w:r>
              <w:rPr>
                <w:rFonts w:hint="eastAsia" w:ascii="宋体" w:hAnsi="宋体" w:cs="宋体"/>
                <w:color w:val="auto"/>
                <w:kern w:val="0"/>
                <w:szCs w:val="21"/>
              </w:rPr>
              <w:t>（不包含电子保函）</w:t>
            </w:r>
            <w:r>
              <w:rPr>
                <w:rFonts w:hint="eastAsia" w:ascii="宋体" w:hAnsi="宋体"/>
                <w:color w:val="auto"/>
                <w:szCs w:val="21"/>
              </w:rPr>
              <w:t>原件提交给采购人或者采购代理机构，由采购人或者采购代理机构向供应商出具回执（邮寄方式的除外），并妥善保管。</w:t>
            </w:r>
          </w:p>
          <w:p w14:paraId="7929A1D8">
            <w:pPr>
              <w:snapToGrid w:val="0"/>
              <w:spacing w:line="360" w:lineRule="auto"/>
              <w:rPr>
                <w:rFonts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14:paraId="4A4C130A">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14:paraId="45797EED">
            <w:pPr>
              <w:snapToGrid w:val="0"/>
              <w:spacing w:line="360" w:lineRule="auto"/>
              <w:rPr>
                <w:rFonts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14:paraId="010A0403">
            <w:pPr>
              <w:snapToGrid w:val="0"/>
              <w:spacing w:line="360" w:lineRule="auto"/>
              <w:rPr>
                <w:rFonts w:ascii="宋体" w:hAnsi="宋体" w:cs="宋体"/>
                <w:b/>
                <w:color w:val="auto"/>
                <w:szCs w:val="21"/>
              </w:rPr>
            </w:pPr>
            <w:r>
              <w:rPr>
                <w:rFonts w:hint="eastAsia" w:ascii="宋体" w:hAnsi="宋体" w:cs="宋体"/>
                <w:b/>
                <w:color w:val="auto"/>
                <w:szCs w:val="21"/>
              </w:rPr>
              <w:t>2.供应商采用现钞方式或者从个人账户转出的磋商保证金，视为无效磋商保证金。</w:t>
            </w:r>
          </w:p>
          <w:p w14:paraId="14BC9A33">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14:paraId="1E2ACB3C">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14:paraId="2CE3A915">
            <w:pPr>
              <w:snapToGrid w:val="0"/>
              <w:spacing w:line="360" w:lineRule="auto"/>
              <w:rPr>
                <w:rFonts w:ascii="宋体" w:hAnsi="宋体" w:cs="宋体"/>
                <w:color w:val="auto"/>
                <w:szCs w:val="21"/>
              </w:rPr>
            </w:pPr>
            <w:r>
              <w:rPr>
                <w:rFonts w:hint="eastAsia" w:ascii="宋体" w:hAnsi="宋体" w:cs="宋体"/>
                <w:b/>
                <w:color w:val="auto"/>
                <w:szCs w:val="21"/>
              </w:rPr>
              <w:t>5.采用银行、保险机构出具保函的，必须为无条件保函，否则视为无效磋商保证金。</w:t>
            </w:r>
          </w:p>
        </w:tc>
      </w:tr>
      <w:tr w14:paraId="6B6C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230B63">
            <w:pPr>
              <w:spacing w:line="360" w:lineRule="auto"/>
              <w:jc w:val="center"/>
              <w:rPr>
                <w:rFonts w:ascii="宋体" w:hAnsi="宋体" w:cs="宋体"/>
                <w:color w:val="auto"/>
                <w:szCs w:val="21"/>
              </w:rPr>
            </w:pPr>
            <w:r>
              <w:rPr>
                <w:rFonts w:ascii="宋体" w:hAnsi="宋体" w:cs="宋体"/>
                <w:color w:val="auto"/>
                <w:szCs w:val="21"/>
              </w:rPr>
              <w:t>19</w:t>
            </w:r>
          </w:p>
        </w:tc>
        <w:tc>
          <w:tcPr>
            <w:tcW w:w="7912" w:type="dxa"/>
            <w:vAlign w:val="center"/>
          </w:tcPr>
          <w:p w14:paraId="670A65BB">
            <w:pPr>
              <w:spacing w:line="360" w:lineRule="auto"/>
              <w:rPr>
                <w:rFonts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14:paraId="32F7E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84E6EF">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4ECE1CB8">
            <w:pPr>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响应文件提交截止时间：详见竞争性磋商公告。</w:t>
            </w:r>
          </w:p>
          <w:p w14:paraId="05ED8C61">
            <w:pPr>
              <w:spacing w:line="360" w:lineRule="auto"/>
              <w:contextualSpacing/>
              <w:jc w:val="left"/>
              <w:rPr>
                <w:rFonts w:ascii="宋体" w:hAnsi="宋体" w:cs="宋体"/>
                <w:color w:val="auto"/>
                <w:szCs w:val="21"/>
              </w:rPr>
            </w:pPr>
            <w:r>
              <w:rPr>
                <w:rFonts w:hint="eastAsia" w:ascii="宋体" w:hAnsi="宋体" w:cs="宋体"/>
                <w:color w:val="auto"/>
                <w:szCs w:val="21"/>
              </w:rPr>
              <w:t>响应文件提交地点：详见竞争性磋商公告。</w:t>
            </w:r>
          </w:p>
        </w:tc>
      </w:tr>
      <w:tr w14:paraId="6EE35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5C990F7">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3934497F">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w:t>
            </w:r>
            <w:r>
              <w:rPr>
                <w:rFonts w:hint="eastAsia" w:ascii="宋体" w:hAnsi="宋体" w:cs="宋体"/>
                <w:color w:val="auto"/>
                <w:szCs w:val="21"/>
              </w:rPr>
              <w:t>人。</w:t>
            </w:r>
          </w:p>
        </w:tc>
      </w:tr>
      <w:tr w14:paraId="38E0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86B95">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vAlign w:val="center"/>
          </w:tcPr>
          <w:p w14:paraId="38B941F1">
            <w:pPr>
              <w:snapToGrid w:val="0"/>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首次响应文件开启时间详见“竞争性磋商公告”</w:t>
            </w:r>
          </w:p>
          <w:p w14:paraId="21070FFB">
            <w:pPr>
              <w:snapToGrid w:val="0"/>
              <w:spacing w:line="360" w:lineRule="auto"/>
              <w:jc w:val="left"/>
              <w:rPr>
                <w:rFonts w:ascii="宋体" w:hAnsi="宋体" w:cs="宋体"/>
                <w:color w:val="auto"/>
                <w:szCs w:val="21"/>
              </w:rPr>
            </w:pPr>
            <w:r>
              <w:rPr>
                <w:rFonts w:hint="eastAsia" w:ascii="宋体" w:hAnsi="宋体" w:cs="宋体"/>
                <w:color w:val="auto"/>
                <w:szCs w:val="21"/>
              </w:rPr>
              <w:t>首次响应文件解密时间：</w:t>
            </w:r>
            <w:r>
              <w:rPr>
                <w:rFonts w:hAnsi="宋体"/>
                <w:color w:val="auto"/>
                <w:u w:val="single"/>
              </w:rPr>
              <w:t xml:space="preserve"> </w:t>
            </w:r>
            <w:r>
              <w:rPr>
                <w:rFonts w:hint="eastAsia" w:hAnsi="宋体"/>
                <w:color w:val="auto"/>
                <w:u w:val="single"/>
              </w:rPr>
              <w:t>30</w:t>
            </w:r>
            <w:r>
              <w:rPr>
                <w:rFonts w:hAnsi="宋体"/>
                <w:color w:val="auto"/>
                <w:u w:val="single"/>
              </w:rPr>
              <w:t xml:space="preserve"> </w:t>
            </w:r>
            <w:r>
              <w:rPr>
                <w:rFonts w:hint="eastAsia" w:hAnsi="宋体"/>
                <w:color w:val="auto"/>
              </w:rPr>
              <w:t>分钟</w:t>
            </w:r>
            <w:r>
              <w:rPr>
                <w:rFonts w:hint="eastAsia" w:hAnsi="宋体"/>
                <w:i/>
                <w:color w:val="auto"/>
              </w:rPr>
              <w:t>（注：不少于</w:t>
            </w:r>
            <w:r>
              <w:rPr>
                <w:rFonts w:hAnsi="宋体"/>
                <w:i/>
                <w:color w:val="auto"/>
              </w:rPr>
              <w:t>30</w:t>
            </w:r>
            <w:r>
              <w:rPr>
                <w:rFonts w:hint="eastAsia" w:hAnsi="宋体"/>
                <w:i/>
                <w:color w:val="auto"/>
              </w:rPr>
              <w:t>分钟）</w:t>
            </w:r>
          </w:p>
        </w:tc>
      </w:tr>
      <w:tr w14:paraId="7CF6A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CD5943">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0937929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☑本项目不收取履约保证金。</w:t>
            </w:r>
          </w:p>
          <w:p w14:paraId="29A528E7">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sym w:font="Wingdings 2" w:char="00A3"/>
            </w:r>
            <w:r>
              <w:rPr>
                <w:rFonts w:hint="eastAsia" w:ascii="宋体" w:hAnsi="宋体"/>
                <w:color w:val="auto"/>
                <w:szCs w:val="21"/>
              </w:rPr>
              <w:t>本项目收取履约保证金，具体规定如下：</w:t>
            </w:r>
          </w:p>
          <w:p w14:paraId="7D620EB3">
            <w:pPr>
              <w:spacing w:line="360" w:lineRule="auto"/>
              <w:contextualSpacing/>
              <w:rPr>
                <w:rFonts w:ascii="宋体" w:hAnsi="宋体" w:cs="宋体"/>
                <w:color w:val="auto"/>
                <w:szCs w:val="21"/>
              </w:rPr>
            </w:pPr>
            <w:r>
              <w:rPr>
                <w:rFonts w:hint="eastAsia" w:ascii="宋体" w:hAnsi="宋体" w:cs="宋体"/>
                <w:color w:val="auto"/>
                <w:szCs w:val="21"/>
              </w:rPr>
              <w:t>履约保证金金额：按成交金额的</w:t>
            </w:r>
            <w:r>
              <w:rPr>
                <w:rFonts w:hint="eastAsia" w:ascii="宋体" w:hAnsi="宋体" w:cs="宋体"/>
                <w:color w:val="auto"/>
                <w:szCs w:val="21"/>
                <w:u w:val="single"/>
              </w:rPr>
              <w:t xml:space="preserve"> / </w:t>
            </w:r>
            <w:r>
              <w:rPr>
                <w:rFonts w:hint="eastAsia" w:ascii="宋体" w:hAnsi="宋体" w:cs="宋体"/>
                <w:color w:val="auto"/>
                <w:szCs w:val="21"/>
              </w:rPr>
              <w:t>%。</w:t>
            </w:r>
            <w:r>
              <w:rPr>
                <w:rFonts w:hint="eastAsia" w:ascii="宋体" w:hAnsi="宋体" w:cs="宋体"/>
                <w:b/>
                <w:i/>
                <w:color w:val="auto"/>
                <w:szCs w:val="21"/>
              </w:rPr>
              <w:t>（注：履约保证金不超过</w:t>
            </w:r>
            <w:r>
              <w:rPr>
                <w:rFonts w:hint="eastAsia"/>
                <w:b/>
                <w:i/>
                <w:color w:val="auto"/>
              </w:rPr>
              <w:t>政府采购合同金额的</w:t>
            </w:r>
            <w:r>
              <w:rPr>
                <w:rFonts w:ascii="宋体" w:hAnsi="宋体" w:cs="宋体"/>
                <w:b/>
                <w:i/>
                <w:color w:val="auto"/>
                <w:szCs w:val="21"/>
              </w:rPr>
              <w:t>5</w:t>
            </w:r>
            <w:r>
              <w:rPr>
                <w:rFonts w:hint="eastAsia" w:ascii="宋体" w:hAnsi="宋体" w:cs="宋体"/>
                <w:b/>
                <w:i/>
                <w:color w:val="auto"/>
                <w:szCs w:val="21"/>
              </w:rPr>
              <w:t>%，对中小企业收取的履约保证金数额不得超过政府采购合同金额的2%。采购人可根据供应商的资信等情况减免履约保证金。）</w:t>
            </w:r>
          </w:p>
          <w:p w14:paraId="38C6C13E">
            <w:pPr>
              <w:spacing w:line="360" w:lineRule="auto"/>
              <w:contextualSpacing/>
              <w:rPr>
                <w:rFonts w:ascii="宋体" w:hAnsi="宋体" w:cs="宋体"/>
                <w:color w:val="auto"/>
                <w:szCs w:val="21"/>
              </w:rPr>
            </w:pPr>
            <w:r>
              <w:rPr>
                <w:rFonts w:hint="eastAsia" w:ascii="宋体" w:hAnsi="宋体" w:cs="宋体"/>
                <w:color w:val="auto"/>
                <w:szCs w:val="21"/>
              </w:rPr>
              <w:t>履约保证金提交方式：银行转账、支票、汇票、本票或者银行、保险机构出具的保函（包含电子保函）等非现金方式。</w:t>
            </w:r>
          </w:p>
          <w:p w14:paraId="1B48826C">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履约保证金缴纳期限：</w:t>
            </w:r>
            <w:r>
              <w:rPr>
                <w:rFonts w:hint="eastAsia" w:ascii="宋体" w:hAnsi="宋体"/>
                <w:iCs/>
                <w:color w:val="auto"/>
                <w:szCs w:val="21"/>
                <w:u w:val="single"/>
              </w:rPr>
              <w:t>自成交通知书发出之日起25日内，但必须在签订合同前缴纳。</w:t>
            </w:r>
          </w:p>
          <w:p w14:paraId="365E249B">
            <w:pPr>
              <w:spacing w:line="360" w:lineRule="auto"/>
              <w:contextualSpacing/>
              <w:rPr>
                <w:rFonts w:ascii="宋体" w:hAnsi="宋体" w:cs="宋体"/>
                <w:color w:val="auto"/>
                <w:szCs w:val="21"/>
                <w:u w:val="single"/>
              </w:rPr>
            </w:pPr>
            <w:r>
              <w:rPr>
                <w:rFonts w:hint="eastAsia" w:ascii="宋体" w:hAnsi="宋体" w:cs="宋体"/>
                <w:color w:val="auto"/>
                <w:szCs w:val="21"/>
              </w:rPr>
              <w:t>履约保证金退付方式、时间及条件：</w:t>
            </w:r>
            <w:r>
              <w:rPr>
                <w:rFonts w:hint="eastAsia" w:ascii="宋体" w:hAnsi="宋体" w:cs="宋体"/>
                <w:color w:val="auto"/>
                <w:szCs w:val="21"/>
                <w:u w:val="single"/>
              </w:rPr>
              <w:t>在工程竣工验收合格并对验收发现的问题完成整改后，由成交供应商提交书面申请，采购人在收到成交供应商全部合格材料后5个工作日内办理退还手续（不计利息）</w:t>
            </w:r>
            <w:r>
              <w:rPr>
                <w:rFonts w:hint="eastAsia" w:ascii="宋体" w:hAnsi="宋体" w:cs="宋体"/>
                <w:color w:val="auto"/>
                <w:szCs w:val="21"/>
              </w:rPr>
              <w:t xml:space="preserve"> 。</w:t>
            </w:r>
          </w:p>
          <w:p w14:paraId="21C4FD50">
            <w:pPr>
              <w:spacing w:line="360" w:lineRule="auto"/>
              <w:contextualSpacing/>
              <w:rPr>
                <w:rFonts w:ascii="宋体" w:hAnsi="宋体" w:cs="宋体"/>
                <w:color w:val="auto"/>
                <w:szCs w:val="21"/>
              </w:rPr>
            </w:pPr>
            <w:r>
              <w:rPr>
                <w:rFonts w:hint="eastAsia" w:ascii="宋体" w:hAnsi="宋体" w:cs="宋体"/>
                <w:color w:val="auto"/>
                <w:szCs w:val="21"/>
              </w:rPr>
              <w:t>如：由成交供应商向履约保证金收取单位提供《广西壮族自治区政府采购项目合同验收书》（详见桂财采〔2015〕22号），保证金收取单位在收到合格材料后5个工作日内办理退还手续（不计利息）。</w:t>
            </w:r>
          </w:p>
          <w:p w14:paraId="488F8886">
            <w:pPr>
              <w:spacing w:line="360" w:lineRule="auto"/>
              <w:contextualSpacing/>
              <w:rPr>
                <w:rFonts w:ascii="宋体" w:hAnsi="宋体" w:cs="宋体"/>
                <w:color w:val="auto"/>
                <w:szCs w:val="21"/>
              </w:rPr>
            </w:pPr>
            <w:r>
              <w:rPr>
                <w:rFonts w:hint="eastAsia" w:ascii="宋体" w:hAnsi="宋体" w:cs="宋体"/>
                <w:color w:val="auto"/>
                <w:szCs w:val="21"/>
              </w:rPr>
              <w:t>履约保证金指定账户：</w:t>
            </w:r>
          </w:p>
          <w:p w14:paraId="69A2ABD6">
            <w:pPr>
              <w:spacing w:line="360" w:lineRule="auto"/>
              <w:contextualSpacing/>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 xml:space="preserve">    /    </w:t>
            </w:r>
          </w:p>
          <w:p w14:paraId="187415A5">
            <w:pPr>
              <w:spacing w:line="360" w:lineRule="auto"/>
              <w:contextualSpacing/>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        </w:t>
            </w:r>
          </w:p>
          <w:p w14:paraId="0CF3CBB1">
            <w:pPr>
              <w:spacing w:line="360" w:lineRule="auto"/>
              <w:contextualSpacing/>
              <w:rPr>
                <w:rFonts w:ascii="宋体" w:hAnsi="宋体" w:cs="宋体"/>
                <w:color w:val="auto"/>
                <w:szCs w:val="21"/>
              </w:rPr>
            </w:pPr>
            <w:r>
              <w:rPr>
                <w:rFonts w:hint="eastAsia" w:ascii="宋体" w:hAnsi="宋体" w:cs="宋体"/>
                <w:color w:val="auto"/>
                <w:szCs w:val="21"/>
              </w:rPr>
              <w:t>银行账号：</w:t>
            </w:r>
            <w:r>
              <w:rPr>
                <w:rFonts w:hint="eastAsia" w:ascii="宋体" w:hAnsi="宋体" w:cs="宋体"/>
                <w:color w:val="auto"/>
                <w:szCs w:val="21"/>
                <w:u w:val="single"/>
              </w:rPr>
              <w:t xml:space="preserve">   /     </w:t>
            </w:r>
          </w:p>
          <w:p w14:paraId="777A4E10">
            <w:pPr>
              <w:spacing w:line="360" w:lineRule="auto"/>
              <w:contextualSpacing/>
              <w:rPr>
                <w:rFonts w:ascii="宋体" w:hAnsi="宋体" w:cs="宋体"/>
                <w:b/>
                <w:color w:val="auto"/>
                <w:szCs w:val="21"/>
              </w:rPr>
            </w:pPr>
            <w:r>
              <w:rPr>
                <w:rFonts w:hint="eastAsia" w:ascii="宋体" w:hAnsi="宋体" w:cs="宋体"/>
                <w:b/>
                <w:color w:val="auto"/>
                <w:szCs w:val="21"/>
              </w:rPr>
              <w:t>备注：</w:t>
            </w:r>
            <w:r>
              <w:rPr>
                <w:rFonts w:hint="eastAsia" w:ascii="宋体" w:hAnsi="宋体" w:cs="宋体"/>
                <w:color w:val="auto"/>
                <w:szCs w:val="21"/>
              </w:rPr>
              <w:br w:type="textWrapping"/>
            </w:r>
            <w:r>
              <w:rPr>
                <w:rFonts w:hint="eastAsia" w:ascii="宋体" w:hAnsi="宋体" w:cs="宋体"/>
                <w:b/>
                <w:color w:val="auto"/>
                <w:szCs w:val="21"/>
              </w:rPr>
              <w:t>1</w:t>
            </w:r>
            <w:r>
              <w:rPr>
                <w:rFonts w:ascii="宋体" w:hAnsi="宋体" w:cs="宋体"/>
                <w:b/>
                <w:color w:val="auto"/>
                <w:szCs w:val="21"/>
              </w:rPr>
              <w:t>.</w:t>
            </w:r>
            <w:bookmarkStart w:id="51" w:name="_Hlk54170335"/>
            <w:r>
              <w:rPr>
                <w:rFonts w:hint="eastAsia" w:ascii="宋体" w:hAnsi="宋体"/>
                <w:b/>
                <w:color w:val="auto"/>
                <w:szCs w:val="21"/>
              </w:rPr>
              <w:t>根据《广西壮族自治区财政厅关于持续优化政府采购营商环境推动高质量发展的通知》（桂财采〔2024〕55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51"/>
          </w:p>
          <w:p w14:paraId="42F7299B">
            <w:pPr>
              <w:spacing w:line="360" w:lineRule="auto"/>
              <w:contextualSpacing/>
              <w:rPr>
                <w:rFonts w:ascii="宋体" w:hAnsi="宋体"/>
                <w:b/>
                <w:color w:val="auto"/>
                <w:szCs w:val="21"/>
              </w:rPr>
            </w:pPr>
            <w:r>
              <w:rPr>
                <w:rFonts w:hint="eastAsia" w:ascii="宋体" w:hAnsi="宋体" w:cs="宋体"/>
                <w:b/>
                <w:color w:val="auto"/>
                <w:szCs w:val="21"/>
              </w:rPr>
              <w:t>2</w:t>
            </w:r>
            <w:r>
              <w:rPr>
                <w:rFonts w:ascii="宋体" w:hAnsi="宋体" w:cs="宋体"/>
                <w:b/>
                <w:color w:val="auto"/>
                <w:szCs w:val="21"/>
              </w:rPr>
              <w:t>.</w:t>
            </w:r>
            <w:r>
              <w:rPr>
                <w:rFonts w:hint="eastAsia" w:ascii="宋体" w:hAnsi="宋体" w:cs="宋体"/>
                <w:b/>
                <w:color w:val="auto"/>
                <w:szCs w:val="21"/>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auto"/>
                <w:szCs w:val="21"/>
              </w:rPr>
              <w:t>止）的，不予签订合同。</w:t>
            </w:r>
            <w:r>
              <w:rPr>
                <w:rFonts w:hint="eastAsia" w:ascii="宋体" w:hAnsi="宋体"/>
                <w:b/>
                <w:color w:val="auto"/>
                <w:szCs w:val="21"/>
              </w:rPr>
              <w:br w:type="textWrapping"/>
            </w:r>
            <w:r>
              <w:rPr>
                <w:rFonts w:ascii="宋体" w:hAnsi="宋体"/>
                <w:b/>
                <w:color w:val="auto"/>
                <w:szCs w:val="21"/>
              </w:rPr>
              <w:t>3.</w:t>
            </w:r>
            <w:r>
              <w:rPr>
                <w:rFonts w:hint="eastAsia" w:ascii="宋体" w:hAnsi="宋体"/>
                <w:b/>
                <w:color w:val="auto"/>
                <w:szCs w:val="21"/>
              </w:rPr>
              <w:t>采用银行、保险机构出具的保函的，必须为无条件保函，否则不予签订合同。</w:t>
            </w:r>
          </w:p>
          <w:p w14:paraId="149BD6F7">
            <w:pPr>
              <w:spacing w:line="360" w:lineRule="auto"/>
              <w:contextualSpacing/>
              <w:rPr>
                <w:rFonts w:ascii="宋体" w:hAnsi="宋体" w:cs="宋体"/>
                <w:color w:val="auto"/>
                <w:szCs w:val="21"/>
              </w:rPr>
            </w:pPr>
            <w:r>
              <w:rPr>
                <w:rFonts w:ascii="宋体" w:hAnsi="宋体"/>
                <w:b/>
                <w:color w:val="auto"/>
                <w:szCs w:val="21"/>
              </w:rPr>
              <w:t>4.</w:t>
            </w:r>
            <w:r>
              <w:rPr>
                <w:rFonts w:hint="eastAsia" w:ascii="宋体" w:hAnsi="宋体"/>
                <w:b/>
                <w:color w:val="auto"/>
                <w:szCs w:val="21"/>
              </w:rPr>
              <w:t>供应商为联合体的，由联合体任意一方按规定提交的履约保证金，视为有效履约保证金。</w:t>
            </w:r>
          </w:p>
        </w:tc>
      </w:tr>
      <w:tr w14:paraId="342AC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BF2DB0">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14:paraId="01D50444">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6A73BC02">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4DFDFA3C">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4F9DB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4AF838">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4A5BC81E">
            <w:pPr>
              <w:snapToGrid w:val="0"/>
              <w:spacing w:line="360" w:lineRule="auto"/>
              <w:rPr>
                <w:rFonts w:ascii="宋体" w:hAnsi="宋体" w:cs="宋体"/>
                <w:color w:val="auto"/>
                <w:szCs w:val="21"/>
              </w:rPr>
            </w:pPr>
            <w:r>
              <w:rPr>
                <w:rFonts w:hint="eastAsia" w:ascii="宋体" w:hAnsi="宋体" w:cs="宋体"/>
                <w:color w:val="auto"/>
                <w:szCs w:val="21"/>
              </w:rPr>
              <w:t>接收质疑函方式：书面形式</w:t>
            </w:r>
          </w:p>
          <w:p w14:paraId="021E906B">
            <w:pPr>
              <w:snapToGrid w:val="0"/>
              <w:spacing w:line="360" w:lineRule="auto"/>
              <w:rPr>
                <w:rFonts w:ascii="宋体" w:hAnsi="宋体" w:cs="宋体"/>
                <w:color w:val="auto"/>
                <w:kern w:val="0"/>
                <w:szCs w:val="21"/>
              </w:rPr>
            </w:pPr>
            <w:r>
              <w:rPr>
                <w:rFonts w:hint="eastAsia" w:ascii="宋体" w:hAnsi="宋体" w:cs="宋体"/>
                <w:color w:val="auto"/>
                <w:kern w:val="0"/>
                <w:szCs w:val="21"/>
              </w:rPr>
              <w:t>质疑联系部门及联系方式：云之龙咨询集团有限公司咨询部</w:t>
            </w:r>
          </w:p>
          <w:p w14:paraId="0E7ED828">
            <w:pPr>
              <w:snapToGrid w:val="0"/>
              <w:spacing w:line="360" w:lineRule="auto"/>
              <w:rPr>
                <w:rFonts w:ascii="宋体" w:hAnsi="宋体" w:cs="宋体"/>
                <w:color w:val="auto"/>
                <w:kern w:val="0"/>
                <w:szCs w:val="21"/>
              </w:rPr>
            </w:pPr>
            <w:r>
              <w:rPr>
                <w:rFonts w:hint="eastAsia" w:ascii="宋体" w:hAnsi="宋体" w:cs="宋体"/>
                <w:color w:val="auto"/>
                <w:kern w:val="0"/>
                <w:szCs w:val="21"/>
              </w:rPr>
              <w:t>联系电话：0777-5619366</w:t>
            </w:r>
          </w:p>
          <w:p w14:paraId="6CBA338C">
            <w:pPr>
              <w:snapToGrid w:val="0"/>
              <w:spacing w:line="360" w:lineRule="auto"/>
              <w:rPr>
                <w:rFonts w:ascii="宋体" w:hAnsi="宋体" w:cs="宋体"/>
                <w:color w:val="auto"/>
                <w:kern w:val="0"/>
                <w:szCs w:val="21"/>
              </w:rPr>
            </w:pPr>
            <w:r>
              <w:rPr>
                <w:rFonts w:hint="eastAsia" w:ascii="宋体" w:hAnsi="宋体" w:cs="宋体"/>
                <w:color w:val="auto"/>
                <w:kern w:val="0"/>
                <w:szCs w:val="21"/>
              </w:rPr>
              <w:t>通讯地址：广西钦州市子材东大街19号奥林名城8号楼8层</w:t>
            </w:r>
          </w:p>
          <w:p w14:paraId="08C17073">
            <w:pPr>
              <w:autoSpaceDE w:val="0"/>
              <w:autoSpaceDN w:val="0"/>
              <w:snapToGrid w:val="0"/>
              <w:spacing w:line="360" w:lineRule="auto"/>
              <w:textAlignment w:val="bottom"/>
              <w:rPr>
                <w:rFonts w:ascii="宋体" w:hAnsi="宋体"/>
                <w:color w:val="auto"/>
                <w:szCs w:val="21"/>
              </w:rPr>
            </w:pPr>
            <w:r>
              <w:rPr>
                <w:rFonts w:hint="eastAsia" w:ascii="宋体" w:hAnsi="宋体" w:cs="宋体"/>
                <w:color w:val="auto"/>
                <w:kern w:val="0"/>
                <w:szCs w:val="21"/>
              </w:rPr>
              <w:t>业务时间：工作日上午8时00分到12时00分，下午3时00分到6时00分，业务时间以外、双休日和法定节假日不办理业务。</w:t>
            </w:r>
          </w:p>
        </w:tc>
      </w:tr>
      <w:tr w14:paraId="6BB70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C9960DB">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14:paraId="10256CC2">
            <w:pPr>
              <w:pStyle w:val="26"/>
              <w:numPr>
                <w:ilvl w:val="0"/>
                <w:numId w:val="1"/>
              </w:numPr>
              <w:snapToGrid w:val="0"/>
              <w:spacing w:line="360" w:lineRule="auto"/>
              <w:rPr>
                <w:rFonts w:hAnsi="宋体" w:cs="宋体"/>
                <w:color w:val="auto"/>
                <w:sz w:val="21"/>
              </w:rPr>
            </w:pPr>
            <w:r>
              <w:rPr>
                <w:rFonts w:hint="eastAsia" w:hAnsi="宋体" w:cs="宋体"/>
                <w:color w:val="auto"/>
                <w:sz w:val="21"/>
              </w:rPr>
              <w:t>采购代理费支付方式：</w:t>
            </w:r>
          </w:p>
          <w:p w14:paraId="4080FA89">
            <w:pPr>
              <w:pStyle w:val="26"/>
              <w:snapToGrid w:val="0"/>
              <w:spacing w:line="360" w:lineRule="auto"/>
              <w:rPr>
                <w:rFonts w:hAnsi="宋体" w:cs="宋体"/>
                <w:color w:val="auto"/>
                <w:sz w:val="21"/>
              </w:rPr>
            </w:pPr>
            <w:r>
              <w:rPr>
                <w:rFonts w:hint="eastAsia" w:hAnsi="宋体" w:cs="宋体"/>
                <w:color w:val="auto"/>
                <w:sz w:val="21"/>
              </w:rPr>
              <w:t>☑本项目代理服务费由</w:t>
            </w:r>
            <w:r>
              <w:rPr>
                <w:rFonts w:hint="eastAsia" w:hAnsi="宋体" w:cs="宋体"/>
                <w:color w:val="auto"/>
                <w:sz w:val="21"/>
                <w:u w:val="single"/>
              </w:rPr>
              <w:t>成交供应商</w:t>
            </w:r>
            <w:r>
              <w:rPr>
                <w:rFonts w:hint="eastAsia" w:hAnsi="宋体" w:cs="宋体"/>
                <w:color w:val="auto"/>
                <w:sz w:val="21"/>
              </w:rPr>
              <w:t>一次性向采购代理机构支付。</w:t>
            </w:r>
          </w:p>
          <w:p w14:paraId="34F07F29">
            <w:pPr>
              <w:pStyle w:val="26"/>
              <w:snapToGrid w:val="0"/>
              <w:spacing w:line="360" w:lineRule="auto"/>
              <w:rPr>
                <w:rFonts w:hAnsi="宋体" w:cs="宋体"/>
                <w:color w:val="auto"/>
                <w:sz w:val="21"/>
              </w:rPr>
            </w:pPr>
            <w:r>
              <w:rPr>
                <w:rFonts w:hint="eastAsia" w:hAnsi="宋体" w:cs="宋体"/>
                <w:color w:val="auto"/>
                <w:sz w:val="21"/>
              </w:rPr>
              <w:t>2.采购代理费收取标准：</w:t>
            </w:r>
          </w:p>
          <w:p w14:paraId="48CC0D47">
            <w:pPr>
              <w:pStyle w:val="26"/>
              <w:snapToGrid w:val="0"/>
              <w:spacing w:line="360" w:lineRule="auto"/>
              <w:rPr>
                <w:rFonts w:hAnsi="宋体" w:cs="宋体"/>
                <w:color w:val="auto"/>
                <w:sz w:val="21"/>
              </w:rPr>
            </w:pPr>
            <w:r>
              <w:rPr>
                <w:rFonts w:hint="eastAsia" w:hAnsi="宋体" w:cs="宋体"/>
                <w:color w:val="auto"/>
                <w:sz w:val="21"/>
              </w:rPr>
              <w:t>以预算金额为计费额，按本须知正文第</w:t>
            </w:r>
            <w:r>
              <w:rPr>
                <w:rFonts w:hAnsi="宋体" w:cs="宋体"/>
                <w:color w:val="auto"/>
                <w:sz w:val="21"/>
              </w:rPr>
              <w:t>32</w:t>
            </w:r>
            <w:r>
              <w:rPr>
                <w:rFonts w:hint="eastAsia" w:hAnsi="宋体" w:cs="宋体"/>
                <w:color w:val="auto"/>
                <w:sz w:val="21"/>
              </w:rPr>
              <w:t>.</w:t>
            </w:r>
            <w:r>
              <w:rPr>
                <w:rFonts w:hAnsi="宋体" w:cs="宋体"/>
                <w:color w:val="auto"/>
                <w:sz w:val="21"/>
              </w:rPr>
              <w:t>2</w:t>
            </w:r>
            <w:r>
              <w:rPr>
                <w:rFonts w:hint="eastAsia" w:hAnsi="宋体" w:cs="宋体"/>
                <w:color w:val="auto"/>
                <w:sz w:val="21"/>
              </w:rPr>
              <w:t>条规定的工程类收费标准采用差额定率累进法计算出收费基准价格，采购代理收费以收费基准价格收取。</w:t>
            </w:r>
          </w:p>
          <w:p w14:paraId="38A38A0C">
            <w:pPr>
              <w:pStyle w:val="26"/>
              <w:snapToGrid w:val="0"/>
              <w:spacing w:line="360" w:lineRule="auto"/>
              <w:rPr>
                <w:rFonts w:hAnsi="宋体" w:cs="宋体"/>
                <w:color w:val="auto"/>
                <w:sz w:val="21"/>
              </w:rPr>
            </w:pPr>
            <w:r>
              <w:rPr>
                <w:rFonts w:hint="eastAsia" w:hAnsi="宋体" w:cs="宋体"/>
                <w:color w:val="auto"/>
                <w:sz w:val="21"/>
              </w:rPr>
              <w:t>3. 采购代理费收取银行账户</w:t>
            </w:r>
          </w:p>
          <w:p w14:paraId="3F3F9FFA">
            <w:pPr>
              <w:snapToGrid w:val="0"/>
              <w:spacing w:line="360" w:lineRule="auto"/>
              <w:rPr>
                <w:rFonts w:ascii="宋体" w:hAnsi="宋体" w:cs="宋体"/>
                <w:color w:val="auto"/>
                <w:kern w:val="0"/>
                <w:szCs w:val="21"/>
              </w:rPr>
            </w:pPr>
            <w:r>
              <w:rPr>
                <w:rFonts w:hint="eastAsia" w:ascii="宋体" w:hAnsi="宋体" w:cs="宋体"/>
                <w:color w:val="auto"/>
                <w:kern w:val="0"/>
                <w:szCs w:val="21"/>
              </w:rPr>
              <w:t>开户名称：云之龙咨询集团有限公司钦州分公司</w:t>
            </w:r>
          </w:p>
          <w:p w14:paraId="27D497FA">
            <w:pPr>
              <w:snapToGrid w:val="0"/>
              <w:spacing w:line="360" w:lineRule="auto"/>
              <w:rPr>
                <w:rFonts w:ascii="宋体" w:hAnsi="宋体" w:cs="宋体"/>
                <w:color w:val="auto"/>
                <w:kern w:val="0"/>
                <w:szCs w:val="21"/>
              </w:rPr>
            </w:pPr>
            <w:r>
              <w:rPr>
                <w:rFonts w:hint="eastAsia" w:ascii="宋体" w:hAnsi="宋体" w:cs="宋体"/>
                <w:color w:val="auto"/>
                <w:kern w:val="0"/>
                <w:szCs w:val="21"/>
              </w:rPr>
              <w:t>开户银行：中信银行南宁东葛支行；</w:t>
            </w:r>
          </w:p>
          <w:p w14:paraId="2F9829FD">
            <w:pPr>
              <w:snapToGrid w:val="0"/>
              <w:spacing w:line="360" w:lineRule="auto"/>
              <w:rPr>
                <w:rFonts w:ascii="宋体" w:hAnsi="宋体" w:cs="宋体"/>
                <w:color w:val="auto"/>
                <w:kern w:val="0"/>
                <w:szCs w:val="21"/>
              </w:rPr>
            </w:pPr>
            <w:r>
              <w:rPr>
                <w:rFonts w:hint="eastAsia" w:ascii="宋体" w:hAnsi="宋体" w:cs="宋体"/>
                <w:color w:val="auto"/>
                <w:kern w:val="0"/>
                <w:szCs w:val="21"/>
              </w:rPr>
              <w:t>银行账号：8113  0010  1330  0157  979；</w:t>
            </w:r>
          </w:p>
          <w:p w14:paraId="47696161">
            <w:pPr>
              <w:pStyle w:val="26"/>
              <w:snapToGrid w:val="0"/>
              <w:spacing w:line="360" w:lineRule="auto"/>
              <w:rPr>
                <w:rFonts w:hAnsi="宋体" w:cs="宋体"/>
                <w:color w:val="auto"/>
                <w:sz w:val="21"/>
              </w:rPr>
            </w:pPr>
            <w:r>
              <w:rPr>
                <w:rFonts w:hint="eastAsia" w:ascii="Times New Roman" w:hAnsi="宋体" w:cs="宋体"/>
                <w:color w:val="auto"/>
                <w:kern w:val="2"/>
                <w:sz w:val="21"/>
                <w:szCs w:val="24"/>
              </w:rPr>
              <w:t>行号：3026  1102  9137</w:t>
            </w:r>
            <w:r>
              <w:rPr>
                <w:rFonts w:hint="eastAsia" w:hAnsi="宋体" w:cs="宋体"/>
                <w:color w:val="auto"/>
                <w:sz w:val="21"/>
              </w:rPr>
              <w:t xml:space="preserve">  </w:t>
            </w:r>
          </w:p>
        </w:tc>
      </w:tr>
      <w:tr w14:paraId="1DD6F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A4C5F4">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2424AB2C">
            <w:pPr>
              <w:pStyle w:val="26"/>
              <w:snapToGrid w:val="0"/>
              <w:spacing w:line="360" w:lineRule="auto"/>
              <w:rPr>
                <w:rFonts w:hAnsi="宋体" w:cs="宋体"/>
                <w:color w:val="auto"/>
                <w:kern w:val="2"/>
                <w:sz w:val="21"/>
              </w:rPr>
            </w:pPr>
            <w:r>
              <w:rPr>
                <w:rFonts w:hint="eastAsia" w:hAnsi="宋体"/>
                <w:color w:val="auto"/>
                <w:sz w:val="21"/>
              </w:rPr>
              <w:t>解释：</w:t>
            </w:r>
            <w:r>
              <w:rPr>
                <w:rFonts w:hAnsi="宋体"/>
                <w:color w:val="auto"/>
                <w:sz w:val="21"/>
              </w:rPr>
              <w:t>构成本</w:t>
            </w:r>
            <w:r>
              <w:rPr>
                <w:rFonts w:hint="eastAsia" w:hAnsi="宋体"/>
                <w:color w:val="auto"/>
                <w:sz w:val="21"/>
              </w:rPr>
              <w:t>磋商文件</w:t>
            </w:r>
            <w:r>
              <w:rPr>
                <w:rFonts w:hAnsi="宋体"/>
                <w:color w:val="auto"/>
                <w:sz w:val="21"/>
              </w:rPr>
              <w:t>的各个组成文件应互为解释，互为说明</w:t>
            </w:r>
            <w:r>
              <w:rPr>
                <w:rFonts w:hint="eastAsia" w:hAnsi="宋体"/>
                <w:color w:val="auto"/>
                <w:sz w:val="21"/>
              </w:rPr>
              <w:t>；</w:t>
            </w:r>
            <w:r>
              <w:rPr>
                <w:rFonts w:hAnsi="宋体"/>
                <w:color w:val="auto"/>
                <w:sz w:val="21"/>
              </w:rPr>
              <w:t>除</w:t>
            </w:r>
            <w:r>
              <w:rPr>
                <w:rFonts w:hint="eastAsia" w:hAnsi="宋体"/>
                <w:color w:val="auto"/>
                <w:sz w:val="21"/>
              </w:rPr>
              <w:t>磋商文件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竞争性磋商</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w:t>
            </w:r>
            <w:r>
              <w:rPr>
                <w:rFonts w:hint="eastAsia" w:hAnsi="宋体"/>
                <w:color w:val="auto"/>
                <w:sz w:val="21"/>
              </w:rPr>
              <w:t>；</w:t>
            </w:r>
            <w:r>
              <w:rPr>
                <w:rFonts w:hAnsi="宋体"/>
                <w:color w:val="auto"/>
                <w:sz w:val="21"/>
              </w:rPr>
              <w:t>同一组成文件中就同一事项的规定或者约定不一致的，以编排顺序在后者为准</w:t>
            </w:r>
            <w:r>
              <w:rPr>
                <w:rFonts w:hint="eastAsia" w:hAnsi="宋体"/>
                <w:color w:val="auto"/>
                <w:sz w:val="21"/>
              </w:rPr>
              <w:t>；</w:t>
            </w:r>
            <w:r>
              <w:rPr>
                <w:rFonts w:hAnsi="宋体"/>
                <w:color w:val="auto"/>
                <w:sz w:val="21"/>
              </w:rPr>
              <w:t>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磋商文件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14:paraId="79218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A10367">
            <w:pPr>
              <w:spacing w:line="360" w:lineRule="auto"/>
              <w:jc w:val="center"/>
              <w:rPr>
                <w:rFonts w:ascii="宋体" w:hAnsi="宋体" w:cs="宋体"/>
                <w:color w:val="auto"/>
                <w:szCs w:val="21"/>
              </w:rPr>
            </w:pPr>
            <w:r>
              <w:rPr>
                <w:rFonts w:hint="eastAsia" w:ascii="宋体" w:hAnsi="宋体" w:cs="宋体"/>
                <w:color w:val="auto"/>
                <w:szCs w:val="21"/>
              </w:rPr>
              <w:t>33.2</w:t>
            </w:r>
          </w:p>
        </w:tc>
        <w:tc>
          <w:tcPr>
            <w:tcW w:w="7912" w:type="dxa"/>
            <w:vAlign w:val="center"/>
          </w:tcPr>
          <w:p w14:paraId="4E29E8A7">
            <w:pPr>
              <w:pStyle w:val="26"/>
              <w:snapToGrid w:val="0"/>
              <w:spacing w:line="360" w:lineRule="auto"/>
              <w:rPr>
                <w:rFonts w:hAnsi="宋体"/>
                <w:color w:val="auto"/>
                <w:sz w:val="21"/>
              </w:rPr>
            </w:pPr>
            <w:r>
              <w:rPr>
                <w:rFonts w:hint="eastAsia" w:hAnsi="宋体"/>
                <w:color w:val="auto"/>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56F45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1DE0F6">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w:t>
            </w:r>
            <w:r>
              <w:rPr>
                <w:rFonts w:hint="eastAsia" w:ascii="宋体" w:hAnsi="宋体" w:cs="宋体"/>
                <w:color w:val="auto"/>
                <w:szCs w:val="21"/>
              </w:rPr>
              <w:t>3</w:t>
            </w:r>
          </w:p>
        </w:tc>
        <w:tc>
          <w:tcPr>
            <w:tcW w:w="7912" w:type="dxa"/>
            <w:vAlign w:val="center"/>
          </w:tcPr>
          <w:p w14:paraId="78EDC17F">
            <w:pPr>
              <w:pStyle w:val="26"/>
              <w:snapToGrid w:val="0"/>
              <w:spacing w:line="360" w:lineRule="auto"/>
              <w:rPr>
                <w:rFonts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A4CE6A3">
            <w:pPr>
              <w:pStyle w:val="26"/>
              <w:snapToGrid w:val="0"/>
              <w:spacing w:line="360" w:lineRule="auto"/>
              <w:rPr>
                <w:rFonts w:hAnsi="宋体" w:cs="宋体"/>
                <w:color w:val="auto"/>
                <w:sz w:val="21"/>
              </w:rPr>
            </w:pPr>
            <w:r>
              <w:rPr>
                <w:rFonts w:hint="eastAsia" w:hAnsi="宋体" w:cs="宋体"/>
                <w:bCs/>
                <w:color w:val="auto"/>
                <w:sz w:val="21"/>
              </w:rPr>
              <w:t>2.本磋商文件所称的“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7B10AC0B">
            <w:pPr>
              <w:pStyle w:val="26"/>
              <w:snapToGrid w:val="0"/>
              <w:spacing w:line="360" w:lineRule="auto"/>
              <w:rPr>
                <w:rFonts w:hAnsi="宋体" w:cs="宋体"/>
                <w:bCs/>
                <w:color w:val="auto"/>
                <w:sz w:val="21"/>
              </w:rPr>
            </w:pPr>
            <w:r>
              <w:rPr>
                <w:rFonts w:hAnsi="宋体" w:cs="宋体"/>
                <w:color w:val="auto"/>
                <w:sz w:val="21"/>
              </w:rPr>
              <w:t>3</w:t>
            </w:r>
            <w:r>
              <w:rPr>
                <w:rFonts w:hint="eastAsia" w:hAnsi="宋体" w:cs="宋体"/>
                <w:color w:val="auto"/>
                <w:sz w:val="21"/>
              </w:rPr>
              <w:t>.供应商为其他组织时，本磋商文件规定的法定代表人指负责人。本磋商文件所称负责人是指参加竞标的其他组织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w:t>
            </w:r>
            <w:r>
              <w:rPr>
                <w:rFonts w:hint="eastAsia" w:hAnsi="宋体" w:cs="宋体"/>
                <w:bCs/>
                <w:color w:val="auto"/>
                <w:sz w:val="21"/>
              </w:rPr>
              <w:t>。</w:t>
            </w:r>
          </w:p>
          <w:p w14:paraId="695FC261">
            <w:pPr>
              <w:pStyle w:val="26"/>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14:paraId="3CF9382E">
            <w:pPr>
              <w:pStyle w:val="26"/>
              <w:snapToGrid w:val="0"/>
              <w:spacing w:line="360" w:lineRule="auto"/>
              <w:rPr>
                <w:rFonts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14:paraId="63A11F9B">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468AC7E6">
      <w:pPr>
        <w:spacing w:line="400" w:lineRule="exact"/>
        <w:jc w:val="center"/>
        <w:rPr>
          <w:rFonts w:ascii="宋体" w:hAnsi="宋体"/>
          <w:b/>
          <w:color w:val="auto"/>
          <w:sz w:val="32"/>
          <w:szCs w:val="32"/>
        </w:rPr>
      </w:pPr>
    </w:p>
    <w:p w14:paraId="08C0D485">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19F4F67D">
      <w:pPr>
        <w:spacing w:line="400" w:lineRule="exact"/>
        <w:rPr>
          <w:rFonts w:ascii="宋体" w:hAnsi="宋体"/>
          <w:color w:val="auto"/>
          <w:szCs w:val="21"/>
        </w:rPr>
      </w:pPr>
    </w:p>
    <w:p w14:paraId="6D40A1B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14:paraId="20719462">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5495CF0E">
      <w:pPr>
        <w:spacing w:line="360" w:lineRule="auto"/>
        <w:ind w:firstLine="420" w:firstLineChars="200"/>
        <w:rPr>
          <w:rFonts w:ascii="宋体" w:hAnsi="宋体" w:cs="宋体"/>
          <w:color w:val="auto"/>
          <w:szCs w:val="21"/>
        </w:rPr>
      </w:pPr>
      <w:r>
        <w:rPr>
          <w:rFonts w:hint="eastAsia" w:ascii="宋体" w:hAnsi="宋体" w:cs="宋体"/>
          <w:color w:val="auto"/>
          <w:szCs w:val="21"/>
        </w:rPr>
        <w:t>1.2本竞争性磋商文件（以下简称磋商文件）适用于本项目的所有采购程序和环节（法律、法规另有规定的，从其规定）</w:t>
      </w:r>
      <w:r>
        <w:rPr>
          <w:rFonts w:hint="eastAsia" w:ascii="宋体" w:hAnsi="宋体" w:cs="宋体"/>
          <w:color w:val="auto"/>
          <w:spacing w:val="-6"/>
          <w:szCs w:val="21"/>
        </w:rPr>
        <w:t>。</w:t>
      </w:r>
    </w:p>
    <w:p w14:paraId="025E7DE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14:paraId="6866D827">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137C4785">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14:paraId="602F4AA0">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70172B81">
      <w:pPr>
        <w:spacing w:line="360" w:lineRule="auto"/>
        <w:ind w:firstLine="420" w:firstLineChars="200"/>
        <w:rPr>
          <w:rFonts w:ascii="宋体" w:hAnsi="宋体" w:cs="宋体"/>
          <w:color w:val="auto"/>
          <w:szCs w:val="21"/>
        </w:rPr>
      </w:pPr>
      <w:r>
        <w:rPr>
          <w:rFonts w:hint="eastAsia" w:ascii="宋体" w:hAnsi="宋体"/>
          <w:color w:val="auto"/>
          <w:szCs w:val="21"/>
        </w:rPr>
        <w:t>2.4“工程”是指建设工程，包括建筑物和构筑物的新建、改建、扩建、装修、拆除、修缮等。</w:t>
      </w:r>
    </w:p>
    <w:p w14:paraId="6A6C02C5">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14:paraId="173114DE">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14:paraId="6DECAF0C">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2.7“响应文件”是指：供应商根据本磋商文件要求，编制包含资格证明、报价、商务技术等所有内容的文件</w:t>
      </w:r>
      <w:r>
        <w:rPr>
          <w:rFonts w:hint="eastAsia" w:ascii="宋体" w:hAnsi="宋体" w:cs="宋体"/>
          <w:color w:val="auto"/>
          <w:spacing w:val="-6"/>
          <w:szCs w:val="21"/>
        </w:rPr>
        <w:t>。</w:t>
      </w:r>
    </w:p>
    <w:p w14:paraId="63B0833A">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2.8“实质性要求”是指磋商文件中已经指明不满足则响应文件按无效处理的条款，或者不能负偏离的条款，或者采购需求中带“▲”的条款。</w:t>
      </w:r>
    </w:p>
    <w:p w14:paraId="37A40428">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14:paraId="5702CFAA">
      <w:pPr>
        <w:spacing w:line="360" w:lineRule="auto"/>
        <w:ind w:firstLine="420" w:firstLineChars="200"/>
        <w:contextualSpacing/>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14:paraId="2BEA3960">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p>
    <w:p w14:paraId="393EA64F">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14:paraId="106E14F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14:paraId="62CC7DDE">
      <w:pPr>
        <w:spacing w:line="360" w:lineRule="auto"/>
        <w:ind w:firstLine="420" w:firstLineChars="200"/>
        <w:rPr>
          <w:rFonts w:ascii="宋体" w:hAnsi="宋体" w:cs="宋体"/>
          <w:color w:val="auto"/>
          <w:szCs w:val="21"/>
        </w:rPr>
      </w:pPr>
      <w:r>
        <w:rPr>
          <w:rFonts w:hint="eastAsia" w:ascii="宋体" w:hAnsi="宋体" w:cs="宋体"/>
          <w:color w:val="auto"/>
          <w:szCs w:val="21"/>
        </w:rPr>
        <w:t>3.1供应商的资格条件详见“供应商须知前附表”。</w:t>
      </w:r>
    </w:p>
    <w:p w14:paraId="3FB69478">
      <w:pPr>
        <w:spacing w:line="360" w:lineRule="auto"/>
        <w:ind w:firstLine="420" w:firstLineChars="200"/>
        <w:rPr>
          <w:rFonts w:cs="宋体"/>
          <w:color w:val="auto"/>
        </w:rPr>
      </w:pPr>
      <w:r>
        <w:rPr>
          <w:rFonts w:hint="eastAsia" w:ascii="宋体" w:hAnsi="宋体" w:cs="宋体"/>
          <w:color w:val="auto"/>
          <w:szCs w:val="21"/>
        </w:rPr>
        <w:t>3.2供应商</w:t>
      </w:r>
      <w:r>
        <w:rPr>
          <w:rFonts w:hint="eastAsia" w:cs="宋体"/>
          <w:color w:val="auto"/>
        </w:rPr>
        <w:t>不得存在下列情形之一：</w:t>
      </w:r>
    </w:p>
    <w:p w14:paraId="18EF2908">
      <w:pPr>
        <w:spacing w:line="360" w:lineRule="auto"/>
        <w:ind w:firstLine="420" w:firstLineChars="200"/>
        <w:rPr>
          <w:rFonts w:ascii="宋体" w:hAnsi="宋体" w:cs="宋体"/>
          <w:color w:val="auto"/>
          <w:szCs w:val="21"/>
        </w:rPr>
      </w:pPr>
      <w:r>
        <w:rPr>
          <w:rFonts w:hint="eastAsia" w:cs="宋体"/>
          <w:color w:val="auto"/>
        </w:rPr>
        <w:t>（1）</w:t>
      </w:r>
      <w:r>
        <w:rPr>
          <w:rFonts w:hint="eastAsia" w:ascii="宋体" w:hAnsi="宋体" w:cs="宋体"/>
          <w:color w:val="auto"/>
          <w:szCs w:val="21"/>
        </w:rPr>
        <w:t>单位负责人为同一人或者存在直接控股、管理关系的不同供应商，不得参加同一合同项下的政府采购活动；</w:t>
      </w:r>
    </w:p>
    <w:p w14:paraId="3DA2F7E0">
      <w:pPr>
        <w:spacing w:line="360" w:lineRule="auto"/>
        <w:ind w:firstLine="420" w:firstLineChars="200"/>
        <w:rPr>
          <w:rFonts w:cs="宋体"/>
          <w:color w:val="auto"/>
        </w:rPr>
      </w:pPr>
      <w:r>
        <w:rPr>
          <w:rFonts w:hint="eastAsia" w:ascii="宋体" w:hAnsi="宋体" w:cs="宋体"/>
          <w:color w:val="auto"/>
          <w:szCs w:val="21"/>
        </w:rPr>
        <w:t>（2）为本项目提供过整体设计、规范编制或者项目管理、监理、检测等服务的供应商，不得再参加本项目上述服务以外的其他采购活动；</w:t>
      </w:r>
    </w:p>
    <w:p w14:paraId="4BE68EC5">
      <w:pPr>
        <w:spacing w:line="360" w:lineRule="auto"/>
        <w:ind w:firstLine="420" w:firstLineChars="200"/>
        <w:rPr>
          <w:color w:val="auto"/>
        </w:rPr>
      </w:pPr>
      <w:r>
        <w:rPr>
          <w:rFonts w:hint="eastAsia" w:cs="宋体"/>
          <w:color w:val="auto"/>
        </w:rPr>
        <w:t>（</w:t>
      </w:r>
      <w:r>
        <w:rPr>
          <w:rFonts w:hint="eastAsia"/>
          <w:color w:val="auto"/>
        </w:rPr>
        <w:t>3</w:t>
      </w:r>
      <w:r>
        <w:rPr>
          <w:rFonts w:hint="eastAsia" w:cs="宋体"/>
          <w:color w:val="auto"/>
        </w:rPr>
        <w:t>）为本分标的代建人；</w:t>
      </w:r>
    </w:p>
    <w:p w14:paraId="74DF48C9">
      <w:pPr>
        <w:spacing w:line="360" w:lineRule="auto"/>
        <w:ind w:firstLine="420" w:firstLineChars="200"/>
        <w:rPr>
          <w:color w:val="auto"/>
        </w:rPr>
      </w:pPr>
      <w:r>
        <w:rPr>
          <w:rFonts w:hint="eastAsia" w:cs="宋体"/>
          <w:color w:val="auto"/>
        </w:rPr>
        <w:t>（</w:t>
      </w:r>
      <w:r>
        <w:rPr>
          <w:rFonts w:hint="eastAsia"/>
          <w:color w:val="auto"/>
        </w:rPr>
        <w:t>4</w:t>
      </w:r>
      <w:r>
        <w:rPr>
          <w:rFonts w:hint="eastAsia" w:cs="宋体"/>
          <w:color w:val="auto"/>
        </w:rPr>
        <w:t>）为本分标提供采购代理服务的；</w:t>
      </w:r>
    </w:p>
    <w:p w14:paraId="27A032D4">
      <w:pPr>
        <w:spacing w:line="360" w:lineRule="auto"/>
        <w:ind w:firstLine="420" w:firstLineChars="200"/>
        <w:rPr>
          <w:color w:val="auto"/>
        </w:rPr>
      </w:pPr>
      <w:r>
        <w:rPr>
          <w:rFonts w:hint="eastAsia" w:cs="宋体"/>
          <w:color w:val="auto"/>
        </w:rPr>
        <w:t>（</w:t>
      </w:r>
      <w:r>
        <w:rPr>
          <w:rFonts w:hint="eastAsia"/>
          <w:color w:val="auto"/>
        </w:rPr>
        <w:t>5</w:t>
      </w:r>
      <w:r>
        <w:rPr>
          <w:rFonts w:hint="eastAsia" w:cs="宋体"/>
          <w:color w:val="auto"/>
        </w:rPr>
        <w:t>）与本分标的监理人或代建人或采购代理机构同为一个法定代表人的；</w:t>
      </w:r>
    </w:p>
    <w:p w14:paraId="14BFF53D">
      <w:pPr>
        <w:spacing w:line="360" w:lineRule="auto"/>
        <w:ind w:firstLine="420" w:firstLineChars="200"/>
        <w:rPr>
          <w:color w:val="auto"/>
        </w:rPr>
      </w:pPr>
      <w:r>
        <w:rPr>
          <w:rFonts w:hint="eastAsia" w:cs="宋体"/>
          <w:color w:val="auto"/>
        </w:rPr>
        <w:t>（</w:t>
      </w:r>
      <w:r>
        <w:rPr>
          <w:rFonts w:hint="eastAsia"/>
          <w:color w:val="auto"/>
        </w:rPr>
        <w:t>6</w:t>
      </w:r>
      <w:r>
        <w:rPr>
          <w:rFonts w:hint="eastAsia" w:cs="宋体"/>
          <w:color w:val="auto"/>
        </w:rPr>
        <w:t>）与本分标的监理人或代建人或采购代理机构相互控股或参股的；</w:t>
      </w:r>
    </w:p>
    <w:p w14:paraId="6C79A15E">
      <w:pPr>
        <w:spacing w:line="360" w:lineRule="auto"/>
        <w:ind w:firstLine="420" w:firstLineChars="200"/>
        <w:rPr>
          <w:rFonts w:cs="宋体"/>
          <w:color w:val="auto"/>
        </w:rPr>
      </w:pPr>
      <w:r>
        <w:rPr>
          <w:rFonts w:hint="eastAsia" w:cs="宋体"/>
          <w:color w:val="auto"/>
        </w:rPr>
        <w:t>（</w:t>
      </w:r>
      <w:r>
        <w:rPr>
          <w:rFonts w:hint="eastAsia"/>
          <w:color w:val="auto"/>
        </w:rPr>
        <w:t>7</w:t>
      </w:r>
      <w:r>
        <w:rPr>
          <w:rFonts w:hint="eastAsia" w:cs="宋体"/>
          <w:color w:val="auto"/>
        </w:rPr>
        <w:t>）与本分标的监理人或代建人或采购代理机构相互任职或工作的；</w:t>
      </w:r>
    </w:p>
    <w:p w14:paraId="1979E4A7">
      <w:pPr>
        <w:spacing w:line="360" w:lineRule="auto"/>
        <w:ind w:firstLine="420" w:firstLineChars="200"/>
        <w:rPr>
          <w:color w:val="auto"/>
        </w:rPr>
      </w:pPr>
      <w:r>
        <w:rPr>
          <w:rFonts w:hint="eastAsia" w:cs="宋体"/>
          <w:color w:val="auto"/>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30F8463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4.竞标费用</w:t>
      </w:r>
    </w:p>
    <w:p w14:paraId="2D59942D">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150A670D">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14:paraId="66D6D8DE">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10783DAC">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64C2E1A1">
      <w:pPr>
        <w:spacing w:line="360" w:lineRule="auto"/>
        <w:ind w:firstLine="420" w:firstLineChars="200"/>
        <w:rPr>
          <w:rFonts w:ascii="宋体" w:hAnsi="宋体" w:cs="宋体"/>
          <w:color w:val="auto"/>
          <w:szCs w:val="21"/>
        </w:rPr>
      </w:pPr>
      <w:r>
        <w:rPr>
          <w:rFonts w:hint="eastAsia" w:ascii="宋体" w:hAnsi="宋体" w:cs="宋体"/>
          <w:color w:val="auto"/>
          <w:szCs w:val="21"/>
        </w:rPr>
        <w:t>5.3</w:t>
      </w:r>
      <w:bookmarkStart w:id="52" w:name="_Hlk66782192"/>
      <w:r>
        <w:rPr>
          <w:rFonts w:hint="eastAsia" w:ascii="宋体" w:hAnsi="宋体"/>
          <w:color w:val="auto"/>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52"/>
    </w:p>
    <w:p w14:paraId="3152A43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71880CB6">
      <w:pPr>
        <w:pStyle w:val="7"/>
        <w:keepNext w:val="0"/>
        <w:keepLines w:val="0"/>
        <w:spacing w:before="0" w:after="0" w:line="360" w:lineRule="auto"/>
        <w:ind w:left="420" w:leftChars="200"/>
        <w:rPr>
          <w:rFonts w:ascii="宋体" w:hAnsi="宋体"/>
          <w:b w:val="0"/>
          <w:color w:val="auto"/>
          <w:sz w:val="21"/>
          <w:szCs w:val="21"/>
        </w:rPr>
      </w:pPr>
      <w:bookmarkStart w:id="53" w:name="_Toc254970673"/>
      <w:bookmarkStart w:id="54" w:name="_Toc254970532"/>
      <w:r>
        <w:rPr>
          <w:rFonts w:hint="eastAsia" w:ascii="宋体" w:hAnsi="宋体"/>
          <w:b w:val="0"/>
          <w:color w:val="auto"/>
          <w:sz w:val="21"/>
          <w:szCs w:val="21"/>
        </w:rPr>
        <w:t>6.1本项目不允许转包。</w:t>
      </w:r>
    </w:p>
    <w:p w14:paraId="792770A4">
      <w:pPr>
        <w:pStyle w:val="7"/>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1E85A3C4">
      <w:pPr>
        <w:pStyle w:val="7"/>
        <w:keepNext w:val="0"/>
        <w:keepLines w:val="0"/>
        <w:spacing w:before="0" w:after="0" w:line="360" w:lineRule="auto"/>
        <w:ind w:firstLine="315" w:firstLineChars="150"/>
        <w:rPr>
          <w:rFonts w:ascii="宋体" w:hAnsi="宋体"/>
          <w:b w:val="0"/>
          <w:color w:val="auto"/>
          <w:sz w:val="21"/>
          <w:szCs w:val="21"/>
        </w:rPr>
      </w:pPr>
      <w:r>
        <w:rPr>
          <w:rFonts w:hint="eastAsia" w:ascii="宋体" w:hAnsi="宋体"/>
          <w:b w:val="0"/>
          <w:color w:val="auto"/>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BC8B566">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53"/>
      <w:bookmarkEnd w:id="54"/>
    </w:p>
    <w:p w14:paraId="30B16FB6">
      <w:pPr>
        <w:spacing w:line="360" w:lineRule="auto"/>
        <w:ind w:firstLine="420" w:firstLineChars="200"/>
        <w:rPr>
          <w:rFonts w:ascii="宋体" w:hAnsi="宋体" w:cs="宋体"/>
          <w:color w:val="auto"/>
          <w:szCs w:val="21"/>
        </w:rPr>
      </w:pPr>
      <w:bookmarkStart w:id="55" w:name="_8.1提供相同品牌产品且通过资格审查、符合性审查的不同投标人参加同一合"/>
      <w:bookmarkEnd w:id="55"/>
      <w:r>
        <w:rPr>
          <w:rFonts w:hint="eastAsia" w:ascii="宋体" w:hAnsi="宋体" w:cs="宋体"/>
          <w:color w:val="auto"/>
          <w:szCs w:val="21"/>
        </w:rPr>
        <w:t>7.</w:t>
      </w:r>
      <w:r>
        <w:rPr>
          <w:rFonts w:ascii="宋体" w:hAnsi="宋体" w:cs="宋体"/>
          <w:color w:val="auto"/>
          <w:szCs w:val="21"/>
        </w:rPr>
        <w:t>1</w:t>
      </w:r>
      <w:bookmarkStart w:id="56"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56"/>
    <w:p w14:paraId="72E291D3">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68EF4E84">
      <w:pPr>
        <w:spacing w:line="360" w:lineRule="auto"/>
        <w:ind w:firstLine="420" w:firstLineChars="200"/>
        <w:rPr>
          <w:rFonts w:ascii="宋体" w:hAnsi="宋体" w:cs="宋体"/>
          <w:color w:val="auto"/>
          <w:szCs w:val="21"/>
        </w:rPr>
      </w:pPr>
      <w:bookmarkStart w:id="57" w:name="_Hlk170492024"/>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供应商在竞标活动中提供任何虚假材料谋取成交的，将报财政部门查处；签订合同后发现的，成交供应商须依照</w:t>
      </w:r>
      <w:bookmarkStart w:id="58" w:name="_Hlk170492034"/>
      <w:r>
        <w:rPr>
          <w:rFonts w:hint="eastAsia" w:ascii="宋体" w:hAnsi="宋体" w:cs="宋体"/>
          <w:color w:val="auto"/>
          <w:szCs w:val="21"/>
        </w:rPr>
        <w:t>有关法律法规</w:t>
      </w:r>
      <w:bookmarkEnd w:id="58"/>
      <w:r>
        <w:rPr>
          <w:rFonts w:hint="eastAsia" w:ascii="宋体" w:hAnsi="宋体" w:cs="宋体"/>
          <w:color w:val="auto"/>
          <w:szCs w:val="21"/>
        </w:rPr>
        <w:t>规定赔偿采购人，且民事赔偿并不免除违法供应商的行政与刑事责任。</w:t>
      </w:r>
    </w:p>
    <w:bookmarkEnd w:id="57"/>
    <w:p w14:paraId="59015024">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3CE4B47E">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33934F43">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68156A81">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3F0503B8">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52033FB0">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74A0F0BC">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DC463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7.</w:t>
      </w:r>
      <w:r>
        <w:rPr>
          <w:rFonts w:ascii="宋体" w:hAnsi="宋体" w:cs="宋体"/>
          <w:b/>
          <w:bCs/>
          <w:color w:val="auto"/>
          <w:szCs w:val="21"/>
        </w:rPr>
        <w:t>5</w:t>
      </w:r>
      <w:r>
        <w:rPr>
          <w:rFonts w:hint="eastAsia" w:ascii="宋体" w:hAnsi="宋体" w:cs="宋体"/>
          <w:b/>
          <w:bCs/>
          <w:color w:val="auto"/>
          <w:szCs w:val="21"/>
        </w:rPr>
        <w:t>有下列情形之一的视为供应商相互串通竞标，响应文件将被视为无效：</w:t>
      </w:r>
    </w:p>
    <w:p w14:paraId="73BD0183">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w:t>
      </w:r>
      <w:r>
        <w:rPr>
          <w:rFonts w:hint="eastAsia" w:ascii="宋体" w:hAnsi="宋体" w:cs="宋体"/>
          <w:b/>
          <w:bCs/>
          <w:color w:val="auto"/>
          <w:szCs w:val="21"/>
          <w:lang w:eastAsia="zh-CN"/>
        </w:rPr>
        <w:t>不同供应商的响应文件由同一单位或者个人编制或不同供应商报名的IP地址一致的；</w:t>
      </w:r>
      <w:r>
        <w:rPr>
          <w:rFonts w:hint="eastAsia" w:ascii="宋体" w:hAnsi="宋体" w:cs="宋体"/>
          <w:b/>
          <w:bCs/>
          <w:color w:val="auto"/>
          <w:szCs w:val="21"/>
        </w:rPr>
        <w:t xml:space="preserve"> </w:t>
      </w:r>
    </w:p>
    <w:p w14:paraId="6A6B16FD">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（2）不同供应商委托同一单位或者个人办理竞标事宜；</w:t>
      </w:r>
    </w:p>
    <w:p w14:paraId="2E448DF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（3）不同的供应商的响应文件载明的项目管理员为同一个人；</w:t>
      </w:r>
    </w:p>
    <w:p w14:paraId="4D1AF33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（4）不同供应商的响应文件异常一致或者报价呈规律性差异；</w:t>
      </w:r>
    </w:p>
    <w:p w14:paraId="691A970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（5）不同供应商的响应文件相互混装；</w:t>
      </w:r>
    </w:p>
    <w:p w14:paraId="37E04BB6">
      <w:pPr>
        <w:tabs>
          <w:tab w:val="left" w:pos="6931"/>
        </w:tabs>
        <w:spacing w:line="360" w:lineRule="auto"/>
        <w:ind w:firstLine="422" w:firstLineChars="200"/>
        <w:rPr>
          <w:rFonts w:ascii="宋体" w:hAnsi="宋体" w:cs="宋体"/>
          <w:color w:val="auto"/>
          <w:szCs w:val="21"/>
        </w:rPr>
      </w:pPr>
      <w:r>
        <w:rPr>
          <w:rFonts w:hint="eastAsia" w:ascii="宋体" w:hAnsi="宋体" w:cs="宋体"/>
          <w:b/>
          <w:bCs/>
          <w:color w:val="auto"/>
          <w:szCs w:val="21"/>
        </w:rPr>
        <w:t>（6）不同供应商的磋商保证金从同一单位或者个人账户转出。</w:t>
      </w:r>
      <w:r>
        <w:rPr>
          <w:rFonts w:ascii="宋体" w:hAnsi="宋体" w:cs="宋体"/>
          <w:color w:val="auto"/>
          <w:szCs w:val="21"/>
        </w:rPr>
        <w:tab/>
      </w:r>
    </w:p>
    <w:p w14:paraId="5C882D14">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3E9FF95D">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5D59D678">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072E4CCF">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715D6199">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281D88D0">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5E4EECB1">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0AD5937E">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211D8590">
      <w:pPr>
        <w:spacing w:line="360" w:lineRule="auto"/>
        <w:ind w:firstLine="420" w:firstLineChars="200"/>
        <w:rPr>
          <w:rFonts w:ascii="宋体" w:hAnsi="宋体" w:cs="宋体"/>
          <w:color w:val="auto"/>
          <w:szCs w:val="21"/>
        </w:rPr>
      </w:pPr>
    </w:p>
    <w:p w14:paraId="1426212F">
      <w:pPr>
        <w:spacing w:line="360" w:lineRule="auto"/>
        <w:ind w:left="1" w:firstLine="417" w:firstLineChars="199"/>
        <w:jc w:val="center"/>
        <w:rPr>
          <w:rFonts w:ascii="宋体" w:hAnsi="宋体"/>
          <w:color w:val="auto"/>
        </w:rPr>
      </w:pPr>
      <w:bookmarkStart w:id="59" w:name="_Toc254970534"/>
      <w:bookmarkStart w:id="60" w:name="_Toc254970675"/>
    </w:p>
    <w:p w14:paraId="33A193EE">
      <w:pPr>
        <w:spacing w:line="360" w:lineRule="auto"/>
        <w:jc w:val="center"/>
        <w:rPr>
          <w:rFonts w:ascii="宋体" w:hAnsi="宋体"/>
          <w:b/>
          <w:bCs/>
          <w:color w:val="auto"/>
          <w:sz w:val="32"/>
          <w:szCs w:val="32"/>
        </w:rPr>
      </w:pPr>
      <w:r>
        <w:rPr>
          <w:rFonts w:hint="eastAsia" w:ascii="宋体" w:hAnsi="宋体"/>
          <w:b/>
          <w:bCs/>
          <w:color w:val="auto"/>
          <w:sz w:val="32"/>
          <w:szCs w:val="32"/>
        </w:rPr>
        <w:t>二、磋商文件</w:t>
      </w:r>
      <w:bookmarkEnd w:id="59"/>
      <w:bookmarkEnd w:id="60"/>
    </w:p>
    <w:p w14:paraId="682323AC">
      <w:pPr>
        <w:spacing w:line="360" w:lineRule="auto"/>
        <w:rPr>
          <w:rFonts w:ascii="宋体" w:hAnsi="宋体"/>
          <w:color w:val="auto"/>
          <w:szCs w:val="21"/>
        </w:rPr>
      </w:pPr>
    </w:p>
    <w:p w14:paraId="2186890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14:paraId="3899422D">
      <w:pPr>
        <w:spacing w:line="360" w:lineRule="auto"/>
        <w:ind w:firstLine="420" w:firstLineChars="200"/>
        <w:jc w:val="left"/>
        <w:rPr>
          <w:rFonts w:ascii="宋体" w:hAnsi="宋体"/>
          <w:color w:val="auto"/>
          <w:szCs w:val="21"/>
        </w:rPr>
      </w:pPr>
      <w:r>
        <w:rPr>
          <w:rFonts w:hint="eastAsia" w:ascii="宋体" w:hAnsi="宋体"/>
          <w:color w:val="auto"/>
          <w:szCs w:val="21"/>
        </w:rPr>
        <w:t>第一章  竞争性磋商公告；</w:t>
      </w:r>
    </w:p>
    <w:p w14:paraId="30BC04C4">
      <w:pPr>
        <w:spacing w:line="360" w:lineRule="auto"/>
        <w:ind w:firstLine="420" w:firstLineChars="200"/>
        <w:jc w:val="left"/>
        <w:rPr>
          <w:rFonts w:ascii="宋体" w:hAnsi="宋体"/>
          <w:color w:val="auto"/>
          <w:szCs w:val="21"/>
        </w:rPr>
      </w:pPr>
      <w:r>
        <w:rPr>
          <w:rFonts w:hint="eastAsia" w:ascii="宋体" w:hAnsi="宋体"/>
          <w:color w:val="auto"/>
          <w:szCs w:val="21"/>
        </w:rPr>
        <w:t xml:space="preserve">第二章  供应商须知； </w:t>
      </w:r>
    </w:p>
    <w:p w14:paraId="7F34C319">
      <w:pPr>
        <w:spacing w:line="360" w:lineRule="auto"/>
        <w:ind w:firstLine="420" w:firstLineChars="200"/>
        <w:jc w:val="left"/>
        <w:rPr>
          <w:rFonts w:ascii="宋体" w:hAnsi="宋体"/>
          <w:color w:val="auto"/>
          <w:szCs w:val="21"/>
        </w:rPr>
      </w:pPr>
      <w:r>
        <w:rPr>
          <w:rFonts w:hint="eastAsia" w:ascii="宋体" w:hAnsi="宋体"/>
          <w:color w:val="auto"/>
          <w:szCs w:val="21"/>
        </w:rPr>
        <w:t>第三章  采购需求；</w:t>
      </w:r>
    </w:p>
    <w:p w14:paraId="0FFB5204">
      <w:pPr>
        <w:spacing w:line="360" w:lineRule="auto"/>
        <w:ind w:firstLine="420" w:firstLineChars="200"/>
        <w:jc w:val="left"/>
        <w:rPr>
          <w:rFonts w:ascii="宋体" w:hAnsi="宋体"/>
          <w:color w:val="auto"/>
          <w:szCs w:val="21"/>
        </w:rPr>
      </w:pPr>
      <w:r>
        <w:rPr>
          <w:rFonts w:hint="eastAsia" w:ascii="宋体" w:hAnsi="宋体"/>
          <w:color w:val="auto"/>
          <w:szCs w:val="21"/>
        </w:rPr>
        <w:t>第四章  评审程序、评审方法和评审标准；</w:t>
      </w:r>
    </w:p>
    <w:p w14:paraId="658EBB30">
      <w:pPr>
        <w:spacing w:line="360" w:lineRule="auto"/>
        <w:ind w:firstLine="420" w:firstLineChars="200"/>
        <w:jc w:val="left"/>
        <w:rPr>
          <w:rFonts w:ascii="宋体" w:hAnsi="宋体"/>
          <w:color w:val="auto"/>
          <w:szCs w:val="21"/>
        </w:rPr>
      </w:pPr>
      <w:r>
        <w:rPr>
          <w:rFonts w:hint="eastAsia" w:ascii="宋体" w:hAnsi="宋体"/>
          <w:color w:val="auto"/>
          <w:szCs w:val="21"/>
        </w:rPr>
        <w:t>第五章  工程量清单及图纸；</w:t>
      </w:r>
    </w:p>
    <w:p w14:paraId="7921FE70">
      <w:pPr>
        <w:spacing w:line="360" w:lineRule="auto"/>
        <w:ind w:firstLine="420" w:firstLineChars="200"/>
        <w:jc w:val="left"/>
        <w:rPr>
          <w:rFonts w:ascii="宋体" w:hAnsi="宋体"/>
          <w:color w:val="auto"/>
          <w:szCs w:val="21"/>
        </w:rPr>
      </w:pPr>
      <w:r>
        <w:rPr>
          <w:rFonts w:hint="eastAsia" w:ascii="宋体" w:hAnsi="宋体"/>
          <w:color w:val="auto"/>
          <w:szCs w:val="21"/>
        </w:rPr>
        <w:t>第六章  响应文件格式；</w:t>
      </w:r>
    </w:p>
    <w:p w14:paraId="0C5EA016">
      <w:pPr>
        <w:spacing w:line="360" w:lineRule="auto"/>
        <w:ind w:firstLine="420" w:firstLineChars="200"/>
        <w:jc w:val="left"/>
        <w:rPr>
          <w:rFonts w:ascii="宋体" w:hAnsi="宋体"/>
          <w:color w:val="auto"/>
          <w:szCs w:val="21"/>
        </w:rPr>
      </w:pPr>
      <w:r>
        <w:rPr>
          <w:rFonts w:hint="eastAsia" w:ascii="宋体" w:hAnsi="宋体"/>
          <w:color w:val="auto"/>
          <w:szCs w:val="21"/>
        </w:rPr>
        <w:t>第七章  合同文本。</w:t>
      </w:r>
    </w:p>
    <w:p w14:paraId="48F3894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14:paraId="69CFBC82">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254E118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14:paraId="2E587ADE">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rPr>
        <w:t>采购人或者采购代理机构应当</w:t>
      </w:r>
      <w:r>
        <w:rPr>
          <w:rFonts w:ascii="宋体" w:hAnsi="宋体"/>
          <w:color w:val="auto"/>
          <w:szCs w:val="21"/>
        </w:rPr>
        <w:t>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5BDF0C8C">
      <w:pPr>
        <w:spacing w:line="360" w:lineRule="auto"/>
        <w:rPr>
          <w:rFonts w:ascii="宋体" w:hAnsi="宋体"/>
          <w:color w:val="auto"/>
          <w:szCs w:val="21"/>
        </w:rPr>
      </w:pPr>
    </w:p>
    <w:p w14:paraId="354BC0A4">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39FC7AFC">
      <w:pPr>
        <w:spacing w:line="360" w:lineRule="auto"/>
        <w:rPr>
          <w:rFonts w:ascii="宋体" w:hAnsi="宋体"/>
          <w:color w:val="auto"/>
          <w:szCs w:val="21"/>
        </w:rPr>
      </w:pPr>
    </w:p>
    <w:p w14:paraId="0C87D3D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08488B5E">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17794BD5">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14:paraId="6C47DA0A">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14:paraId="2518F1B3">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12.1.1资格证明文件：详见“供应商须知前附表”</w:t>
      </w:r>
    </w:p>
    <w:p w14:paraId="5CFAEB08">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12.1.2报价文件：详见“供应商须知前附表”</w:t>
      </w:r>
    </w:p>
    <w:p w14:paraId="123638B6">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12.1.3商务技术文件：详见“供应商须知前附表”</w:t>
      </w:r>
    </w:p>
    <w:p w14:paraId="3B527F3F">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14:paraId="15B5AD8E">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249AA4A9">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14:paraId="54DA569F">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42708A7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14:paraId="6827848A">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15.1竞标报价应按磋商文件第五章“工程量清单及图纸”的要求及第六章“响应文件格式”填写相应表格。</w:t>
      </w:r>
    </w:p>
    <w:p w14:paraId="4A9AA8CC">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15.2竞标报价的内容见“供应商须知前附表”。</w:t>
      </w:r>
    </w:p>
    <w:p w14:paraId="5396E21E">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15.3本项目的增值税计税方法见“供应商须知前附表”。</w:t>
      </w:r>
    </w:p>
    <w:p w14:paraId="457AB3A0">
      <w:pPr>
        <w:spacing w:line="360" w:lineRule="auto"/>
        <w:ind w:left="426" w:leftChars="203"/>
        <w:rPr>
          <w:rFonts w:ascii="宋体" w:hAnsi="宋体" w:cs="宋体"/>
          <w:color w:val="auto"/>
          <w:szCs w:val="21"/>
        </w:rPr>
      </w:pPr>
      <w:r>
        <w:rPr>
          <w:rFonts w:hint="eastAsia" w:ascii="宋体" w:hAnsi="宋体" w:cs="宋体"/>
          <w:color w:val="auto"/>
          <w:szCs w:val="21"/>
        </w:rPr>
        <w:t>15.4竞标报价要求</w:t>
      </w:r>
    </w:p>
    <w:p w14:paraId="59F3DA6A">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w:t>
      </w:r>
      <w:r>
        <w:rPr>
          <w:rFonts w:ascii="宋体" w:hAnsi="宋体" w:cs="宋体"/>
          <w:b/>
          <w:bCs/>
          <w:color w:val="auto"/>
          <w:szCs w:val="21"/>
        </w:rPr>
        <w:t>5.</w:t>
      </w:r>
      <w:r>
        <w:rPr>
          <w:rFonts w:hint="eastAsia" w:ascii="宋体" w:hAnsi="宋体" w:cs="宋体"/>
          <w:b/>
          <w:bCs/>
          <w:color w:val="auto"/>
          <w:szCs w:val="21"/>
        </w:rPr>
        <w:t>4</w:t>
      </w:r>
      <w:r>
        <w:rPr>
          <w:rFonts w:ascii="宋体" w:hAnsi="宋体" w:cs="宋体"/>
          <w:b/>
          <w:bCs/>
          <w:color w:val="auto"/>
          <w:szCs w:val="21"/>
        </w:rPr>
        <w:t>.1</w:t>
      </w:r>
      <w:r>
        <w:rPr>
          <w:rFonts w:hint="eastAsia" w:ascii="宋体" w:hAnsi="宋体" w:cs="宋体"/>
          <w:b/>
          <w:bCs/>
          <w:color w:val="auto"/>
          <w:szCs w:val="21"/>
        </w:rPr>
        <w:t>供应商的竞标报价应符合以下要求，否则响应文件按无效处理：</w:t>
      </w:r>
    </w:p>
    <w:p w14:paraId="7D2FD1B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（1）供应商必须就“采购需求”中所竞标的每个分标的全部内容分别作完整唯一总价报价，不得存在漏项报价；</w:t>
      </w:r>
    </w:p>
    <w:p w14:paraId="5C889EEE">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2</w:t>
      </w:r>
      <w:r>
        <w:rPr>
          <w:rFonts w:hint="eastAsia" w:ascii="宋体" w:hAnsi="宋体" w:cs="宋体"/>
          <w:b/>
          <w:bCs/>
          <w:color w:val="auto"/>
          <w:szCs w:val="21"/>
        </w:rPr>
        <w:t>）供应商必须就所竞标的分标的单项内容作唯一报价。</w:t>
      </w:r>
    </w:p>
    <w:p w14:paraId="2E464491">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15.4.</w:t>
      </w:r>
      <w:r>
        <w:rPr>
          <w:rFonts w:ascii="宋体" w:hAnsi="宋体" w:cs="宋体"/>
          <w:b/>
          <w:bCs/>
          <w:color w:val="auto"/>
          <w:szCs w:val="21"/>
        </w:rPr>
        <w:t>2</w:t>
      </w:r>
      <w:r>
        <w:rPr>
          <w:rFonts w:hint="eastAsia" w:ascii="宋体" w:hAnsi="宋体" w:cs="宋体"/>
          <w:b/>
          <w:bCs/>
          <w:color w:val="auto"/>
          <w:szCs w:val="21"/>
        </w:rPr>
        <w:t>竞标报价（包含首次报价、最后报价）超过所竞标分标规定的采购预算金额或者最高限价的，其响应文件将按无效处理。</w:t>
      </w:r>
    </w:p>
    <w:p w14:paraId="0302E6E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15.4.</w:t>
      </w:r>
      <w:r>
        <w:rPr>
          <w:rFonts w:ascii="宋体" w:hAnsi="宋体" w:cs="宋体"/>
          <w:b/>
          <w:bCs/>
          <w:color w:val="auto"/>
          <w:szCs w:val="21"/>
        </w:rPr>
        <w:t>3</w:t>
      </w:r>
      <w:bookmarkStart w:id="61" w:name="_Hlk42592874"/>
      <w:r>
        <w:rPr>
          <w:rFonts w:hint="eastAsia" w:ascii="宋体" w:hAnsi="宋体" w:cs="宋体"/>
          <w:b/>
          <w:bCs/>
          <w:color w:val="auto"/>
          <w:szCs w:val="21"/>
        </w:rPr>
        <w:t>竞标报价（包含首次报价、最后报价）超过分项采购预算金额或者单价最高限价的（如有要求），其响应文件将按无效处理。</w:t>
      </w:r>
    </w:p>
    <w:p w14:paraId="27C23C12">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15.4.4供应商在提交响应文件截止时间前修改竞标函中的竞标总报价，应同时修改响应文件“已标价工程量清单”中的相应报价。此修改须符合本须知正文第20条、第21条的有关要求。</w:t>
      </w:r>
    </w:p>
    <w:bookmarkEnd w:id="61"/>
    <w:p w14:paraId="011CE6D7">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14:paraId="0ED7AC2D">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2784D232">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56BEFA98">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27266B98">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17.磋商保证金</w:t>
      </w:r>
    </w:p>
    <w:p w14:paraId="045DD36B">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14:paraId="3E98E4A2">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14:paraId="5D2962B5">
      <w:pPr>
        <w:spacing w:line="360" w:lineRule="auto"/>
        <w:ind w:firstLine="420" w:firstLineChars="200"/>
        <w:rPr>
          <w:rFonts w:ascii="宋体" w:hAnsi="宋体" w:cs="宋体"/>
          <w:color w:val="auto"/>
          <w:szCs w:val="21"/>
        </w:rPr>
      </w:pPr>
      <w:bookmarkStart w:id="62" w:name="_Hlk66782243"/>
      <w:r>
        <w:rPr>
          <w:rFonts w:hint="eastAsia" w:ascii="宋体" w:hAnsi="宋体" w:cs="宋体"/>
          <w:color w:val="auto"/>
          <w:szCs w:val="21"/>
        </w:rPr>
        <w:t>未成交供应商的磋商保证金自成交通知书发出之日起5个工作日内退还；成交供应商的磋商保证金自签订合同之日起5个工作日内退还。</w:t>
      </w:r>
      <w:bookmarkEnd w:id="62"/>
      <w:r>
        <w:rPr>
          <w:rFonts w:hint="eastAsia" w:ascii="宋体" w:hAnsi="宋体" w:cs="宋体"/>
          <w:color w:val="auto"/>
          <w:szCs w:val="21"/>
        </w:rPr>
        <w:t xml:space="preserve"> </w:t>
      </w:r>
    </w:p>
    <w:p w14:paraId="6CED24D2">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14:paraId="09DDB525">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14:paraId="32A9E05E">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14:paraId="115A0B1F">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14:paraId="3E0B89B6">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14:paraId="39FB9A9C">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14:paraId="4C89F85F">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7D04ACF2">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14:paraId="7295661A">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14:paraId="087CCFDE">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广西政府采购云平台新版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0EC5F699">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14:paraId="703830D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18.3响应文件须由供应商在规定位置签字、盖章（具体以供应商须知前附表或响应文件格式规定为准），否则按无效响应处理。</w:t>
      </w:r>
    </w:p>
    <w:p w14:paraId="12665A07">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18.4响应文件中标注的供应商名称应与主体资格证明（如营业执照或者事业单位法人证书或者执业许可证或者登记证书等）及公章一致</w:t>
      </w:r>
      <w:bookmarkStart w:id="63" w:name="_Hlk170492647"/>
      <w:r>
        <w:rPr>
          <w:rFonts w:hint="eastAsia" w:ascii="宋体" w:hAnsi="宋体" w:cs="宋体"/>
          <w:b/>
          <w:bCs/>
          <w:color w:val="auto"/>
          <w:szCs w:val="21"/>
        </w:rPr>
        <w:t>，</w:t>
      </w:r>
      <w:r>
        <w:rPr>
          <w:rFonts w:hint="eastAsia" w:ascii="宋体" w:hAnsi="宋体"/>
          <w:b/>
          <w:bCs/>
          <w:color w:val="auto"/>
          <w:szCs w:val="21"/>
        </w:rPr>
        <w:t>并与广西政府采购云平台中获取磋商文件的供应商名称一致，</w:t>
      </w:r>
      <w:bookmarkEnd w:id="63"/>
      <w:r>
        <w:rPr>
          <w:rFonts w:hint="eastAsia" w:ascii="宋体" w:hAnsi="宋体" w:cs="宋体"/>
          <w:b/>
          <w:bCs/>
          <w:color w:val="auto"/>
          <w:szCs w:val="21"/>
        </w:rPr>
        <w:t>否则其响应文件按无效处理。</w:t>
      </w:r>
    </w:p>
    <w:p w14:paraId="27C2245F">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FED70AE">
      <w:pPr>
        <w:spacing w:line="360" w:lineRule="auto"/>
        <w:ind w:firstLine="482" w:firstLineChars="200"/>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07335D94">
      <w:pPr>
        <w:spacing w:line="360" w:lineRule="auto"/>
        <w:ind w:firstLine="420" w:firstLineChars="200"/>
        <w:rPr>
          <w:rFonts w:ascii="宋体" w:hAnsi="宋体" w:cs="宋体"/>
          <w:color w:val="auto"/>
          <w:szCs w:val="21"/>
        </w:rPr>
      </w:pPr>
      <w:r>
        <w:rPr>
          <w:rFonts w:hint="eastAsia"/>
          <w:color w:val="auto"/>
        </w:rPr>
        <w:t>电子备份响应文件是指通过“广西政府采购云平台新版客户端”在线编制生成且后缀名为“</w:t>
      </w:r>
      <w:r>
        <w:rPr>
          <w:color w:val="auto"/>
        </w:rPr>
        <w:t>bfbs</w:t>
      </w:r>
      <w:r>
        <w:rPr>
          <w:rFonts w:hint="eastAsia"/>
          <w:color w:val="auto"/>
        </w:rPr>
        <w:t>”的文件，是否接受电子备份响应文件</w:t>
      </w:r>
      <w:r>
        <w:rPr>
          <w:rFonts w:hint="eastAsia" w:hAnsi="宋体"/>
          <w:bCs/>
          <w:color w:val="auto"/>
          <w:szCs w:val="21"/>
        </w:rPr>
        <w:t>详见“供应商须知前附表”。</w:t>
      </w:r>
    </w:p>
    <w:p w14:paraId="4AFC0A2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14:paraId="1DE43011">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12B49EB1">
      <w:pPr>
        <w:spacing w:line="360" w:lineRule="auto"/>
        <w:ind w:firstLine="420" w:firstLineChars="200"/>
        <w:rPr>
          <w:rFonts w:ascii="宋体" w:hAnsi="宋体" w:cs="宋体"/>
          <w:color w:val="auto"/>
          <w:szCs w:val="21"/>
        </w:rPr>
      </w:pPr>
      <w:r>
        <w:rPr>
          <w:rFonts w:hint="eastAsia" w:ascii="宋体" w:hAnsi="宋体"/>
          <w:color w:val="auto"/>
          <w:szCs w:val="21"/>
        </w:rPr>
        <w:t>20.</w:t>
      </w:r>
      <w:r>
        <w:rPr>
          <w:rFonts w:ascii="宋体" w:hAnsi="宋体"/>
          <w:color w:val="auto"/>
          <w:szCs w:val="21"/>
        </w:rPr>
        <w:t>2</w:t>
      </w:r>
      <w:r>
        <w:rPr>
          <w:rFonts w:hint="eastAsia" w:ascii="宋体" w:hAnsi="宋体"/>
          <w:color w:val="auto"/>
          <w:szCs w:val="21"/>
        </w:rPr>
        <w:t>未在规定时间内提交或者未按照磋商文件要求加密的电子响应文件，广西政府采购云平台将拒收。</w:t>
      </w:r>
    </w:p>
    <w:p w14:paraId="6EDED60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138893DD">
      <w:pPr>
        <w:spacing w:line="360" w:lineRule="auto"/>
        <w:ind w:firstLine="420" w:firstLineChars="200"/>
        <w:rPr>
          <w:rFonts w:hAnsi="宋体"/>
          <w:bCs/>
          <w:color w:val="auto"/>
          <w:szCs w:val="21"/>
        </w:rPr>
      </w:pPr>
      <w:bookmarkStart w:id="64" w:name="_Toc254970543"/>
      <w:bookmarkStart w:id="65" w:name="_Toc254970684"/>
      <w:r>
        <w:rPr>
          <w:rFonts w:hAnsi="宋体"/>
          <w:bCs/>
          <w:color w:val="auto"/>
          <w:szCs w:val="21"/>
        </w:rPr>
        <w:t>2</w:t>
      </w:r>
      <w:r>
        <w:rPr>
          <w:rFonts w:hint="eastAsia" w:hAnsi="宋体"/>
          <w:bCs/>
          <w:color w:val="auto"/>
          <w:szCs w:val="21"/>
        </w:rPr>
        <w:t>1.1供应商应当在提交响应文件截止</w:t>
      </w:r>
      <w:r>
        <w:rPr>
          <w:rFonts w:hAnsi="宋体"/>
          <w:bCs/>
          <w:color w:val="auto"/>
          <w:szCs w:val="21"/>
        </w:rPr>
        <w:t>时间</w:t>
      </w:r>
      <w:r>
        <w:rPr>
          <w:rFonts w:hint="eastAsia" w:hAnsi="宋体"/>
          <w:bCs/>
          <w:color w:val="auto"/>
          <w:szCs w:val="21"/>
        </w:rPr>
        <w:t>前完成电子响应文件的提交（上传），提交响应文件截止</w:t>
      </w:r>
      <w:r>
        <w:rPr>
          <w:rFonts w:hAnsi="宋体"/>
          <w:bCs/>
          <w:color w:val="auto"/>
          <w:szCs w:val="21"/>
        </w:rPr>
        <w:t>时间</w:t>
      </w:r>
      <w:r>
        <w:rPr>
          <w:rFonts w:hint="eastAsia" w:hAnsi="宋体"/>
          <w:bCs/>
          <w:color w:val="auto"/>
          <w:szCs w:val="21"/>
        </w:rPr>
        <w:t>前可以补充、修改或者撤回响应文件。补充或者修改响应文件的，应当先行撤回原响应文件，补充、修改后重新提交（上传），提交响应文件截止</w:t>
      </w:r>
      <w:r>
        <w:rPr>
          <w:rFonts w:hAnsi="宋体"/>
          <w:bCs/>
          <w:color w:val="auto"/>
          <w:szCs w:val="21"/>
        </w:rPr>
        <w:t>时间</w:t>
      </w:r>
      <w:r>
        <w:rPr>
          <w:rFonts w:hint="eastAsia" w:hAnsi="宋体"/>
          <w:bCs/>
          <w:color w:val="auto"/>
          <w:szCs w:val="21"/>
        </w:rPr>
        <w:t>前未完成提交（上传）的，视为撤回响应文件。提交响应文件截止</w:t>
      </w:r>
      <w:r>
        <w:rPr>
          <w:rFonts w:hAnsi="宋体"/>
          <w:bCs/>
          <w:color w:val="auto"/>
          <w:szCs w:val="21"/>
        </w:rPr>
        <w:t>时间</w:t>
      </w:r>
      <w:r>
        <w:rPr>
          <w:rFonts w:hint="eastAsia" w:hAnsi="宋体"/>
          <w:bCs/>
          <w:color w:val="auto"/>
          <w:szCs w:val="21"/>
        </w:rPr>
        <w:t>以后提交（上传）的响应文件，广西政府采购云平台将予以拒收。（注：补充、修改或者撤回方式可登录广西政府采购云平台，进入“服务中心”中查看 “电子投标文件制作与投送教程”）</w:t>
      </w:r>
    </w:p>
    <w:bookmarkEnd w:id="64"/>
    <w:bookmarkEnd w:id="65"/>
    <w:p w14:paraId="38B68820">
      <w:pPr>
        <w:pStyle w:val="103"/>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14:paraId="133A71CC">
      <w:pPr>
        <w:spacing w:line="360" w:lineRule="auto"/>
        <w:ind w:firstLine="482" w:firstLineChars="200"/>
        <w:rPr>
          <w:rFonts w:ascii="黑体" w:hAnsi="黑体" w:eastAsia="黑体" w:cs="宋体"/>
          <w:b/>
          <w:bCs/>
          <w:color w:val="auto"/>
          <w:sz w:val="24"/>
        </w:rPr>
      </w:pPr>
      <w:bookmarkStart w:id="66" w:name="_Hlk45702405"/>
      <w:r>
        <w:rPr>
          <w:rFonts w:hint="eastAsia" w:ascii="黑体" w:hAnsi="黑体" w:eastAsia="黑体" w:cs="宋体"/>
          <w:b/>
          <w:bCs/>
          <w:color w:val="auto"/>
          <w:sz w:val="24"/>
        </w:rPr>
        <w:t>22.响应文件的退回</w:t>
      </w:r>
    </w:p>
    <w:p w14:paraId="5E757D69">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14:paraId="103DB113">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14:paraId="4A007363">
      <w:pPr>
        <w:spacing w:line="360" w:lineRule="auto"/>
        <w:ind w:firstLine="420" w:firstLineChars="200"/>
        <w:rPr>
          <w:rFonts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供应商在响应文件提交截止时间后向采购人、采购代理机构书面申请撤回响应文件的，将根据本须知正文第17.4条的规定不予退还其磋商保证金。</w:t>
      </w:r>
    </w:p>
    <w:bookmarkEnd w:id="66"/>
    <w:p w14:paraId="5E9F024D">
      <w:pPr>
        <w:spacing w:line="360" w:lineRule="auto"/>
        <w:rPr>
          <w:rFonts w:ascii="宋体" w:hAnsi="宋体"/>
          <w:color w:val="auto"/>
          <w:szCs w:val="21"/>
        </w:rPr>
      </w:pPr>
    </w:p>
    <w:p w14:paraId="2E9BDDC5">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271AC51A">
      <w:pPr>
        <w:spacing w:line="360" w:lineRule="auto"/>
        <w:ind w:left="420" w:firstLine="420"/>
        <w:rPr>
          <w:rFonts w:ascii="宋体" w:hAnsi="宋体"/>
          <w:color w:val="auto"/>
          <w:szCs w:val="21"/>
        </w:rPr>
      </w:pPr>
    </w:p>
    <w:p w14:paraId="28E27D5E">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14:paraId="42335CED">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w:t>
      </w:r>
      <w:r>
        <w:rPr>
          <w:rFonts w:hint="eastAsia"/>
          <w:color w:val="auto"/>
        </w:rPr>
        <w:t>及</w:t>
      </w:r>
      <w:r>
        <w:rPr>
          <w:rFonts w:hint="eastAsia" w:ascii="宋体" w:hAnsi="宋体" w:cs="宋体"/>
          <w:color w:val="auto"/>
          <w:szCs w:val="21"/>
        </w:rPr>
        <w:t>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38F322ED">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7153C48">
      <w:pPr>
        <w:spacing w:line="360" w:lineRule="auto"/>
        <w:ind w:firstLine="420" w:firstLineChars="200"/>
        <w:rPr>
          <w:rFonts w:hAnsi="宋体"/>
          <w:bCs/>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10FA2886">
      <w:pPr>
        <w:spacing w:line="360" w:lineRule="auto"/>
        <w:ind w:firstLine="420" w:firstLineChars="200"/>
        <w:rPr>
          <w:rFonts w:hAnsi="宋体"/>
          <w:bCs/>
          <w:color w:val="auto"/>
          <w:szCs w:val="21"/>
        </w:rPr>
      </w:pPr>
      <w:r>
        <w:rPr>
          <w:rFonts w:hint="eastAsia" w:hAnsi="宋体"/>
          <w:bCs/>
          <w:color w:val="auto"/>
          <w:szCs w:val="21"/>
        </w:rPr>
        <w:t>24.4参加过采购项目前期咨询论证的专家，不得参加该采购项目的评审活动。</w:t>
      </w:r>
    </w:p>
    <w:p w14:paraId="7CDB44D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74A0EFD0">
      <w:pPr>
        <w:spacing w:line="360" w:lineRule="auto"/>
        <w:ind w:firstLine="420" w:firstLineChars="200"/>
        <w:rPr>
          <w:rFonts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的响应文件按无效处理</w:t>
      </w:r>
      <w:r>
        <w:rPr>
          <w:b/>
          <w:color w:val="auto"/>
        </w:rPr>
        <w:t>。</w:t>
      </w:r>
    </w:p>
    <w:p w14:paraId="5BD4778A">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14:paraId="18B8D221">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433F5D98">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r>
        <w:rPr>
          <w:rFonts w:hint="eastAsia" w:ascii="宋体" w:hAnsi="宋体" w:cs="宋体"/>
          <w:color w:val="auto"/>
          <w:szCs w:val="21"/>
        </w:rPr>
        <w:t>并推荐成交候选供应商</w:t>
      </w:r>
      <w:r>
        <w:rPr>
          <w:rFonts w:ascii="宋体" w:hAnsi="宋体" w:cs="宋体"/>
          <w:color w:val="auto"/>
          <w:szCs w:val="21"/>
        </w:rPr>
        <w:t>。</w:t>
      </w:r>
    </w:p>
    <w:p w14:paraId="77A92F30">
      <w:pPr>
        <w:spacing w:line="360" w:lineRule="auto"/>
        <w:ind w:firstLine="420" w:firstLineChars="200"/>
        <w:rPr>
          <w:rFonts w:ascii="宋体" w:hAnsi="宋体"/>
          <w:color w:val="auto"/>
          <w:szCs w:val="21"/>
        </w:rPr>
      </w:pPr>
      <w:r>
        <w:rPr>
          <w:rFonts w:hint="eastAsia" w:ascii="宋体" w:hAnsi="宋体" w:cs="宋体"/>
          <w:color w:val="auto"/>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0EABAFC">
      <w:pPr>
        <w:spacing w:line="360" w:lineRule="auto"/>
        <w:ind w:firstLine="420" w:firstLineChars="200"/>
        <w:rPr>
          <w:rFonts w:hAnsi="宋体"/>
          <w:color w:val="auto"/>
        </w:rPr>
      </w:pPr>
      <w:r>
        <w:rPr>
          <w:rFonts w:hint="eastAsia" w:ascii="宋体" w:hAnsi="宋体" w:cs="宋体"/>
          <w:color w:val="auto"/>
        </w:rPr>
        <w:t>2</w:t>
      </w:r>
      <w:r>
        <w:rPr>
          <w:rFonts w:ascii="宋体" w:hAnsi="宋体" w:cs="宋体"/>
          <w:color w:val="auto"/>
        </w:rPr>
        <w:t>6.</w:t>
      </w:r>
      <w:r>
        <w:rPr>
          <w:rFonts w:hint="eastAsia" w:ascii="宋体" w:hAnsi="宋体" w:cs="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2DE14A1A">
      <w:pPr>
        <w:spacing w:line="360" w:lineRule="auto"/>
        <w:ind w:firstLine="420" w:firstLineChars="200"/>
        <w:rPr>
          <w:rFonts w:hAnsi="宋体"/>
          <w:color w:val="auto"/>
        </w:rPr>
      </w:pPr>
      <w:r>
        <w:rPr>
          <w:rFonts w:hint="eastAsia" w:hAnsi="宋体"/>
          <w:color w:val="auto"/>
        </w:rPr>
        <w:t xml:space="preserve">（1）电子交易平台发生故障而无法登录访问的； </w:t>
      </w:r>
    </w:p>
    <w:p w14:paraId="2F9BA43A">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14:paraId="50AEEA84">
      <w:pPr>
        <w:spacing w:line="360" w:lineRule="auto"/>
        <w:ind w:firstLine="420" w:firstLineChars="200"/>
        <w:rPr>
          <w:rFonts w:hAnsi="宋体"/>
          <w:color w:val="auto"/>
        </w:rPr>
      </w:pPr>
      <w:r>
        <w:rPr>
          <w:rFonts w:hint="eastAsia" w:hAnsi="宋体"/>
          <w:color w:val="auto"/>
        </w:rPr>
        <w:t>（3）电子交易平台发现严重安全漏洞，有潜在泄密危险的；</w:t>
      </w:r>
    </w:p>
    <w:p w14:paraId="3218336E">
      <w:pPr>
        <w:spacing w:line="360" w:lineRule="auto"/>
        <w:ind w:firstLine="420" w:firstLineChars="200"/>
        <w:rPr>
          <w:rFonts w:hAnsi="宋体"/>
          <w:color w:val="auto"/>
        </w:rPr>
      </w:pPr>
      <w:r>
        <w:rPr>
          <w:rFonts w:hint="eastAsia" w:hAnsi="宋体"/>
          <w:color w:val="auto"/>
        </w:rPr>
        <w:t xml:space="preserve">（4）病毒发作导致不能进行正常操作的； </w:t>
      </w:r>
    </w:p>
    <w:p w14:paraId="1CCFD38E">
      <w:pPr>
        <w:spacing w:line="360" w:lineRule="auto"/>
        <w:ind w:firstLine="420" w:firstLineChars="200"/>
        <w:rPr>
          <w:rFonts w:hAnsi="宋体"/>
          <w:color w:val="auto"/>
        </w:rPr>
      </w:pPr>
      <w:r>
        <w:rPr>
          <w:rFonts w:hint="eastAsia" w:hAnsi="宋体"/>
          <w:color w:val="auto"/>
        </w:rPr>
        <w:t>（5）其他无法保证电子交易的公平、公正和安全的情况。</w:t>
      </w:r>
    </w:p>
    <w:p w14:paraId="088131D2">
      <w:pPr>
        <w:spacing w:line="360" w:lineRule="auto"/>
        <w:ind w:firstLine="420" w:firstLineChars="200"/>
        <w:rPr>
          <w:rFonts w:ascii="宋体" w:hAnsi="宋体" w:cs="宋体"/>
          <w:color w:val="auto"/>
          <w:szCs w:val="21"/>
        </w:rPr>
      </w:pPr>
      <w:r>
        <w:rPr>
          <w:rFonts w:hint="eastAsia" w:ascii="宋体" w:hAnsi="宋体"/>
          <w:color w:val="auto"/>
        </w:rPr>
        <w:t>26.5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3141F8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6AFB5402">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97AC8E7">
      <w:pPr>
        <w:spacing w:line="360" w:lineRule="auto"/>
        <w:ind w:firstLine="420" w:firstLineChars="200"/>
        <w:rPr>
          <w:rFonts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7"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67"/>
    </w:p>
    <w:p w14:paraId="3B6E138C">
      <w:pPr>
        <w:spacing w:line="360" w:lineRule="auto"/>
        <w:ind w:firstLine="420" w:firstLineChars="200"/>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14:paraId="33E32C89">
      <w:pPr>
        <w:spacing w:line="360" w:lineRule="auto"/>
        <w:ind w:firstLine="420" w:firstLineChars="200"/>
        <w:rPr>
          <w:rFonts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14:paraId="37916B92">
      <w:pPr>
        <w:spacing w:line="360" w:lineRule="auto"/>
        <w:ind w:firstLine="420" w:firstLineChars="200"/>
        <w:rPr>
          <w:rFonts w:ascii="宋体" w:hAnsi="宋体" w:cs="Courier New"/>
          <w:color w:val="auto"/>
          <w:szCs w:val="21"/>
        </w:rPr>
      </w:pPr>
      <w:r>
        <w:rPr>
          <w:rFonts w:hint="eastAsia" w:ascii="宋体" w:hAnsi="宋体" w:cs="Courier New"/>
          <w:color w:val="auto"/>
          <w:szCs w:val="21"/>
        </w:rPr>
        <w:t>（2）出现影响采购公正的违法、违规行为的；</w:t>
      </w:r>
    </w:p>
    <w:p w14:paraId="5CE24AD3">
      <w:pPr>
        <w:spacing w:line="360" w:lineRule="auto"/>
        <w:ind w:firstLine="420" w:firstLineChars="200"/>
        <w:rPr>
          <w:rFonts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14:paraId="7001E08A">
      <w:pPr>
        <w:spacing w:line="360" w:lineRule="auto"/>
        <w:ind w:firstLine="420" w:firstLineChars="200"/>
        <w:rPr>
          <w:rFonts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14:paraId="21A33F4F">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473D6FB0">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14:paraId="24A28315">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.2在履约保证金退还日期前，若成交供应商的开户名称、开户银行、账号有变动的，请以书面形式通知履约保证金收取单位，否则由此产生的后果由成交供应商自行承担。</w:t>
      </w:r>
    </w:p>
    <w:p w14:paraId="26BCFC4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7D917963">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558A05E4">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600DA846">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14:paraId="04DF0E60">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2C80A0BA">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28182EE">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14:paraId="5D85E54E">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7DC202E1">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ADFBD4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791C63FF">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C6A7FA7">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4E3940CD">
      <w:pPr>
        <w:pStyle w:val="8"/>
        <w:spacing w:line="360" w:lineRule="auto"/>
        <w:rPr>
          <w:rFonts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14:paraId="66FCE0D2">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7BA660D2">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（1）对可以质疑的磋商文件提出质疑的，为获取磋商文件之日或者</w:t>
      </w:r>
      <w:r>
        <w:rPr>
          <w:rFonts w:hint="eastAsia" w:ascii="宋体" w:hAnsi="宋体"/>
          <w:color w:val="auto"/>
        </w:rPr>
        <w:t>竞争性磋商公告期限届满之日</w:t>
      </w:r>
      <w:r>
        <w:rPr>
          <w:rFonts w:hint="eastAsia" w:ascii="宋体" w:hAnsi="宋体" w:cs="宋体"/>
          <w:color w:val="auto"/>
        </w:rPr>
        <w:t>；</w:t>
      </w:r>
    </w:p>
    <w:p w14:paraId="1103A269">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4D328A63">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4D593CF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B030051">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9D3D781">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304CE249">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47DF7EE1">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724ADD42">
      <w:pPr>
        <w:spacing w:line="360" w:lineRule="auto"/>
        <w:ind w:firstLine="420" w:firstLineChars="200"/>
        <w:rPr>
          <w:rFonts w:ascii="宋体" w:hAnsi="宋体" w:cs="宋体"/>
          <w:color w:val="auto"/>
        </w:rPr>
      </w:pPr>
      <w:r>
        <w:rPr>
          <w:rFonts w:hint="eastAsia" w:ascii="宋体" w:hAnsi="宋体" w:cs="宋体"/>
          <w:color w:val="auto"/>
        </w:rPr>
        <w:t>（4）事实依据；</w:t>
      </w:r>
    </w:p>
    <w:p w14:paraId="2F8F3ADD">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4FB09E6A">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48F399B4">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3236E120">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48768793">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3A9C242F">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5E7FC21F">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28EB3562">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15CA79D">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14:paraId="42C92F0A">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.1代理服务费收取标准及缴费账户详见“供应商须知前附表”，供应商为联合体的，可以由联合体中的一方或者多方共同交纳代理服务费。</w:t>
      </w:r>
    </w:p>
    <w:p w14:paraId="3D1764B8">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4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77"/>
        <w:gridCol w:w="10"/>
        <w:gridCol w:w="1659"/>
      </w:tblGrid>
      <w:tr w14:paraId="1A58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3472" w:type="dxa"/>
            <w:vMerge w:val="restart"/>
            <w:tcBorders>
              <w:tl2br w:val="single" w:color="auto" w:sz="4" w:space="0"/>
            </w:tcBorders>
          </w:tcPr>
          <w:p w14:paraId="45172012">
            <w:pPr>
              <w:spacing w:line="360" w:lineRule="auto"/>
              <w:rPr>
                <w:rFonts w:ascii="宋体" w:hAnsi="宋体"/>
                <w:color w:val="auto"/>
                <w:szCs w:val="21"/>
              </w:rPr>
            </w:pPr>
            <w:r>
              <w:rPr>
                <w:rFonts w:hint="eastAsia" w:ascii="宋体" w:hAnsi="宋体"/>
                <w:color w:val="auto"/>
                <w:szCs w:val="21"/>
              </w:rPr>
              <w:t xml:space="preserve">                          </w:t>
            </w:r>
          </w:p>
          <w:p w14:paraId="2A13ADE3">
            <w:pPr>
              <w:spacing w:line="360" w:lineRule="auto"/>
              <w:ind w:firstLine="2730" w:firstLineChars="1300"/>
              <w:rPr>
                <w:rFonts w:ascii="宋体" w:hAnsi="宋体"/>
                <w:color w:val="auto"/>
                <w:szCs w:val="21"/>
              </w:rPr>
            </w:pPr>
            <w:r>
              <w:rPr>
                <w:rFonts w:hint="eastAsia" w:ascii="宋体" w:hAnsi="宋体"/>
                <w:color w:val="auto"/>
                <w:szCs w:val="21"/>
              </w:rPr>
              <w:t>费率</w:t>
            </w:r>
          </w:p>
          <w:p w14:paraId="44CF6009">
            <w:pPr>
              <w:spacing w:line="360" w:lineRule="auto"/>
              <w:ind w:firstLine="210" w:firstLineChars="100"/>
              <w:rPr>
                <w:rFonts w:ascii="宋体" w:hAnsi="宋体"/>
                <w:color w:val="auto"/>
                <w:szCs w:val="21"/>
              </w:rPr>
            </w:pPr>
            <w:r>
              <w:rPr>
                <w:rFonts w:hint="eastAsia" w:ascii="宋体" w:hAnsi="宋体"/>
                <w:color w:val="auto"/>
                <w:szCs w:val="21"/>
              </w:rPr>
              <w:t>预算金额</w:t>
            </w:r>
          </w:p>
        </w:tc>
        <w:tc>
          <w:tcPr>
            <w:tcW w:w="5005" w:type="dxa"/>
            <w:gridSpan w:val="4"/>
            <w:vAlign w:val="center"/>
          </w:tcPr>
          <w:p w14:paraId="432D5369">
            <w:pPr>
              <w:spacing w:line="360" w:lineRule="auto"/>
              <w:jc w:val="center"/>
              <w:rPr>
                <w:rFonts w:ascii="宋体" w:hAnsi="宋体"/>
                <w:color w:val="auto"/>
                <w:szCs w:val="21"/>
              </w:rPr>
            </w:pPr>
            <w:r>
              <w:rPr>
                <w:rFonts w:hint="eastAsia" w:ascii="宋体" w:hAnsi="宋体"/>
                <w:color w:val="auto"/>
                <w:szCs w:val="21"/>
              </w:rPr>
              <w:t>服务类型费用（‰）</w:t>
            </w:r>
          </w:p>
        </w:tc>
      </w:tr>
      <w:tr w14:paraId="42EF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472" w:type="dxa"/>
            <w:vMerge w:val="continue"/>
            <w:tcBorders>
              <w:tl2br w:val="single" w:color="auto" w:sz="4" w:space="0"/>
            </w:tcBorders>
          </w:tcPr>
          <w:p w14:paraId="3C4C3CB7">
            <w:pPr>
              <w:spacing w:line="360" w:lineRule="auto"/>
              <w:jc w:val="center"/>
              <w:rPr>
                <w:color w:val="auto"/>
                <w:szCs w:val="21"/>
              </w:rPr>
            </w:pPr>
          </w:p>
        </w:tc>
        <w:tc>
          <w:tcPr>
            <w:tcW w:w="1659" w:type="dxa"/>
            <w:vAlign w:val="center"/>
          </w:tcPr>
          <w:p w14:paraId="0D8F75E0">
            <w:pPr>
              <w:spacing w:line="360" w:lineRule="auto"/>
              <w:jc w:val="center"/>
              <w:rPr>
                <w:rFonts w:ascii="宋体" w:hAnsi="宋体"/>
                <w:color w:val="auto"/>
                <w:szCs w:val="21"/>
              </w:rPr>
            </w:pPr>
            <w:r>
              <w:rPr>
                <w:rFonts w:hint="eastAsia" w:ascii="宋体" w:hAnsi="宋体"/>
                <w:color w:val="auto"/>
                <w:szCs w:val="21"/>
              </w:rPr>
              <w:t>工程类</w:t>
            </w:r>
          </w:p>
        </w:tc>
        <w:tc>
          <w:tcPr>
            <w:tcW w:w="1677" w:type="dxa"/>
            <w:vAlign w:val="center"/>
          </w:tcPr>
          <w:p w14:paraId="2BC4C3BD">
            <w:pPr>
              <w:spacing w:line="360" w:lineRule="auto"/>
              <w:jc w:val="center"/>
              <w:rPr>
                <w:rFonts w:ascii="宋体" w:hAnsi="宋体"/>
                <w:color w:val="auto"/>
                <w:szCs w:val="21"/>
              </w:rPr>
            </w:pPr>
            <w:r>
              <w:rPr>
                <w:rFonts w:hint="eastAsia" w:ascii="宋体" w:hAnsi="宋体"/>
                <w:color w:val="auto"/>
                <w:szCs w:val="21"/>
              </w:rPr>
              <w:t>货物类</w:t>
            </w:r>
          </w:p>
        </w:tc>
        <w:tc>
          <w:tcPr>
            <w:tcW w:w="1669" w:type="dxa"/>
            <w:gridSpan w:val="2"/>
            <w:vAlign w:val="center"/>
          </w:tcPr>
          <w:p w14:paraId="3C4FE379">
            <w:pPr>
              <w:spacing w:line="360" w:lineRule="auto"/>
              <w:jc w:val="center"/>
              <w:rPr>
                <w:rFonts w:ascii="宋体" w:hAnsi="宋体"/>
                <w:color w:val="auto"/>
                <w:szCs w:val="21"/>
              </w:rPr>
            </w:pPr>
            <w:r>
              <w:rPr>
                <w:rFonts w:hint="eastAsia" w:ascii="宋体" w:hAnsi="宋体"/>
                <w:color w:val="auto"/>
                <w:szCs w:val="21"/>
              </w:rPr>
              <w:t>服务类</w:t>
            </w:r>
          </w:p>
        </w:tc>
      </w:tr>
      <w:tr w14:paraId="3727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85C2A34">
            <w:pPr>
              <w:spacing w:line="360" w:lineRule="auto"/>
              <w:rPr>
                <w:rFonts w:ascii="宋体" w:hAnsi="宋体"/>
                <w:color w:val="auto"/>
                <w:szCs w:val="21"/>
              </w:rPr>
            </w:pPr>
            <w:r>
              <w:rPr>
                <w:rFonts w:hint="eastAsia" w:ascii="宋体" w:hAnsi="宋体"/>
                <w:color w:val="auto"/>
                <w:szCs w:val="21"/>
              </w:rPr>
              <w:t>100万元以下</w:t>
            </w:r>
          </w:p>
        </w:tc>
        <w:tc>
          <w:tcPr>
            <w:tcW w:w="1659" w:type="dxa"/>
          </w:tcPr>
          <w:p w14:paraId="1823F320">
            <w:pPr>
              <w:spacing w:line="360" w:lineRule="auto"/>
              <w:ind w:firstLine="210" w:firstLineChars="100"/>
              <w:jc w:val="center"/>
              <w:rPr>
                <w:rFonts w:ascii="宋体" w:hAnsi="宋体"/>
                <w:color w:val="auto"/>
                <w:szCs w:val="21"/>
              </w:rPr>
            </w:pPr>
            <w:r>
              <w:rPr>
                <w:rFonts w:hint="eastAsia" w:ascii="宋体" w:hAnsi="宋体"/>
                <w:color w:val="auto"/>
                <w:szCs w:val="21"/>
              </w:rPr>
              <w:t>6.300</w:t>
            </w:r>
          </w:p>
        </w:tc>
        <w:tc>
          <w:tcPr>
            <w:tcW w:w="1687" w:type="dxa"/>
            <w:gridSpan w:val="2"/>
          </w:tcPr>
          <w:p w14:paraId="232907D1">
            <w:pPr>
              <w:spacing w:line="360" w:lineRule="auto"/>
              <w:ind w:firstLine="210" w:firstLineChars="100"/>
              <w:jc w:val="center"/>
              <w:rPr>
                <w:rFonts w:ascii="宋体" w:hAnsi="宋体"/>
                <w:color w:val="auto"/>
                <w:szCs w:val="21"/>
              </w:rPr>
            </w:pPr>
            <w:r>
              <w:rPr>
                <w:rFonts w:hint="eastAsia" w:ascii="宋体" w:hAnsi="宋体"/>
                <w:color w:val="auto"/>
                <w:szCs w:val="21"/>
              </w:rPr>
              <w:t>9.450</w:t>
            </w:r>
          </w:p>
        </w:tc>
        <w:tc>
          <w:tcPr>
            <w:tcW w:w="1659" w:type="dxa"/>
          </w:tcPr>
          <w:p w14:paraId="08AB6107">
            <w:pPr>
              <w:spacing w:line="360" w:lineRule="auto"/>
              <w:ind w:firstLine="210" w:firstLineChars="100"/>
              <w:jc w:val="center"/>
              <w:rPr>
                <w:rFonts w:ascii="宋体" w:hAnsi="宋体"/>
                <w:color w:val="auto"/>
                <w:szCs w:val="21"/>
              </w:rPr>
            </w:pPr>
            <w:r>
              <w:rPr>
                <w:rFonts w:hint="eastAsia" w:ascii="宋体" w:hAnsi="宋体"/>
                <w:color w:val="auto"/>
                <w:szCs w:val="21"/>
              </w:rPr>
              <w:t>9.450</w:t>
            </w:r>
          </w:p>
        </w:tc>
      </w:tr>
      <w:tr w14:paraId="6B18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880FF6D">
            <w:pPr>
              <w:spacing w:line="360" w:lineRule="auto"/>
              <w:rPr>
                <w:rFonts w:ascii="宋体" w:hAnsi="宋体"/>
                <w:color w:val="auto"/>
                <w:szCs w:val="21"/>
              </w:rPr>
            </w:pPr>
            <w:r>
              <w:rPr>
                <w:rFonts w:hint="eastAsia" w:ascii="宋体" w:hAnsi="宋体"/>
                <w:color w:val="auto"/>
                <w:szCs w:val="21"/>
              </w:rPr>
              <w:t>100～500万元</w:t>
            </w:r>
          </w:p>
        </w:tc>
        <w:tc>
          <w:tcPr>
            <w:tcW w:w="1659" w:type="dxa"/>
          </w:tcPr>
          <w:p w14:paraId="2FC905DC">
            <w:pPr>
              <w:spacing w:line="360" w:lineRule="auto"/>
              <w:ind w:firstLine="210" w:firstLineChars="100"/>
              <w:jc w:val="center"/>
              <w:rPr>
                <w:rFonts w:ascii="宋体" w:hAnsi="宋体"/>
                <w:color w:val="auto"/>
                <w:szCs w:val="21"/>
              </w:rPr>
            </w:pPr>
            <w:r>
              <w:rPr>
                <w:rFonts w:hint="eastAsia" w:ascii="宋体" w:hAnsi="宋体"/>
                <w:color w:val="auto"/>
                <w:szCs w:val="21"/>
              </w:rPr>
              <w:t>4.410</w:t>
            </w:r>
          </w:p>
        </w:tc>
        <w:tc>
          <w:tcPr>
            <w:tcW w:w="1687" w:type="dxa"/>
            <w:gridSpan w:val="2"/>
          </w:tcPr>
          <w:p w14:paraId="270010EC">
            <w:pPr>
              <w:spacing w:line="360" w:lineRule="auto"/>
              <w:ind w:firstLine="210" w:firstLineChars="100"/>
              <w:jc w:val="center"/>
              <w:rPr>
                <w:rFonts w:ascii="宋体" w:hAnsi="宋体"/>
                <w:color w:val="auto"/>
                <w:szCs w:val="21"/>
              </w:rPr>
            </w:pPr>
            <w:r>
              <w:rPr>
                <w:rFonts w:hint="eastAsia" w:ascii="宋体" w:hAnsi="宋体"/>
                <w:color w:val="auto"/>
                <w:szCs w:val="21"/>
              </w:rPr>
              <w:t>6.930</w:t>
            </w:r>
          </w:p>
        </w:tc>
        <w:tc>
          <w:tcPr>
            <w:tcW w:w="1659" w:type="dxa"/>
          </w:tcPr>
          <w:p w14:paraId="33ABA323">
            <w:pPr>
              <w:spacing w:line="360" w:lineRule="auto"/>
              <w:ind w:firstLine="210" w:firstLineChars="100"/>
              <w:jc w:val="center"/>
              <w:rPr>
                <w:rFonts w:ascii="宋体" w:hAnsi="宋体"/>
                <w:color w:val="auto"/>
                <w:szCs w:val="21"/>
              </w:rPr>
            </w:pPr>
            <w:r>
              <w:rPr>
                <w:rFonts w:hint="eastAsia" w:ascii="宋体" w:hAnsi="宋体"/>
                <w:color w:val="auto"/>
                <w:szCs w:val="21"/>
              </w:rPr>
              <w:t>5.040</w:t>
            </w:r>
          </w:p>
        </w:tc>
      </w:tr>
      <w:tr w14:paraId="0BA9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FC34008">
            <w:pPr>
              <w:spacing w:line="360" w:lineRule="auto"/>
              <w:rPr>
                <w:rFonts w:ascii="宋体" w:hAnsi="宋体"/>
                <w:color w:val="auto"/>
                <w:szCs w:val="21"/>
              </w:rPr>
            </w:pPr>
            <w:r>
              <w:rPr>
                <w:rFonts w:hint="eastAsia" w:ascii="宋体" w:hAnsi="宋体"/>
                <w:color w:val="auto"/>
                <w:szCs w:val="21"/>
              </w:rPr>
              <w:t>500～1000万元</w:t>
            </w:r>
          </w:p>
        </w:tc>
        <w:tc>
          <w:tcPr>
            <w:tcW w:w="1659" w:type="dxa"/>
          </w:tcPr>
          <w:p w14:paraId="57A3DED0">
            <w:pPr>
              <w:spacing w:line="360" w:lineRule="auto"/>
              <w:ind w:firstLine="210" w:firstLineChars="100"/>
              <w:jc w:val="center"/>
              <w:rPr>
                <w:rFonts w:ascii="宋体" w:hAnsi="宋体"/>
                <w:color w:val="auto"/>
                <w:szCs w:val="21"/>
              </w:rPr>
            </w:pPr>
            <w:r>
              <w:rPr>
                <w:rFonts w:hint="eastAsia" w:ascii="宋体" w:hAnsi="宋体"/>
                <w:color w:val="auto"/>
                <w:szCs w:val="21"/>
              </w:rPr>
              <w:t>3.465</w:t>
            </w:r>
          </w:p>
        </w:tc>
        <w:tc>
          <w:tcPr>
            <w:tcW w:w="1687" w:type="dxa"/>
            <w:gridSpan w:val="2"/>
          </w:tcPr>
          <w:p w14:paraId="6B69F4E6">
            <w:pPr>
              <w:spacing w:line="360" w:lineRule="auto"/>
              <w:ind w:firstLine="210" w:firstLineChars="100"/>
              <w:jc w:val="center"/>
              <w:rPr>
                <w:rFonts w:ascii="宋体" w:hAnsi="宋体"/>
                <w:color w:val="auto"/>
                <w:szCs w:val="21"/>
              </w:rPr>
            </w:pPr>
            <w:r>
              <w:rPr>
                <w:rFonts w:hint="eastAsia" w:ascii="宋体" w:hAnsi="宋体"/>
                <w:color w:val="auto"/>
                <w:szCs w:val="21"/>
              </w:rPr>
              <w:t>5.040</w:t>
            </w:r>
          </w:p>
        </w:tc>
        <w:tc>
          <w:tcPr>
            <w:tcW w:w="1659" w:type="dxa"/>
          </w:tcPr>
          <w:p w14:paraId="5633E8B2">
            <w:pPr>
              <w:spacing w:line="360" w:lineRule="auto"/>
              <w:ind w:firstLine="210" w:firstLineChars="100"/>
              <w:jc w:val="center"/>
              <w:rPr>
                <w:rFonts w:ascii="宋体" w:hAnsi="宋体"/>
                <w:color w:val="auto"/>
                <w:szCs w:val="21"/>
              </w:rPr>
            </w:pPr>
            <w:r>
              <w:rPr>
                <w:rFonts w:hint="eastAsia" w:ascii="宋体" w:hAnsi="宋体"/>
                <w:color w:val="auto"/>
                <w:szCs w:val="21"/>
              </w:rPr>
              <w:t>2.835</w:t>
            </w:r>
          </w:p>
        </w:tc>
      </w:tr>
      <w:tr w14:paraId="430E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090F0C">
            <w:pPr>
              <w:spacing w:line="360" w:lineRule="auto"/>
              <w:rPr>
                <w:rFonts w:ascii="宋体" w:hAnsi="宋体"/>
                <w:color w:val="auto"/>
                <w:szCs w:val="21"/>
              </w:rPr>
            </w:pPr>
            <w:r>
              <w:rPr>
                <w:rFonts w:hint="eastAsia" w:ascii="宋体" w:hAnsi="宋体"/>
                <w:color w:val="auto"/>
                <w:szCs w:val="21"/>
              </w:rPr>
              <w:t>1000～5000万元</w:t>
            </w:r>
          </w:p>
        </w:tc>
        <w:tc>
          <w:tcPr>
            <w:tcW w:w="1659" w:type="dxa"/>
          </w:tcPr>
          <w:p w14:paraId="0D49C37E">
            <w:pPr>
              <w:spacing w:line="360" w:lineRule="auto"/>
              <w:ind w:firstLine="210" w:firstLineChars="100"/>
              <w:jc w:val="center"/>
              <w:rPr>
                <w:rFonts w:ascii="宋体" w:hAnsi="宋体"/>
                <w:color w:val="auto"/>
                <w:szCs w:val="21"/>
              </w:rPr>
            </w:pPr>
            <w:r>
              <w:rPr>
                <w:rFonts w:hint="eastAsia" w:ascii="宋体" w:hAnsi="宋体"/>
                <w:color w:val="auto"/>
                <w:szCs w:val="21"/>
              </w:rPr>
              <w:t>2.205</w:t>
            </w:r>
          </w:p>
        </w:tc>
        <w:tc>
          <w:tcPr>
            <w:tcW w:w="1687" w:type="dxa"/>
            <w:gridSpan w:val="2"/>
          </w:tcPr>
          <w:p w14:paraId="7F2EB017">
            <w:pPr>
              <w:spacing w:line="360" w:lineRule="auto"/>
              <w:ind w:firstLine="210" w:firstLineChars="100"/>
              <w:jc w:val="center"/>
              <w:rPr>
                <w:rFonts w:ascii="宋体" w:hAnsi="宋体"/>
                <w:color w:val="auto"/>
                <w:szCs w:val="21"/>
              </w:rPr>
            </w:pPr>
            <w:r>
              <w:rPr>
                <w:rFonts w:hint="eastAsia" w:ascii="宋体" w:hAnsi="宋体"/>
                <w:color w:val="auto"/>
                <w:szCs w:val="21"/>
              </w:rPr>
              <w:t>3.150</w:t>
            </w:r>
          </w:p>
        </w:tc>
        <w:tc>
          <w:tcPr>
            <w:tcW w:w="1659" w:type="dxa"/>
          </w:tcPr>
          <w:p w14:paraId="58B8CAF5">
            <w:pPr>
              <w:spacing w:line="360" w:lineRule="auto"/>
              <w:ind w:firstLine="210" w:firstLineChars="100"/>
              <w:jc w:val="center"/>
              <w:rPr>
                <w:rFonts w:ascii="宋体" w:hAnsi="宋体"/>
                <w:color w:val="auto"/>
                <w:szCs w:val="21"/>
              </w:rPr>
            </w:pPr>
            <w:r>
              <w:rPr>
                <w:rFonts w:hint="eastAsia" w:ascii="宋体" w:hAnsi="宋体"/>
                <w:color w:val="auto"/>
                <w:szCs w:val="21"/>
              </w:rPr>
              <w:t>1.575</w:t>
            </w:r>
          </w:p>
        </w:tc>
      </w:tr>
      <w:tr w14:paraId="6371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99E335D">
            <w:pPr>
              <w:spacing w:line="360" w:lineRule="auto"/>
              <w:rPr>
                <w:rFonts w:ascii="宋体" w:hAnsi="宋体"/>
                <w:color w:val="auto"/>
                <w:szCs w:val="21"/>
              </w:rPr>
            </w:pPr>
            <w:r>
              <w:rPr>
                <w:rFonts w:hint="eastAsia" w:ascii="宋体" w:hAnsi="宋体"/>
                <w:color w:val="auto"/>
                <w:szCs w:val="21"/>
              </w:rPr>
              <w:t>5000万元～1亿元</w:t>
            </w:r>
          </w:p>
        </w:tc>
        <w:tc>
          <w:tcPr>
            <w:tcW w:w="1659" w:type="dxa"/>
          </w:tcPr>
          <w:p w14:paraId="1C75FA9E">
            <w:pPr>
              <w:spacing w:line="360" w:lineRule="auto"/>
              <w:ind w:firstLine="210" w:firstLineChars="100"/>
              <w:jc w:val="center"/>
              <w:rPr>
                <w:rFonts w:ascii="宋体" w:hAnsi="宋体"/>
                <w:color w:val="auto"/>
                <w:szCs w:val="21"/>
              </w:rPr>
            </w:pPr>
            <w:r>
              <w:rPr>
                <w:rFonts w:hint="eastAsia" w:ascii="宋体" w:hAnsi="宋体"/>
                <w:color w:val="auto"/>
                <w:szCs w:val="21"/>
              </w:rPr>
              <w:t>1.260</w:t>
            </w:r>
          </w:p>
        </w:tc>
        <w:tc>
          <w:tcPr>
            <w:tcW w:w="1687" w:type="dxa"/>
            <w:gridSpan w:val="2"/>
          </w:tcPr>
          <w:p w14:paraId="6D4A74FB">
            <w:pPr>
              <w:spacing w:line="360" w:lineRule="auto"/>
              <w:ind w:firstLine="210" w:firstLineChars="100"/>
              <w:jc w:val="center"/>
              <w:rPr>
                <w:rFonts w:ascii="宋体" w:hAnsi="宋体"/>
                <w:color w:val="auto"/>
                <w:szCs w:val="21"/>
              </w:rPr>
            </w:pPr>
            <w:r>
              <w:rPr>
                <w:rFonts w:hint="eastAsia" w:ascii="宋体" w:hAnsi="宋体"/>
                <w:color w:val="auto"/>
                <w:szCs w:val="21"/>
              </w:rPr>
              <w:t>1.575</w:t>
            </w:r>
          </w:p>
        </w:tc>
        <w:tc>
          <w:tcPr>
            <w:tcW w:w="1659" w:type="dxa"/>
          </w:tcPr>
          <w:p w14:paraId="51EDBBD8">
            <w:pPr>
              <w:spacing w:line="360" w:lineRule="auto"/>
              <w:ind w:firstLine="210" w:firstLineChars="100"/>
              <w:jc w:val="center"/>
              <w:rPr>
                <w:rFonts w:ascii="宋体" w:hAnsi="宋体"/>
                <w:color w:val="auto"/>
                <w:szCs w:val="21"/>
              </w:rPr>
            </w:pPr>
            <w:r>
              <w:rPr>
                <w:rFonts w:hint="eastAsia" w:ascii="宋体" w:hAnsi="宋体"/>
                <w:color w:val="auto"/>
                <w:szCs w:val="21"/>
              </w:rPr>
              <w:t>0.630</w:t>
            </w:r>
          </w:p>
        </w:tc>
      </w:tr>
    </w:tbl>
    <w:p w14:paraId="38D9BE50">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注：</w:t>
      </w:r>
    </w:p>
    <w:p w14:paraId="4233BA1F">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（1）按本表费率计算的收费为采购代理的收费基准价格；</w:t>
      </w:r>
    </w:p>
    <w:p w14:paraId="44FC503C">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（2）采购代理服务费按差额定率累进法计算。</w:t>
      </w:r>
    </w:p>
    <w:p w14:paraId="096820A0">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例如：某工程采购代理业务预算金额或者暂定价为200万元，计算采购代理收费额如下：</w:t>
      </w:r>
    </w:p>
    <w:p w14:paraId="7FB620CF">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第一阶梯：100 万元 ×6.300 ‰＝ 0.6300 万元</w:t>
      </w:r>
    </w:p>
    <w:p w14:paraId="68E85ABC">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第二阶梯：（ 200 － 100 ）万元 ×4.410 ‰＝ 0.4410万元</w:t>
      </w:r>
    </w:p>
    <w:p w14:paraId="045A4FE2">
      <w:pPr>
        <w:tabs>
          <w:tab w:val="left" w:pos="2835"/>
        </w:tabs>
        <w:spacing w:line="360" w:lineRule="auto"/>
        <w:ind w:firstLine="420" w:firstLineChars="200"/>
        <w:rPr>
          <w:rFonts w:ascii="宋体" w:hAnsi="宋体" w:cs="宋体"/>
          <w:color w:val="auto"/>
          <w:szCs w:val="21"/>
        </w:rPr>
      </w:pPr>
      <w:r>
        <w:rPr>
          <w:rFonts w:hint="eastAsia" w:ascii="宋体" w:hAnsi="宋体" w:cs="宋体"/>
          <w:color w:val="auto"/>
          <w:szCs w:val="21"/>
        </w:rPr>
        <w:t>合计收费＝ 0.6300 ＋ 0.4410＝ 1.071万元</w:t>
      </w:r>
    </w:p>
    <w:p w14:paraId="3F796181">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14:paraId="5E569F37">
      <w:pPr>
        <w:pStyle w:val="26"/>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14:paraId="57FBF5C6">
      <w:pPr>
        <w:pStyle w:val="26"/>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33.2农民工工资保证金见“供应商须知前附表”。</w:t>
      </w:r>
    </w:p>
    <w:p w14:paraId="2544888E">
      <w:pPr>
        <w:pStyle w:val="26"/>
        <w:spacing w:line="360" w:lineRule="auto"/>
        <w:ind w:firstLine="420" w:firstLineChars="200"/>
        <w:textAlignment w:val="center"/>
        <w:rPr>
          <w:rFonts w:hAnsi="宋体" w:cs="宋体"/>
          <w:color w:val="auto"/>
          <w:kern w:val="2"/>
          <w:sz w:val="21"/>
        </w:rPr>
      </w:pPr>
      <w:r>
        <w:rPr>
          <w:rFonts w:hAnsi="宋体" w:cs="宋体"/>
          <w:color w:val="auto"/>
          <w:kern w:val="2"/>
          <w:sz w:val="21"/>
        </w:rPr>
        <w:t>33.</w:t>
      </w:r>
      <w:r>
        <w:rPr>
          <w:rFonts w:hint="eastAsia" w:hAnsi="宋体" w:cs="宋体"/>
          <w:color w:val="auto"/>
          <w:kern w:val="2"/>
          <w:sz w:val="21"/>
        </w:rPr>
        <w:t>3 其他事项详见“供应商须知前附表”。</w:t>
      </w:r>
    </w:p>
    <w:p w14:paraId="0D5BCFBA">
      <w:pPr>
        <w:pStyle w:val="26"/>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w:t>
      </w:r>
      <w:r>
        <w:rPr>
          <w:rFonts w:hint="eastAsia" w:hAnsi="宋体" w:cs="宋体"/>
          <w:color w:val="auto"/>
          <w:kern w:val="2"/>
          <w:sz w:val="21"/>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248047D6">
      <w:pPr>
        <w:pStyle w:val="26"/>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1EB0EAD3">
      <w:pPr>
        <w:pStyle w:val="26"/>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278FA177">
      <w:pPr>
        <w:pStyle w:val="26"/>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25606217">
      <w:pPr>
        <w:pStyle w:val="26"/>
        <w:spacing w:line="360" w:lineRule="auto"/>
        <w:ind w:firstLine="420" w:firstLineChars="200"/>
        <w:contextualSpacing/>
        <w:rPr>
          <w:rFonts w:hAnsi="宋体"/>
          <w:color w:val="auto"/>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rPr>
        <w:t>中小企业的，联合体视同中小企业。其中，联合体各方均为小微企业的，联合体视同小微企业。</w:t>
      </w:r>
    </w:p>
    <w:p w14:paraId="3EFEF5F7">
      <w:pPr>
        <w:pStyle w:val="26"/>
        <w:spacing w:line="360" w:lineRule="auto"/>
        <w:ind w:firstLine="420" w:firstLineChars="200"/>
        <w:contextualSpacing/>
        <w:rPr>
          <w:rFonts w:hAnsi="宋体"/>
          <w:color w:val="auto"/>
          <w:sz w:val="21"/>
        </w:rPr>
      </w:pPr>
      <w:r>
        <w:rPr>
          <w:rFonts w:hint="eastAsia" w:hAnsi="宋体"/>
          <w:color w:val="auto"/>
          <w:sz w:val="21"/>
        </w:rPr>
        <w:t>依据本磋商文件规定享受扶持政策获得政府采购合同的，小微企业不得将合同分包给大中型企业，中型企业不得将合同分包给大型企业。</w:t>
      </w:r>
    </w:p>
    <w:p w14:paraId="3AC8FB58">
      <w:pPr>
        <w:pStyle w:val="3"/>
        <w:spacing w:before="0" w:after="0" w:line="360" w:lineRule="auto"/>
        <w:jc w:val="center"/>
        <w:rPr>
          <w:color w:val="auto"/>
        </w:rPr>
      </w:pPr>
      <w:r>
        <w:rPr>
          <w:rFonts w:hAnsi="宋体"/>
          <w:b w:val="0"/>
          <w:color w:val="auto"/>
        </w:rPr>
        <w:br w:type="page"/>
      </w:r>
      <w:bookmarkStart w:id="68" w:name="_Toc122424246"/>
      <w:r>
        <w:rPr>
          <w:rFonts w:hint="eastAsia"/>
          <w:color w:val="auto"/>
        </w:rPr>
        <w:t>第三章 采购需求</w:t>
      </w:r>
      <w:bookmarkEnd w:id="68"/>
    </w:p>
    <w:p w14:paraId="4F865857">
      <w:pPr>
        <w:spacing w:line="360" w:lineRule="auto"/>
        <w:jc w:val="left"/>
        <w:rPr>
          <w:rFonts w:ascii="宋体" w:hAnsi="宋体" w:cs="宋体"/>
          <w:color w:val="auto"/>
          <w:szCs w:val="21"/>
        </w:rPr>
      </w:pPr>
      <w:r>
        <w:rPr>
          <w:rFonts w:hint="eastAsia" w:ascii="宋体" w:hAnsi="宋体" w:cs="宋体"/>
          <w:color w:val="auto"/>
          <w:szCs w:val="21"/>
        </w:rPr>
        <w:t>说明：</w:t>
      </w:r>
    </w:p>
    <w:p w14:paraId="56E30381">
      <w:pPr>
        <w:spacing w:line="360" w:lineRule="auto"/>
        <w:ind w:firstLine="420" w:firstLineChars="200"/>
        <w:jc w:val="left"/>
        <w:rPr>
          <w:rFonts w:ascii="宋体" w:hAnsi="宋体" w:cs="宋体"/>
          <w:color w:val="auto"/>
          <w:szCs w:val="21"/>
        </w:rPr>
      </w:pPr>
      <w:r>
        <w:rPr>
          <w:rFonts w:hint="eastAsia" w:ascii="宋体" w:hAnsi="宋体"/>
          <w:color w:val="auto"/>
        </w:rPr>
        <w:t>1</w:t>
      </w:r>
      <w:r>
        <w:rPr>
          <w:rFonts w:hint="eastAsia"/>
          <w:color w:val="auto"/>
        </w:rPr>
        <w:t>. 为落实政府采购政策需满足的要求</w:t>
      </w:r>
    </w:p>
    <w:p w14:paraId="16C2F232">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2.“实质性要求”是指采购需求中带“▲”的条款或者不能负偏离的条款或者已经指明不满足按响应文件无效处理的条款。</w:t>
      </w:r>
    </w:p>
    <w:p w14:paraId="7F124AE3">
      <w:pPr>
        <w:spacing w:line="360" w:lineRule="auto"/>
        <w:ind w:firstLine="424" w:firstLineChars="202"/>
        <w:jc w:val="left"/>
        <w:rPr>
          <w:rFonts w:ascii="宋体" w:hAnsi="宋体"/>
          <w:color w:val="auto"/>
          <w:szCs w:val="21"/>
        </w:rPr>
      </w:pPr>
      <w:r>
        <w:rPr>
          <w:rFonts w:hint="eastAsia" w:ascii="宋体" w:hAnsi="宋体" w:cs="宋体"/>
          <w:color w:val="auto"/>
          <w:szCs w:val="21"/>
        </w:rPr>
        <w:t>3.</w:t>
      </w:r>
      <w:r>
        <w:rPr>
          <w:rFonts w:hint="eastAsia"/>
          <w:color w:val="auto"/>
        </w:rPr>
        <w:t>供应商必须自行为其竞标产品侵犯他人的知识产权或者专利成果的行为承担相应法律责任。</w:t>
      </w:r>
    </w:p>
    <w:p w14:paraId="0193B8A3">
      <w:pPr>
        <w:spacing w:line="360" w:lineRule="auto"/>
        <w:jc w:val="left"/>
        <w:rPr>
          <w:rFonts w:ascii="宋体" w:hAnsi="宋体"/>
          <w:b/>
          <w:color w:val="auto"/>
          <w:szCs w:val="21"/>
        </w:rPr>
      </w:pPr>
      <w:r>
        <w:rPr>
          <w:rFonts w:hint="eastAsia" w:ascii="宋体" w:hAnsi="宋体"/>
          <w:b/>
          <w:color w:val="auto"/>
          <w:szCs w:val="21"/>
        </w:rPr>
        <w:t>所属行业：建筑业</w:t>
      </w:r>
    </w:p>
    <w:tbl>
      <w:tblPr>
        <w:tblStyle w:val="44"/>
        <w:tblW w:w="8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9"/>
        <w:gridCol w:w="960"/>
        <w:gridCol w:w="751"/>
        <w:gridCol w:w="991"/>
        <w:gridCol w:w="5714"/>
        <w:gridCol w:w="46"/>
      </w:tblGrid>
      <w:tr w14:paraId="1551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824" w:hRule="atLeast"/>
          <w:jc w:val="center"/>
        </w:trPr>
        <w:tc>
          <w:tcPr>
            <w:tcW w:w="389" w:type="dxa"/>
            <w:vAlign w:val="center"/>
          </w:tcPr>
          <w:p w14:paraId="3AC7075E">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序号</w:t>
            </w:r>
          </w:p>
        </w:tc>
        <w:tc>
          <w:tcPr>
            <w:tcW w:w="1711" w:type="dxa"/>
            <w:gridSpan w:val="2"/>
            <w:vAlign w:val="center"/>
          </w:tcPr>
          <w:p w14:paraId="2295E204">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标的的名称</w:t>
            </w:r>
          </w:p>
        </w:tc>
        <w:tc>
          <w:tcPr>
            <w:tcW w:w="991" w:type="dxa"/>
            <w:vAlign w:val="center"/>
          </w:tcPr>
          <w:p w14:paraId="25873ED3">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数量及单位</w:t>
            </w:r>
          </w:p>
        </w:tc>
        <w:tc>
          <w:tcPr>
            <w:tcW w:w="5714" w:type="dxa"/>
            <w:vAlign w:val="center"/>
          </w:tcPr>
          <w:p w14:paraId="3B364E23">
            <w:pPr>
              <w:tabs>
                <w:tab w:val="left" w:pos="180"/>
                <w:tab w:val="left" w:pos="1620"/>
              </w:tabs>
              <w:spacing w:line="360" w:lineRule="auto"/>
              <w:jc w:val="center"/>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技术要求</w:t>
            </w:r>
          </w:p>
        </w:tc>
      </w:tr>
      <w:tr w14:paraId="0623A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6" w:type="dxa"/>
          <w:trHeight w:val="1266" w:hRule="atLeast"/>
          <w:jc w:val="center"/>
        </w:trPr>
        <w:tc>
          <w:tcPr>
            <w:tcW w:w="389" w:type="dxa"/>
            <w:vAlign w:val="center"/>
          </w:tcPr>
          <w:p w14:paraId="3C80F7B3">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w:t>
            </w:r>
          </w:p>
        </w:tc>
        <w:tc>
          <w:tcPr>
            <w:tcW w:w="1711" w:type="dxa"/>
            <w:gridSpan w:val="2"/>
            <w:vAlign w:val="center"/>
          </w:tcPr>
          <w:p w14:paraId="52A224F1">
            <w:pPr>
              <w:tabs>
                <w:tab w:val="left" w:pos="180"/>
                <w:tab w:val="left" w:pos="1620"/>
              </w:tabs>
              <w:spacing w:line="360" w:lineRule="auto"/>
              <w:jc w:val="center"/>
              <w:rPr>
                <w:rFonts w:hint="eastAsia" w:ascii="宋体" w:hAnsi="宋体" w:eastAsia="宋体" w:cs="宋体"/>
                <w:color w:val="auto"/>
                <w:szCs w:val="21"/>
                <w:lang w:eastAsia="zh-CN"/>
              </w:rPr>
            </w:pPr>
            <w:r>
              <w:rPr>
                <w:rFonts w:hint="eastAsia" w:ascii="宋体" w:hAnsi="宋体"/>
                <w:color w:val="auto"/>
                <w:szCs w:val="21"/>
                <w:lang w:eastAsia="zh-CN"/>
              </w:rPr>
              <w:t>钦州市公安局反恐怖和特巡警支队营房改造修缮项目</w:t>
            </w:r>
          </w:p>
        </w:tc>
        <w:tc>
          <w:tcPr>
            <w:tcW w:w="991" w:type="dxa"/>
            <w:vAlign w:val="center"/>
          </w:tcPr>
          <w:p w14:paraId="73074C8E">
            <w:pPr>
              <w:tabs>
                <w:tab w:val="left" w:pos="180"/>
                <w:tab w:val="left" w:pos="1620"/>
              </w:tabs>
              <w:spacing w:line="360" w:lineRule="auto"/>
              <w:jc w:val="center"/>
              <w:rPr>
                <w:rFonts w:ascii="宋体" w:hAnsi="宋体" w:cs="宋体"/>
                <w:color w:val="auto"/>
                <w:szCs w:val="21"/>
              </w:rPr>
            </w:pPr>
            <w:r>
              <w:rPr>
                <w:rFonts w:hint="eastAsia" w:ascii="宋体" w:hAnsi="宋体" w:cs="宋体"/>
                <w:color w:val="auto"/>
                <w:szCs w:val="21"/>
              </w:rPr>
              <w:t>1项</w:t>
            </w:r>
          </w:p>
        </w:tc>
        <w:tc>
          <w:tcPr>
            <w:tcW w:w="5714" w:type="dxa"/>
            <w:vAlign w:val="center"/>
          </w:tcPr>
          <w:p w14:paraId="4273538D">
            <w:pPr>
              <w:spacing w:line="360" w:lineRule="auto"/>
              <w:rPr>
                <w:rFonts w:ascii="宋体" w:hAnsi="宋体"/>
                <w:color w:val="auto"/>
                <w:szCs w:val="21"/>
              </w:rPr>
            </w:pPr>
            <w:r>
              <w:rPr>
                <w:rFonts w:hint="eastAsia" w:ascii="宋体" w:hAnsi="宋体"/>
                <w:b/>
                <w:bCs/>
                <w:color w:val="auto"/>
                <w:szCs w:val="21"/>
              </w:rPr>
              <w:t>一、建设地点：</w:t>
            </w:r>
            <w:r>
              <w:rPr>
                <w:rFonts w:hint="eastAsia" w:ascii="宋体" w:hAnsi="宋体"/>
                <w:color w:val="auto"/>
                <w:szCs w:val="21"/>
              </w:rPr>
              <w:t>钦州市拘留所一期地块（玛氏火龙果山庄斜对面）。</w:t>
            </w:r>
          </w:p>
          <w:p w14:paraId="540BF77A">
            <w:pPr>
              <w:spacing w:line="360" w:lineRule="auto"/>
              <w:rPr>
                <w:rFonts w:ascii="宋体" w:hAnsi="宋体"/>
                <w:color w:val="auto"/>
                <w:szCs w:val="21"/>
              </w:rPr>
            </w:pPr>
            <w:r>
              <w:rPr>
                <w:rFonts w:hint="eastAsia" w:ascii="宋体" w:hAnsi="宋体"/>
                <w:b/>
                <w:bCs/>
                <w:color w:val="auto"/>
                <w:szCs w:val="21"/>
              </w:rPr>
              <w:t>二、建设规模：</w:t>
            </w:r>
            <w:r>
              <w:rPr>
                <w:rFonts w:hint="eastAsia" w:ascii="宋体" w:hAnsi="宋体"/>
                <w:color w:val="auto"/>
                <w:szCs w:val="21"/>
              </w:rPr>
              <w:t>拟对拘留所一期业务技术用房及监区综合楼进行改造，总占地面积3241.42平米，总建筑面积6678.81平方米，并对室外场地进行配套建设。</w:t>
            </w:r>
          </w:p>
          <w:p w14:paraId="341E62F2">
            <w:pPr>
              <w:spacing w:line="360" w:lineRule="auto"/>
              <w:rPr>
                <w:rFonts w:ascii="宋体" w:hAnsi="宋体"/>
                <w:b/>
                <w:bCs/>
                <w:color w:val="auto"/>
                <w:szCs w:val="21"/>
              </w:rPr>
            </w:pPr>
            <w:r>
              <w:rPr>
                <w:rFonts w:hint="eastAsia" w:ascii="宋体" w:hAnsi="宋体"/>
                <w:b/>
                <w:bCs/>
                <w:color w:val="auto"/>
                <w:szCs w:val="21"/>
              </w:rPr>
              <w:t>三、施工范围：</w:t>
            </w:r>
          </w:p>
          <w:p w14:paraId="64461A91">
            <w:pPr>
              <w:spacing w:line="360" w:lineRule="auto"/>
              <w:rPr>
                <w:rFonts w:ascii="宋体" w:hAnsi="宋体"/>
                <w:color w:val="auto"/>
                <w:szCs w:val="21"/>
              </w:rPr>
            </w:pPr>
            <w:r>
              <w:rPr>
                <w:rFonts w:hint="eastAsia" w:ascii="宋体" w:hAnsi="宋体"/>
                <w:color w:val="auto"/>
                <w:szCs w:val="21"/>
              </w:rPr>
              <w:t>1.业务用房楼施工范围为：原一楼厨房改造为情报中心，原二楼会议室、办公室等改造为会议室、档案室、机房等功能性用房。改造内容：（1）拆除旧木门，更换新门、拆除局部墙体；（2）对内墙面腻子、外墙面涂料、天棚等进行翻新，楼梯间地面拆除及局部地面拆除。（3）安装部分：局部新建电气安装。</w:t>
            </w:r>
          </w:p>
          <w:p w14:paraId="746DAC49">
            <w:pPr>
              <w:spacing w:line="360" w:lineRule="auto"/>
              <w:rPr>
                <w:rFonts w:ascii="宋体" w:hAnsi="宋体"/>
                <w:color w:val="auto"/>
                <w:szCs w:val="21"/>
              </w:rPr>
            </w:pPr>
            <w:r>
              <w:rPr>
                <w:rFonts w:hint="eastAsia" w:ascii="宋体" w:hAnsi="宋体"/>
                <w:color w:val="auto"/>
                <w:szCs w:val="21"/>
              </w:rPr>
              <w:t>2.监区综合楼施工范围为：将原监区用房墙体、门窗等进行改造，一楼改造为市局及特巡警枪库、室内训练用房、装备室、会议室等功能性用房，二楼监室改造为备勤用房，三楼部分墙体刮腻子。改造内容：（1）拆除旧不锈钢门，更换新门、拆除局部墙体，（2）对内墙面腻子、外墙面涂料、天棚等进行翻新。（3）安装部分：局部新建电气给水安装。</w:t>
            </w:r>
          </w:p>
          <w:p w14:paraId="533C459E">
            <w:pPr>
              <w:spacing w:line="360" w:lineRule="auto"/>
              <w:rPr>
                <w:rFonts w:ascii="宋体" w:hAnsi="宋体"/>
                <w:color w:val="auto"/>
                <w:szCs w:val="21"/>
              </w:rPr>
            </w:pPr>
            <w:r>
              <w:rPr>
                <w:rFonts w:hint="eastAsia" w:ascii="宋体" w:hAnsi="宋体"/>
                <w:color w:val="auto"/>
                <w:szCs w:val="21"/>
              </w:rPr>
              <w:t>3.室外配套施工范围及内容为：大院建设塑胶跑道、特警沙池障碍场、门卫室内外腻子翻新、拆除部分围墙、新建升旗台等。</w:t>
            </w:r>
          </w:p>
          <w:p w14:paraId="575B8578">
            <w:pPr>
              <w:spacing w:line="360" w:lineRule="auto"/>
              <w:rPr>
                <w:rFonts w:ascii="宋体" w:hAnsi="宋体" w:cs="宋体"/>
                <w:color w:val="auto"/>
                <w:szCs w:val="21"/>
              </w:rPr>
            </w:pPr>
            <w:r>
              <w:rPr>
                <w:rFonts w:hint="eastAsia" w:ascii="宋体" w:hAnsi="宋体"/>
                <w:b/>
                <w:bCs/>
                <w:color w:val="auto"/>
                <w:szCs w:val="21"/>
              </w:rPr>
              <w:t>四、工程质量要求：</w:t>
            </w:r>
            <w:r>
              <w:rPr>
                <w:rFonts w:hint="eastAsia" w:ascii="宋体" w:hAnsi="宋体" w:cs="宋体"/>
                <w:color w:val="auto"/>
                <w:szCs w:val="21"/>
              </w:rPr>
              <w:t>达到国家施工验收规范合格标准要求。</w:t>
            </w:r>
          </w:p>
          <w:p w14:paraId="24BAFFBD">
            <w:pPr>
              <w:spacing w:line="360" w:lineRule="auto"/>
              <w:rPr>
                <w:rFonts w:ascii="宋体" w:hAnsi="宋体"/>
                <w:b/>
                <w:bCs/>
                <w:color w:val="auto"/>
                <w:szCs w:val="21"/>
              </w:rPr>
            </w:pPr>
            <w:r>
              <w:rPr>
                <w:rFonts w:hint="eastAsia" w:ascii="宋体" w:hAnsi="宋体"/>
                <w:b/>
                <w:bCs/>
                <w:color w:val="auto"/>
                <w:szCs w:val="21"/>
              </w:rPr>
              <w:t>五</w:t>
            </w:r>
            <w:r>
              <w:rPr>
                <w:rFonts w:hint="eastAsia" w:ascii="宋体" w:hAnsi="宋体"/>
                <w:b/>
                <w:bCs/>
                <w:color w:val="auto"/>
                <w:szCs w:val="21"/>
                <w:lang w:eastAsia="zh-CN"/>
              </w:rPr>
              <w:t>、</w:t>
            </w:r>
            <w:r>
              <w:rPr>
                <w:rFonts w:hint="eastAsia" w:ascii="宋体" w:hAnsi="宋体"/>
                <w:b/>
                <w:bCs/>
                <w:color w:val="auto"/>
                <w:szCs w:val="21"/>
              </w:rPr>
              <w:t>要求工期：</w:t>
            </w:r>
            <w:r>
              <w:rPr>
                <w:rFonts w:hint="eastAsia" w:ascii="宋体" w:hAnsi="宋体"/>
                <w:color w:val="auto"/>
              </w:rPr>
              <w:t>90日历天</w:t>
            </w:r>
            <w:r>
              <w:rPr>
                <w:rFonts w:ascii="宋体" w:hAnsi="宋体"/>
                <w:color w:val="auto"/>
                <w:lang w:val="zh-CN"/>
              </w:rPr>
              <w:t>。</w:t>
            </w:r>
          </w:p>
          <w:p w14:paraId="6D6A3035">
            <w:pPr>
              <w:spacing w:line="360" w:lineRule="auto"/>
              <w:rPr>
                <w:color w:val="auto"/>
              </w:rPr>
            </w:pPr>
            <w:r>
              <w:rPr>
                <w:rFonts w:hint="eastAsia" w:ascii="宋体" w:hAnsi="宋体"/>
                <w:b/>
                <w:bCs/>
                <w:color w:val="auto"/>
                <w:szCs w:val="21"/>
              </w:rPr>
              <w:t>六、具体需求内容详见工程量清单（另册发放）</w:t>
            </w:r>
          </w:p>
        </w:tc>
      </w:tr>
      <w:tr w14:paraId="38DE2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8805" w:type="dxa"/>
            <w:gridSpan w:val="5"/>
            <w:tcBorders>
              <w:top w:val="single" w:color="auto" w:sz="4" w:space="0"/>
              <w:left w:val="single" w:color="auto" w:sz="4" w:space="0"/>
              <w:bottom w:val="single" w:color="auto" w:sz="4" w:space="0"/>
              <w:right w:val="single" w:color="auto" w:sz="4" w:space="0"/>
            </w:tcBorders>
          </w:tcPr>
          <w:p w14:paraId="3096B782">
            <w:pPr>
              <w:spacing w:line="360" w:lineRule="auto"/>
              <w:rPr>
                <w:rFonts w:ascii="宋体" w:hAnsi="宋体"/>
                <w:color w:val="auto"/>
                <w:szCs w:val="21"/>
              </w:rPr>
            </w:pPr>
            <w:r>
              <w:rPr>
                <w:rFonts w:hint="eastAsia" w:ascii="宋体" w:hAnsi="宋体"/>
                <w:color w:val="auto"/>
                <w:szCs w:val="21"/>
              </w:rPr>
              <w:t>▲</w:t>
            </w:r>
            <w:r>
              <w:rPr>
                <w:rFonts w:hint="eastAsia" w:ascii="宋体" w:hAnsi="宋体"/>
                <w:b/>
                <w:color w:val="auto"/>
                <w:szCs w:val="21"/>
              </w:rPr>
              <w:t>一、商务要求</w:t>
            </w:r>
          </w:p>
        </w:tc>
      </w:tr>
      <w:tr w14:paraId="661FD1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03B26C83">
            <w:pPr>
              <w:spacing w:line="360" w:lineRule="auto"/>
              <w:rPr>
                <w:rFonts w:ascii="宋体" w:hAnsi="宋体"/>
                <w:b/>
                <w:color w:val="auto"/>
                <w:szCs w:val="21"/>
              </w:rPr>
            </w:pPr>
            <w:r>
              <w:rPr>
                <w:rFonts w:hint="eastAsia" w:ascii="宋体" w:hAnsi="宋体" w:cs="宋体"/>
                <w:color w:val="auto"/>
                <w:szCs w:val="21"/>
              </w:rPr>
              <w:t>计划工期</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1032C08A">
            <w:pPr>
              <w:rPr>
                <w:rFonts w:ascii="宋体" w:hAnsi="宋体"/>
                <w:b/>
                <w:color w:val="auto"/>
                <w:szCs w:val="21"/>
              </w:rPr>
            </w:pPr>
            <w:r>
              <w:rPr>
                <w:rFonts w:hint="eastAsia" w:ascii="宋体" w:hAnsi="宋体"/>
                <w:color w:val="auto"/>
              </w:rPr>
              <w:t>90日历天</w:t>
            </w:r>
            <w:r>
              <w:rPr>
                <w:rFonts w:ascii="宋体" w:hAnsi="宋体"/>
                <w:color w:val="auto"/>
                <w:lang w:val="zh-CN"/>
              </w:rPr>
              <w:t>。</w:t>
            </w:r>
          </w:p>
        </w:tc>
      </w:tr>
      <w:tr w14:paraId="67A7C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2D3E9177">
            <w:pPr>
              <w:spacing w:line="360" w:lineRule="auto"/>
              <w:rPr>
                <w:rFonts w:ascii="宋体" w:hAnsi="宋体"/>
                <w:color w:val="auto"/>
                <w:szCs w:val="21"/>
              </w:rPr>
            </w:pPr>
            <w:r>
              <w:rPr>
                <w:rFonts w:hint="eastAsia" w:ascii="宋体" w:hAnsi="宋体"/>
                <w:color w:val="auto"/>
                <w:szCs w:val="21"/>
              </w:rPr>
              <w:t>建设地点</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312AA9CD">
            <w:pPr>
              <w:spacing w:line="360" w:lineRule="auto"/>
              <w:rPr>
                <w:rFonts w:ascii="宋体" w:hAnsi="宋体"/>
                <w:color w:val="auto"/>
                <w:szCs w:val="21"/>
              </w:rPr>
            </w:pPr>
            <w:r>
              <w:rPr>
                <w:rFonts w:hint="eastAsia" w:ascii="宋体" w:hAnsi="宋体"/>
                <w:color w:val="auto"/>
                <w:szCs w:val="21"/>
              </w:rPr>
              <w:t>钦州市子材东大街6号。</w:t>
            </w:r>
          </w:p>
        </w:tc>
      </w:tr>
      <w:tr w14:paraId="592E66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4120C7FB">
            <w:pPr>
              <w:spacing w:line="360" w:lineRule="auto"/>
              <w:rPr>
                <w:rFonts w:ascii="宋体" w:hAnsi="宋体"/>
                <w:b/>
                <w:color w:val="auto"/>
                <w:szCs w:val="21"/>
              </w:rPr>
            </w:pPr>
            <w:r>
              <w:rPr>
                <w:rFonts w:hint="eastAsia" w:ascii="宋体" w:hAnsi="宋体"/>
                <w:color w:val="auto"/>
                <w:szCs w:val="21"/>
              </w:rPr>
              <w:t>合同签订时间</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6A8F67E4">
            <w:pPr>
              <w:spacing w:line="360" w:lineRule="auto"/>
              <w:rPr>
                <w:rFonts w:ascii="宋体" w:hAnsi="宋体"/>
                <w:b/>
                <w:color w:val="auto"/>
                <w:szCs w:val="21"/>
              </w:rPr>
            </w:pPr>
            <w:r>
              <w:rPr>
                <w:rFonts w:hint="eastAsia" w:ascii="宋体" w:hAnsi="宋体"/>
                <w:color w:val="auto"/>
                <w:szCs w:val="21"/>
              </w:rPr>
              <w:t>自成交通知书发出之日起</w:t>
            </w:r>
            <w:r>
              <w:rPr>
                <w:rFonts w:hint="eastAsia" w:ascii="宋体" w:hAnsi="宋体"/>
                <w:color w:val="auto"/>
                <w:szCs w:val="21"/>
                <w:u w:val="single"/>
              </w:rPr>
              <w:t xml:space="preserve"> 25 </w:t>
            </w:r>
            <w:r>
              <w:rPr>
                <w:rFonts w:hint="eastAsia" w:ascii="宋体" w:hAnsi="宋体"/>
                <w:color w:val="auto"/>
                <w:szCs w:val="21"/>
              </w:rPr>
              <w:t>日内。</w:t>
            </w:r>
          </w:p>
        </w:tc>
      </w:tr>
      <w:tr w14:paraId="6CF9B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26C270F3">
            <w:pPr>
              <w:spacing w:line="360" w:lineRule="auto"/>
              <w:rPr>
                <w:rFonts w:ascii="宋体" w:hAnsi="宋体"/>
                <w:b/>
                <w:color w:val="auto"/>
                <w:szCs w:val="21"/>
              </w:rPr>
            </w:pPr>
            <w:r>
              <w:rPr>
                <w:rFonts w:hint="eastAsia" w:ascii="宋体" w:hAnsi="宋体"/>
                <w:color w:val="auto"/>
                <w:szCs w:val="21"/>
              </w:rPr>
              <w:t>付款条件（进度和方式）</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0EAA1C20">
            <w:pPr>
              <w:spacing w:line="360" w:lineRule="auto"/>
              <w:ind w:firstLine="420"/>
              <w:rPr>
                <w:rFonts w:ascii="宋体" w:hAnsi="宋体"/>
                <w:color w:val="auto"/>
                <w:szCs w:val="21"/>
              </w:rPr>
            </w:pPr>
            <w:r>
              <w:rPr>
                <w:rFonts w:hint="eastAsia" w:ascii="宋体" w:hAnsi="宋体"/>
                <w:color w:val="auto"/>
                <w:szCs w:val="21"/>
              </w:rPr>
              <w:t>工程进度款支付预付款:无。</w:t>
            </w:r>
          </w:p>
          <w:p w14:paraId="590F6CBC">
            <w:pPr>
              <w:spacing w:line="360" w:lineRule="auto"/>
              <w:ind w:firstLine="420"/>
              <w:rPr>
                <w:rFonts w:ascii="宋体" w:hAnsi="宋体"/>
                <w:color w:val="auto"/>
                <w:szCs w:val="21"/>
              </w:rPr>
            </w:pPr>
            <w:r>
              <w:rPr>
                <w:rFonts w:hint="eastAsia" w:ascii="宋体" w:hAnsi="宋体"/>
                <w:color w:val="auto"/>
                <w:szCs w:val="21"/>
              </w:rPr>
              <w:t>付款周期：工程进度完成工程量的30%支付至合同总价款的30%；工程竣工验收合格20个工作日内，工程进度款支付至完成合同总价款的80%；竣工结算经审计部门审计后，工程款支付至项目审定结算价款的97%，</w:t>
            </w:r>
            <w:r>
              <w:rPr>
                <w:rFonts w:hint="eastAsia" w:hAnsi="宋体"/>
                <w:bCs/>
                <w:color w:val="auto"/>
                <w:szCs w:val="21"/>
              </w:rPr>
              <w:t>预留</w:t>
            </w:r>
            <w:r>
              <w:rPr>
                <w:rFonts w:hAnsi="宋体"/>
                <w:bCs/>
                <w:color w:val="auto"/>
                <w:szCs w:val="21"/>
              </w:rPr>
              <w:t>结算总价</w:t>
            </w:r>
            <w:r>
              <w:rPr>
                <w:rFonts w:hint="eastAsia" w:hAnsi="宋体"/>
                <w:bCs/>
                <w:color w:val="auto"/>
                <w:szCs w:val="21"/>
              </w:rPr>
              <w:t>的</w:t>
            </w:r>
            <w:r>
              <w:rPr>
                <w:rFonts w:hint="eastAsia"/>
                <w:bCs/>
                <w:color w:val="auto"/>
                <w:szCs w:val="21"/>
              </w:rPr>
              <w:t>3%作为质量</w:t>
            </w:r>
            <w:r>
              <w:rPr>
                <w:rFonts w:hint="eastAsia" w:hAnsi="宋体"/>
                <w:bCs/>
                <w:color w:val="auto"/>
                <w:szCs w:val="21"/>
              </w:rPr>
              <w:t>保证金</w:t>
            </w:r>
            <w:r>
              <w:rPr>
                <w:rFonts w:ascii="宋体" w:hAnsi="宋体"/>
                <w:color w:val="auto"/>
                <w:szCs w:val="21"/>
              </w:rPr>
              <w:t>，待工程</w:t>
            </w:r>
            <w:r>
              <w:rPr>
                <w:rFonts w:hint="eastAsia" w:ascii="宋体" w:hAnsi="宋体"/>
                <w:color w:val="auto"/>
                <w:szCs w:val="21"/>
              </w:rPr>
              <w:t>缺陷责任</w:t>
            </w:r>
            <w:r>
              <w:rPr>
                <w:rFonts w:ascii="宋体" w:hAnsi="宋体"/>
                <w:color w:val="auto"/>
                <w:szCs w:val="21"/>
              </w:rPr>
              <w:t>期满后</w:t>
            </w:r>
            <w:r>
              <w:rPr>
                <w:rFonts w:hint="eastAsia" w:ascii="宋体" w:hAnsi="宋体"/>
                <w:color w:val="auto"/>
                <w:szCs w:val="21"/>
              </w:rPr>
              <w:t>由</w:t>
            </w:r>
            <w:r>
              <w:rPr>
                <w:rFonts w:ascii="宋体" w:hAnsi="宋体"/>
                <w:color w:val="auto"/>
                <w:szCs w:val="21"/>
              </w:rPr>
              <w:t>成交供应商申请退还，</w:t>
            </w:r>
            <w:r>
              <w:rPr>
                <w:rFonts w:hint="eastAsia" w:ascii="宋体" w:hAnsi="宋体"/>
                <w:color w:val="auto"/>
                <w:szCs w:val="21"/>
              </w:rPr>
              <w:t>采购人</w:t>
            </w:r>
            <w:r>
              <w:rPr>
                <w:rFonts w:ascii="宋体" w:hAnsi="宋体"/>
                <w:color w:val="auto"/>
                <w:szCs w:val="21"/>
              </w:rPr>
              <w:t>一次性无息返还。</w:t>
            </w:r>
            <w:r>
              <w:rPr>
                <w:rFonts w:hint="eastAsia" w:ascii="宋体" w:hAnsi="宋体"/>
                <w:color w:val="auto"/>
                <w:szCs w:val="21"/>
              </w:rPr>
              <w:t>采购人每次付款前，成交供应商应向采购人开具同等金额的增值税专用发票，否则，采购人有权顺延付款。成交供应商知晓采购人的费用来源于财政拨付及支付项目款项流程，如因财政拨付的原因导致延迟支付，成交供应商承诺不因进度款延迟支付而停工，承诺放弃向采购人主张违约金或赔偿款之请求。</w:t>
            </w:r>
          </w:p>
        </w:tc>
      </w:tr>
      <w:tr w14:paraId="1A9F2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2100" w:type="dxa"/>
            <w:gridSpan w:val="3"/>
            <w:tcBorders>
              <w:top w:val="single" w:color="auto" w:sz="4" w:space="0"/>
              <w:left w:val="single" w:color="auto" w:sz="4" w:space="0"/>
              <w:bottom w:val="single" w:color="auto" w:sz="4" w:space="0"/>
              <w:right w:val="single" w:color="auto" w:sz="4" w:space="0"/>
            </w:tcBorders>
            <w:vAlign w:val="center"/>
          </w:tcPr>
          <w:p w14:paraId="6B2D425F">
            <w:pPr>
              <w:spacing w:line="360" w:lineRule="auto"/>
              <w:rPr>
                <w:rFonts w:ascii="宋体" w:hAnsi="宋体"/>
                <w:color w:val="auto"/>
                <w:szCs w:val="21"/>
              </w:rPr>
            </w:pPr>
            <w:r>
              <w:rPr>
                <w:rFonts w:hint="eastAsia" w:ascii="宋体" w:hAnsi="宋体"/>
                <w:color w:val="auto"/>
                <w:szCs w:val="21"/>
              </w:rPr>
              <w:t>验收标准</w:t>
            </w:r>
          </w:p>
        </w:tc>
        <w:tc>
          <w:tcPr>
            <w:tcW w:w="6705" w:type="dxa"/>
            <w:gridSpan w:val="2"/>
            <w:tcBorders>
              <w:top w:val="single" w:color="auto" w:sz="4" w:space="0"/>
              <w:left w:val="single" w:color="auto" w:sz="4" w:space="0"/>
              <w:bottom w:val="single" w:color="auto" w:sz="4" w:space="0"/>
              <w:right w:val="single" w:color="auto" w:sz="4" w:space="0"/>
            </w:tcBorders>
            <w:vAlign w:val="center"/>
          </w:tcPr>
          <w:p w14:paraId="4B936D3F">
            <w:pPr>
              <w:spacing w:line="360" w:lineRule="auto"/>
              <w:rPr>
                <w:rFonts w:ascii="宋体" w:hAnsi="宋体"/>
                <w:color w:val="auto"/>
                <w:szCs w:val="21"/>
              </w:rPr>
            </w:pPr>
            <w:r>
              <w:rPr>
                <w:rFonts w:hint="eastAsia" w:ascii="宋体" w:hAnsi="宋体" w:cs="宋体"/>
                <w:bCs/>
                <w:color w:val="auto"/>
                <w:szCs w:val="21"/>
              </w:rPr>
              <w:t>符合现行国家相关标准、行业标准、地方标准或者其他标准、规范。</w:t>
            </w:r>
          </w:p>
        </w:tc>
      </w:tr>
      <w:tr w14:paraId="70E65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46" w:type="dxa"/>
          <w:jc w:val="center"/>
        </w:trPr>
        <w:tc>
          <w:tcPr>
            <w:tcW w:w="8805" w:type="dxa"/>
            <w:gridSpan w:val="5"/>
            <w:tcBorders>
              <w:top w:val="single" w:color="auto" w:sz="4" w:space="0"/>
              <w:left w:val="single" w:color="auto" w:sz="4" w:space="0"/>
              <w:bottom w:val="single" w:color="auto" w:sz="4" w:space="0"/>
              <w:right w:val="single" w:color="auto" w:sz="4" w:space="0"/>
            </w:tcBorders>
            <w:vAlign w:val="center"/>
          </w:tcPr>
          <w:p w14:paraId="134A5D8B">
            <w:pPr>
              <w:spacing w:line="360" w:lineRule="auto"/>
              <w:rPr>
                <w:rFonts w:ascii="宋体" w:hAnsi="宋体"/>
                <w:color w:val="auto"/>
                <w:szCs w:val="21"/>
              </w:rPr>
            </w:pPr>
            <w:r>
              <w:rPr>
                <w:rFonts w:hint="eastAsia" w:ascii="宋体" w:hAnsi="宋体"/>
                <w:b/>
                <w:bCs/>
                <w:color w:val="auto"/>
                <w:szCs w:val="21"/>
              </w:rPr>
              <w:t>二、与实现项目目标相关的其他要求</w:t>
            </w:r>
          </w:p>
        </w:tc>
      </w:tr>
      <w:tr w14:paraId="72A90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gridSpan w:val="2"/>
            <w:tcBorders>
              <w:top w:val="single" w:color="auto" w:sz="4" w:space="0"/>
              <w:left w:val="single" w:color="auto" w:sz="4" w:space="0"/>
              <w:bottom w:val="single" w:color="auto" w:sz="4" w:space="0"/>
              <w:right w:val="single" w:color="auto" w:sz="4" w:space="0"/>
            </w:tcBorders>
            <w:vAlign w:val="center"/>
          </w:tcPr>
          <w:p w14:paraId="5A19D139">
            <w:pPr>
              <w:snapToGrid w:val="0"/>
              <w:spacing w:line="360" w:lineRule="auto"/>
              <w:jc w:val="center"/>
              <w:rPr>
                <w:rFonts w:ascii="宋体" w:hAnsi="宋体" w:cs="宋体"/>
                <w:bCs/>
                <w:color w:val="auto"/>
                <w:szCs w:val="21"/>
              </w:rPr>
            </w:pPr>
            <w:r>
              <w:rPr>
                <w:rFonts w:hint="eastAsia" w:ascii="宋体" w:hAnsi="宋体" w:cs="宋体"/>
                <w:bCs/>
                <w:color w:val="auto"/>
                <w:kern w:val="0"/>
                <w:szCs w:val="21"/>
              </w:rPr>
              <w:t>业绩要求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14:paraId="793DE2A9">
            <w:pPr>
              <w:spacing w:line="360" w:lineRule="auto"/>
              <w:jc w:val="left"/>
              <w:rPr>
                <w:rFonts w:ascii="宋体" w:hAnsi="宋体" w:cs="宋体"/>
                <w:bCs/>
                <w:color w:val="auto"/>
                <w:szCs w:val="21"/>
              </w:rPr>
            </w:pPr>
            <w:r>
              <w:rPr>
                <w:rFonts w:hint="eastAsia" w:ascii="宋体" w:hAnsi="宋体" w:cs="宋体"/>
                <w:color w:val="auto"/>
                <w:szCs w:val="21"/>
              </w:rPr>
              <w:t>2022年1月1日以来至响应文件递交截止日期止供应商提供同类工程施工项目业绩，符合第四章“评审标准”的可予以加分。</w:t>
            </w:r>
          </w:p>
        </w:tc>
      </w:tr>
      <w:tr w14:paraId="6B89D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49" w:type="dxa"/>
            <w:gridSpan w:val="2"/>
            <w:tcBorders>
              <w:top w:val="single" w:color="auto" w:sz="4" w:space="0"/>
              <w:left w:val="single" w:color="auto" w:sz="4" w:space="0"/>
              <w:bottom w:val="single" w:color="auto" w:sz="4" w:space="0"/>
              <w:right w:val="single" w:color="auto" w:sz="4" w:space="0"/>
            </w:tcBorders>
            <w:vAlign w:val="center"/>
          </w:tcPr>
          <w:p w14:paraId="576E9839">
            <w:pPr>
              <w:wordWrap w:val="0"/>
              <w:spacing w:line="360" w:lineRule="auto"/>
              <w:jc w:val="center"/>
              <w:rPr>
                <w:rFonts w:ascii="宋体" w:hAnsi="宋体" w:cs="宋体"/>
                <w:b/>
                <w:color w:val="auto"/>
                <w:szCs w:val="21"/>
              </w:rPr>
            </w:pPr>
            <w:r>
              <w:rPr>
                <w:rFonts w:hint="eastAsia" w:ascii="宋体" w:hAnsi="宋体" w:cs="宋体"/>
                <w:b/>
                <w:bCs/>
                <w:color w:val="auto"/>
                <w:szCs w:val="21"/>
              </w:rPr>
              <w:t>其它</w:t>
            </w:r>
          </w:p>
        </w:tc>
        <w:tc>
          <w:tcPr>
            <w:tcW w:w="7502" w:type="dxa"/>
            <w:gridSpan w:val="4"/>
            <w:tcBorders>
              <w:top w:val="single" w:color="auto" w:sz="4" w:space="0"/>
              <w:left w:val="single" w:color="auto" w:sz="4" w:space="0"/>
              <w:bottom w:val="single" w:color="auto" w:sz="4" w:space="0"/>
              <w:right w:val="single" w:color="auto" w:sz="4" w:space="0"/>
            </w:tcBorders>
            <w:vAlign w:val="center"/>
          </w:tcPr>
          <w:p w14:paraId="17471DF4">
            <w:pPr>
              <w:spacing w:line="360" w:lineRule="auto"/>
              <w:jc w:val="left"/>
              <w:rPr>
                <w:rFonts w:ascii="宋体" w:hAnsi="宋体" w:cs="宋体"/>
                <w:b/>
                <w:bCs/>
                <w:color w:val="auto"/>
                <w:szCs w:val="21"/>
              </w:rPr>
            </w:pPr>
            <w:r>
              <w:rPr>
                <w:rFonts w:hint="eastAsia" w:ascii="宋体" w:hAnsi="宋体" w:cs="宋体"/>
                <w:color w:val="auto"/>
                <w:szCs w:val="21"/>
              </w:rPr>
              <w:t>1.采购需求中，</w:t>
            </w:r>
            <w:r>
              <w:rPr>
                <w:rFonts w:hint="eastAsia" w:ascii="宋体" w:hAnsi="宋体" w:cs="宋体"/>
                <w:b/>
                <w:bCs/>
                <w:color w:val="auto"/>
                <w:szCs w:val="21"/>
              </w:rPr>
              <w:t>技术要求允许负偏离的条款数为</w:t>
            </w:r>
            <w:r>
              <w:rPr>
                <w:rFonts w:hint="eastAsia" w:ascii="宋体" w:hAnsi="宋体" w:cs="宋体"/>
                <w:b/>
                <w:bCs/>
                <w:color w:val="auto"/>
                <w:szCs w:val="21"/>
                <w:u w:val="single"/>
              </w:rPr>
              <w:t>0</w:t>
            </w:r>
            <w:r>
              <w:rPr>
                <w:rFonts w:hint="eastAsia" w:ascii="宋体" w:hAnsi="宋体" w:cs="宋体"/>
                <w:b/>
                <w:bCs/>
                <w:color w:val="auto"/>
                <w:szCs w:val="21"/>
              </w:rPr>
              <w:t>项，商务要求允许负偏离的条款数为</w:t>
            </w:r>
            <w:r>
              <w:rPr>
                <w:rFonts w:hint="eastAsia" w:ascii="宋体" w:hAnsi="宋体" w:cs="宋体"/>
                <w:b/>
                <w:bCs/>
                <w:color w:val="auto"/>
                <w:szCs w:val="21"/>
                <w:u w:val="single"/>
              </w:rPr>
              <w:t>0</w:t>
            </w:r>
            <w:r>
              <w:rPr>
                <w:rFonts w:hint="eastAsia" w:ascii="宋体" w:hAnsi="宋体" w:cs="宋体"/>
                <w:b/>
                <w:bCs/>
                <w:color w:val="auto"/>
                <w:szCs w:val="21"/>
              </w:rPr>
              <w:t>项，必须满足或优于，否则响应文件按无效处理。</w:t>
            </w:r>
          </w:p>
          <w:p w14:paraId="230E4B39">
            <w:pPr>
              <w:spacing w:line="360" w:lineRule="auto"/>
              <w:jc w:val="left"/>
              <w:rPr>
                <w:rFonts w:ascii="宋体" w:hAnsi="宋体" w:cs="宋体"/>
                <w:color w:val="auto"/>
                <w:szCs w:val="21"/>
              </w:rPr>
            </w:pPr>
            <w:r>
              <w:rPr>
                <w:rFonts w:hint="eastAsia" w:ascii="宋体" w:hAnsi="宋体" w:cs="宋体"/>
                <w:bCs/>
                <w:color w:val="auto"/>
                <w:szCs w:val="21"/>
              </w:rPr>
              <w:t>2.供应商</w:t>
            </w:r>
            <w:r>
              <w:rPr>
                <w:rFonts w:hint="eastAsia" w:ascii="宋体" w:hAnsi="宋体" w:cs="宋体"/>
                <w:color w:val="auto"/>
                <w:szCs w:val="21"/>
              </w:rPr>
              <w:t>在竞标活动中如提供任何虚假材料，</w:t>
            </w:r>
            <w:r>
              <w:rPr>
                <w:rFonts w:hint="eastAsia" w:ascii="宋体" w:hAnsi="宋体" w:cs="宋体"/>
                <w:b/>
                <w:color w:val="auto"/>
                <w:szCs w:val="21"/>
              </w:rPr>
              <w:t>其响应文件按无效处理，</w:t>
            </w:r>
            <w:r>
              <w:rPr>
                <w:rFonts w:hint="eastAsia" w:ascii="宋体" w:hAnsi="宋体" w:cs="宋体"/>
                <w:color w:val="auto"/>
                <w:szCs w:val="21"/>
              </w:rPr>
              <w:t>并报监管部门查处。</w:t>
            </w:r>
          </w:p>
          <w:p w14:paraId="571A6EF0">
            <w:pPr>
              <w:wordWrap w:val="0"/>
              <w:spacing w:line="360" w:lineRule="auto"/>
              <w:jc w:val="left"/>
              <w:rPr>
                <w:rFonts w:ascii="宋体" w:hAnsi="宋体" w:cs="宋体"/>
                <w:color w:val="auto"/>
                <w:szCs w:val="21"/>
              </w:rPr>
            </w:pPr>
            <w:r>
              <w:rPr>
                <w:rFonts w:hint="eastAsia" w:ascii="宋体" w:hAnsi="宋体" w:cs="宋体"/>
                <w:color w:val="auto"/>
                <w:szCs w:val="21"/>
              </w:rPr>
              <w:t>3.供应商应在响应文件中提供施工组织设计</w:t>
            </w:r>
            <w:r>
              <w:rPr>
                <w:rFonts w:hint="eastAsia" w:ascii="宋体" w:hAnsi="宋体"/>
                <w:bCs/>
                <w:color w:val="auto"/>
                <w:szCs w:val="21"/>
              </w:rPr>
              <w:t>，</w:t>
            </w:r>
            <w:r>
              <w:rPr>
                <w:rFonts w:hint="eastAsia" w:ascii="宋体" w:hAnsi="宋体" w:cs="宋体"/>
                <w:color w:val="auto"/>
                <w:szCs w:val="21"/>
              </w:rPr>
              <w:t>并就本项目投入具有相关能力的人员。</w:t>
            </w:r>
          </w:p>
        </w:tc>
      </w:tr>
    </w:tbl>
    <w:p w14:paraId="03FAF96F">
      <w:pPr>
        <w:spacing w:line="360" w:lineRule="auto"/>
        <w:jc w:val="left"/>
        <w:rPr>
          <w:rFonts w:ascii="宋体" w:hAnsi="宋体" w:cs="Arial"/>
          <w:bCs/>
          <w:color w:val="auto"/>
          <w:szCs w:val="21"/>
          <w:u w:val="single"/>
        </w:rPr>
      </w:pPr>
    </w:p>
    <w:p w14:paraId="3AC0B038">
      <w:pPr>
        <w:pStyle w:val="3"/>
        <w:spacing w:before="0" w:after="0" w:line="360" w:lineRule="auto"/>
        <w:jc w:val="center"/>
        <w:rPr>
          <w:color w:val="auto"/>
        </w:rPr>
      </w:pPr>
      <w:r>
        <w:rPr>
          <w:rFonts w:ascii="宋体" w:hAnsi="宋体" w:cs="宋体"/>
          <w:color w:val="auto"/>
          <w:sz w:val="20"/>
          <w:szCs w:val="20"/>
        </w:rPr>
        <w:br w:type="page"/>
      </w:r>
      <w:bookmarkStart w:id="69" w:name="_Toc122424247"/>
      <w:r>
        <w:rPr>
          <w:rFonts w:hint="eastAsia"/>
          <w:color w:val="auto"/>
        </w:rPr>
        <w:t>第四章  评审程序、评审方法和评审标准</w:t>
      </w:r>
      <w:bookmarkEnd w:id="69"/>
    </w:p>
    <w:p w14:paraId="18F57EB5">
      <w:pPr>
        <w:spacing w:line="360" w:lineRule="auto"/>
        <w:jc w:val="center"/>
        <w:rPr>
          <w:rFonts w:ascii="宋体" w:hAnsi="宋体"/>
          <w:b/>
          <w:color w:val="auto"/>
          <w:sz w:val="32"/>
          <w:szCs w:val="32"/>
        </w:rPr>
      </w:pPr>
      <w:r>
        <w:rPr>
          <w:rFonts w:hint="eastAsia" w:ascii="宋体" w:hAnsi="宋体"/>
          <w:b/>
          <w:color w:val="auto"/>
          <w:sz w:val="32"/>
          <w:szCs w:val="32"/>
        </w:rPr>
        <w:t>一、评审程序和评审方法</w:t>
      </w:r>
    </w:p>
    <w:p w14:paraId="2F0B0E93">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14:paraId="6E04D819">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0B4BC2B4">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14:paraId="78E3C40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（1）查询渠道：广西政府采购云平台“信用中国”网站（www.creditchina.gov.cn）、中国政府采购网（www.ccgp.gov.cn）链接入口。</w:t>
      </w:r>
    </w:p>
    <w:p w14:paraId="1E85EB8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14:paraId="03E06A98">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14A49BF3">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5A7668BE">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789E05E2">
      <w:pPr>
        <w:spacing w:line="360" w:lineRule="auto"/>
        <w:ind w:firstLine="422" w:firstLineChars="200"/>
        <w:rPr>
          <w:rFonts w:ascii="宋体" w:hAnsi="宋体" w:cs="宋体"/>
          <w:b/>
          <w:bCs/>
          <w:color w:val="auto"/>
          <w:szCs w:val="21"/>
        </w:rPr>
      </w:pPr>
      <w:r>
        <w:rPr>
          <w:rFonts w:ascii="宋体" w:hAnsi="宋体" w:cs="宋体"/>
          <w:b/>
          <w:bCs/>
          <w:color w:val="auto"/>
          <w:szCs w:val="21"/>
        </w:rPr>
        <w:t>1</w:t>
      </w:r>
      <w:r>
        <w:rPr>
          <w:rFonts w:hint="eastAsia" w:ascii="宋体" w:hAnsi="宋体" w:cs="宋体"/>
          <w:b/>
          <w:bCs/>
          <w:color w:val="auto"/>
          <w:szCs w:val="21"/>
        </w:rPr>
        <w:t>.3供应商有下列情形之一的，资格审查不通过，其响应文件按无效处理：</w:t>
      </w:r>
    </w:p>
    <w:p w14:paraId="757AF3CB">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1</w:t>
      </w:r>
      <w:r>
        <w:rPr>
          <w:rFonts w:hint="eastAsia" w:ascii="宋体" w:hAnsi="宋体" w:cs="宋体"/>
          <w:b/>
          <w:bCs/>
          <w:color w:val="auto"/>
          <w:szCs w:val="21"/>
        </w:rPr>
        <w:t>）不具备磋商文件中规定的资格要求的；</w:t>
      </w:r>
    </w:p>
    <w:p w14:paraId="533B4709">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（2）未按磋商文件规定的方式获取本磋商文件的供应商；</w:t>
      </w:r>
    </w:p>
    <w:p w14:paraId="1C6BA004">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3</w:t>
      </w:r>
      <w:r>
        <w:rPr>
          <w:rFonts w:hint="eastAsia" w:ascii="宋体" w:hAnsi="宋体" w:cs="宋体"/>
          <w:b/>
          <w:bCs/>
          <w:color w:val="auto"/>
          <w:szCs w:val="21"/>
        </w:rPr>
        <w:t>）响应文件的资格证明文件缺少任一项“供应商须知前附表”资格证明文件规定的“必须提供”的文件资料的；</w:t>
      </w:r>
    </w:p>
    <w:p w14:paraId="469B4EA5">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4</w:t>
      </w:r>
      <w:r>
        <w:rPr>
          <w:rFonts w:hint="eastAsia" w:ascii="宋体" w:hAnsi="宋体" w:cs="宋体"/>
          <w:b/>
          <w:bCs/>
          <w:color w:val="auto"/>
          <w:szCs w:val="21"/>
        </w:rPr>
        <w:t>）响应文件中的资格证明文件出现任一项不符合“供应商须知前附表”资格证明文件规定的“必须提供”的文件资料要求或者无效的；</w:t>
      </w:r>
    </w:p>
    <w:p w14:paraId="7980BFAF">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w:t>
      </w:r>
      <w:r>
        <w:rPr>
          <w:rFonts w:ascii="宋体" w:hAnsi="宋体" w:cs="宋体"/>
          <w:b/>
          <w:bCs/>
          <w:color w:val="auto"/>
          <w:szCs w:val="21"/>
        </w:rPr>
        <w:t>5</w:t>
      </w:r>
      <w:r>
        <w:rPr>
          <w:rFonts w:hint="eastAsia" w:ascii="宋体" w:hAnsi="宋体" w:cs="宋体"/>
          <w:b/>
          <w:bCs/>
          <w:color w:val="auto"/>
          <w:szCs w:val="21"/>
        </w:rPr>
        <w:t>）有第二章“供应商须知”第3.2项规定的任何一种情形的。</w:t>
      </w:r>
    </w:p>
    <w:p w14:paraId="24340B2C">
      <w:pPr>
        <w:spacing w:line="360" w:lineRule="auto"/>
        <w:ind w:firstLine="422" w:firstLineChars="200"/>
        <w:rPr>
          <w:rFonts w:ascii="宋体" w:hAnsi="宋体" w:cs="宋体"/>
          <w:b/>
          <w:bCs/>
          <w:color w:val="auto"/>
          <w:szCs w:val="21"/>
        </w:rPr>
      </w:pPr>
      <w:r>
        <w:rPr>
          <w:rFonts w:ascii="宋体" w:hAnsi="宋体" w:cs="宋体"/>
          <w:b/>
          <w:bCs/>
          <w:color w:val="auto"/>
          <w:szCs w:val="21"/>
        </w:rPr>
        <w:t>1</w:t>
      </w:r>
      <w:r>
        <w:rPr>
          <w:rFonts w:hint="eastAsia" w:ascii="宋体" w:hAnsi="宋体" w:cs="宋体"/>
          <w:b/>
          <w:bCs/>
          <w:color w:val="auto"/>
          <w:szCs w:val="21"/>
        </w:rPr>
        <w:t>.4通过资格审查的合格供应商不足3家的，不得进入符合性审查环节，</w:t>
      </w:r>
      <w:r>
        <w:rPr>
          <w:rFonts w:hint="eastAsia" w:ascii="宋体" w:hAnsi="宋体"/>
          <w:b/>
          <w:bCs/>
          <w:color w:val="auto"/>
          <w:szCs w:val="21"/>
        </w:rPr>
        <w:t>应当重新开展采购活动。</w:t>
      </w:r>
    </w:p>
    <w:p w14:paraId="0B65E4A2">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14:paraId="0562F5E9">
      <w:pPr>
        <w:spacing w:line="360" w:lineRule="auto"/>
        <w:ind w:firstLine="420" w:firstLineChars="200"/>
        <w:rPr>
          <w:rFonts w:ascii="宋体" w:hAnsi="宋体" w:cs="宋体"/>
          <w:color w:val="auto"/>
          <w:szCs w:val="21"/>
        </w:rPr>
      </w:pPr>
      <w:bookmarkStart w:id="70" w:name="_Hlk42528882"/>
      <w:r>
        <w:rPr>
          <w:rFonts w:ascii="宋体" w:hAnsi="宋体" w:cs="宋体"/>
          <w:color w:val="auto"/>
          <w:szCs w:val="21"/>
        </w:rPr>
        <w:t>2.1</w:t>
      </w:r>
      <w:r>
        <w:rPr>
          <w:rFonts w:hint="eastAsia" w:ascii="宋体" w:hAnsi="宋体" w:cs="宋体"/>
          <w:color w:val="auto"/>
          <w:szCs w:val="21"/>
        </w:rPr>
        <w:t>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70"/>
    <w:p w14:paraId="02EDF976">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0593B12">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089603E1">
      <w:pPr>
        <w:spacing w:line="360" w:lineRule="auto"/>
        <w:ind w:firstLine="420" w:firstLineChars="200"/>
        <w:rPr>
          <w:rFonts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9142CF6">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4A64568C">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1B7C4391">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1522C001">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7EADADC4">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46B77828">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w:t>
      </w:r>
      <w:r>
        <w:rPr>
          <w:rFonts w:hint="eastAsia" w:ascii="宋体" w:hAnsi="宋体" w:cs="宋体"/>
          <w:b/>
          <w:bCs/>
          <w:color w:val="auto"/>
          <w:szCs w:val="21"/>
        </w:rPr>
        <w:t>修正后的报价经供应商确认后产生约束力，供应商不确认的，其响应文件按无效处理。</w:t>
      </w:r>
    </w:p>
    <w:p w14:paraId="2B74D68A">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44D16C4B">
      <w:pPr>
        <w:spacing w:line="360" w:lineRule="auto"/>
        <w:ind w:firstLine="422" w:firstLineChars="200"/>
        <w:rPr>
          <w:rFonts w:ascii="宋体" w:hAnsi="宋体" w:cs="宋体"/>
          <w:b/>
          <w:color w:val="auto"/>
          <w:szCs w:val="21"/>
        </w:rPr>
      </w:pPr>
      <w:r>
        <w:rPr>
          <w:rFonts w:hint="eastAsia" w:ascii="宋体" w:hAnsi="宋体" w:cs="宋体"/>
          <w:b/>
          <w:color w:val="auto"/>
          <w:szCs w:val="21"/>
        </w:rPr>
        <w:t>在评审时，如发现下列情形之一的，将被视为响应文件无效处理：</w:t>
      </w:r>
    </w:p>
    <w:p w14:paraId="7EBE8364">
      <w:pPr>
        <w:spacing w:line="360" w:lineRule="auto"/>
        <w:ind w:firstLine="422" w:firstLineChars="200"/>
        <w:rPr>
          <w:rFonts w:ascii="宋体" w:hAnsi="宋体" w:cs="宋体"/>
          <w:b/>
          <w:color w:val="auto"/>
          <w:szCs w:val="21"/>
        </w:rPr>
      </w:pPr>
      <w:r>
        <w:rPr>
          <w:rFonts w:hint="eastAsia" w:ascii="宋体" w:hAnsi="宋体" w:cs="宋体"/>
          <w:b/>
          <w:color w:val="auto"/>
          <w:szCs w:val="21"/>
        </w:rPr>
        <w:t>（1）商务技术评审</w:t>
      </w:r>
    </w:p>
    <w:p w14:paraId="618B4EA8">
      <w:pPr>
        <w:spacing w:line="360" w:lineRule="auto"/>
        <w:ind w:firstLine="422" w:firstLineChars="200"/>
        <w:rPr>
          <w:rFonts w:ascii="宋体" w:hAnsi="宋体" w:cs="宋体"/>
          <w:b/>
          <w:color w:val="auto"/>
          <w:szCs w:val="21"/>
        </w:rPr>
      </w:pPr>
      <w:r>
        <w:rPr>
          <w:rFonts w:hint="eastAsia" w:ascii="宋体" w:hAnsi="宋体" w:cs="宋体"/>
          <w:b/>
          <w:color w:val="auto"/>
          <w:szCs w:val="21"/>
        </w:rPr>
        <w:t>1）响应文件未按磋商文件要求签署、盖章的；</w:t>
      </w:r>
    </w:p>
    <w:p w14:paraId="7D17EE36">
      <w:pPr>
        <w:spacing w:line="360" w:lineRule="auto"/>
        <w:ind w:firstLine="422" w:firstLineChars="200"/>
        <w:rPr>
          <w:rFonts w:ascii="宋体" w:hAnsi="宋体" w:cs="宋体"/>
          <w:b/>
          <w:color w:val="auto"/>
          <w:szCs w:val="21"/>
        </w:rPr>
      </w:pPr>
      <w:r>
        <w:rPr>
          <w:rFonts w:hint="eastAsia" w:ascii="宋体" w:hAnsi="宋体" w:cs="宋体"/>
          <w:b/>
          <w:color w:val="auto"/>
          <w:szCs w:val="21"/>
        </w:rPr>
        <w:t xml:space="preserve">2）委托代理人未能出具有效身份证或者出具的身份证与授权委托书中的信息不符的； </w:t>
      </w:r>
    </w:p>
    <w:p w14:paraId="14884FEA">
      <w:pPr>
        <w:spacing w:line="360" w:lineRule="auto"/>
        <w:ind w:firstLine="422" w:firstLineChars="200"/>
        <w:rPr>
          <w:rFonts w:ascii="宋体" w:hAnsi="宋体" w:cs="宋体"/>
          <w:b/>
          <w:color w:val="auto"/>
          <w:szCs w:val="21"/>
        </w:rPr>
      </w:pPr>
      <w:r>
        <w:rPr>
          <w:rFonts w:hint="eastAsia" w:ascii="宋体" w:hAnsi="宋体" w:cs="宋体"/>
          <w:b/>
          <w:color w:val="auto"/>
          <w:szCs w:val="21"/>
        </w:rPr>
        <w:t>3）提交的磋商保证金无效的或者未按照磋商文件的规定提交磋商保证金的；</w:t>
      </w:r>
    </w:p>
    <w:p w14:paraId="09A82CB4">
      <w:pPr>
        <w:spacing w:line="360" w:lineRule="auto"/>
        <w:ind w:firstLine="422" w:firstLineChars="200"/>
        <w:rPr>
          <w:rFonts w:ascii="宋体" w:hAnsi="宋体" w:cs="宋体"/>
          <w:b/>
          <w:color w:val="auto"/>
          <w:szCs w:val="21"/>
        </w:rPr>
      </w:pPr>
      <w:r>
        <w:rPr>
          <w:rFonts w:hint="eastAsia" w:ascii="宋体" w:hAnsi="宋体" w:cs="宋体"/>
          <w:b/>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3F45A14E">
      <w:pPr>
        <w:spacing w:line="360" w:lineRule="auto"/>
        <w:ind w:firstLine="422" w:firstLineChars="200"/>
        <w:rPr>
          <w:rFonts w:ascii="宋体" w:hAnsi="宋体" w:cs="宋体"/>
          <w:b/>
          <w:color w:val="auto"/>
          <w:szCs w:val="21"/>
        </w:rPr>
      </w:pPr>
      <w:r>
        <w:rPr>
          <w:rFonts w:hint="eastAsia" w:ascii="宋体" w:hAnsi="宋体" w:cs="宋体"/>
          <w:b/>
          <w:color w:val="auto"/>
          <w:szCs w:val="21"/>
        </w:rPr>
        <w:t>5）响应文件的实质性内容未使用中文表述、使用计量单位不符合磋商文件要求的；</w:t>
      </w:r>
    </w:p>
    <w:p w14:paraId="436F035D">
      <w:pPr>
        <w:spacing w:line="360" w:lineRule="auto"/>
        <w:ind w:firstLine="422" w:firstLineChars="200"/>
        <w:rPr>
          <w:rFonts w:ascii="宋体" w:hAnsi="宋体" w:cs="宋体"/>
          <w:b/>
          <w:color w:val="auto"/>
          <w:szCs w:val="21"/>
        </w:rPr>
      </w:pPr>
      <w:r>
        <w:rPr>
          <w:rFonts w:hint="eastAsia" w:ascii="宋体" w:hAnsi="宋体" w:cs="宋体"/>
          <w:b/>
          <w:color w:val="auto"/>
          <w:szCs w:val="21"/>
        </w:rPr>
        <w:t>6）响应文件中的文件资料因填写不齐全或者内容虚假或者出现其他情形而导致被磋商小组认定无效的；</w:t>
      </w:r>
    </w:p>
    <w:p w14:paraId="68FD0810">
      <w:pPr>
        <w:spacing w:line="360" w:lineRule="auto"/>
        <w:ind w:firstLine="422" w:firstLineChars="200"/>
        <w:rPr>
          <w:rFonts w:ascii="宋体" w:hAnsi="宋体" w:cs="宋体"/>
          <w:b/>
          <w:color w:val="auto"/>
          <w:szCs w:val="21"/>
        </w:rPr>
      </w:pPr>
      <w:r>
        <w:rPr>
          <w:rFonts w:hint="eastAsia" w:ascii="宋体" w:hAnsi="宋体" w:cs="宋体"/>
          <w:b/>
          <w:color w:val="auto"/>
          <w:szCs w:val="21"/>
        </w:rPr>
        <w:t>7）响应文件含有采购人不能接受的附加条件的；</w:t>
      </w:r>
    </w:p>
    <w:p w14:paraId="7EE71E16">
      <w:pPr>
        <w:spacing w:line="360" w:lineRule="auto"/>
        <w:ind w:firstLine="422" w:firstLineChars="200"/>
        <w:rPr>
          <w:rFonts w:ascii="宋体" w:hAnsi="宋体" w:cs="宋体"/>
          <w:b/>
          <w:color w:val="auto"/>
          <w:szCs w:val="21"/>
        </w:rPr>
      </w:pPr>
      <w:r>
        <w:rPr>
          <w:rFonts w:hint="eastAsia" w:ascii="宋体" w:hAnsi="宋体" w:cs="宋体"/>
          <w:b/>
          <w:color w:val="auto"/>
          <w:szCs w:val="21"/>
        </w:rPr>
        <w:t>8）属于“供应商须知正文”第7.</w:t>
      </w:r>
      <w:r>
        <w:rPr>
          <w:rFonts w:ascii="宋体" w:hAnsi="宋体" w:cs="宋体"/>
          <w:b/>
          <w:color w:val="auto"/>
          <w:szCs w:val="21"/>
        </w:rPr>
        <w:t>5</w:t>
      </w:r>
      <w:r>
        <w:rPr>
          <w:rFonts w:hint="eastAsia" w:ascii="宋体" w:hAnsi="宋体" w:cs="宋体"/>
          <w:b/>
          <w:color w:val="auto"/>
          <w:szCs w:val="21"/>
        </w:rPr>
        <w:t>条供应商相互串通竞标情形的；</w:t>
      </w:r>
    </w:p>
    <w:p w14:paraId="097D3850">
      <w:pPr>
        <w:spacing w:line="360" w:lineRule="auto"/>
        <w:ind w:firstLine="422" w:firstLineChars="200"/>
        <w:rPr>
          <w:rFonts w:ascii="宋体" w:hAnsi="宋体" w:cs="宋体"/>
          <w:b/>
          <w:color w:val="auto"/>
          <w:szCs w:val="21"/>
        </w:rPr>
      </w:pPr>
      <w:r>
        <w:rPr>
          <w:rFonts w:hint="eastAsia" w:ascii="宋体" w:hAnsi="宋体" w:cs="宋体"/>
          <w:b/>
          <w:color w:val="auto"/>
          <w:szCs w:val="21"/>
        </w:rPr>
        <w:t>9）虚假竞标，或者出现其他情形而导致被磋商小组认定无效的；</w:t>
      </w:r>
    </w:p>
    <w:p w14:paraId="1232FA9F">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0）</w:t>
      </w:r>
      <w:bookmarkStart w:id="71" w:name="_Hlk71704147"/>
      <w:r>
        <w:rPr>
          <w:rFonts w:hint="eastAsia" w:ascii="宋体" w:hAnsi="宋体" w:cs="宋体"/>
          <w:b/>
          <w:color w:val="auto"/>
          <w:szCs w:val="21"/>
        </w:rPr>
        <w:t>磋商文件未载明允许提供备选（替代）竞标方案或明确不允许提供备选（替代）竞标方案时，供应商提供了备选（替代）竞标方案的</w:t>
      </w:r>
      <w:bookmarkEnd w:id="71"/>
      <w:r>
        <w:rPr>
          <w:rFonts w:hint="eastAsia" w:ascii="宋体" w:hAnsi="宋体" w:cs="宋体"/>
          <w:b/>
          <w:color w:val="auto"/>
          <w:szCs w:val="21"/>
        </w:rPr>
        <w:t>；</w:t>
      </w:r>
    </w:p>
    <w:p w14:paraId="2BA0A71D">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1）响应文件标注的项目名称或者项目编号与磋商文件标注的项目名称或者项目编号不一致的；</w:t>
      </w:r>
    </w:p>
    <w:p w14:paraId="3B39883C">
      <w:pPr>
        <w:spacing w:line="360" w:lineRule="auto"/>
        <w:ind w:firstLine="422" w:firstLineChars="200"/>
        <w:rPr>
          <w:rFonts w:ascii="宋体" w:hAnsi="宋体" w:cs="宋体"/>
          <w:b/>
          <w:color w:val="auto"/>
          <w:szCs w:val="21"/>
        </w:rPr>
      </w:pPr>
      <w:r>
        <w:rPr>
          <w:rFonts w:hint="eastAsia" w:ascii="宋体" w:hAnsi="宋体" w:cs="宋体"/>
          <w:b/>
          <w:color w:val="auto"/>
          <w:szCs w:val="21"/>
        </w:rPr>
        <w:t>12）</w:t>
      </w:r>
      <w:r>
        <w:rPr>
          <w:rFonts w:hint="eastAsia" w:ascii="宋体" w:hAnsi="宋体"/>
          <w:b/>
          <w:color w:val="auto"/>
          <w:szCs w:val="21"/>
        </w:rPr>
        <w:t>竞争性磋商文件明确不允许分包，响应文件拟分包的；</w:t>
      </w:r>
    </w:p>
    <w:p w14:paraId="0610377C">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3）未响应磋商文件实质性要求的；</w:t>
      </w:r>
    </w:p>
    <w:p w14:paraId="27FE4690">
      <w:pPr>
        <w:spacing w:line="360" w:lineRule="auto"/>
        <w:ind w:firstLine="422" w:firstLineChars="200"/>
        <w:rPr>
          <w:rFonts w:ascii="宋体" w:hAnsi="宋体" w:cs="宋体"/>
          <w:b/>
          <w:color w:val="auto"/>
          <w:szCs w:val="21"/>
        </w:rPr>
      </w:pPr>
      <w:r>
        <w:rPr>
          <w:rFonts w:hint="eastAsia" w:ascii="宋体" w:hAnsi="宋体" w:cs="宋体"/>
          <w:b/>
          <w:color w:val="auto"/>
          <w:szCs w:val="21"/>
        </w:rPr>
        <w:t>14）法律、法规和磋商文件规定的其他无效情形。</w:t>
      </w:r>
    </w:p>
    <w:p w14:paraId="51249431">
      <w:pPr>
        <w:spacing w:line="360" w:lineRule="auto"/>
        <w:ind w:firstLine="422" w:firstLineChars="200"/>
        <w:rPr>
          <w:rFonts w:ascii="宋体" w:hAnsi="宋体" w:cs="宋体"/>
          <w:b/>
          <w:color w:val="auto"/>
          <w:szCs w:val="21"/>
        </w:rPr>
      </w:pPr>
      <w:r>
        <w:rPr>
          <w:rFonts w:hint="eastAsia" w:ascii="宋体" w:hAnsi="宋体" w:cs="宋体"/>
          <w:b/>
          <w:color w:val="auto"/>
          <w:szCs w:val="21"/>
        </w:rPr>
        <w:t>（</w:t>
      </w:r>
      <w:r>
        <w:rPr>
          <w:rFonts w:ascii="宋体" w:hAnsi="宋体" w:cs="宋体"/>
          <w:b/>
          <w:color w:val="auto"/>
          <w:szCs w:val="21"/>
        </w:rPr>
        <w:t>2</w:t>
      </w:r>
      <w:r>
        <w:rPr>
          <w:rFonts w:hint="eastAsia" w:ascii="宋体" w:hAnsi="宋体" w:cs="宋体"/>
          <w:b/>
          <w:color w:val="auto"/>
          <w:szCs w:val="21"/>
        </w:rPr>
        <w:t>）报价评审</w:t>
      </w:r>
    </w:p>
    <w:p w14:paraId="28A735A3">
      <w:pPr>
        <w:spacing w:line="360" w:lineRule="auto"/>
        <w:ind w:firstLine="422" w:firstLineChars="200"/>
        <w:rPr>
          <w:rFonts w:ascii="宋体" w:hAnsi="宋体" w:cs="宋体"/>
          <w:b/>
          <w:color w:val="auto"/>
          <w:szCs w:val="21"/>
        </w:rPr>
      </w:pPr>
      <w:r>
        <w:rPr>
          <w:rFonts w:hint="eastAsia" w:ascii="宋体" w:hAnsi="宋体" w:cs="宋体"/>
          <w:b/>
          <w:color w:val="auto"/>
          <w:szCs w:val="21"/>
        </w:rPr>
        <w:t>1）</w:t>
      </w:r>
      <w:r>
        <w:rPr>
          <w:rFonts w:ascii="宋体" w:hAnsi="宋体" w:cs="宋体"/>
          <w:b/>
          <w:color w:val="auto"/>
          <w:szCs w:val="21"/>
        </w:rPr>
        <w:t xml:space="preserve"> </w:t>
      </w:r>
      <w:r>
        <w:rPr>
          <w:rFonts w:hint="eastAsia" w:ascii="宋体" w:hAnsi="宋体" w:cs="宋体"/>
          <w:b/>
          <w:color w:val="auto"/>
          <w:szCs w:val="21"/>
        </w:rPr>
        <w:t>响应文件未提供“供应商须知前附表” 报价文件中规定的“竞标报价表”的；</w:t>
      </w:r>
    </w:p>
    <w:p w14:paraId="38A22542">
      <w:pPr>
        <w:spacing w:line="360" w:lineRule="auto"/>
        <w:ind w:firstLine="422" w:firstLineChars="200"/>
        <w:rPr>
          <w:rFonts w:ascii="宋体" w:hAnsi="宋体" w:cs="宋体"/>
          <w:b/>
          <w:color w:val="auto"/>
          <w:szCs w:val="21"/>
        </w:rPr>
      </w:pPr>
      <w:r>
        <w:rPr>
          <w:rFonts w:hint="eastAsia" w:ascii="宋体" w:hAnsi="宋体" w:cs="宋体"/>
          <w:b/>
          <w:color w:val="auto"/>
          <w:szCs w:val="21"/>
        </w:rPr>
        <w:t>2）未采用人民币报价或者未按照磋商文件标明的币种报价的；</w:t>
      </w:r>
    </w:p>
    <w:p w14:paraId="73B4C900">
      <w:pPr>
        <w:spacing w:line="360" w:lineRule="auto"/>
        <w:ind w:firstLine="422" w:firstLineChars="200"/>
        <w:rPr>
          <w:rFonts w:ascii="宋体" w:hAnsi="宋体" w:cs="宋体"/>
          <w:b/>
          <w:color w:val="auto"/>
          <w:szCs w:val="21"/>
        </w:rPr>
      </w:pPr>
      <w:r>
        <w:rPr>
          <w:rFonts w:hint="eastAsia" w:ascii="宋体" w:hAnsi="宋体" w:cs="宋体"/>
          <w:b/>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60F5CFC">
      <w:pPr>
        <w:spacing w:line="360" w:lineRule="auto"/>
        <w:ind w:firstLine="422" w:firstLineChars="200"/>
        <w:rPr>
          <w:rFonts w:ascii="宋体" w:hAnsi="宋体" w:cs="宋体"/>
          <w:b/>
          <w:color w:val="auto"/>
          <w:szCs w:val="21"/>
        </w:rPr>
      </w:pPr>
      <w:r>
        <w:rPr>
          <w:rFonts w:hint="eastAsia" w:ascii="宋体" w:hAnsi="宋体" w:cs="宋体"/>
          <w:b/>
          <w:color w:val="auto"/>
          <w:szCs w:val="21"/>
        </w:rPr>
        <w:t>4）竞标报价（包含首次报价、最后报价）超过所竞标分标规定的采购预算金额或者最高限价的（如本项目公布了最高限价）</w:t>
      </w:r>
      <w:bookmarkStart w:id="72" w:name="_Hlk42596405"/>
      <w:r>
        <w:rPr>
          <w:rFonts w:hint="eastAsia" w:ascii="宋体" w:hAnsi="宋体" w:cs="宋体"/>
          <w:b/>
          <w:color w:val="auto"/>
          <w:szCs w:val="21"/>
        </w:rPr>
        <w:t>；竞标报价（包含首次报价、最后报价）</w:t>
      </w:r>
      <w:bookmarkEnd w:id="72"/>
      <w:bookmarkStart w:id="73" w:name="_Hlk42596276"/>
      <w:r>
        <w:rPr>
          <w:rFonts w:hint="eastAsia" w:ascii="宋体" w:hAnsi="宋体" w:cs="宋体"/>
          <w:b/>
          <w:color w:val="auto"/>
          <w:szCs w:val="21"/>
        </w:rPr>
        <w:t>超过磋商文件分项采购预算金额或者单价最高限价的</w:t>
      </w:r>
      <w:bookmarkEnd w:id="73"/>
      <w:r>
        <w:rPr>
          <w:rFonts w:hint="eastAsia" w:ascii="宋体" w:hAnsi="宋体" w:cs="宋体"/>
          <w:b/>
          <w:color w:val="auto"/>
          <w:szCs w:val="21"/>
        </w:rPr>
        <w:t>（如项目有要求并公布了分项采购预算金额或者单价最高限价）；</w:t>
      </w:r>
    </w:p>
    <w:p w14:paraId="7A4FE9D7">
      <w:pPr>
        <w:spacing w:line="360" w:lineRule="auto"/>
        <w:ind w:firstLine="422" w:firstLineChars="200"/>
        <w:rPr>
          <w:rFonts w:ascii="宋体" w:hAnsi="宋体" w:cs="宋体"/>
          <w:b/>
          <w:color w:val="auto"/>
          <w:szCs w:val="21"/>
        </w:rPr>
      </w:pPr>
      <w:r>
        <w:rPr>
          <w:rFonts w:hint="eastAsia" w:ascii="宋体" w:hAnsi="宋体" w:cs="宋体"/>
          <w:b/>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74D1FC6D">
      <w:pPr>
        <w:spacing w:line="360" w:lineRule="auto"/>
        <w:ind w:firstLine="422" w:firstLineChars="200"/>
        <w:rPr>
          <w:rFonts w:ascii="宋体" w:hAnsi="宋体" w:cs="宋体"/>
          <w:b/>
          <w:color w:val="auto"/>
          <w:szCs w:val="21"/>
        </w:rPr>
      </w:pPr>
      <w:r>
        <w:rPr>
          <w:rFonts w:hint="eastAsia" w:ascii="宋体" w:hAnsi="宋体" w:cs="宋体"/>
          <w:b/>
          <w:color w:val="auto"/>
          <w:szCs w:val="21"/>
        </w:rPr>
        <w:t>6）在单价合同工程中供应商采用总价优惠或以总价百分比优惠的方式进行竞标报价的；</w:t>
      </w:r>
    </w:p>
    <w:p w14:paraId="45D9E996">
      <w:pPr>
        <w:spacing w:line="360" w:lineRule="auto"/>
        <w:ind w:firstLine="422" w:firstLineChars="200"/>
        <w:rPr>
          <w:rFonts w:ascii="宋体" w:hAnsi="宋体" w:cs="宋体"/>
          <w:b/>
          <w:color w:val="auto"/>
          <w:szCs w:val="21"/>
        </w:rPr>
      </w:pPr>
      <w:r>
        <w:rPr>
          <w:rFonts w:hint="eastAsia" w:ascii="宋体" w:hAnsi="宋体" w:cs="宋体"/>
          <w:b/>
          <w:color w:val="auto"/>
          <w:szCs w:val="21"/>
        </w:rPr>
        <w:t>7）竞标总报价与已标价工程量清单汇总表不一致的；</w:t>
      </w:r>
    </w:p>
    <w:p w14:paraId="3F7AACBA">
      <w:pPr>
        <w:spacing w:line="360" w:lineRule="auto"/>
        <w:ind w:firstLine="422" w:firstLineChars="200"/>
        <w:rPr>
          <w:rFonts w:ascii="宋体" w:hAnsi="宋体" w:cs="宋体"/>
          <w:b/>
          <w:color w:val="auto"/>
          <w:szCs w:val="21"/>
        </w:rPr>
      </w:pPr>
      <w:r>
        <w:rPr>
          <w:rFonts w:hint="eastAsia" w:ascii="宋体" w:hAnsi="宋体" w:cs="宋体"/>
          <w:b/>
          <w:color w:val="auto"/>
          <w:szCs w:val="21"/>
        </w:rPr>
        <w:t>8）安全文明施工费和规费、增值税不按广西壮族自治区费用定额及造价管理相关文件规定报价的（园林绿化及仿古建筑工程除外）；</w:t>
      </w:r>
    </w:p>
    <w:p w14:paraId="3219C4E9">
      <w:pPr>
        <w:spacing w:line="360" w:lineRule="auto"/>
        <w:ind w:firstLine="422" w:firstLineChars="200"/>
        <w:rPr>
          <w:rFonts w:ascii="宋体" w:hAnsi="宋体" w:cs="宋体"/>
          <w:b/>
          <w:color w:val="auto"/>
          <w:szCs w:val="21"/>
        </w:rPr>
      </w:pPr>
      <w:r>
        <w:rPr>
          <w:rFonts w:hint="eastAsia" w:ascii="宋体" w:hAnsi="宋体" w:cs="宋体"/>
          <w:b/>
          <w:color w:val="auto"/>
          <w:szCs w:val="21"/>
        </w:rPr>
        <w:t>9）供应商已标价工程量清单的项目编码（12位）、计量单位、工程量任何一处与工程量清单不一致的；</w:t>
      </w:r>
    </w:p>
    <w:p w14:paraId="75B44814">
      <w:pPr>
        <w:spacing w:line="360" w:lineRule="auto"/>
        <w:ind w:firstLine="422" w:firstLineChars="200"/>
        <w:rPr>
          <w:rFonts w:ascii="宋体" w:hAnsi="宋体" w:cs="宋体"/>
          <w:b/>
          <w:color w:val="auto"/>
          <w:szCs w:val="21"/>
        </w:rPr>
      </w:pPr>
      <w:r>
        <w:rPr>
          <w:rFonts w:hint="eastAsia" w:ascii="宋体" w:hAnsi="宋体" w:cs="宋体"/>
          <w:b/>
          <w:color w:val="auto"/>
          <w:szCs w:val="21"/>
        </w:rPr>
        <w:t>10）供应商已标价工程量清单的项目名称或项目特征与工程量清单不一致，磋商小组要求澄清、说明或补正，但供应商拒绝澄清、说明或补正的；</w:t>
      </w:r>
    </w:p>
    <w:p w14:paraId="0714A084">
      <w:pPr>
        <w:spacing w:line="360" w:lineRule="auto"/>
        <w:ind w:firstLine="422" w:firstLineChars="200"/>
        <w:rPr>
          <w:rFonts w:ascii="宋体" w:hAnsi="宋体" w:cs="宋体"/>
          <w:b/>
          <w:color w:val="auto"/>
          <w:szCs w:val="21"/>
        </w:rPr>
      </w:pPr>
      <w:r>
        <w:rPr>
          <w:rFonts w:hint="eastAsia" w:ascii="宋体" w:hAnsi="宋体" w:cs="宋体"/>
          <w:b/>
          <w:color w:val="auto"/>
          <w:szCs w:val="21"/>
        </w:rPr>
        <w:t>11）设有暂估价、暂列金额的，竞标时未按工程量清单给出的暂估价总价、暂列金额总价计入竞标总报价中的；</w:t>
      </w:r>
    </w:p>
    <w:p w14:paraId="33BCFEBA">
      <w:pPr>
        <w:spacing w:line="360" w:lineRule="auto"/>
        <w:ind w:firstLine="422" w:firstLineChars="200"/>
        <w:rPr>
          <w:rFonts w:ascii="宋体" w:hAnsi="宋体" w:cs="宋体"/>
          <w:b/>
          <w:color w:val="auto"/>
          <w:szCs w:val="21"/>
        </w:rPr>
      </w:pPr>
      <w:r>
        <w:rPr>
          <w:rFonts w:hint="eastAsia" w:ascii="宋体" w:hAnsi="宋体" w:cs="宋体"/>
          <w:b/>
          <w:color w:val="auto"/>
          <w:szCs w:val="21"/>
        </w:rPr>
        <w:t>12）供应商对工程量清单内容进行增减或对竞标范围进行调整的；</w:t>
      </w:r>
    </w:p>
    <w:p w14:paraId="55FFBCF4">
      <w:pPr>
        <w:spacing w:line="360" w:lineRule="auto"/>
        <w:ind w:firstLine="422" w:firstLineChars="200"/>
        <w:rPr>
          <w:rFonts w:ascii="宋体" w:hAnsi="宋体"/>
          <w:b/>
          <w:color w:val="auto"/>
          <w:szCs w:val="21"/>
        </w:rPr>
      </w:pPr>
      <w:r>
        <w:rPr>
          <w:rFonts w:hint="eastAsia" w:ascii="宋体" w:hAnsi="宋体" w:cs="宋体"/>
          <w:b/>
          <w:color w:val="auto"/>
          <w:szCs w:val="21"/>
        </w:rPr>
        <w:t>13）</w:t>
      </w:r>
      <w:r>
        <w:rPr>
          <w:rFonts w:hint="eastAsia" w:ascii="宋体" w:hAnsi="宋体"/>
          <w:b/>
          <w:color w:val="auto"/>
          <w:szCs w:val="21"/>
        </w:rPr>
        <w:t>响应文件响应的标的数量及单位与竞争性磋商采购文件要求实质性不一致的；</w:t>
      </w:r>
    </w:p>
    <w:p w14:paraId="5B4311D6">
      <w:pPr>
        <w:spacing w:line="360" w:lineRule="auto"/>
        <w:ind w:firstLine="422" w:firstLineChars="200"/>
        <w:rPr>
          <w:rFonts w:ascii="宋体" w:hAnsi="宋体"/>
          <w:b/>
          <w:color w:val="auto"/>
          <w:szCs w:val="21"/>
        </w:rPr>
      </w:pPr>
      <w:bookmarkStart w:id="74" w:name="_Hlk188371373"/>
      <w:r>
        <w:rPr>
          <w:rFonts w:hint="eastAsia" w:ascii="宋体" w:hAnsi="宋体"/>
          <w:b/>
          <w:color w:val="auto"/>
          <w:szCs w:val="21"/>
        </w:rPr>
        <w:t>14）竞标函附录的承诺</w:t>
      </w:r>
      <w:bookmarkStart w:id="75" w:name="_Hlk188372203"/>
      <w:r>
        <w:rPr>
          <w:rFonts w:hint="eastAsia" w:ascii="宋体" w:hAnsi="宋体"/>
          <w:b/>
          <w:color w:val="auto"/>
          <w:szCs w:val="21"/>
        </w:rPr>
        <w:t>不</w:t>
      </w:r>
      <w:bookmarkEnd w:id="75"/>
      <w:r>
        <w:rPr>
          <w:rFonts w:hint="eastAsia" w:ascii="宋体" w:hAnsi="宋体"/>
          <w:b/>
          <w:color w:val="auto"/>
          <w:szCs w:val="21"/>
        </w:rPr>
        <w:t>符合磋商文件规定</w:t>
      </w:r>
      <w:bookmarkEnd w:id="74"/>
      <w:r>
        <w:rPr>
          <w:rFonts w:hint="eastAsia" w:ascii="宋体" w:hAnsi="宋体"/>
          <w:b/>
          <w:color w:val="auto"/>
          <w:szCs w:val="21"/>
        </w:rPr>
        <w:t>的；</w:t>
      </w:r>
    </w:p>
    <w:p w14:paraId="0CD42E10">
      <w:pPr>
        <w:spacing w:line="360" w:lineRule="auto"/>
        <w:ind w:firstLine="422" w:firstLineChars="200"/>
        <w:rPr>
          <w:rFonts w:ascii="宋体" w:hAnsi="宋体" w:cs="宋体"/>
          <w:b/>
          <w:color w:val="auto"/>
          <w:szCs w:val="21"/>
        </w:rPr>
      </w:pPr>
      <w:r>
        <w:rPr>
          <w:rFonts w:ascii="宋体" w:hAnsi="宋体" w:cs="宋体"/>
          <w:b/>
          <w:color w:val="auto"/>
          <w:szCs w:val="21"/>
        </w:rPr>
        <w:t>1</w:t>
      </w:r>
      <w:r>
        <w:rPr>
          <w:rFonts w:hint="eastAsia" w:ascii="宋体" w:hAnsi="宋体" w:cs="宋体"/>
          <w:b/>
          <w:color w:val="auto"/>
          <w:szCs w:val="21"/>
        </w:rPr>
        <w:t>5）未响应磋商文件实质性要求的。</w:t>
      </w:r>
    </w:p>
    <w:p w14:paraId="411D0491">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w:t>
      </w:r>
    </w:p>
    <w:p w14:paraId="6AE7E885">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通过符合性审查的合格供应商不足3家的，不得进入磋商环节，应当重新开展采购活动。</w:t>
      </w:r>
    </w:p>
    <w:p w14:paraId="31079828">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14:paraId="41FEFAD5">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w:t>
      </w:r>
      <w:r>
        <w:rPr>
          <w:rFonts w:hint="eastAsia" w:ascii="宋体" w:hAnsi="宋体" w:cs="宋体"/>
          <w:b/>
          <w:bCs/>
          <w:color w:val="auto"/>
          <w:szCs w:val="21"/>
        </w:rPr>
        <w:t>未在规定时间内参加磋商的视同放弃参加磋商权利，其响应文件按无效处理。</w:t>
      </w:r>
    </w:p>
    <w:p w14:paraId="4A6ACD9A">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1638E3B">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14:paraId="7A4A8658">
      <w:pPr>
        <w:spacing w:line="360" w:lineRule="auto"/>
        <w:ind w:firstLine="422" w:firstLineChars="200"/>
        <w:rPr>
          <w:rFonts w:ascii="宋体" w:hAnsi="宋体" w:cs="宋体"/>
          <w:b/>
          <w:bCs/>
          <w:color w:val="auto"/>
          <w:szCs w:val="21"/>
        </w:rPr>
      </w:pPr>
      <w:r>
        <w:rPr>
          <w:rFonts w:ascii="宋体" w:hAnsi="宋体" w:cs="宋体"/>
          <w:b/>
          <w:bCs/>
          <w:color w:val="auto"/>
          <w:szCs w:val="21"/>
        </w:rPr>
        <w:t>3.4</w:t>
      </w:r>
      <w:r>
        <w:rPr>
          <w:rFonts w:hint="eastAsia" w:ascii="宋体" w:hAnsi="宋体" w:cs="宋体"/>
          <w:b/>
          <w:bCs/>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EF48E7E">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磋商中，磋商的任何一方不得透露与磋商有关的其他供应商的技术资料、价格和其他信息</w:t>
      </w:r>
      <w:r>
        <w:rPr>
          <w:rFonts w:hint="eastAsia" w:ascii="宋体" w:hAnsi="宋体" w:cs="宋体"/>
          <w:color w:val="auto"/>
          <w:spacing w:val="-6"/>
          <w:szCs w:val="21"/>
        </w:rPr>
        <w:t>。</w:t>
      </w:r>
    </w:p>
    <w:p w14:paraId="5693CB38">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采购代理机构对磋商过程和磋商内容进行记录。</w:t>
      </w:r>
    </w:p>
    <w:p w14:paraId="633A5ECE">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w:t>
      </w:r>
      <w:r>
        <w:rPr>
          <w:rFonts w:ascii="宋体" w:hAnsi="宋体"/>
          <w:color w:val="auto"/>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02A31F9">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3.8除</w:t>
      </w:r>
      <w:r>
        <w:rPr>
          <w:rFonts w:ascii="宋体" w:hAnsi="宋体"/>
          <w:color w:val="auto"/>
        </w:rPr>
        <w:t>本章第3.7条</w:t>
      </w:r>
      <w:r>
        <w:rPr>
          <w:rFonts w:hint="eastAsia" w:ascii="宋体" w:hAnsi="宋体"/>
          <w:color w:val="auto"/>
        </w:rPr>
        <w:t>规定的</w:t>
      </w:r>
      <w:r>
        <w:rPr>
          <w:rFonts w:ascii="宋体" w:hAnsi="宋体"/>
          <w:color w:val="auto"/>
        </w:rPr>
        <w:t>情形</w:t>
      </w:r>
      <w:r>
        <w:rPr>
          <w:rFonts w:hint="eastAsia" w:ascii="宋体" w:hAnsi="宋体"/>
          <w:color w:val="auto"/>
        </w:rPr>
        <w:t>外，</w:t>
      </w:r>
      <w:r>
        <w:rPr>
          <w:rFonts w:hint="eastAsia" w:ascii="宋体" w:hAnsi="宋体"/>
          <w:color w:val="auto"/>
          <w:szCs w:val="21"/>
        </w:rPr>
        <w:t>对磋商过程提交的响应文件进行有效性、完整性和响应程度审查，通过审查的合格供应商不足3家的，应当重新开展采购活动。</w:t>
      </w:r>
    </w:p>
    <w:p w14:paraId="554E0223">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14:paraId="1D063F9B">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rPr>
        <w:t>4.3</w:t>
      </w:r>
      <w:r>
        <w:rPr>
          <w:rFonts w:hint="eastAsia" w:ascii="宋体" w:hAnsi="宋体" w:cs="宋体"/>
          <w:color w:val="auto"/>
          <w:szCs w:val="21"/>
        </w:rPr>
        <w:t>条规定的情形外，提交最后报价的供应商不得少于3家，否则应当重新</w:t>
      </w:r>
      <w:r>
        <w:rPr>
          <w:rFonts w:hint="eastAsia" w:ascii="宋体" w:hAnsi="宋体"/>
          <w:color w:val="auto"/>
          <w:szCs w:val="21"/>
        </w:rPr>
        <w:t>开展采购活动</w:t>
      </w:r>
      <w:r>
        <w:rPr>
          <w:rFonts w:hint="eastAsia" w:ascii="宋体" w:hAnsi="宋体" w:cs="宋体"/>
          <w:color w:val="auto"/>
          <w:szCs w:val="21"/>
        </w:rPr>
        <w:t>。</w:t>
      </w:r>
    </w:p>
    <w:p w14:paraId="0476E536">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r>
        <w:rPr>
          <w:rFonts w:hint="eastAsia" w:ascii="宋体" w:hAnsi="宋体" w:cs="宋体"/>
          <w:b/>
          <w:color w:val="auto"/>
          <w:szCs w:val="21"/>
        </w:rPr>
        <w:t>如果供应商的最后报价与首次报价不一致的，不能只报竞标总报价，必须同时提供“已标价工程量清单”，否则做无效响应处理。</w:t>
      </w:r>
    </w:p>
    <w:p w14:paraId="601C6910">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w:t>
      </w:r>
    </w:p>
    <w:p w14:paraId="0FBC4BC2">
      <w:pPr>
        <w:spacing w:line="360" w:lineRule="auto"/>
        <w:ind w:firstLine="420" w:firstLineChars="200"/>
        <w:rPr>
          <w:rFonts w:ascii="宋体" w:hAnsi="宋体" w:cs="宋体"/>
          <w:color w:val="auto"/>
          <w:szCs w:val="21"/>
        </w:rPr>
      </w:pPr>
      <w:r>
        <w:rPr>
          <w:rFonts w:hint="eastAsia" w:ascii="宋体" w:hAnsi="宋体" w:cs="宋体"/>
          <w:color w:val="auto"/>
          <w:szCs w:val="21"/>
        </w:rPr>
        <w:t>符合《政府采购竞争性磋商采购方式管理暂行办法》（财库〔2014〕214号）第三条第四项“市场竞争不充分的科研项目，以及需要扶持的科技成果转化项目”和</w:t>
      </w:r>
      <w:r>
        <w:rPr>
          <w:color w:val="auto"/>
        </w:rPr>
        <w:t>本章</w:t>
      </w:r>
      <w:r>
        <w:rPr>
          <w:rFonts w:ascii="宋体" w:hAnsi="宋体"/>
          <w:color w:val="auto"/>
        </w:rPr>
        <w:t>第3.7条</w:t>
      </w:r>
      <w:r>
        <w:rPr>
          <w:rFonts w:hint="eastAsia" w:ascii="宋体" w:hAnsi="宋体" w:cs="宋体"/>
          <w:color w:val="auto"/>
          <w:szCs w:val="21"/>
        </w:rPr>
        <w:t>规定</w:t>
      </w:r>
      <w:r>
        <w:rPr>
          <w:color w:val="auto"/>
        </w:rPr>
        <w:t>情形的，</w:t>
      </w:r>
      <w:r>
        <w:rPr>
          <w:rFonts w:hint="eastAsia" w:ascii="宋体" w:hAnsi="宋体" w:cs="宋体"/>
          <w:color w:val="auto"/>
          <w:szCs w:val="21"/>
        </w:rPr>
        <w:t>提交最后报价的供应商可以为2家。</w:t>
      </w:r>
    </w:p>
    <w:p w14:paraId="4910FFD2">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w:t>
      </w:r>
      <w:r>
        <w:rPr>
          <w:rFonts w:hint="eastAsia" w:ascii="宋体" w:hAnsi="宋体" w:cs="宋体"/>
          <w:b/>
          <w:bCs/>
          <w:color w:val="auto"/>
          <w:szCs w:val="21"/>
        </w:rPr>
        <w:t>退出磋商的供应商的响应文件按无效处理。</w:t>
      </w:r>
      <w:r>
        <w:rPr>
          <w:rFonts w:hint="eastAsia" w:ascii="宋体" w:hAnsi="宋体" w:cs="宋体"/>
          <w:color w:val="auto"/>
          <w:szCs w:val="21"/>
        </w:rPr>
        <w:t>采购人、采购代理机构将退还退出磋商的供应商的保证金。</w:t>
      </w:r>
    </w:p>
    <w:p w14:paraId="24B078B0">
      <w:pPr>
        <w:spacing w:line="360" w:lineRule="auto"/>
        <w:ind w:firstLine="422" w:firstLineChars="200"/>
        <w:rPr>
          <w:rFonts w:ascii="宋体" w:hAnsi="宋体" w:cs="宋体"/>
          <w:b/>
          <w:bCs/>
          <w:color w:val="auto"/>
          <w:szCs w:val="21"/>
        </w:rPr>
      </w:pPr>
      <w:r>
        <w:rPr>
          <w:rFonts w:ascii="宋体" w:hAnsi="宋体" w:cs="宋体"/>
          <w:b/>
          <w:bCs/>
          <w:color w:val="auto"/>
          <w:szCs w:val="21"/>
        </w:rPr>
        <w:t>4.5</w:t>
      </w:r>
      <w:r>
        <w:rPr>
          <w:rFonts w:hint="eastAsia" w:ascii="宋体" w:hAnsi="宋体" w:cs="宋体"/>
          <w:b/>
          <w:bCs/>
          <w:color w:val="auto"/>
          <w:szCs w:val="21"/>
        </w:rPr>
        <w:t>供应商未在规定时间内提交最后报价的，视同退出磋商，其响应文件按无效处理。</w:t>
      </w:r>
    </w:p>
    <w:p w14:paraId="4BD74D24">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14:paraId="152EB04B">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406E91CC">
      <w:pPr>
        <w:spacing w:line="360" w:lineRule="auto"/>
        <w:ind w:firstLine="422" w:firstLineChars="200"/>
        <w:rPr>
          <w:rFonts w:ascii="宋体" w:hAnsi="宋体" w:cs="宋体"/>
          <w:b/>
          <w:bCs/>
          <w:color w:val="auto"/>
          <w:szCs w:val="21"/>
        </w:rPr>
      </w:pPr>
      <w:r>
        <w:rPr>
          <w:rFonts w:ascii="宋体" w:hAnsi="宋体" w:cs="宋体"/>
          <w:b/>
          <w:bCs/>
          <w:color w:val="auto"/>
          <w:szCs w:val="21"/>
        </w:rPr>
        <w:t>4.8</w:t>
      </w:r>
      <w:r>
        <w:rPr>
          <w:rFonts w:hint="eastAsia" w:ascii="宋体" w:hAnsi="宋体" w:cs="宋体"/>
          <w:b/>
          <w:bCs/>
          <w:color w:val="auto"/>
          <w:szCs w:val="21"/>
        </w:rPr>
        <w:t>修正后的报价出现下列情形的，按无效响应处理：</w:t>
      </w:r>
    </w:p>
    <w:p w14:paraId="7D181766">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（1）供应商不确认的（全流程电子化评标采取在线确认）；</w:t>
      </w:r>
    </w:p>
    <w:p w14:paraId="49D3C87C">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（2）经供应商确认修正后的竞标报价（包含首次报价、最后报价）超过所竞标分标规定的采购预算金额或者最高限价的（如本项目公布了最高限价）；</w:t>
      </w:r>
    </w:p>
    <w:p w14:paraId="7E5B1CD8">
      <w:pPr>
        <w:spacing w:line="360" w:lineRule="auto"/>
        <w:ind w:firstLine="422" w:firstLineChars="200"/>
        <w:rPr>
          <w:rFonts w:ascii="宋体" w:hAnsi="宋体" w:cs="宋体"/>
          <w:color w:val="auto"/>
          <w:szCs w:val="21"/>
        </w:rPr>
      </w:pPr>
      <w:r>
        <w:rPr>
          <w:rFonts w:hint="eastAsia" w:ascii="宋体" w:hAnsi="宋体" w:cs="宋体"/>
          <w:b/>
          <w:bCs/>
          <w:color w:val="auto"/>
          <w:szCs w:val="21"/>
        </w:rPr>
        <w:t>（3）经供应商确认修正后的竞标报价（包含首次报价、最后报价）超过分项采购预算金额或者单价最高限价的（如项目有要求并公布了分项采购预算金额或者单价最高限价）。</w:t>
      </w:r>
    </w:p>
    <w:p w14:paraId="2DFF8586">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486C8DE5">
      <w:pPr>
        <w:spacing w:line="360" w:lineRule="auto"/>
        <w:ind w:firstLine="420" w:firstLineChars="200"/>
        <w:rPr>
          <w:rFonts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14:paraId="39A55DB3">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14:paraId="015E1784">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14:paraId="5B9143CD">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5045D327">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0A6C0110">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1E1B0294">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0974D8AF">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70CB4F2D">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50F17842">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6. 成交供应商推荐原则</w:t>
      </w:r>
    </w:p>
    <w:p w14:paraId="3E2AC33E">
      <w:pPr>
        <w:spacing w:line="360" w:lineRule="auto"/>
        <w:ind w:firstLine="420" w:firstLineChars="200"/>
        <w:rPr>
          <w:rFonts w:ascii="宋体" w:hAnsi="宋体"/>
          <w:color w:val="auto"/>
          <w:kern w:val="0"/>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1</w:t>
      </w:r>
      <w:r>
        <w:rPr>
          <w:rFonts w:hint="eastAsia" w:ascii="宋体" w:hAnsi="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w:t>
      </w:r>
      <w:r>
        <w:rPr>
          <w:rFonts w:hint="eastAsia" w:hAnsi="宋体"/>
          <w:color w:val="auto"/>
        </w:rPr>
        <w:t>通过电子交易平台向采购人、采购代理机构提交。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r>
        <w:rPr>
          <w:rFonts w:hint="eastAsia" w:ascii="宋体" w:hAnsi="宋体"/>
          <w:color w:val="auto"/>
          <w:kern w:val="0"/>
          <w:szCs w:val="21"/>
        </w:rPr>
        <w:t>。</w:t>
      </w:r>
    </w:p>
    <w:p w14:paraId="1DD5BB6E">
      <w:pPr>
        <w:spacing w:line="360" w:lineRule="auto"/>
        <w:ind w:firstLine="420" w:firstLineChars="200"/>
        <w:rPr>
          <w:rFonts w:ascii="宋体" w:hAnsi="宋体" w:cs="宋体"/>
          <w:color w:val="auto"/>
          <w:szCs w:val="21"/>
        </w:rPr>
      </w:pPr>
      <w:r>
        <w:rPr>
          <w:rFonts w:hint="eastAsia" w:ascii="宋体" w:hAnsi="宋体"/>
          <w:color w:val="auto"/>
          <w:kern w:val="0"/>
          <w:szCs w:val="21"/>
        </w:rPr>
        <w:t>6</w:t>
      </w:r>
      <w:r>
        <w:rPr>
          <w:rFonts w:ascii="宋体" w:hAnsi="宋体"/>
          <w:color w:val="auto"/>
          <w:kern w:val="0"/>
          <w:szCs w:val="21"/>
        </w:rPr>
        <w:t>.</w:t>
      </w:r>
      <w:r>
        <w:rPr>
          <w:rFonts w:hint="eastAsia" w:ascii="宋体" w:hAnsi="宋体"/>
          <w:color w:val="auto"/>
          <w:kern w:val="0"/>
          <w:szCs w:val="21"/>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043611">
      <w:pPr>
        <w:rPr>
          <w:rFonts w:ascii="宋体" w:hAnsi="宋体"/>
          <w:b/>
          <w:color w:val="auto"/>
          <w:sz w:val="32"/>
          <w:szCs w:val="32"/>
        </w:rPr>
      </w:pPr>
      <w:r>
        <w:rPr>
          <w:rFonts w:hint="eastAsia" w:ascii="宋体" w:hAnsi="宋体"/>
          <w:b/>
          <w:color w:val="auto"/>
          <w:sz w:val="32"/>
          <w:szCs w:val="32"/>
        </w:rPr>
        <w:br w:type="page"/>
      </w:r>
    </w:p>
    <w:p w14:paraId="2AD5768C">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23B32D16">
      <w:pPr>
        <w:spacing w:line="360" w:lineRule="auto"/>
        <w:ind w:firstLine="420" w:firstLineChars="200"/>
        <w:rPr>
          <w:rFonts w:ascii="宋体" w:hAnsi="宋体"/>
          <w:bCs/>
          <w:color w:val="auto"/>
          <w:szCs w:val="21"/>
        </w:rPr>
      </w:pPr>
      <w:r>
        <w:rPr>
          <w:rFonts w:hint="eastAsia" w:ascii="宋体" w:hAnsi="宋体"/>
          <w:bCs/>
          <w:color w:val="auto"/>
          <w:szCs w:val="21"/>
        </w:rPr>
        <w:t>7</w:t>
      </w:r>
      <w:r>
        <w:rPr>
          <w:rFonts w:ascii="宋体" w:hAnsi="宋体"/>
          <w:bCs/>
          <w:color w:val="auto"/>
          <w:szCs w:val="21"/>
        </w:rPr>
        <w:t>.</w:t>
      </w:r>
      <w:r>
        <w:rPr>
          <w:rFonts w:hint="eastAsia" w:ascii="宋体" w:hAnsi="宋体"/>
          <w:bCs/>
          <w:color w:val="auto"/>
          <w:szCs w:val="21"/>
        </w:rPr>
        <w:t>评审依据：磋商小组以磋商文件为评审依据，对供应商的报价、技术、商务等方面内容按百分制打分。（计分方法按四舍五入取至百分位）</w:t>
      </w:r>
    </w:p>
    <w:tbl>
      <w:tblPr>
        <w:tblStyle w:val="44"/>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800"/>
        <w:gridCol w:w="1289"/>
        <w:gridCol w:w="5843"/>
        <w:gridCol w:w="878"/>
      </w:tblGrid>
      <w:tr w14:paraId="67BF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Align w:val="center"/>
          </w:tcPr>
          <w:p w14:paraId="3C353FED">
            <w:pPr>
              <w:widowControl/>
              <w:wordWrap w:val="0"/>
              <w:spacing w:line="40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2089" w:type="dxa"/>
            <w:gridSpan w:val="2"/>
            <w:vAlign w:val="center"/>
          </w:tcPr>
          <w:p w14:paraId="6F00B68E">
            <w:pPr>
              <w:widowControl/>
              <w:wordWrap w:val="0"/>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5843" w:type="dxa"/>
            <w:vAlign w:val="center"/>
          </w:tcPr>
          <w:p w14:paraId="3C926AC8">
            <w:pPr>
              <w:widowControl/>
              <w:wordWrap w:val="0"/>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评审标准</w:t>
            </w:r>
          </w:p>
        </w:tc>
        <w:tc>
          <w:tcPr>
            <w:tcW w:w="878" w:type="dxa"/>
            <w:vAlign w:val="center"/>
          </w:tcPr>
          <w:p w14:paraId="137AC9FA">
            <w:pPr>
              <w:widowControl/>
              <w:wordWrap w:val="0"/>
              <w:spacing w:line="400" w:lineRule="exact"/>
              <w:jc w:val="center"/>
              <w:rPr>
                <w:rFonts w:ascii="宋体" w:hAnsi="宋体" w:cs="宋体"/>
                <w:b/>
                <w:bCs/>
                <w:color w:val="auto"/>
                <w:kern w:val="0"/>
                <w:szCs w:val="21"/>
              </w:rPr>
            </w:pPr>
            <w:r>
              <w:rPr>
                <w:rFonts w:hint="eastAsia" w:ascii="宋体" w:hAnsi="宋体" w:cs="宋体"/>
                <w:b/>
                <w:bCs/>
                <w:color w:val="auto"/>
                <w:kern w:val="0"/>
                <w:szCs w:val="21"/>
              </w:rPr>
              <w:t>分值</w:t>
            </w:r>
          </w:p>
        </w:tc>
      </w:tr>
      <w:tr w14:paraId="288B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Align w:val="center"/>
          </w:tcPr>
          <w:p w14:paraId="1160B3A3">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2089" w:type="dxa"/>
            <w:gridSpan w:val="2"/>
            <w:vAlign w:val="center"/>
          </w:tcPr>
          <w:p w14:paraId="2EECCCD2">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价格分</w:t>
            </w:r>
          </w:p>
        </w:tc>
        <w:tc>
          <w:tcPr>
            <w:tcW w:w="5843" w:type="dxa"/>
          </w:tcPr>
          <w:p w14:paraId="24D9A86F">
            <w:pPr>
              <w:wordWrap w:val="0"/>
              <w:spacing w:line="400" w:lineRule="exact"/>
              <w:jc w:val="left"/>
              <w:rPr>
                <w:rFonts w:ascii="宋体" w:hAnsi="宋体" w:cs="宋体"/>
                <w:color w:val="auto"/>
                <w:szCs w:val="21"/>
              </w:rPr>
            </w:pPr>
            <w:r>
              <w:rPr>
                <w:rFonts w:hint="eastAsia" w:ascii="宋体" w:hAnsi="宋体" w:cs="宋体"/>
                <w:color w:val="auto"/>
                <w:szCs w:val="21"/>
              </w:rPr>
              <w:t>（1）本项目为专门面向中小企业项目，根据《政府采购促进中小企业发展管理办法》（财库〔2020〕46号）、《财政部、司法部关于政府采购支持监狱企业发展有关问题的通知》（财库〔2014〕68号）、《关于促进残疾人就业政府采购政策的通知》（财库〔2017〕141号）的规定，不再对供应商的最后报价进行政策性扣除。</w:t>
            </w:r>
          </w:p>
          <w:p w14:paraId="2ABD4B64">
            <w:pPr>
              <w:wordWrap w:val="0"/>
              <w:spacing w:line="400" w:lineRule="exact"/>
              <w:jc w:val="left"/>
              <w:rPr>
                <w:rFonts w:ascii="宋体" w:hAnsi="宋体" w:cs="宋体"/>
                <w:color w:val="auto"/>
                <w:szCs w:val="21"/>
              </w:rPr>
            </w:pPr>
            <w:r>
              <w:rPr>
                <w:rFonts w:hint="eastAsia" w:ascii="宋体" w:hAnsi="宋体" w:cs="宋体"/>
                <w:color w:val="auto"/>
                <w:szCs w:val="21"/>
              </w:rPr>
              <w:t>（2）以进入比较与评价环节的最低的最后报价为基准价，基准价得分为 20分 。</w:t>
            </w:r>
          </w:p>
          <w:p w14:paraId="044864D0">
            <w:pPr>
              <w:wordWrap w:val="0"/>
              <w:spacing w:line="400" w:lineRule="exact"/>
              <w:jc w:val="left"/>
              <w:rPr>
                <w:rFonts w:hAnsi="宋体" w:cs="宋体"/>
                <w:bCs/>
                <w:color w:val="auto"/>
              </w:rPr>
            </w:pPr>
            <w:r>
              <w:rPr>
                <w:rFonts w:hint="eastAsia" w:ascii="宋体" w:hAnsi="宋体" w:cs="宋体"/>
                <w:color w:val="auto"/>
                <w:szCs w:val="21"/>
              </w:rPr>
              <w:t>（3）价格分计算公式：某供应商报价得分=（基准价/某供应商最后报价）×20分</w:t>
            </w:r>
          </w:p>
        </w:tc>
        <w:tc>
          <w:tcPr>
            <w:tcW w:w="878" w:type="dxa"/>
            <w:vAlign w:val="center"/>
          </w:tcPr>
          <w:p w14:paraId="72407BB1">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20分</w:t>
            </w:r>
          </w:p>
        </w:tc>
      </w:tr>
      <w:tr w14:paraId="24DB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Align w:val="center"/>
          </w:tcPr>
          <w:p w14:paraId="0C1901E0">
            <w:pPr>
              <w:widowControl/>
              <w:wordWrap w:val="0"/>
              <w:spacing w:line="400" w:lineRule="exact"/>
              <w:jc w:val="center"/>
              <w:rPr>
                <w:rFonts w:ascii="宋体" w:hAnsi="宋体" w:cs="宋体"/>
                <w:color w:val="auto"/>
                <w:kern w:val="0"/>
                <w:szCs w:val="21"/>
              </w:rPr>
            </w:pPr>
            <w:r>
              <w:rPr>
                <w:rFonts w:hint="eastAsia" w:ascii="宋体" w:hAnsi="宋体" w:cs="宋体"/>
                <w:bCs/>
                <w:color w:val="auto"/>
                <w:kern w:val="0"/>
                <w:szCs w:val="21"/>
              </w:rPr>
              <w:t>2</w:t>
            </w:r>
          </w:p>
        </w:tc>
        <w:tc>
          <w:tcPr>
            <w:tcW w:w="2089" w:type="dxa"/>
            <w:gridSpan w:val="2"/>
            <w:vAlign w:val="center"/>
          </w:tcPr>
          <w:p w14:paraId="09409A1B">
            <w:pPr>
              <w:widowControl/>
              <w:wordWrap w:val="0"/>
              <w:spacing w:line="400" w:lineRule="exact"/>
              <w:jc w:val="center"/>
              <w:rPr>
                <w:rFonts w:ascii="宋体" w:hAnsi="宋体" w:cs="宋体"/>
                <w:color w:val="auto"/>
                <w:kern w:val="0"/>
                <w:szCs w:val="21"/>
              </w:rPr>
            </w:pPr>
            <w:r>
              <w:rPr>
                <w:rFonts w:hint="eastAsia" w:ascii="宋体" w:hAnsi="宋体" w:cs="宋体"/>
                <w:bCs/>
                <w:color w:val="auto"/>
                <w:kern w:val="0"/>
                <w:szCs w:val="21"/>
              </w:rPr>
              <w:t>技术分</w:t>
            </w:r>
          </w:p>
        </w:tc>
        <w:tc>
          <w:tcPr>
            <w:tcW w:w="5843" w:type="dxa"/>
            <w:vAlign w:val="center"/>
          </w:tcPr>
          <w:p w14:paraId="26F9F83E">
            <w:pPr>
              <w:wordWrap w:val="0"/>
              <w:spacing w:line="400" w:lineRule="exact"/>
              <w:jc w:val="center"/>
              <w:rPr>
                <w:rFonts w:ascii="宋体" w:hAnsi="宋体" w:cs="宋体"/>
                <w:color w:val="auto"/>
                <w:kern w:val="0"/>
                <w:szCs w:val="21"/>
              </w:rPr>
            </w:pPr>
            <w:r>
              <w:rPr>
                <w:rFonts w:hint="eastAsia" w:ascii="宋体" w:hAnsi="宋体" w:cs="宋体"/>
                <w:bCs/>
                <w:color w:val="auto"/>
                <w:szCs w:val="21"/>
              </w:rPr>
              <w:t>评审标准</w:t>
            </w:r>
          </w:p>
        </w:tc>
        <w:tc>
          <w:tcPr>
            <w:tcW w:w="878" w:type="dxa"/>
            <w:vAlign w:val="center"/>
          </w:tcPr>
          <w:p w14:paraId="1DE917BE">
            <w:pPr>
              <w:wordWrap w:val="0"/>
              <w:spacing w:line="400" w:lineRule="exact"/>
              <w:jc w:val="center"/>
              <w:rPr>
                <w:rFonts w:ascii="宋体" w:hAnsi="宋体" w:cs="宋体"/>
                <w:color w:val="auto"/>
                <w:kern w:val="0"/>
                <w:szCs w:val="21"/>
              </w:rPr>
            </w:pPr>
            <w:r>
              <w:rPr>
                <w:rFonts w:hint="eastAsia" w:ascii="宋体" w:hAnsi="宋体" w:cs="宋体"/>
                <w:color w:val="auto"/>
                <w:kern w:val="0"/>
                <w:szCs w:val="21"/>
              </w:rPr>
              <w:t>70分</w:t>
            </w:r>
          </w:p>
        </w:tc>
      </w:tr>
      <w:tr w14:paraId="221A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548" w:type="dxa"/>
            <w:vAlign w:val="center"/>
          </w:tcPr>
          <w:p w14:paraId="5A74EF1B">
            <w:pPr>
              <w:wordWrap w:val="0"/>
              <w:adjustRightInd w:val="0"/>
              <w:spacing w:line="40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2.1</w:t>
            </w:r>
          </w:p>
        </w:tc>
        <w:tc>
          <w:tcPr>
            <w:tcW w:w="800" w:type="dxa"/>
            <w:vAlign w:val="center"/>
          </w:tcPr>
          <w:p w14:paraId="657A26D7">
            <w:pPr>
              <w:wordWrap w:val="0"/>
              <w:spacing w:line="400" w:lineRule="exact"/>
              <w:jc w:val="left"/>
              <w:rPr>
                <w:rFonts w:ascii="宋体" w:hAnsi="宋体" w:cs="宋体"/>
                <w:color w:val="auto"/>
                <w:szCs w:val="21"/>
              </w:rPr>
            </w:pPr>
            <w:r>
              <w:rPr>
                <w:rFonts w:hint="eastAsia" w:ascii="宋体" w:hAnsi="宋体" w:cs="宋体"/>
                <w:color w:val="auto"/>
                <w:szCs w:val="21"/>
              </w:rPr>
              <w:t>项目管理机构</w:t>
            </w:r>
          </w:p>
        </w:tc>
        <w:tc>
          <w:tcPr>
            <w:tcW w:w="1289" w:type="dxa"/>
            <w:vAlign w:val="center"/>
          </w:tcPr>
          <w:p w14:paraId="6BB84FFC">
            <w:pPr>
              <w:wordWrap w:val="0"/>
              <w:spacing w:line="400" w:lineRule="exact"/>
              <w:jc w:val="center"/>
              <w:rPr>
                <w:rFonts w:ascii="宋体" w:hAnsi="宋体" w:cs="宋体"/>
                <w:color w:val="auto"/>
                <w:szCs w:val="21"/>
              </w:rPr>
            </w:pPr>
            <w:r>
              <w:rPr>
                <w:rFonts w:hint="eastAsia" w:ascii="宋体" w:hAnsi="宋体" w:cs="宋体"/>
                <w:color w:val="auto"/>
                <w:kern w:val="0"/>
                <w:szCs w:val="21"/>
              </w:rPr>
              <w:t>项目经理任职资格</w:t>
            </w:r>
          </w:p>
        </w:tc>
        <w:tc>
          <w:tcPr>
            <w:tcW w:w="5843" w:type="dxa"/>
            <w:vAlign w:val="center"/>
          </w:tcPr>
          <w:p w14:paraId="44D71CEE">
            <w:pPr>
              <w:wordWrap w:val="0"/>
              <w:spacing w:line="400" w:lineRule="exact"/>
              <w:jc w:val="left"/>
              <w:rPr>
                <w:rFonts w:ascii="宋体" w:hAnsi="宋体" w:cs="宋体"/>
                <w:color w:val="auto"/>
                <w:szCs w:val="21"/>
              </w:rPr>
            </w:pPr>
            <w:r>
              <w:rPr>
                <w:rFonts w:hint="eastAsia" w:ascii="宋体" w:hAnsi="宋体" w:cs="宋体"/>
                <w:color w:val="auto"/>
                <w:szCs w:val="21"/>
              </w:rPr>
              <w:t>项目经理具备建筑工程</w:t>
            </w:r>
            <w:r>
              <w:rPr>
                <w:rFonts w:hint="eastAsia"/>
                <w:color w:val="auto"/>
              </w:rPr>
              <w:t>相关</w:t>
            </w:r>
            <w:r>
              <w:rPr>
                <w:rFonts w:hint="eastAsia" w:ascii="宋体" w:hAnsi="宋体" w:cs="宋体"/>
                <w:color w:val="auto"/>
                <w:szCs w:val="21"/>
              </w:rPr>
              <w:t>专业中级技术职称的得3分；具备建筑工程相关专业高级技术职称的得6分。</w:t>
            </w:r>
          </w:p>
          <w:p w14:paraId="76383B2D">
            <w:pPr>
              <w:wordWrap w:val="0"/>
              <w:spacing w:line="400" w:lineRule="exact"/>
              <w:jc w:val="left"/>
              <w:rPr>
                <w:rFonts w:ascii="宋体" w:hAnsi="宋体" w:cs="宋体"/>
                <w:color w:val="auto"/>
                <w:szCs w:val="21"/>
              </w:rPr>
            </w:pPr>
            <w:r>
              <w:rPr>
                <w:rFonts w:hint="eastAsia" w:ascii="宋体" w:hAnsi="宋体" w:cs="宋体"/>
                <w:b/>
                <w:bCs/>
                <w:color w:val="auto"/>
                <w:szCs w:val="21"/>
              </w:rPr>
              <w:t>注：响应文件中提供项目经理相应有效的职称证书复印件，复印件需加盖单位公章，否则不得分。</w:t>
            </w:r>
          </w:p>
        </w:tc>
        <w:tc>
          <w:tcPr>
            <w:tcW w:w="878" w:type="dxa"/>
            <w:vAlign w:val="center"/>
          </w:tcPr>
          <w:p w14:paraId="25BF01F8">
            <w:pPr>
              <w:wordWrap w:val="0"/>
              <w:spacing w:line="40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6031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restart"/>
            <w:vAlign w:val="center"/>
          </w:tcPr>
          <w:p w14:paraId="706629E9">
            <w:pPr>
              <w:wordWrap w:val="0"/>
              <w:adjustRightInd w:val="0"/>
              <w:spacing w:line="40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2.2</w:t>
            </w:r>
          </w:p>
        </w:tc>
        <w:tc>
          <w:tcPr>
            <w:tcW w:w="800" w:type="dxa"/>
            <w:vMerge w:val="restart"/>
            <w:vAlign w:val="center"/>
          </w:tcPr>
          <w:p w14:paraId="2C275495">
            <w:pPr>
              <w:wordWrap w:val="0"/>
              <w:adjustRightInd w:val="0"/>
              <w:spacing w:line="400" w:lineRule="exact"/>
              <w:jc w:val="center"/>
              <w:textAlignment w:val="baseline"/>
              <w:rPr>
                <w:rFonts w:ascii="宋体" w:hAnsi="宋体" w:cs="宋体"/>
                <w:bCs/>
                <w:color w:val="auto"/>
                <w:kern w:val="0"/>
                <w:szCs w:val="21"/>
              </w:rPr>
            </w:pPr>
            <w:r>
              <w:rPr>
                <w:rFonts w:hint="eastAsia" w:ascii="宋体" w:hAnsi="宋体" w:cs="宋体"/>
                <w:bCs/>
                <w:color w:val="auto"/>
                <w:kern w:val="0"/>
                <w:szCs w:val="21"/>
              </w:rPr>
              <w:t>施工组织设计</w:t>
            </w:r>
          </w:p>
        </w:tc>
        <w:tc>
          <w:tcPr>
            <w:tcW w:w="1289" w:type="dxa"/>
            <w:vAlign w:val="center"/>
          </w:tcPr>
          <w:p w14:paraId="25D805AB">
            <w:pPr>
              <w:wordWrap w:val="0"/>
              <w:spacing w:line="400" w:lineRule="exact"/>
              <w:jc w:val="left"/>
              <w:rPr>
                <w:rFonts w:ascii="宋体" w:hAnsi="宋体" w:cs="宋体"/>
                <w:color w:val="auto"/>
                <w:szCs w:val="21"/>
              </w:rPr>
            </w:pPr>
            <w:r>
              <w:rPr>
                <w:rFonts w:hint="eastAsia" w:ascii="宋体" w:hAnsi="宋体" w:cs="宋体"/>
                <w:color w:val="auto"/>
                <w:szCs w:val="21"/>
              </w:rPr>
              <w:t>主要施工方法</w:t>
            </w:r>
          </w:p>
        </w:tc>
        <w:tc>
          <w:tcPr>
            <w:tcW w:w="5843" w:type="dxa"/>
            <w:vAlign w:val="center"/>
          </w:tcPr>
          <w:p w14:paraId="7D5FC819">
            <w:pPr>
              <w:widowControl/>
              <w:wordWrap w:val="0"/>
              <w:spacing w:line="400" w:lineRule="exact"/>
              <w:jc w:val="left"/>
              <w:rPr>
                <w:rFonts w:ascii="宋体" w:hAnsi="宋体" w:cs="宋体"/>
                <w:color w:val="auto"/>
                <w:szCs w:val="21"/>
              </w:rPr>
            </w:pPr>
            <w:r>
              <w:rPr>
                <w:rFonts w:hint="eastAsia" w:ascii="宋体" w:hAnsi="宋体" w:cs="宋体"/>
                <w:color w:val="auto"/>
                <w:szCs w:val="21"/>
              </w:rPr>
              <w:t>一档（2分）：各主要分部施工方法基本符合项目实际，施工技术方案考虑不够详细、不够切合项目。</w:t>
            </w:r>
          </w:p>
          <w:p w14:paraId="788903CC">
            <w:pPr>
              <w:widowControl/>
              <w:wordWrap w:val="0"/>
              <w:spacing w:line="400" w:lineRule="exact"/>
              <w:jc w:val="left"/>
              <w:rPr>
                <w:rFonts w:ascii="宋体" w:hAnsi="宋体" w:cs="宋体"/>
                <w:color w:val="auto"/>
                <w:szCs w:val="21"/>
              </w:rPr>
            </w:pPr>
            <w:r>
              <w:rPr>
                <w:rFonts w:hint="eastAsia" w:ascii="宋体" w:hAnsi="宋体" w:cs="宋体"/>
                <w:color w:val="auto"/>
                <w:szCs w:val="21"/>
              </w:rPr>
              <w:t>二档（6分）：各主要分部施工方法符合项目实际，有详尽的施工技术方案，工艺基本可行、方法可行，能指导具体施工并确保安全。</w:t>
            </w:r>
          </w:p>
          <w:p w14:paraId="18F976D6">
            <w:pPr>
              <w:widowControl/>
              <w:wordWrap w:val="0"/>
              <w:spacing w:line="400" w:lineRule="exact"/>
              <w:jc w:val="left"/>
              <w:rPr>
                <w:rFonts w:ascii="宋体" w:hAnsi="宋体" w:cs="宋体"/>
                <w:color w:val="auto"/>
                <w:szCs w:val="21"/>
              </w:rPr>
            </w:pPr>
            <w:r>
              <w:rPr>
                <w:rFonts w:hint="eastAsia" w:ascii="宋体" w:hAnsi="宋体" w:cs="宋体"/>
                <w:color w:val="auto"/>
                <w:szCs w:val="21"/>
              </w:rPr>
              <w:t>三档（10分）：各主要分部施工方法符合项目实际，有详尽的施工技术方案，工艺先进、方法科学合理、可行，能指导具体施工并确保安全。</w:t>
            </w:r>
          </w:p>
          <w:p w14:paraId="23656DD3">
            <w:pPr>
              <w:widowControl/>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3343452E">
            <w:pPr>
              <w:wordWrap w:val="0"/>
              <w:spacing w:line="400" w:lineRule="exact"/>
              <w:jc w:val="center"/>
              <w:rPr>
                <w:rFonts w:ascii="宋体" w:hAnsi="宋体" w:cs="宋体"/>
                <w:color w:val="auto"/>
                <w:szCs w:val="21"/>
              </w:rPr>
            </w:pPr>
            <w:r>
              <w:rPr>
                <w:rFonts w:hint="eastAsia" w:ascii="宋体" w:hAnsi="宋体" w:cs="宋体"/>
                <w:color w:val="auto"/>
                <w:kern w:val="0"/>
                <w:szCs w:val="21"/>
              </w:rPr>
              <w:t>10分</w:t>
            </w:r>
          </w:p>
        </w:tc>
      </w:tr>
      <w:tr w14:paraId="3219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5FDBAE6A">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58872E17">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1E139EF0">
            <w:pPr>
              <w:wordWrap w:val="0"/>
              <w:spacing w:line="400" w:lineRule="exact"/>
              <w:jc w:val="left"/>
              <w:rPr>
                <w:rFonts w:ascii="宋体" w:hAnsi="宋体" w:cs="宋体"/>
                <w:color w:val="auto"/>
                <w:szCs w:val="21"/>
              </w:rPr>
            </w:pPr>
            <w:r>
              <w:rPr>
                <w:rFonts w:hint="eastAsia" w:ascii="宋体" w:hAnsi="宋体" w:cs="宋体"/>
                <w:color w:val="auto"/>
                <w:szCs w:val="21"/>
              </w:rPr>
              <w:t>拟投入的主要物资计划</w:t>
            </w:r>
          </w:p>
        </w:tc>
        <w:tc>
          <w:tcPr>
            <w:tcW w:w="5843" w:type="dxa"/>
            <w:vAlign w:val="center"/>
          </w:tcPr>
          <w:p w14:paraId="01C634E2">
            <w:pPr>
              <w:wordWrap w:val="0"/>
              <w:spacing w:line="400" w:lineRule="exact"/>
              <w:jc w:val="left"/>
              <w:rPr>
                <w:rFonts w:ascii="宋体" w:hAnsi="宋体" w:cs="宋体"/>
                <w:color w:val="auto"/>
                <w:szCs w:val="21"/>
              </w:rPr>
            </w:pPr>
            <w:r>
              <w:rPr>
                <w:rFonts w:hint="eastAsia" w:ascii="宋体" w:hAnsi="宋体" w:cs="宋体"/>
                <w:color w:val="auto"/>
                <w:szCs w:val="21"/>
              </w:rPr>
              <w:t>一档（2分）：</w:t>
            </w:r>
            <w:r>
              <w:rPr>
                <w:rFonts w:hint="eastAsia" w:ascii="宋体" w:hAnsi="宋体" w:cs="宋体"/>
                <w:color w:val="auto"/>
                <w:kern w:val="0"/>
                <w:szCs w:val="21"/>
              </w:rPr>
              <w:t>投入的施工材料有组织计划，数量、选型配置、进场时间基本满足施工需要</w:t>
            </w:r>
            <w:r>
              <w:rPr>
                <w:rFonts w:hint="eastAsia" w:ascii="宋体" w:hAnsi="宋体" w:cs="宋体"/>
                <w:color w:val="auto"/>
                <w:szCs w:val="21"/>
              </w:rPr>
              <w:t>。</w:t>
            </w:r>
          </w:p>
          <w:p w14:paraId="09B61CFA">
            <w:pPr>
              <w:wordWrap w:val="0"/>
              <w:spacing w:line="400" w:lineRule="exact"/>
              <w:jc w:val="left"/>
              <w:rPr>
                <w:rFonts w:ascii="宋体" w:hAnsi="宋体" w:cs="宋体"/>
                <w:color w:val="auto"/>
                <w:szCs w:val="21"/>
              </w:rPr>
            </w:pPr>
            <w:r>
              <w:rPr>
                <w:rFonts w:hint="eastAsia" w:ascii="宋体" w:hAnsi="宋体" w:cs="宋体"/>
                <w:color w:val="auto"/>
                <w:szCs w:val="21"/>
              </w:rPr>
              <w:t>二档（5分）：</w:t>
            </w:r>
            <w:r>
              <w:rPr>
                <w:rFonts w:hint="eastAsia" w:ascii="宋体" w:hAnsi="宋体" w:cs="宋体"/>
                <w:color w:val="auto"/>
                <w:kern w:val="0"/>
                <w:szCs w:val="21"/>
              </w:rPr>
              <w:t>投入的施工材料有详细的组织计划且计划</w:t>
            </w:r>
            <w:r>
              <w:rPr>
                <w:rFonts w:hint="eastAsia" w:ascii="宋体" w:hAnsi="宋体" w:cs="宋体"/>
                <w:color w:val="auto"/>
                <w:szCs w:val="21"/>
              </w:rPr>
              <w:t>考虑不够周全</w:t>
            </w:r>
            <w:r>
              <w:rPr>
                <w:rFonts w:hint="eastAsia" w:ascii="宋体" w:hAnsi="宋体" w:cs="宋体"/>
                <w:color w:val="auto"/>
                <w:kern w:val="0"/>
                <w:szCs w:val="21"/>
              </w:rPr>
              <w:t>，数量、选型配置、进场时间安排较合理，满足施工需要</w:t>
            </w:r>
            <w:r>
              <w:rPr>
                <w:rFonts w:hint="eastAsia" w:ascii="宋体" w:hAnsi="宋体" w:cs="宋体"/>
                <w:color w:val="auto"/>
                <w:szCs w:val="21"/>
              </w:rPr>
              <w:t xml:space="preserve">。 </w:t>
            </w:r>
          </w:p>
          <w:p w14:paraId="1D465E8F">
            <w:pPr>
              <w:wordWrap w:val="0"/>
              <w:spacing w:line="400" w:lineRule="exact"/>
              <w:jc w:val="left"/>
              <w:rPr>
                <w:rFonts w:ascii="宋体" w:hAnsi="宋体" w:cs="宋体"/>
                <w:color w:val="auto"/>
                <w:szCs w:val="21"/>
              </w:rPr>
            </w:pPr>
            <w:r>
              <w:rPr>
                <w:rFonts w:hint="eastAsia" w:ascii="宋体" w:hAnsi="宋体" w:cs="宋体"/>
                <w:color w:val="auto"/>
                <w:szCs w:val="21"/>
              </w:rPr>
              <w:t>三档（8分）：投入的施工材料有详细的组织计划且计划周密，数量、选型配置、进场时间安排合理，有拟配备本项目的试验和检测仪器设备表，完全满足施工需要。</w:t>
            </w:r>
          </w:p>
          <w:p w14:paraId="221AC451">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31D9471E">
            <w:pPr>
              <w:wordWrap w:val="0"/>
              <w:spacing w:line="400" w:lineRule="exact"/>
              <w:jc w:val="center"/>
              <w:rPr>
                <w:rFonts w:ascii="宋体" w:hAnsi="宋体" w:cs="宋体"/>
                <w:color w:val="auto"/>
                <w:kern w:val="0"/>
                <w:szCs w:val="21"/>
              </w:rPr>
            </w:pPr>
            <w:r>
              <w:rPr>
                <w:rFonts w:hint="eastAsia" w:ascii="宋体" w:hAnsi="宋体" w:cs="宋体"/>
                <w:color w:val="auto"/>
                <w:kern w:val="0"/>
                <w:szCs w:val="21"/>
              </w:rPr>
              <w:t>8分</w:t>
            </w:r>
          </w:p>
        </w:tc>
      </w:tr>
      <w:tr w14:paraId="11CB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210B87CF">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451F6F5B">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4BCBFD9E">
            <w:pPr>
              <w:wordWrap w:val="0"/>
              <w:spacing w:line="400" w:lineRule="exact"/>
              <w:jc w:val="left"/>
              <w:rPr>
                <w:rFonts w:ascii="宋体" w:hAnsi="宋体" w:cs="宋体"/>
                <w:color w:val="auto"/>
                <w:szCs w:val="21"/>
              </w:rPr>
            </w:pPr>
            <w:r>
              <w:rPr>
                <w:rFonts w:hint="eastAsia" w:ascii="宋体" w:hAnsi="宋体" w:cs="宋体"/>
                <w:color w:val="auto"/>
                <w:szCs w:val="21"/>
              </w:rPr>
              <w:t>拟投入的主要施工机械、设备计划</w:t>
            </w:r>
          </w:p>
        </w:tc>
        <w:tc>
          <w:tcPr>
            <w:tcW w:w="5843" w:type="dxa"/>
            <w:vAlign w:val="center"/>
          </w:tcPr>
          <w:p w14:paraId="4E206FFA">
            <w:pPr>
              <w:wordWrap w:val="0"/>
              <w:spacing w:line="400" w:lineRule="exact"/>
              <w:jc w:val="left"/>
              <w:rPr>
                <w:rFonts w:ascii="宋体" w:hAnsi="宋体" w:cs="宋体"/>
                <w:color w:val="auto"/>
                <w:szCs w:val="21"/>
              </w:rPr>
            </w:pPr>
            <w:r>
              <w:rPr>
                <w:rFonts w:hint="eastAsia" w:ascii="宋体" w:hAnsi="宋体" w:cs="宋体"/>
                <w:color w:val="auto"/>
                <w:szCs w:val="21"/>
              </w:rPr>
              <w:t>一档（2分）：投入的施工机械、设备、机具无详细的组织计划，设备数量、选型配置、进场时间安排不够合理。</w:t>
            </w:r>
          </w:p>
          <w:p w14:paraId="0F522777">
            <w:pPr>
              <w:wordWrap w:val="0"/>
              <w:spacing w:line="400" w:lineRule="exact"/>
              <w:jc w:val="left"/>
              <w:rPr>
                <w:rFonts w:ascii="宋体" w:hAnsi="宋体" w:cs="宋体"/>
                <w:color w:val="auto"/>
                <w:szCs w:val="21"/>
              </w:rPr>
            </w:pPr>
            <w:r>
              <w:rPr>
                <w:rFonts w:hint="eastAsia" w:ascii="宋体" w:hAnsi="宋体" w:cs="宋体"/>
                <w:color w:val="auto"/>
                <w:szCs w:val="21"/>
              </w:rPr>
              <w:t xml:space="preserve">二档（5分）：投入的施工机械、设备、机具有组织计划且计划考虑基本切合项目实际，设备数量、选型配置、进场时间安排合理，基本满足施工需要。  </w:t>
            </w:r>
          </w:p>
          <w:p w14:paraId="4C9D5939">
            <w:pPr>
              <w:wordWrap w:val="0"/>
              <w:spacing w:line="400" w:lineRule="exact"/>
              <w:jc w:val="left"/>
              <w:rPr>
                <w:rFonts w:ascii="宋体" w:hAnsi="宋体" w:cs="宋体"/>
                <w:color w:val="auto"/>
                <w:szCs w:val="21"/>
              </w:rPr>
            </w:pPr>
            <w:r>
              <w:rPr>
                <w:rFonts w:hint="eastAsia" w:ascii="宋体" w:hAnsi="宋体" w:cs="宋体"/>
                <w:color w:val="auto"/>
                <w:szCs w:val="21"/>
              </w:rPr>
              <w:t xml:space="preserve">三档（8分）：投入的施工机械、设备、机具有详细的组织计划且计划周密，设备数量、选型配置、进场时间安排合理，满足施工需要。 </w:t>
            </w:r>
          </w:p>
          <w:p w14:paraId="51DD1B7F">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045ED165">
            <w:pPr>
              <w:wordWrap w:val="0"/>
              <w:spacing w:line="400" w:lineRule="exact"/>
              <w:jc w:val="center"/>
              <w:rPr>
                <w:rFonts w:ascii="宋体" w:hAnsi="宋体" w:cs="宋体"/>
                <w:color w:val="auto"/>
                <w:szCs w:val="21"/>
              </w:rPr>
            </w:pPr>
            <w:r>
              <w:rPr>
                <w:rFonts w:hint="eastAsia" w:ascii="宋体" w:hAnsi="宋体" w:cs="宋体"/>
                <w:color w:val="auto"/>
                <w:kern w:val="0"/>
                <w:szCs w:val="21"/>
              </w:rPr>
              <w:t>8分</w:t>
            </w:r>
          </w:p>
        </w:tc>
      </w:tr>
      <w:tr w14:paraId="665C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3EF6DA87">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00D6F94E">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6C7B1B03">
            <w:pPr>
              <w:wordWrap w:val="0"/>
              <w:spacing w:line="400" w:lineRule="exact"/>
              <w:jc w:val="left"/>
              <w:rPr>
                <w:rFonts w:ascii="宋体" w:hAnsi="宋体" w:cs="宋体"/>
                <w:color w:val="auto"/>
                <w:szCs w:val="21"/>
              </w:rPr>
            </w:pPr>
            <w:r>
              <w:rPr>
                <w:rFonts w:hint="eastAsia" w:ascii="宋体" w:hAnsi="宋体" w:cs="宋体"/>
                <w:color w:val="auto"/>
                <w:szCs w:val="21"/>
              </w:rPr>
              <w:t>劳动力安排计划</w:t>
            </w:r>
          </w:p>
        </w:tc>
        <w:tc>
          <w:tcPr>
            <w:tcW w:w="5843" w:type="dxa"/>
            <w:vAlign w:val="center"/>
          </w:tcPr>
          <w:p w14:paraId="5A2F37BE">
            <w:pPr>
              <w:wordWrap w:val="0"/>
              <w:spacing w:line="400" w:lineRule="exact"/>
              <w:jc w:val="left"/>
              <w:rPr>
                <w:rFonts w:ascii="宋体" w:hAnsi="宋体" w:cs="宋体"/>
                <w:color w:val="auto"/>
                <w:szCs w:val="21"/>
              </w:rPr>
            </w:pPr>
            <w:r>
              <w:rPr>
                <w:rFonts w:hint="eastAsia" w:ascii="宋体" w:hAnsi="宋体" w:cs="宋体"/>
                <w:color w:val="auto"/>
                <w:szCs w:val="21"/>
              </w:rPr>
              <w:t>一档（2分）：</w:t>
            </w:r>
            <w:r>
              <w:rPr>
                <w:rFonts w:hint="eastAsia" w:ascii="宋体" w:hAnsi="宋体" w:cs="宋体"/>
                <w:color w:val="auto"/>
                <w:kern w:val="0"/>
                <w:szCs w:val="21"/>
              </w:rPr>
              <w:t>各主要施工工序有劳动力安排计划，劳动力投入基本满足施工需要</w:t>
            </w:r>
            <w:r>
              <w:rPr>
                <w:rFonts w:hint="eastAsia" w:ascii="宋体" w:hAnsi="宋体" w:cs="宋体"/>
                <w:color w:val="auto"/>
                <w:szCs w:val="21"/>
              </w:rPr>
              <w:t xml:space="preserve">。 </w:t>
            </w:r>
          </w:p>
          <w:p w14:paraId="1AAEB9F1">
            <w:pPr>
              <w:wordWrap w:val="0"/>
              <w:spacing w:line="400" w:lineRule="exact"/>
              <w:jc w:val="left"/>
              <w:rPr>
                <w:rFonts w:ascii="宋体" w:hAnsi="宋体" w:cs="宋体"/>
                <w:color w:val="auto"/>
                <w:szCs w:val="21"/>
              </w:rPr>
            </w:pPr>
            <w:r>
              <w:rPr>
                <w:rFonts w:hint="eastAsia" w:ascii="宋体" w:hAnsi="宋体" w:cs="宋体"/>
                <w:color w:val="auto"/>
                <w:szCs w:val="21"/>
              </w:rPr>
              <w:t>二档（5分）：</w:t>
            </w:r>
            <w:r>
              <w:rPr>
                <w:rFonts w:hint="eastAsia" w:ascii="宋体" w:hAnsi="宋体" w:cs="宋体"/>
                <w:color w:val="auto"/>
                <w:kern w:val="0"/>
                <w:szCs w:val="21"/>
              </w:rPr>
              <w:t>各主要施工工序有详细的劳动力安排计划，有各工种劳动力安排计划，劳动力投入较合理，满足施工需要</w:t>
            </w:r>
            <w:r>
              <w:rPr>
                <w:rFonts w:hint="eastAsia" w:ascii="宋体" w:hAnsi="宋体" w:cs="宋体"/>
                <w:color w:val="auto"/>
                <w:szCs w:val="21"/>
              </w:rPr>
              <w:t>。</w:t>
            </w:r>
          </w:p>
          <w:p w14:paraId="2021621A">
            <w:pPr>
              <w:wordWrap w:val="0"/>
              <w:spacing w:line="400" w:lineRule="exact"/>
              <w:jc w:val="left"/>
              <w:rPr>
                <w:rFonts w:ascii="宋体" w:hAnsi="宋体" w:cs="宋体"/>
                <w:color w:val="auto"/>
                <w:szCs w:val="21"/>
              </w:rPr>
            </w:pPr>
            <w:r>
              <w:rPr>
                <w:rFonts w:hint="eastAsia" w:ascii="宋体" w:hAnsi="宋体" w:cs="宋体"/>
                <w:color w:val="auto"/>
                <w:szCs w:val="21"/>
              </w:rPr>
              <w:t>三档（8分）：各主要施工工序有详细周密的劳动力安排计划，有各工种劳动力安排计划，劳动力投入合理，满足施工需要。</w:t>
            </w:r>
          </w:p>
          <w:p w14:paraId="79A3CAD1">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21E4F0BC">
            <w:pPr>
              <w:wordWrap w:val="0"/>
              <w:spacing w:line="400" w:lineRule="exact"/>
              <w:jc w:val="center"/>
              <w:rPr>
                <w:rFonts w:ascii="宋体" w:hAnsi="宋体" w:cs="宋体"/>
                <w:color w:val="auto"/>
                <w:kern w:val="0"/>
                <w:szCs w:val="21"/>
              </w:rPr>
            </w:pPr>
            <w:r>
              <w:rPr>
                <w:rFonts w:hint="eastAsia" w:ascii="宋体" w:hAnsi="宋体" w:cs="宋体"/>
                <w:color w:val="auto"/>
                <w:kern w:val="0"/>
                <w:szCs w:val="21"/>
              </w:rPr>
              <w:t>8分</w:t>
            </w:r>
          </w:p>
        </w:tc>
      </w:tr>
      <w:tr w14:paraId="514E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0A6EC67F">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4C126623">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79FCEDAA">
            <w:pPr>
              <w:wordWrap w:val="0"/>
              <w:spacing w:line="400" w:lineRule="exact"/>
              <w:jc w:val="left"/>
              <w:rPr>
                <w:rFonts w:ascii="宋体" w:hAnsi="宋体" w:cs="宋体"/>
                <w:color w:val="auto"/>
                <w:szCs w:val="21"/>
              </w:rPr>
            </w:pPr>
            <w:r>
              <w:rPr>
                <w:rFonts w:hint="eastAsia" w:ascii="宋体" w:hAnsi="宋体" w:cs="宋体"/>
                <w:color w:val="auto"/>
                <w:szCs w:val="21"/>
              </w:rPr>
              <w:t>确保工程质量的技术组织措施</w:t>
            </w:r>
          </w:p>
        </w:tc>
        <w:tc>
          <w:tcPr>
            <w:tcW w:w="5843" w:type="dxa"/>
            <w:vAlign w:val="center"/>
          </w:tcPr>
          <w:p w14:paraId="60A5AFC2">
            <w:pPr>
              <w:wordWrap w:val="0"/>
              <w:spacing w:line="400" w:lineRule="exact"/>
              <w:jc w:val="left"/>
              <w:rPr>
                <w:rFonts w:ascii="宋体" w:hAnsi="宋体" w:cs="宋体"/>
                <w:color w:val="auto"/>
                <w:szCs w:val="21"/>
              </w:rPr>
            </w:pPr>
            <w:r>
              <w:rPr>
                <w:rFonts w:hint="eastAsia" w:ascii="宋体" w:hAnsi="宋体" w:cs="宋体"/>
                <w:color w:val="auto"/>
                <w:szCs w:val="21"/>
              </w:rPr>
              <w:t>一档（2分）：有专门的质量技术管理班子和制度。主要工序有质量技术保证措施和手段，基本能保证技术质量，达到承诺的质量标准。</w:t>
            </w:r>
          </w:p>
          <w:p w14:paraId="47DDFA55">
            <w:pPr>
              <w:wordWrap w:val="0"/>
              <w:spacing w:line="400" w:lineRule="exact"/>
              <w:jc w:val="left"/>
              <w:rPr>
                <w:rFonts w:ascii="宋体" w:hAnsi="宋体" w:cs="宋体"/>
                <w:color w:val="auto"/>
                <w:szCs w:val="21"/>
              </w:rPr>
            </w:pPr>
            <w:r>
              <w:rPr>
                <w:rFonts w:hint="eastAsia" w:ascii="宋体" w:hAnsi="宋体" w:cs="宋体"/>
                <w:color w:val="auto"/>
                <w:szCs w:val="21"/>
              </w:rPr>
              <w:t>二档（4分）：有专门的质量技术管理班子和制度，且人员配备较合理，制度较健全。有质量管理责任人和职责明确，正确完整列出针对本工程关键工序的质量验收流程和验收依据标准。主要工序有质量技术保证措施和手段，自控体系较完整，能有效保证技术质量，达到承诺的质量标准。</w:t>
            </w:r>
          </w:p>
          <w:p w14:paraId="52FCCF20">
            <w:pPr>
              <w:wordWrap w:val="0"/>
              <w:spacing w:line="400" w:lineRule="exact"/>
              <w:jc w:val="left"/>
              <w:rPr>
                <w:rFonts w:ascii="宋体" w:hAnsi="宋体" w:cs="宋体"/>
                <w:color w:val="auto"/>
                <w:szCs w:val="21"/>
              </w:rPr>
            </w:pPr>
            <w:r>
              <w:rPr>
                <w:rFonts w:hint="eastAsia" w:ascii="宋体" w:hAnsi="宋体" w:cs="宋体"/>
                <w:color w:val="auto"/>
                <w:szCs w:val="21"/>
              </w:rPr>
              <w:t>三档（6分）：有专门的质量技术管理班子和制度，且人员配备合理，制度健全。有质量管理责任人和职责明确，正确完整列出针对本工程关键工序的质量验收流程和验收依据标准，有针对施工过程质量控制日常管理制度流程，且满足本工程需要。主要工序有质量技术保证措施和手段，自控体系完整，能有效保证技术质量，达到承诺的质量标准。</w:t>
            </w:r>
          </w:p>
          <w:p w14:paraId="06C1106F">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41B5F532">
            <w:pPr>
              <w:wordWrap w:val="0"/>
              <w:spacing w:line="400" w:lineRule="exact"/>
              <w:jc w:val="center"/>
              <w:rPr>
                <w:rFonts w:ascii="宋体" w:hAnsi="宋体" w:cs="宋体"/>
                <w:color w:val="auto"/>
                <w:szCs w:val="21"/>
              </w:rPr>
            </w:pPr>
            <w:r>
              <w:rPr>
                <w:rFonts w:hint="eastAsia" w:ascii="宋体" w:hAnsi="宋体" w:cs="宋体"/>
                <w:color w:val="auto"/>
                <w:kern w:val="0"/>
                <w:szCs w:val="21"/>
              </w:rPr>
              <w:t>6分</w:t>
            </w:r>
          </w:p>
        </w:tc>
      </w:tr>
      <w:tr w14:paraId="55DE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412B26BF">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293C3BCA">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0539FE22">
            <w:pPr>
              <w:wordWrap w:val="0"/>
              <w:spacing w:line="400" w:lineRule="exact"/>
              <w:jc w:val="left"/>
              <w:rPr>
                <w:rFonts w:ascii="宋体" w:hAnsi="宋体" w:cs="宋体"/>
                <w:color w:val="auto"/>
                <w:szCs w:val="21"/>
              </w:rPr>
            </w:pPr>
            <w:r>
              <w:rPr>
                <w:rFonts w:hint="eastAsia" w:ascii="宋体" w:hAnsi="宋体" w:cs="宋体"/>
                <w:color w:val="auto"/>
                <w:szCs w:val="21"/>
              </w:rPr>
              <w:t>确保安全生产的技术组织措施</w:t>
            </w:r>
          </w:p>
        </w:tc>
        <w:tc>
          <w:tcPr>
            <w:tcW w:w="5843" w:type="dxa"/>
            <w:vAlign w:val="center"/>
          </w:tcPr>
          <w:p w14:paraId="4D6C8CD0">
            <w:pPr>
              <w:wordWrap w:val="0"/>
              <w:spacing w:line="400" w:lineRule="exact"/>
              <w:jc w:val="left"/>
              <w:rPr>
                <w:rFonts w:ascii="宋体" w:hAnsi="宋体" w:cs="宋体"/>
                <w:color w:val="auto"/>
                <w:szCs w:val="21"/>
              </w:rPr>
            </w:pPr>
            <w:r>
              <w:rPr>
                <w:rFonts w:hint="eastAsia" w:ascii="宋体" w:hAnsi="宋体" w:cs="宋体"/>
                <w:color w:val="auto"/>
                <w:szCs w:val="21"/>
              </w:rPr>
              <w:t>一档（2分）：有专门的安全管理人员和制度，且人员配备基本合理，制度基本健全，各道工序安全技术措施基本符合满足有关安全技术标准要求。现场防火、应急救援、社会治安安全措施基本可行。</w:t>
            </w:r>
          </w:p>
          <w:p w14:paraId="2C86A2A8">
            <w:pPr>
              <w:wordWrap w:val="0"/>
              <w:spacing w:line="400" w:lineRule="exact"/>
              <w:jc w:val="left"/>
              <w:rPr>
                <w:rFonts w:ascii="宋体" w:hAnsi="宋体" w:cs="宋体"/>
                <w:color w:val="auto"/>
                <w:szCs w:val="21"/>
              </w:rPr>
            </w:pPr>
            <w:r>
              <w:rPr>
                <w:rFonts w:hint="eastAsia" w:ascii="宋体" w:hAnsi="宋体" w:cs="宋体"/>
                <w:color w:val="auto"/>
                <w:szCs w:val="21"/>
              </w:rPr>
              <w:t>二档（4分）：有专门的安全管理人员和制度，且人员配备较合理，制度较健全，各道工序安全技术措施针对性较强，符合实际且满足有关安全技术标准要求。现场防火、应急救援、社会治安安全措施较得力。有对本工程的全面风险分析、施工各项风险的专项防护措施、风险事件的应急处置预案，内容基本可行。</w:t>
            </w:r>
          </w:p>
          <w:p w14:paraId="23E7BAE7">
            <w:pPr>
              <w:wordWrap w:val="0"/>
              <w:spacing w:line="400" w:lineRule="exact"/>
              <w:jc w:val="left"/>
              <w:rPr>
                <w:rFonts w:ascii="宋体" w:hAnsi="宋体" w:cs="宋体"/>
                <w:color w:val="auto"/>
                <w:szCs w:val="21"/>
              </w:rPr>
            </w:pPr>
            <w:r>
              <w:rPr>
                <w:rFonts w:hint="eastAsia" w:ascii="宋体" w:hAnsi="宋体" w:cs="宋体"/>
                <w:color w:val="auto"/>
                <w:szCs w:val="21"/>
              </w:rPr>
              <w:t>三档（6分）：有专门的安全管理人员和制度，且人员配备合理，制度健全，各道工序安全技术措施针对性强，符合实际且满足有关安全技术标准要求。现场防火、应急救援、社会治安安全措施得力。有针对本工程的全面风险分析、施工各项风险的专项防护措施、风险事件的应急处置预案，且内容可行性强。有可行的对他方交叉作业安全管理措施和针对本工程突发异常天气等自然灾害环形的预防保障及应急处置措施。</w:t>
            </w:r>
          </w:p>
          <w:p w14:paraId="61774857">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5B828FEE">
            <w:pPr>
              <w:wordWrap w:val="0"/>
              <w:spacing w:line="400" w:lineRule="exact"/>
              <w:jc w:val="center"/>
              <w:rPr>
                <w:rFonts w:ascii="宋体" w:hAnsi="宋体" w:cs="宋体"/>
                <w:color w:val="auto"/>
                <w:szCs w:val="21"/>
              </w:rPr>
            </w:pPr>
            <w:r>
              <w:rPr>
                <w:rFonts w:hint="eastAsia" w:ascii="宋体" w:hAnsi="宋体" w:cs="宋体"/>
                <w:color w:val="auto"/>
                <w:kern w:val="0"/>
                <w:szCs w:val="21"/>
              </w:rPr>
              <w:t>6分</w:t>
            </w:r>
          </w:p>
        </w:tc>
      </w:tr>
      <w:tr w14:paraId="7B36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50474723">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52CC34A6">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7E8FF9FF">
            <w:pPr>
              <w:wordWrap w:val="0"/>
              <w:spacing w:line="400" w:lineRule="exact"/>
              <w:jc w:val="left"/>
              <w:rPr>
                <w:rFonts w:ascii="宋体" w:hAnsi="宋体" w:cs="宋体"/>
                <w:color w:val="auto"/>
                <w:szCs w:val="21"/>
              </w:rPr>
            </w:pPr>
            <w:r>
              <w:rPr>
                <w:rFonts w:hint="eastAsia" w:ascii="宋体" w:hAnsi="宋体" w:cs="宋体"/>
                <w:color w:val="auto"/>
                <w:szCs w:val="21"/>
              </w:rPr>
              <w:t>确保工期的技术组织措施</w:t>
            </w:r>
          </w:p>
        </w:tc>
        <w:tc>
          <w:tcPr>
            <w:tcW w:w="5843" w:type="dxa"/>
            <w:vAlign w:val="center"/>
          </w:tcPr>
          <w:p w14:paraId="0B604F6B">
            <w:pPr>
              <w:wordWrap w:val="0"/>
              <w:spacing w:line="400" w:lineRule="exact"/>
              <w:jc w:val="left"/>
              <w:rPr>
                <w:rFonts w:ascii="宋体" w:hAnsi="宋体" w:cs="宋体"/>
                <w:color w:val="auto"/>
                <w:szCs w:val="21"/>
              </w:rPr>
            </w:pPr>
            <w:r>
              <w:rPr>
                <w:rFonts w:hint="eastAsia" w:ascii="宋体" w:hAnsi="宋体" w:cs="宋体"/>
                <w:color w:val="auto"/>
                <w:szCs w:val="21"/>
              </w:rPr>
              <w:t>一档（2分）：在施工工艺、施工方法、材料选用、劳动力安排、技术等方面有保证工期的措施。有控制工期的施工进度计划，基本符合本项目施工实际要求。</w:t>
            </w:r>
          </w:p>
          <w:p w14:paraId="328BF6CE">
            <w:pPr>
              <w:wordWrap w:val="0"/>
              <w:spacing w:line="400" w:lineRule="exact"/>
              <w:jc w:val="left"/>
              <w:rPr>
                <w:rFonts w:ascii="宋体" w:hAnsi="宋体" w:cs="宋体"/>
                <w:color w:val="auto"/>
                <w:szCs w:val="21"/>
              </w:rPr>
            </w:pPr>
            <w:r>
              <w:rPr>
                <w:rFonts w:hint="eastAsia" w:ascii="宋体" w:hAnsi="宋体" w:cs="宋体"/>
                <w:color w:val="auto"/>
                <w:szCs w:val="21"/>
              </w:rPr>
              <w:t>二档（4分）：在施工工艺、施工方法、材料选用、劳动力安排、技术等方面有保证工期的具体措施且措施较得当。有控制工期的施工进度计划。有施工总进度表或施工网络图，各项计划图表编制较完善，安排较合理，符合本项目施工实际要求。</w:t>
            </w:r>
          </w:p>
          <w:p w14:paraId="7A401B91">
            <w:pPr>
              <w:wordWrap w:val="0"/>
              <w:spacing w:line="400" w:lineRule="exact"/>
              <w:jc w:val="left"/>
              <w:rPr>
                <w:rFonts w:ascii="宋体" w:hAnsi="宋体" w:cs="宋体"/>
                <w:color w:val="auto"/>
                <w:szCs w:val="21"/>
              </w:rPr>
            </w:pPr>
            <w:r>
              <w:rPr>
                <w:rFonts w:hint="eastAsia" w:ascii="宋体" w:hAnsi="宋体" w:cs="宋体"/>
                <w:color w:val="auto"/>
                <w:szCs w:val="21"/>
              </w:rPr>
              <w:t>三档（6分）：在施工工艺、施工方法、材料选用、劳动力安排、技术等方面有保证工期的具体措施且措施得当。有控制工期的施工进度计划。有施工总进度表或施工网络图，对关键线路节点控制管理措施得当，并对如果发生进度滞后有具体可行的纠偏及补救措施，各项计划图表编制完善，安排科学合理，符合本项目施工实际要求。</w:t>
            </w:r>
          </w:p>
          <w:p w14:paraId="13CFC272">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0CE20D66">
            <w:pPr>
              <w:wordWrap w:val="0"/>
              <w:spacing w:line="400" w:lineRule="exact"/>
              <w:jc w:val="center"/>
              <w:rPr>
                <w:rFonts w:ascii="宋体" w:hAnsi="宋体" w:cs="宋体"/>
                <w:color w:val="auto"/>
                <w:szCs w:val="21"/>
              </w:rPr>
            </w:pPr>
            <w:r>
              <w:rPr>
                <w:rFonts w:hint="eastAsia" w:ascii="宋体" w:hAnsi="宋体" w:cs="宋体"/>
                <w:color w:val="auto"/>
                <w:kern w:val="0"/>
                <w:szCs w:val="21"/>
              </w:rPr>
              <w:t>6分</w:t>
            </w:r>
          </w:p>
        </w:tc>
      </w:tr>
      <w:tr w14:paraId="312B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5A054BCF">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02E1C3DB">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473A9E58">
            <w:pPr>
              <w:wordWrap w:val="0"/>
              <w:spacing w:line="400" w:lineRule="exact"/>
              <w:jc w:val="left"/>
              <w:rPr>
                <w:rFonts w:ascii="宋体" w:hAnsi="宋体" w:cs="宋体"/>
                <w:color w:val="auto"/>
                <w:szCs w:val="21"/>
              </w:rPr>
            </w:pPr>
            <w:r>
              <w:rPr>
                <w:rFonts w:hint="eastAsia" w:ascii="宋体" w:hAnsi="宋体" w:cs="宋体"/>
                <w:color w:val="auto"/>
                <w:szCs w:val="21"/>
              </w:rPr>
              <w:t>确保文明施工的技术组织措施</w:t>
            </w:r>
          </w:p>
        </w:tc>
        <w:tc>
          <w:tcPr>
            <w:tcW w:w="5843" w:type="dxa"/>
            <w:vAlign w:val="center"/>
          </w:tcPr>
          <w:p w14:paraId="36D6559E">
            <w:pPr>
              <w:wordWrap w:val="0"/>
              <w:spacing w:line="400" w:lineRule="exact"/>
              <w:jc w:val="left"/>
              <w:rPr>
                <w:rFonts w:ascii="宋体" w:hAnsi="宋体" w:cs="宋体"/>
                <w:color w:val="auto"/>
                <w:szCs w:val="21"/>
              </w:rPr>
            </w:pPr>
            <w:r>
              <w:rPr>
                <w:rFonts w:hint="eastAsia" w:ascii="宋体" w:hAnsi="宋体" w:cs="宋体"/>
                <w:color w:val="auto"/>
                <w:szCs w:val="21"/>
              </w:rPr>
              <w:t>一档（2分）：应有现场文明施工、环境保护措施，且措施内容应达到《建筑施工安全生产检查标准》（JGJ59-2011）合格标准并符合《广西壮族自治区建筑工程文明施工导则》要求。各项措施不够合理。无具体实现现场文明施工目标的承诺。</w:t>
            </w:r>
          </w:p>
          <w:p w14:paraId="10AF4A1F">
            <w:pPr>
              <w:wordWrap w:val="0"/>
              <w:spacing w:line="400" w:lineRule="exact"/>
              <w:jc w:val="left"/>
              <w:rPr>
                <w:rFonts w:ascii="宋体" w:hAnsi="宋体" w:cs="宋体"/>
                <w:color w:val="auto"/>
                <w:szCs w:val="21"/>
              </w:rPr>
            </w:pPr>
            <w:r>
              <w:rPr>
                <w:rFonts w:hint="eastAsia" w:ascii="宋体" w:hAnsi="宋体" w:cs="宋体"/>
                <w:color w:val="auto"/>
                <w:szCs w:val="21"/>
              </w:rPr>
              <w:t>二档（4分）：有现场文明施工、环境保护措施，且措施内容达到《建筑施工安全生产检查标准》（JGJ59-2011）合格标准并符合《广西壮族自治区建筑工程文明施工导则》要求。各项措施详细，内容基本合理。有具体实现现场文明施工目标的承诺。</w:t>
            </w:r>
          </w:p>
          <w:p w14:paraId="642E8065">
            <w:pPr>
              <w:wordWrap w:val="0"/>
              <w:spacing w:line="400" w:lineRule="exact"/>
              <w:jc w:val="left"/>
              <w:rPr>
                <w:rFonts w:ascii="宋体" w:hAnsi="宋体" w:cs="宋体"/>
                <w:color w:val="auto"/>
                <w:szCs w:val="21"/>
              </w:rPr>
            </w:pPr>
            <w:r>
              <w:rPr>
                <w:rFonts w:hint="eastAsia" w:ascii="宋体" w:hAnsi="宋体" w:cs="宋体"/>
                <w:color w:val="auto"/>
                <w:szCs w:val="21"/>
              </w:rPr>
              <w:t xml:space="preserve">三档（6分）：针对本工程项目特点，有现场文明施工、环境保护措施，且措施内容达到《建筑施工安全生产检查标准》（JGJ59-2011）合格标准并符合《广西壮族自治区建筑工程文明施工导则》要求。各项措施详尽、周全、具体、有效。有具体实现现场文明施工目标的承诺。 </w:t>
            </w:r>
          </w:p>
          <w:p w14:paraId="64A16F14">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10EDD42D">
            <w:pPr>
              <w:wordWrap w:val="0"/>
              <w:spacing w:line="400" w:lineRule="exact"/>
              <w:jc w:val="center"/>
              <w:rPr>
                <w:rFonts w:ascii="宋体" w:hAnsi="宋体" w:cs="宋体"/>
                <w:color w:val="auto"/>
                <w:szCs w:val="21"/>
              </w:rPr>
            </w:pPr>
            <w:r>
              <w:rPr>
                <w:rFonts w:hint="eastAsia" w:ascii="宋体" w:hAnsi="宋体" w:cs="宋体"/>
                <w:color w:val="auto"/>
                <w:kern w:val="0"/>
                <w:szCs w:val="21"/>
              </w:rPr>
              <w:t>6分</w:t>
            </w:r>
          </w:p>
        </w:tc>
      </w:tr>
      <w:tr w14:paraId="6D84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Merge w:val="continue"/>
            <w:vAlign w:val="center"/>
          </w:tcPr>
          <w:p w14:paraId="169F6B9D">
            <w:pPr>
              <w:wordWrap w:val="0"/>
              <w:adjustRightInd w:val="0"/>
              <w:spacing w:line="400" w:lineRule="exact"/>
              <w:jc w:val="center"/>
              <w:textAlignment w:val="baseline"/>
              <w:rPr>
                <w:rFonts w:ascii="宋体" w:hAnsi="宋体" w:cs="宋体"/>
                <w:bCs/>
                <w:color w:val="auto"/>
                <w:kern w:val="0"/>
                <w:szCs w:val="21"/>
              </w:rPr>
            </w:pPr>
          </w:p>
        </w:tc>
        <w:tc>
          <w:tcPr>
            <w:tcW w:w="800" w:type="dxa"/>
            <w:vMerge w:val="continue"/>
            <w:vAlign w:val="center"/>
          </w:tcPr>
          <w:p w14:paraId="08C5447B">
            <w:pPr>
              <w:wordWrap w:val="0"/>
              <w:adjustRightInd w:val="0"/>
              <w:spacing w:line="400" w:lineRule="exact"/>
              <w:jc w:val="center"/>
              <w:textAlignment w:val="baseline"/>
              <w:rPr>
                <w:rFonts w:ascii="宋体" w:hAnsi="宋体" w:cs="宋体"/>
                <w:bCs/>
                <w:color w:val="auto"/>
                <w:kern w:val="0"/>
                <w:szCs w:val="21"/>
              </w:rPr>
            </w:pPr>
          </w:p>
        </w:tc>
        <w:tc>
          <w:tcPr>
            <w:tcW w:w="1289" w:type="dxa"/>
            <w:vAlign w:val="center"/>
          </w:tcPr>
          <w:p w14:paraId="303390C5">
            <w:pPr>
              <w:wordWrap w:val="0"/>
              <w:spacing w:line="400" w:lineRule="exact"/>
              <w:jc w:val="left"/>
              <w:rPr>
                <w:rFonts w:ascii="宋体" w:hAnsi="宋体" w:cs="宋体"/>
                <w:color w:val="auto"/>
                <w:szCs w:val="21"/>
              </w:rPr>
            </w:pPr>
            <w:r>
              <w:rPr>
                <w:rFonts w:hint="eastAsia" w:ascii="宋体" w:hAnsi="宋体" w:cs="宋体"/>
                <w:color w:val="auto"/>
                <w:szCs w:val="21"/>
              </w:rPr>
              <w:t>工程施工的重点和难点及保证措施</w:t>
            </w:r>
          </w:p>
        </w:tc>
        <w:tc>
          <w:tcPr>
            <w:tcW w:w="5843" w:type="dxa"/>
            <w:vAlign w:val="center"/>
          </w:tcPr>
          <w:p w14:paraId="29648447">
            <w:pPr>
              <w:wordWrap w:val="0"/>
              <w:spacing w:line="400" w:lineRule="exact"/>
              <w:jc w:val="left"/>
              <w:rPr>
                <w:rFonts w:ascii="宋体" w:hAnsi="宋体" w:cs="宋体"/>
                <w:color w:val="auto"/>
                <w:szCs w:val="21"/>
              </w:rPr>
            </w:pPr>
            <w:r>
              <w:rPr>
                <w:rFonts w:hint="eastAsia" w:ascii="宋体" w:hAnsi="宋体" w:cs="宋体"/>
                <w:color w:val="auto"/>
                <w:szCs w:val="21"/>
              </w:rPr>
              <w:t>一档（2分）：针对本工程的特点，阐述本工程的重点和难点，解决重点和难点问题的方法不够合理。</w:t>
            </w:r>
          </w:p>
          <w:p w14:paraId="6619C685">
            <w:pPr>
              <w:wordWrap w:val="0"/>
              <w:spacing w:line="400" w:lineRule="exact"/>
              <w:jc w:val="left"/>
              <w:rPr>
                <w:rFonts w:ascii="宋体" w:hAnsi="宋体" w:cs="宋体"/>
                <w:color w:val="auto"/>
                <w:szCs w:val="21"/>
              </w:rPr>
            </w:pPr>
            <w:r>
              <w:rPr>
                <w:rFonts w:hint="eastAsia" w:ascii="宋体" w:hAnsi="宋体" w:cs="宋体"/>
                <w:color w:val="auto"/>
                <w:szCs w:val="21"/>
              </w:rPr>
              <w:t xml:space="preserve">二档（4分）：针对本工程的特点，阐述本工程的重点和难点，解决重点和难点问题的方法基本合理。 </w:t>
            </w:r>
          </w:p>
          <w:p w14:paraId="69262A70">
            <w:pPr>
              <w:wordWrap w:val="0"/>
              <w:spacing w:line="400" w:lineRule="exact"/>
              <w:jc w:val="left"/>
              <w:rPr>
                <w:rFonts w:ascii="宋体" w:hAnsi="宋体" w:cs="宋体"/>
                <w:color w:val="auto"/>
                <w:szCs w:val="21"/>
              </w:rPr>
            </w:pPr>
            <w:r>
              <w:rPr>
                <w:rFonts w:hint="eastAsia" w:ascii="宋体" w:hAnsi="宋体" w:cs="宋体"/>
                <w:color w:val="auto"/>
                <w:szCs w:val="21"/>
              </w:rPr>
              <w:t>三档（6分）：针对本工程的特点，阐述本工程的重点和难点，解决重点和难点问题的方法科学合理且全面。</w:t>
            </w:r>
          </w:p>
          <w:p w14:paraId="33147688">
            <w:pPr>
              <w:wordWrap w:val="0"/>
              <w:spacing w:line="400" w:lineRule="exact"/>
              <w:jc w:val="left"/>
              <w:rPr>
                <w:rFonts w:ascii="宋体" w:hAnsi="宋体" w:cs="宋体"/>
                <w:color w:val="auto"/>
                <w:szCs w:val="21"/>
              </w:rPr>
            </w:pPr>
            <w:r>
              <w:rPr>
                <w:rFonts w:hint="eastAsia" w:ascii="宋体" w:hAnsi="宋体" w:cs="宋体"/>
                <w:color w:val="auto"/>
                <w:szCs w:val="21"/>
              </w:rPr>
              <w:t>注：方案未达到一档标准要求的，得0分。</w:t>
            </w:r>
          </w:p>
        </w:tc>
        <w:tc>
          <w:tcPr>
            <w:tcW w:w="878" w:type="dxa"/>
            <w:vAlign w:val="center"/>
          </w:tcPr>
          <w:p w14:paraId="48562D78">
            <w:pPr>
              <w:wordWrap w:val="0"/>
              <w:spacing w:line="400" w:lineRule="exact"/>
              <w:jc w:val="center"/>
              <w:rPr>
                <w:rFonts w:ascii="宋体" w:hAnsi="宋体" w:cs="宋体"/>
                <w:color w:val="auto"/>
                <w:kern w:val="0"/>
                <w:szCs w:val="21"/>
              </w:rPr>
            </w:pPr>
            <w:r>
              <w:rPr>
                <w:rFonts w:hint="eastAsia" w:ascii="宋体" w:hAnsi="宋体" w:cs="宋体"/>
                <w:color w:val="auto"/>
                <w:kern w:val="0"/>
                <w:szCs w:val="21"/>
              </w:rPr>
              <w:t>6分</w:t>
            </w:r>
          </w:p>
        </w:tc>
      </w:tr>
      <w:tr w14:paraId="1C27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Align w:val="center"/>
          </w:tcPr>
          <w:p w14:paraId="0176215B">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3</w:t>
            </w:r>
          </w:p>
        </w:tc>
        <w:tc>
          <w:tcPr>
            <w:tcW w:w="2089" w:type="dxa"/>
            <w:gridSpan w:val="2"/>
            <w:vAlign w:val="center"/>
          </w:tcPr>
          <w:p w14:paraId="649DFB4D">
            <w:pPr>
              <w:widowControl/>
              <w:wordWrap w:val="0"/>
              <w:spacing w:line="400" w:lineRule="exact"/>
              <w:jc w:val="center"/>
              <w:rPr>
                <w:rFonts w:ascii="宋体" w:hAnsi="宋体" w:cs="宋体"/>
                <w:bCs/>
                <w:color w:val="auto"/>
                <w:szCs w:val="21"/>
              </w:rPr>
            </w:pPr>
            <w:r>
              <w:rPr>
                <w:rFonts w:hint="eastAsia" w:ascii="宋体" w:hAnsi="宋体" w:cs="宋体"/>
                <w:bCs/>
                <w:color w:val="auto"/>
                <w:szCs w:val="21"/>
              </w:rPr>
              <w:t>商务分</w:t>
            </w:r>
          </w:p>
        </w:tc>
        <w:tc>
          <w:tcPr>
            <w:tcW w:w="5843" w:type="dxa"/>
            <w:vAlign w:val="center"/>
          </w:tcPr>
          <w:p w14:paraId="32CFD517">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评审标准</w:t>
            </w:r>
          </w:p>
        </w:tc>
        <w:tc>
          <w:tcPr>
            <w:tcW w:w="878" w:type="dxa"/>
            <w:vAlign w:val="center"/>
          </w:tcPr>
          <w:p w14:paraId="0ADB2014">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10分</w:t>
            </w:r>
          </w:p>
        </w:tc>
      </w:tr>
      <w:tr w14:paraId="5724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8" w:type="dxa"/>
            <w:vAlign w:val="center"/>
          </w:tcPr>
          <w:p w14:paraId="401BA13A">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3.1</w:t>
            </w:r>
          </w:p>
        </w:tc>
        <w:tc>
          <w:tcPr>
            <w:tcW w:w="2089" w:type="dxa"/>
            <w:gridSpan w:val="2"/>
            <w:vAlign w:val="center"/>
          </w:tcPr>
          <w:p w14:paraId="64CBA2C6">
            <w:pPr>
              <w:wordWrap w:val="0"/>
              <w:spacing w:line="400" w:lineRule="exact"/>
              <w:jc w:val="center"/>
              <w:rPr>
                <w:rFonts w:ascii="宋体" w:hAnsi="宋体" w:cs="宋体"/>
                <w:color w:val="auto"/>
                <w:szCs w:val="21"/>
              </w:rPr>
            </w:pPr>
            <w:r>
              <w:rPr>
                <w:rFonts w:hint="eastAsia" w:ascii="宋体" w:hAnsi="宋体" w:cs="宋体"/>
                <w:color w:val="auto"/>
                <w:szCs w:val="21"/>
              </w:rPr>
              <w:t>业绩分</w:t>
            </w:r>
          </w:p>
        </w:tc>
        <w:tc>
          <w:tcPr>
            <w:tcW w:w="5843" w:type="dxa"/>
            <w:vAlign w:val="center"/>
          </w:tcPr>
          <w:p w14:paraId="7AA13F24">
            <w:pPr>
              <w:wordWrap w:val="0"/>
              <w:autoSpaceDE w:val="0"/>
              <w:autoSpaceDN w:val="0"/>
              <w:adjustRightInd w:val="0"/>
              <w:spacing w:line="400" w:lineRule="exact"/>
              <w:rPr>
                <w:rFonts w:hAnsi="宋体" w:cs="Courier New"/>
                <w:bCs/>
                <w:color w:val="auto"/>
              </w:rPr>
            </w:pPr>
            <w:r>
              <w:rPr>
                <w:rFonts w:hint="eastAsia" w:hAnsi="宋体" w:cs="Courier New"/>
                <w:bCs/>
                <w:color w:val="auto"/>
              </w:rPr>
              <w:t>供应商自2022年1月1日以来（以合同签订时间为准）具有同类项目业绩的，每个得2.5分，满分10分。</w:t>
            </w:r>
          </w:p>
          <w:p w14:paraId="646B3432">
            <w:pPr>
              <w:wordWrap w:val="0"/>
              <w:autoSpaceDE w:val="0"/>
              <w:autoSpaceDN w:val="0"/>
              <w:adjustRightInd w:val="0"/>
              <w:spacing w:line="400" w:lineRule="exact"/>
              <w:rPr>
                <w:rFonts w:ascii="宋体" w:hAnsi="宋体" w:cs="宋体"/>
                <w:color w:val="auto"/>
                <w:szCs w:val="21"/>
              </w:rPr>
            </w:pPr>
            <w:r>
              <w:rPr>
                <w:rFonts w:hint="eastAsia" w:hAnsi="宋体" w:cs="Courier New"/>
                <w:bCs/>
                <w:color w:val="auto"/>
              </w:rPr>
              <w:t>注：需在响应文件中提供中标（成交）通知书或施工合同复印件并加盖供应商公章，不提供不得分。</w:t>
            </w:r>
          </w:p>
        </w:tc>
        <w:tc>
          <w:tcPr>
            <w:tcW w:w="878" w:type="dxa"/>
            <w:vAlign w:val="center"/>
          </w:tcPr>
          <w:p w14:paraId="01910CE8">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10分</w:t>
            </w:r>
          </w:p>
        </w:tc>
      </w:tr>
      <w:tr w14:paraId="2754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0" w:type="dxa"/>
            <w:gridSpan w:val="4"/>
          </w:tcPr>
          <w:p w14:paraId="384E1086">
            <w:pPr>
              <w:pStyle w:val="26"/>
              <w:wordWrap w:val="0"/>
              <w:spacing w:line="400" w:lineRule="exact"/>
              <w:ind w:firstLine="420" w:firstLineChars="200"/>
              <w:rPr>
                <w:rFonts w:hAnsi="宋体" w:cs="宋体"/>
                <w:bCs/>
                <w:color w:val="auto"/>
                <w:kern w:val="2"/>
                <w:sz w:val="21"/>
              </w:rPr>
            </w:pPr>
            <w:r>
              <w:rPr>
                <w:rFonts w:hint="eastAsia" w:hAnsi="宋体" w:cs="宋体"/>
                <w:bCs/>
                <w:color w:val="auto"/>
                <w:kern w:val="2"/>
                <w:sz w:val="21"/>
              </w:rPr>
              <w:t>总得分＝1＋2＋3</w:t>
            </w:r>
          </w:p>
        </w:tc>
        <w:tc>
          <w:tcPr>
            <w:tcW w:w="878" w:type="dxa"/>
            <w:vAlign w:val="center"/>
          </w:tcPr>
          <w:p w14:paraId="7CF97BAD">
            <w:pPr>
              <w:widowControl/>
              <w:wordWrap w:val="0"/>
              <w:spacing w:line="400" w:lineRule="exact"/>
              <w:jc w:val="center"/>
              <w:rPr>
                <w:rFonts w:ascii="宋体" w:hAnsi="宋体" w:cs="宋体"/>
                <w:color w:val="auto"/>
                <w:kern w:val="0"/>
                <w:szCs w:val="21"/>
              </w:rPr>
            </w:pPr>
            <w:r>
              <w:rPr>
                <w:rFonts w:hint="eastAsia" w:ascii="宋体" w:hAnsi="宋体" w:cs="宋体"/>
                <w:color w:val="auto"/>
                <w:kern w:val="0"/>
                <w:szCs w:val="21"/>
              </w:rPr>
              <w:t>100分</w:t>
            </w:r>
          </w:p>
        </w:tc>
      </w:tr>
      <w:tr w14:paraId="6768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58" w:type="dxa"/>
            <w:gridSpan w:val="5"/>
          </w:tcPr>
          <w:p w14:paraId="0C381DA5">
            <w:pPr>
              <w:widowControl/>
              <w:wordWrap w:val="0"/>
              <w:spacing w:line="400" w:lineRule="exact"/>
              <w:rPr>
                <w:rFonts w:ascii="宋体" w:hAnsi="宋体" w:cs="宋体"/>
                <w:color w:val="auto"/>
                <w:kern w:val="0"/>
                <w:szCs w:val="21"/>
              </w:rPr>
            </w:pPr>
            <w:r>
              <w:rPr>
                <w:rFonts w:hint="eastAsia" w:ascii="宋体" w:hAnsi="宋体" w:cs="宋体"/>
                <w:color w:val="auto"/>
                <w:szCs w:val="21"/>
              </w:rPr>
              <w:t>本项目为施工项目，不涉及政策功能的节能，环保分加分。</w:t>
            </w:r>
          </w:p>
        </w:tc>
      </w:tr>
    </w:tbl>
    <w:p w14:paraId="616BF87B">
      <w:pPr>
        <w:spacing w:line="360" w:lineRule="auto"/>
        <w:ind w:firstLine="420" w:firstLineChars="200"/>
        <w:rPr>
          <w:rFonts w:ascii="宋体" w:hAnsi="宋体"/>
          <w:bCs/>
          <w:color w:val="auto"/>
          <w:szCs w:val="21"/>
        </w:rPr>
      </w:pPr>
    </w:p>
    <w:p w14:paraId="63A31B86">
      <w:pPr>
        <w:pStyle w:val="3"/>
        <w:jc w:val="center"/>
        <w:rPr>
          <w:color w:val="auto"/>
        </w:rPr>
      </w:pPr>
      <w:bookmarkStart w:id="76" w:name="_Toc122424248"/>
      <w:r>
        <w:rPr>
          <w:rFonts w:hint="eastAsia"/>
          <w:color w:val="auto"/>
        </w:rPr>
        <w:t>第五章 工程量清单及图纸</w:t>
      </w:r>
      <w:bookmarkEnd w:id="76"/>
    </w:p>
    <w:p w14:paraId="23BBBA62">
      <w:pPr>
        <w:pStyle w:val="4"/>
        <w:spacing w:before="0" w:after="0" w:line="360" w:lineRule="auto"/>
        <w:rPr>
          <w:color w:val="auto"/>
          <w:kern w:val="44"/>
        </w:rPr>
      </w:pPr>
      <w:bookmarkStart w:id="77" w:name="_Toc122424250"/>
      <w:bookmarkStart w:id="78" w:name="_Toc407135284"/>
      <w:bookmarkStart w:id="79" w:name="_Toc1392571603"/>
      <w:bookmarkStart w:id="80" w:name="_Toc122424001"/>
      <w:bookmarkStart w:id="81" w:name="_Toc1386396751"/>
      <w:bookmarkStart w:id="82" w:name="_Toc78449869"/>
      <w:r>
        <w:rPr>
          <w:color w:val="auto"/>
        </w:rPr>
        <w:t>1</w:t>
      </w:r>
      <w:r>
        <w:rPr>
          <w:rFonts w:hint="eastAsia"/>
          <w:color w:val="auto"/>
        </w:rPr>
        <w:t>.</w:t>
      </w:r>
      <w:r>
        <w:rPr>
          <w:rFonts w:hint="eastAsia" w:cs="黑体"/>
          <w:color w:val="auto"/>
        </w:rPr>
        <w:t>工程量清单编制说明</w:t>
      </w:r>
      <w:bookmarkEnd w:id="77"/>
      <w:bookmarkEnd w:id="78"/>
      <w:bookmarkEnd w:id="79"/>
      <w:bookmarkEnd w:id="80"/>
      <w:bookmarkEnd w:id="81"/>
      <w:bookmarkEnd w:id="82"/>
    </w:p>
    <w:p w14:paraId="7C557DBE">
      <w:pPr>
        <w:spacing w:line="360" w:lineRule="auto"/>
        <w:ind w:firstLine="420" w:firstLineChars="200"/>
        <w:rPr>
          <w:color w:val="auto"/>
        </w:rPr>
      </w:pPr>
      <w:r>
        <w:rPr>
          <w:color w:val="auto"/>
        </w:rPr>
        <w:t>1.1</w:t>
      </w:r>
      <w:r>
        <w:rPr>
          <w:rFonts w:hint="eastAsia" w:hAnsi="宋体" w:cs="宋体"/>
          <w:color w:val="auto"/>
        </w:rPr>
        <w:t>本工程量清单依据《建设工程工程量清单计价规范</w:t>
      </w:r>
      <w:r>
        <w:rPr>
          <w:rFonts w:hint="eastAsia" w:cs="宋体"/>
          <w:color w:val="auto"/>
        </w:rPr>
        <w:t>（</w:t>
      </w:r>
      <w:r>
        <w:rPr>
          <w:color w:val="auto"/>
        </w:rPr>
        <w:t>GB50500-2013</w:t>
      </w:r>
      <w:r>
        <w:rPr>
          <w:rFonts w:hint="eastAsia" w:cs="宋体"/>
          <w:color w:val="auto"/>
        </w:rPr>
        <w:t>）</w:t>
      </w:r>
      <w:r>
        <w:rPr>
          <w:rFonts w:hint="eastAsia" w:hAnsi="宋体" w:cs="宋体"/>
          <w:color w:val="auto"/>
        </w:rPr>
        <w:t>广西实施细则》（以下简称</w:t>
      </w:r>
      <w:r>
        <w:rPr>
          <w:color w:val="auto"/>
        </w:rPr>
        <w:t>“</w:t>
      </w:r>
      <w:r>
        <w:rPr>
          <w:rFonts w:hint="eastAsia" w:hAnsi="宋体" w:cs="宋体"/>
          <w:color w:val="auto"/>
        </w:rPr>
        <w:t>《计价规范》</w:t>
      </w:r>
      <w:r>
        <w:rPr>
          <w:color w:val="auto"/>
        </w:rPr>
        <w:t>”</w:t>
      </w:r>
      <w:r>
        <w:rPr>
          <w:rFonts w:hint="eastAsia" w:cs="宋体"/>
          <w:color w:val="auto"/>
        </w:rPr>
        <w:t>）</w:t>
      </w:r>
      <w:r>
        <w:rPr>
          <w:rFonts w:hint="eastAsia" w:hAnsi="宋体" w:cs="宋体"/>
          <w:color w:val="auto"/>
        </w:rPr>
        <w:t>、《工程量清单计算规范（</w:t>
      </w:r>
      <w:r>
        <w:rPr>
          <w:color w:val="auto"/>
        </w:rPr>
        <w:t>GB50854~50862-2013</w:t>
      </w:r>
      <w:r>
        <w:rPr>
          <w:rFonts w:hint="eastAsia" w:hAnsi="宋体" w:cs="宋体"/>
          <w:color w:val="auto"/>
        </w:rPr>
        <w:t>）》及广西实施细则（修订本）（以下简称</w:t>
      </w:r>
      <w:r>
        <w:rPr>
          <w:color w:val="auto"/>
        </w:rPr>
        <w:t>“</w:t>
      </w:r>
      <w:r>
        <w:rPr>
          <w:rFonts w:hint="eastAsia" w:hAnsi="宋体" w:cs="宋体"/>
          <w:color w:val="auto"/>
        </w:rPr>
        <w:t>《计算规范》</w:t>
      </w:r>
      <w:r>
        <w:rPr>
          <w:color w:val="auto"/>
        </w:rPr>
        <w:t>”</w:t>
      </w:r>
      <w:r>
        <w:rPr>
          <w:rFonts w:hint="eastAsia" w:hAnsi="宋体" w:cs="宋体"/>
          <w:color w:val="auto"/>
        </w:rPr>
        <w:t>）、</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号）、磋商文件</w:t>
      </w:r>
      <w:r>
        <w:rPr>
          <w:rFonts w:hint="eastAsia" w:hAnsi="宋体" w:cs="宋体"/>
          <w:color w:val="auto"/>
        </w:rPr>
        <w:t>、施工图等编制。计算规范中没有的清单项目，应在本章第</w:t>
      </w:r>
      <w:r>
        <w:rPr>
          <w:color w:val="auto"/>
        </w:rPr>
        <w:t>1.4</w:t>
      </w:r>
      <w:r>
        <w:rPr>
          <w:rFonts w:hint="eastAsia" w:hAnsi="宋体" w:cs="宋体"/>
          <w:color w:val="auto"/>
        </w:rPr>
        <w:t>款约定。</w:t>
      </w:r>
    </w:p>
    <w:p w14:paraId="0126E315">
      <w:pPr>
        <w:spacing w:line="360" w:lineRule="auto"/>
        <w:ind w:firstLine="420" w:firstLineChars="200"/>
        <w:rPr>
          <w:color w:val="auto"/>
        </w:rPr>
      </w:pPr>
      <w:r>
        <w:rPr>
          <w:color w:val="auto"/>
        </w:rPr>
        <w:t xml:space="preserve">1.2 </w:t>
      </w:r>
      <w:r>
        <w:rPr>
          <w:rFonts w:hint="eastAsia"/>
          <w:color w:val="auto"/>
        </w:rPr>
        <w:t>工程量清单应与供应商须知、合同协议条款、合同的通用条款、合同专用条款、技术规范及图纸等文件一起结合使用。</w:t>
      </w:r>
    </w:p>
    <w:p w14:paraId="5B7D72F5">
      <w:pPr>
        <w:spacing w:line="360" w:lineRule="auto"/>
        <w:ind w:firstLine="420" w:firstLineChars="200"/>
        <w:rPr>
          <w:color w:val="auto"/>
        </w:rPr>
      </w:pPr>
      <w:r>
        <w:rPr>
          <w:color w:val="auto"/>
        </w:rPr>
        <w:t xml:space="preserve">1.3 </w:t>
      </w:r>
      <w:r>
        <w:rPr>
          <w:rFonts w:hint="eastAsia" w:cs="宋体"/>
          <w:color w:val="auto"/>
        </w:rPr>
        <w:t>工程量清单是磋商文件的组成部分，是工程量清单计价的基础，作为编制招标控制价、竞标报价、计算或调整工程量、索赔等的依据之一。</w:t>
      </w:r>
    </w:p>
    <w:p w14:paraId="1CB399FA">
      <w:pPr>
        <w:spacing w:line="360" w:lineRule="auto"/>
        <w:ind w:firstLine="420" w:firstLineChars="200"/>
        <w:rPr>
          <w:color w:val="auto"/>
        </w:rPr>
      </w:pPr>
      <w:r>
        <w:rPr>
          <w:color w:val="auto"/>
        </w:rPr>
        <w:t xml:space="preserve">1.4 </w:t>
      </w:r>
      <w:r>
        <w:rPr>
          <w:rFonts w:hint="eastAsia" w:cs="宋体"/>
          <w:color w:val="auto"/>
        </w:rPr>
        <w:t>补充清单项目的特征、计量单位、工程量计算规则及工作内容说明如下：</w:t>
      </w:r>
    </w:p>
    <w:p w14:paraId="2E91501C">
      <w:pPr>
        <w:spacing w:line="360" w:lineRule="auto"/>
        <w:ind w:left="2"/>
        <w:rPr>
          <w:color w:val="auto"/>
        </w:rPr>
      </w:pPr>
      <w:r>
        <w:rPr>
          <w:color w:val="auto"/>
        </w:rPr>
        <w:t xml:space="preserve">   </w:t>
      </w:r>
      <w:r>
        <w:rPr>
          <w:color w:val="auto"/>
          <w:u w:val="single"/>
        </w:rPr>
        <w:t xml:space="preserve">                 </w:t>
      </w:r>
      <w:r>
        <w:rPr>
          <w:rFonts w:hint="eastAsia"/>
          <w:color w:val="auto"/>
          <w:u w:val="single"/>
        </w:rPr>
        <w:t>/</w:t>
      </w:r>
      <w:r>
        <w:rPr>
          <w:color w:val="auto"/>
          <w:u w:val="single"/>
        </w:rPr>
        <w:t xml:space="preserve">                    </w:t>
      </w:r>
      <w:r>
        <w:rPr>
          <w:rFonts w:hint="eastAsia" w:hAnsi="宋体" w:cs="宋体"/>
          <w:color w:val="auto"/>
        </w:rPr>
        <w:t>。</w:t>
      </w:r>
    </w:p>
    <w:p w14:paraId="3809E6BC">
      <w:pPr>
        <w:pStyle w:val="26"/>
        <w:spacing w:line="360" w:lineRule="auto"/>
        <w:ind w:firstLine="420" w:firstLineChars="200"/>
        <w:rPr>
          <w:rFonts w:ascii="Times New Roman" w:hAnsi="Times New Roman"/>
          <w:color w:val="auto"/>
          <w:sz w:val="21"/>
        </w:rPr>
      </w:pPr>
      <w:r>
        <w:rPr>
          <w:rFonts w:ascii="Times New Roman" w:hAnsi="Times New Roman"/>
          <w:color w:val="auto"/>
          <w:sz w:val="21"/>
        </w:rPr>
        <w:t xml:space="preserve">1.5 </w:t>
      </w:r>
      <w:r>
        <w:rPr>
          <w:rFonts w:hint="eastAsia" w:ascii="Times New Roman" w:hAnsi="Times New Roman"/>
          <w:color w:val="auto"/>
          <w:sz w:val="21"/>
        </w:rPr>
        <w:t>《允许调整主要材料和工程设备一览表》（表</w:t>
      </w:r>
      <w:r>
        <w:rPr>
          <w:rFonts w:ascii="Times New Roman" w:hAnsi="Times New Roman"/>
          <w:color w:val="auto"/>
          <w:sz w:val="21"/>
        </w:rPr>
        <w:t>-22</w:t>
      </w:r>
      <w:r>
        <w:rPr>
          <w:rFonts w:hint="eastAsia" w:ascii="Times New Roman" w:hAnsi="Times New Roman"/>
          <w:color w:val="auto"/>
          <w:sz w:val="21"/>
        </w:rPr>
        <w:t>，表格编号为计价规范相应表格编号，下同）作为项目实施过程中材料和设备价格风险调整依据。</w:t>
      </w:r>
    </w:p>
    <w:p w14:paraId="15B1AA78">
      <w:pPr>
        <w:pStyle w:val="26"/>
        <w:spacing w:line="360" w:lineRule="auto"/>
        <w:ind w:firstLine="420" w:firstLineChars="200"/>
        <w:rPr>
          <w:rFonts w:ascii="Times New Roman" w:hAnsi="Times New Roman"/>
          <w:color w:val="auto"/>
          <w:sz w:val="21"/>
        </w:rPr>
      </w:pPr>
      <w:r>
        <w:rPr>
          <w:rFonts w:ascii="Times New Roman" w:hAnsi="Times New Roman"/>
          <w:color w:val="auto"/>
          <w:sz w:val="21"/>
        </w:rPr>
        <w:t xml:space="preserve">1.6 </w:t>
      </w:r>
      <w:r>
        <w:rPr>
          <w:rFonts w:hint="eastAsia" w:ascii="Times New Roman" w:hAnsi="Times New Roman"/>
          <w:color w:val="auto"/>
          <w:sz w:val="21"/>
        </w:rPr>
        <w:t>本工程暂列金额（约按合同造价</w:t>
      </w:r>
      <w:r>
        <w:rPr>
          <w:rFonts w:ascii="Times New Roman" w:hAnsi="Times New Roman"/>
          <w:color w:val="auto"/>
          <w:sz w:val="21"/>
          <w:u w:val="single"/>
        </w:rPr>
        <w:t xml:space="preserve">    </w:t>
      </w:r>
      <w:r>
        <w:rPr>
          <w:rFonts w:hint="eastAsia" w:ascii="Times New Roman" w:hAnsi="Times New Roman"/>
          <w:color w:val="auto"/>
          <w:sz w:val="21"/>
          <w:u w:val="single"/>
        </w:rPr>
        <w:t>/</w:t>
      </w:r>
      <w:r>
        <w:rPr>
          <w:rFonts w:ascii="Times New Roman" w:hAnsi="Times New Roman"/>
          <w:color w:val="auto"/>
          <w:sz w:val="21"/>
          <w:u w:val="single"/>
        </w:rPr>
        <w:t xml:space="preserve">    </w:t>
      </w:r>
      <w:r>
        <w:rPr>
          <w:rFonts w:ascii="Times New Roman" w:hAnsi="Times New Roman"/>
          <w:color w:val="auto"/>
          <w:sz w:val="21"/>
        </w:rPr>
        <w:t>%</w:t>
      </w:r>
      <w:r>
        <w:rPr>
          <w:rFonts w:hint="eastAsia" w:ascii="Times New Roman" w:hAnsi="Times New Roman"/>
          <w:color w:val="auto"/>
          <w:sz w:val="21"/>
        </w:rPr>
        <w:t>计算），共</w:t>
      </w:r>
      <w:r>
        <w:rPr>
          <w:rFonts w:ascii="Times New Roman" w:hAnsi="Times New Roman"/>
          <w:color w:val="auto"/>
          <w:sz w:val="21"/>
          <w:u w:val="single"/>
        </w:rPr>
        <w:t xml:space="preserve">     </w:t>
      </w:r>
      <w:r>
        <w:rPr>
          <w:rFonts w:hint="eastAsia" w:ascii="Times New Roman" w:hAnsi="Times New Roman"/>
          <w:color w:val="auto"/>
          <w:sz w:val="21"/>
          <w:u w:val="single"/>
        </w:rPr>
        <w:t>/</w:t>
      </w:r>
      <w:r>
        <w:rPr>
          <w:rFonts w:ascii="Times New Roman" w:hAnsi="Times New Roman"/>
          <w:color w:val="auto"/>
          <w:sz w:val="21"/>
          <w:u w:val="single"/>
        </w:rPr>
        <w:t xml:space="preserve">   </w:t>
      </w:r>
      <w:r>
        <w:rPr>
          <w:rFonts w:hint="eastAsia" w:ascii="Times New Roman" w:hAnsi="Times New Roman"/>
          <w:color w:val="auto"/>
          <w:sz w:val="21"/>
        </w:rPr>
        <w:t>元，作为合同签订时尚未确定或者不可预见但施工中可能发生的费用。</w:t>
      </w:r>
    </w:p>
    <w:p w14:paraId="2EE79928">
      <w:pPr>
        <w:pStyle w:val="26"/>
        <w:spacing w:line="360" w:lineRule="auto"/>
        <w:ind w:firstLine="420" w:firstLineChars="200"/>
        <w:rPr>
          <w:rFonts w:ascii="Times New Roman" w:hAnsi="Times New Roman"/>
          <w:color w:val="auto"/>
          <w:sz w:val="21"/>
        </w:rPr>
      </w:pPr>
      <w:r>
        <w:rPr>
          <w:rFonts w:ascii="Times New Roman" w:hAnsi="Times New Roman"/>
          <w:color w:val="auto"/>
          <w:sz w:val="21"/>
        </w:rPr>
        <w:t xml:space="preserve">1.7 </w:t>
      </w:r>
      <w:r>
        <w:rPr>
          <w:rFonts w:hint="eastAsia" w:ascii="Times New Roman" w:hAnsi="Times New Roman"/>
          <w:color w:val="auto"/>
          <w:sz w:val="21"/>
        </w:rPr>
        <w:t>本工程发包人提供的材料和设备详见《发包人提供的主要材料和工程设备一览表》（表</w:t>
      </w:r>
      <w:r>
        <w:rPr>
          <w:rFonts w:ascii="Times New Roman" w:hAnsi="Times New Roman"/>
          <w:color w:val="auto"/>
          <w:sz w:val="21"/>
        </w:rPr>
        <w:t>-21</w:t>
      </w:r>
      <w:r>
        <w:rPr>
          <w:rFonts w:hint="eastAsia" w:ascii="Times New Roman" w:hAnsi="Times New Roman"/>
          <w:color w:val="auto"/>
          <w:sz w:val="21"/>
        </w:rPr>
        <w:t>）。</w:t>
      </w:r>
    </w:p>
    <w:p w14:paraId="280EB4D1">
      <w:pPr>
        <w:spacing w:line="360" w:lineRule="auto"/>
        <w:ind w:firstLine="420" w:firstLineChars="200"/>
        <w:rPr>
          <w:color w:val="auto"/>
        </w:rPr>
      </w:pPr>
      <w:r>
        <w:rPr>
          <w:color w:val="auto"/>
        </w:rPr>
        <w:t xml:space="preserve">1.8 </w:t>
      </w:r>
      <w:r>
        <w:rPr>
          <w:rFonts w:hint="eastAsia" w:cs="宋体"/>
          <w:color w:val="auto"/>
        </w:rPr>
        <w:t>本工程部分材料和设备在采购时作为暂估价计列，结算按实调整，具体内容详见《材料（工程设备）暂估单价及调整表》（表</w:t>
      </w:r>
      <w:r>
        <w:rPr>
          <w:color w:val="auto"/>
        </w:rPr>
        <w:t>12-2</w:t>
      </w:r>
      <w:r>
        <w:rPr>
          <w:rFonts w:hint="eastAsia" w:cs="宋体"/>
          <w:color w:val="auto"/>
        </w:rPr>
        <w:t>）。</w:t>
      </w:r>
    </w:p>
    <w:p w14:paraId="3D9CBEF1">
      <w:pPr>
        <w:spacing w:line="360" w:lineRule="auto"/>
        <w:ind w:firstLine="420" w:firstLineChars="200"/>
        <w:rPr>
          <w:color w:val="auto"/>
        </w:rPr>
      </w:pPr>
      <w:r>
        <w:rPr>
          <w:color w:val="auto"/>
        </w:rPr>
        <w:t xml:space="preserve">1.9 </w:t>
      </w:r>
      <w:r>
        <w:rPr>
          <w:rFonts w:hint="eastAsia" w:cs="宋体"/>
          <w:color w:val="auto"/>
        </w:rPr>
        <w:t>采购时暂估专业工程的价款属于暂估价，结算按实调整，具体内容详见《专业工程暂估价及结算价表》（表</w:t>
      </w:r>
      <w:r>
        <w:rPr>
          <w:color w:val="auto"/>
        </w:rPr>
        <w:t>12-3</w:t>
      </w:r>
      <w:r>
        <w:rPr>
          <w:rFonts w:hint="eastAsia" w:cs="宋体"/>
          <w:color w:val="auto"/>
        </w:rPr>
        <w:t>）。</w:t>
      </w:r>
    </w:p>
    <w:p w14:paraId="31DB91AD">
      <w:pPr>
        <w:spacing w:line="360" w:lineRule="auto"/>
        <w:ind w:firstLine="420" w:firstLineChars="200"/>
        <w:rPr>
          <w:color w:val="auto"/>
        </w:rPr>
      </w:pPr>
      <w:r>
        <w:rPr>
          <w:color w:val="auto"/>
        </w:rPr>
        <w:t xml:space="preserve">1.10 </w:t>
      </w:r>
      <w:r>
        <w:rPr>
          <w:rFonts w:hint="eastAsia" w:cs="宋体"/>
          <w:color w:val="auto"/>
        </w:rPr>
        <w:t>本工程量清单编码处标注</w:t>
      </w:r>
      <w:r>
        <w:rPr>
          <w:color w:val="auto"/>
        </w:rPr>
        <w:t>“*”</w:t>
      </w:r>
      <w:r>
        <w:rPr>
          <w:rFonts w:hint="eastAsia" w:cs="宋体"/>
          <w:color w:val="auto"/>
        </w:rPr>
        <w:t>号的清单项目作为主要清单项目，需要供应商提供</w:t>
      </w:r>
      <w:r>
        <w:rPr>
          <w:rFonts w:hint="eastAsia" w:hAnsi="宋体" w:cs="宋体"/>
          <w:color w:val="auto"/>
        </w:rPr>
        <w:t>《主要清单项目工料机分析表》（表</w:t>
      </w:r>
      <w:r>
        <w:rPr>
          <w:color w:val="auto"/>
        </w:rPr>
        <w:t>-10</w:t>
      </w:r>
      <w:r>
        <w:rPr>
          <w:rFonts w:hint="eastAsia" w:hAnsi="宋体" w:cs="宋体"/>
          <w:color w:val="auto"/>
        </w:rPr>
        <w:t>）</w:t>
      </w:r>
      <w:r>
        <w:rPr>
          <w:rFonts w:hint="eastAsia" w:cs="宋体"/>
          <w:color w:val="auto"/>
        </w:rPr>
        <w:t>。</w:t>
      </w:r>
    </w:p>
    <w:p w14:paraId="64E774FD">
      <w:pPr>
        <w:spacing w:line="360" w:lineRule="auto"/>
        <w:rPr>
          <w:color w:val="auto"/>
        </w:rPr>
      </w:pPr>
      <w:r>
        <w:rPr>
          <w:color w:val="auto"/>
        </w:rPr>
        <w:t xml:space="preserve">1.11 </w:t>
      </w:r>
      <w:r>
        <w:rPr>
          <w:rFonts w:hint="eastAsia" w:cs="宋体"/>
          <w:color w:val="auto"/>
        </w:rPr>
        <w:t>其它需要说明的问题：</w:t>
      </w:r>
      <w:r>
        <w:rPr>
          <w:color w:val="auto"/>
          <w:u w:val="single"/>
        </w:rPr>
        <w:t xml:space="preserve">       </w:t>
      </w:r>
      <w:r>
        <w:rPr>
          <w:rFonts w:hint="eastAsia"/>
          <w:color w:val="auto"/>
          <w:u w:val="single"/>
        </w:rPr>
        <w:t>/</w:t>
      </w:r>
      <w:r>
        <w:rPr>
          <w:color w:val="auto"/>
          <w:u w:val="single"/>
        </w:rPr>
        <w:t xml:space="preserve">        </w:t>
      </w:r>
      <w:r>
        <w:rPr>
          <w:rFonts w:hint="eastAsia" w:cs="宋体"/>
          <w:color w:val="auto"/>
        </w:rPr>
        <w:t>。</w:t>
      </w:r>
    </w:p>
    <w:p w14:paraId="7C02D198">
      <w:pPr>
        <w:spacing w:line="360" w:lineRule="auto"/>
        <w:ind w:firstLine="420" w:firstLineChars="200"/>
        <w:jc w:val="left"/>
        <w:rPr>
          <w:color w:val="auto"/>
        </w:rPr>
      </w:pPr>
      <w:r>
        <w:rPr>
          <w:color w:val="auto"/>
        </w:rPr>
        <w:t xml:space="preserve">1.12 </w:t>
      </w:r>
      <w:r>
        <w:rPr>
          <w:rFonts w:hint="eastAsia" w:cs="宋体"/>
          <w:color w:val="auto"/>
        </w:rPr>
        <w:t>工程量清单与磋商文件同时发布。</w:t>
      </w:r>
      <w:r>
        <w:rPr>
          <w:color w:val="auto"/>
        </w:rPr>
        <w:t xml:space="preserve"> </w:t>
      </w:r>
      <w:r>
        <w:rPr>
          <w:rFonts w:hint="eastAsia" w:cs="宋体"/>
          <w:color w:val="auto"/>
        </w:rPr>
        <w:t>一般计税法建设工程的工程量清单表格按</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w:t>
      </w:r>
      <w:r>
        <w:rPr>
          <w:rFonts w:hint="eastAsia" w:ascii="宋体" w:hAnsi="宋体" w:cs="宋体"/>
          <w:color w:val="auto"/>
        </w:rPr>
        <w:t>附件“增值税一般计税方法工程计价表”要求提供；简易计税法建设工程按照《计价规范》要求的</w:t>
      </w:r>
      <w:r>
        <w:rPr>
          <w:rFonts w:hint="eastAsia" w:cs="宋体"/>
          <w:color w:val="auto"/>
        </w:rPr>
        <w:t>表格提供，但规费和税费要按照《关于建筑业实施营业税改征增值税后广西壮族自治区建设工程计价依据调整的通知》（桂建标〔</w:t>
      </w:r>
      <w:r>
        <w:rPr>
          <w:color w:val="auto"/>
        </w:rPr>
        <w:t>2016</w:t>
      </w:r>
      <w:r>
        <w:rPr>
          <w:rFonts w:hint="eastAsia" w:cs="宋体"/>
          <w:color w:val="auto"/>
        </w:rPr>
        <w:t>〕</w:t>
      </w:r>
      <w:r>
        <w:rPr>
          <w:color w:val="auto"/>
        </w:rPr>
        <w:t>17</w:t>
      </w:r>
      <w:r>
        <w:rPr>
          <w:rFonts w:hint="eastAsia" w:cs="宋体"/>
          <w:color w:val="auto"/>
        </w:rPr>
        <w:t>号）</w:t>
      </w:r>
      <w:r>
        <w:rPr>
          <w:rFonts w:hint="eastAsia" w:ascii="宋体" w:hAnsi="宋体" w:cs="宋体"/>
          <w:color w:val="auto"/>
        </w:rPr>
        <w:t>要求调整，具体</w:t>
      </w:r>
      <w:r>
        <w:rPr>
          <w:rFonts w:hint="eastAsia" w:cs="宋体"/>
          <w:color w:val="auto"/>
        </w:rPr>
        <w:t>包括：</w:t>
      </w:r>
    </w:p>
    <w:p w14:paraId="36DD148F">
      <w:pPr>
        <w:spacing w:line="360" w:lineRule="auto"/>
        <w:ind w:firstLine="630" w:firstLineChars="300"/>
        <w:jc w:val="left"/>
        <w:rPr>
          <w:color w:val="auto"/>
        </w:rPr>
      </w:pPr>
      <w:r>
        <w:rPr>
          <w:color w:val="auto"/>
        </w:rPr>
        <w:t xml:space="preserve">1.1 </w:t>
      </w:r>
      <w:r>
        <w:rPr>
          <w:rFonts w:hint="eastAsia" w:cs="宋体"/>
          <w:color w:val="auto"/>
        </w:rPr>
        <w:t>竞标工程量清单（封</w:t>
      </w:r>
      <w:r>
        <w:rPr>
          <w:color w:val="auto"/>
        </w:rPr>
        <w:t>-1</w:t>
      </w:r>
      <w:r>
        <w:rPr>
          <w:rFonts w:hint="eastAsia" w:cs="宋体"/>
          <w:color w:val="auto"/>
        </w:rPr>
        <w:t>）</w:t>
      </w:r>
    </w:p>
    <w:p w14:paraId="242AEDAA">
      <w:pPr>
        <w:spacing w:line="360" w:lineRule="auto"/>
        <w:ind w:firstLine="630" w:firstLineChars="300"/>
        <w:jc w:val="left"/>
        <w:rPr>
          <w:color w:val="auto"/>
        </w:rPr>
      </w:pPr>
      <w:r>
        <w:rPr>
          <w:color w:val="auto"/>
        </w:rPr>
        <w:t xml:space="preserve">1.2 </w:t>
      </w:r>
      <w:r>
        <w:rPr>
          <w:rFonts w:hint="eastAsia" w:cs="宋体"/>
          <w:color w:val="auto"/>
        </w:rPr>
        <w:t>竞标工程量清单（封扉</w:t>
      </w:r>
      <w:r>
        <w:rPr>
          <w:color w:val="auto"/>
        </w:rPr>
        <w:t>-1</w:t>
      </w:r>
      <w:r>
        <w:rPr>
          <w:rFonts w:hint="eastAsia" w:cs="宋体"/>
          <w:color w:val="auto"/>
        </w:rPr>
        <w:t>）</w:t>
      </w:r>
    </w:p>
    <w:p w14:paraId="57C63A0D">
      <w:pPr>
        <w:spacing w:line="360" w:lineRule="auto"/>
        <w:ind w:firstLine="630" w:firstLineChars="300"/>
        <w:jc w:val="left"/>
        <w:rPr>
          <w:color w:val="auto"/>
        </w:rPr>
      </w:pPr>
      <w:r>
        <w:rPr>
          <w:color w:val="auto"/>
        </w:rPr>
        <w:t xml:space="preserve">1.3 </w:t>
      </w:r>
      <w:r>
        <w:rPr>
          <w:rFonts w:hint="eastAsia" w:cs="宋体"/>
          <w:color w:val="auto"/>
        </w:rPr>
        <w:t>总说明（表</w:t>
      </w:r>
      <w:r>
        <w:rPr>
          <w:color w:val="auto"/>
        </w:rPr>
        <w:t>-01</w:t>
      </w:r>
      <w:r>
        <w:rPr>
          <w:rFonts w:hint="eastAsia" w:cs="宋体"/>
          <w:color w:val="auto"/>
        </w:rPr>
        <w:t>）</w:t>
      </w:r>
    </w:p>
    <w:p w14:paraId="18481B2D">
      <w:pPr>
        <w:spacing w:line="360" w:lineRule="auto"/>
        <w:ind w:firstLine="630" w:firstLineChars="300"/>
        <w:jc w:val="left"/>
        <w:rPr>
          <w:color w:val="auto"/>
        </w:rPr>
      </w:pPr>
      <w:r>
        <w:rPr>
          <w:color w:val="auto"/>
        </w:rPr>
        <w:t xml:space="preserve">1.4 </w:t>
      </w:r>
      <w:r>
        <w:rPr>
          <w:rFonts w:hint="eastAsia" w:cs="宋体"/>
          <w:color w:val="auto"/>
        </w:rPr>
        <w:t>建设项目竞标报价汇总表（表</w:t>
      </w:r>
      <w:r>
        <w:rPr>
          <w:color w:val="auto"/>
        </w:rPr>
        <w:t>-02</w:t>
      </w:r>
      <w:r>
        <w:rPr>
          <w:rFonts w:hint="eastAsia" w:cs="宋体"/>
          <w:color w:val="auto"/>
        </w:rPr>
        <w:t>）</w:t>
      </w:r>
    </w:p>
    <w:p w14:paraId="7114DBAA">
      <w:pPr>
        <w:spacing w:line="360" w:lineRule="auto"/>
        <w:ind w:firstLine="630" w:firstLineChars="300"/>
        <w:jc w:val="left"/>
        <w:rPr>
          <w:color w:val="auto"/>
        </w:rPr>
      </w:pPr>
      <w:r>
        <w:rPr>
          <w:color w:val="auto"/>
        </w:rPr>
        <w:t xml:space="preserve">1.5 </w:t>
      </w:r>
      <w:r>
        <w:rPr>
          <w:rFonts w:hint="eastAsia" w:cs="宋体"/>
          <w:color w:val="auto"/>
        </w:rPr>
        <w:t>单项工程竞标报价汇总表（表</w:t>
      </w:r>
      <w:r>
        <w:rPr>
          <w:color w:val="auto"/>
        </w:rPr>
        <w:t>-03</w:t>
      </w:r>
      <w:r>
        <w:rPr>
          <w:rFonts w:hint="eastAsia" w:cs="宋体"/>
          <w:color w:val="auto"/>
        </w:rPr>
        <w:t>）</w:t>
      </w:r>
    </w:p>
    <w:p w14:paraId="7D2E13B6">
      <w:pPr>
        <w:spacing w:line="360" w:lineRule="auto"/>
        <w:ind w:firstLine="630" w:firstLineChars="300"/>
        <w:jc w:val="left"/>
        <w:rPr>
          <w:color w:val="auto"/>
        </w:rPr>
      </w:pPr>
      <w:r>
        <w:rPr>
          <w:color w:val="auto"/>
        </w:rPr>
        <w:t xml:space="preserve">1.6 </w:t>
      </w:r>
      <w:r>
        <w:rPr>
          <w:rFonts w:hint="eastAsia" w:cs="宋体"/>
          <w:color w:val="auto"/>
        </w:rPr>
        <w:t>单位工程竞标报价汇总表（表</w:t>
      </w:r>
      <w:r>
        <w:rPr>
          <w:color w:val="auto"/>
        </w:rPr>
        <w:t>-04</w:t>
      </w:r>
      <w:r>
        <w:rPr>
          <w:rFonts w:hint="eastAsia" w:cs="宋体"/>
          <w:color w:val="auto"/>
        </w:rPr>
        <w:t>）</w:t>
      </w:r>
    </w:p>
    <w:p w14:paraId="2D08B1E4">
      <w:pPr>
        <w:spacing w:line="360" w:lineRule="auto"/>
        <w:ind w:firstLine="630" w:firstLineChars="300"/>
        <w:jc w:val="left"/>
        <w:rPr>
          <w:color w:val="auto"/>
        </w:rPr>
      </w:pPr>
      <w:r>
        <w:rPr>
          <w:color w:val="auto"/>
        </w:rPr>
        <w:t xml:space="preserve">1.7 </w:t>
      </w:r>
      <w:r>
        <w:rPr>
          <w:rFonts w:hint="eastAsia" w:cs="宋体"/>
          <w:color w:val="auto"/>
        </w:rPr>
        <w:t>分部分项工程和单价措施项目清单与计价表（表</w:t>
      </w:r>
      <w:r>
        <w:rPr>
          <w:color w:val="auto"/>
        </w:rPr>
        <w:t>-08</w:t>
      </w:r>
      <w:r>
        <w:rPr>
          <w:rFonts w:hint="eastAsia" w:cs="宋体"/>
          <w:color w:val="auto"/>
        </w:rPr>
        <w:t>）</w:t>
      </w:r>
    </w:p>
    <w:p w14:paraId="6A2F1D9B">
      <w:pPr>
        <w:spacing w:line="360" w:lineRule="auto"/>
        <w:ind w:firstLine="630" w:firstLineChars="300"/>
        <w:jc w:val="left"/>
        <w:rPr>
          <w:color w:val="auto"/>
        </w:rPr>
      </w:pPr>
      <w:r>
        <w:rPr>
          <w:color w:val="auto"/>
        </w:rPr>
        <w:t xml:space="preserve">1.8 </w:t>
      </w:r>
      <w:r>
        <w:rPr>
          <w:rFonts w:hint="eastAsia" w:cs="宋体"/>
          <w:color w:val="auto"/>
        </w:rPr>
        <w:t>总价措施项目清单与计价表（表</w:t>
      </w:r>
      <w:r>
        <w:rPr>
          <w:color w:val="auto"/>
        </w:rPr>
        <w:t>-11</w:t>
      </w:r>
      <w:r>
        <w:rPr>
          <w:rFonts w:hint="eastAsia" w:cs="宋体"/>
          <w:color w:val="auto"/>
        </w:rPr>
        <w:t>）</w:t>
      </w:r>
    </w:p>
    <w:p w14:paraId="14D2449E">
      <w:pPr>
        <w:spacing w:line="360" w:lineRule="auto"/>
        <w:ind w:firstLine="630" w:firstLineChars="300"/>
        <w:jc w:val="left"/>
        <w:rPr>
          <w:color w:val="auto"/>
        </w:rPr>
      </w:pPr>
      <w:r>
        <w:rPr>
          <w:color w:val="auto"/>
        </w:rPr>
        <w:t xml:space="preserve">1.9 </w:t>
      </w:r>
      <w:r>
        <w:rPr>
          <w:rFonts w:hint="eastAsia" w:cs="宋体"/>
          <w:color w:val="auto"/>
        </w:rPr>
        <w:t>其他项目清单与计价汇总表（表</w:t>
      </w:r>
      <w:r>
        <w:rPr>
          <w:color w:val="auto"/>
        </w:rPr>
        <w:t>-12</w:t>
      </w:r>
      <w:r>
        <w:rPr>
          <w:rFonts w:hint="eastAsia" w:cs="宋体"/>
          <w:color w:val="auto"/>
        </w:rPr>
        <w:t>）</w:t>
      </w:r>
    </w:p>
    <w:p w14:paraId="3003266A">
      <w:pPr>
        <w:spacing w:line="360" w:lineRule="auto"/>
        <w:ind w:firstLine="630" w:firstLineChars="300"/>
        <w:jc w:val="left"/>
        <w:rPr>
          <w:color w:val="auto"/>
        </w:rPr>
      </w:pPr>
      <w:r>
        <w:rPr>
          <w:color w:val="auto"/>
        </w:rPr>
        <w:t xml:space="preserve">1.10 </w:t>
      </w:r>
      <w:r>
        <w:rPr>
          <w:rFonts w:hint="eastAsia" w:cs="宋体"/>
          <w:color w:val="auto"/>
        </w:rPr>
        <w:t>暂列金额明细表（表</w:t>
      </w:r>
      <w:r>
        <w:rPr>
          <w:color w:val="auto"/>
        </w:rPr>
        <w:t>12-1</w:t>
      </w:r>
      <w:r>
        <w:rPr>
          <w:rFonts w:hint="eastAsia" w:cs="宋体"/>
          <w:color w:val="auto"/>
        </w:rPr>
        <w:t>）</w:t>
      </w:r>
    </w:p>
    <w:p w14:paraId="3D932AC5">
      <w:pPr>
        <w:spacing w:line="360" w:lineRule="auto"/>
        <w:ind w:firstLine="630" w:firstLineChars="300"/>
        <w:jc w:val="left"/>
        <w:rPr>
          <w:color w:val="auto"/>
        </w:rPr>
      </w:pPr>
      <w:r>
        <w:rPr>
          <w:color w:val="auto"/>
        </w:rPr>
        <w:t xml:space="preserve">1.11 </w:t>
      </w:r>
      <w:r>
        <w:rPr>
          <w:rFonts w:hint="eastAsia" w:cs="宋体"/>
          <w:color w:val="auto"/>
        </w:rPr>
        <w:t>材料（工程设备）暂估单价及调整表（表</w:t>
      </w:r>
      <w:r>
        <w:rPr>
          <w:color w:val="auto"/>
        </w:rPr>
        <w:t>12-2</w:t>
      </w:r>
      <w:r>
        <w:rPr>
          <w:rFonts w:hint="eastAsia" w:cs="宋体"/>
          <w:color w:val="auto"/>
        </w:rPr>
        <w:t>）</w:t>
      </w:r>
    </w:p>
    <w:p w14:paraId="76396DE8">
      <w:pPr>
        <w:spacing w:line="360" w:lineRule="auto"/>
        <w:ind w:firstLine="630" w:firstLineChars="300"/>
        <w:jc w:val="left"/>
        <w:rPr>
          <w:color w:val="auto"/>
        </w:rPr>
      </w:pPr>
      <w:r>
        <w:rPr>
          <w:color w:val="auto"/>
        </w:rPr>
        <w:t xml:space="preserve">1.12 </w:t>
      </w:r>
      <w:r>
        <w:rPr>
          <w:rFonts w:hint="eastAsia" w:cs="宋体"/>
          <w:color w:val="auto"/>
        </w:rPr>
        <w:t>专业工程暂估价</w:t>
      </w:r>
      <w:r>
        <w:rPr>
          <w:rFonts w:hint="eastAsia"/>
          <w:color w:val="auto"/>
        </w:rPr>
        <w:t>及结算价</w:t>
      </w:r>
      <w:r>
        <w:rPr>
          <w:rFonts w:hint="eastAsia" w:cs="宋体"/>
          <w:color w:val="auto"/>
        </w:rPr>
        <w:t>表（表</w:t>
      </w:r>
      <w:r>
        <w:rPr>
          <w:color w:val="auto"/>
        </w:rPr>
        <w:t>12-3</w:t>
      </w:r>
      <w:r>
        <w:rPr>
          <w:rFonts w:hint="eastAsia" w:cs="宋体"/>
          <w:color w:val="auto"/>
        </w:rPr>
        <w:t>）</w:t>
      </w:r>
    </w:p>
    <w:p w14:paraId="2D244789">
      <w:pPr>
        <w:spacing w:line="360" w:lineRule="auto"/>
        <w:ind w:firstLine="630" w:firstLineChars="300"/>
        <w:jc w:val="left"/>
        <w:rPr>
          <w:color w:val="auto"/>
        </w:rPr>
      </w:pPr>
      <w:r>
        <w:rPr>
          <w:color w:val="auto"/>
        </w:rPr>
        <w:t xml:space="preserve">1.13 </w:t>
      </w:r>
      <w:r>
        <w:rPr>
          <w:rFonts w:hint="eastAsia" w:cs="宋体"/>
          <w:color w:val="auto"/>
        </w:rPr>
        <w:t>计日工表（表</w:t>
      </w:r>
      <w:r>
        <w:rPr>
          <w:color w:val="auto"/>
        </w:rPr>
        <w:t>12-4</w:t>
      </w:r>
      <w:r>
        <w:rPr>
          <w:rFonts w:hint="eastAsia" w:cs="宋体"/>
          <w:color w:val="auto"/>
        </w:rPr>
        <w:t>）</w:t>
      </w:r>
    </w:p>
    <w:p w14:paraId="652B6B3F">
      <w:pPr>
        <w:spacing w:line="360" w:lineRule="auto"/>
        <w:ind w:firstLine="630" w:firstLineChars="300"/>
        <w:jc w:val="left"/>
        <w:rPr>
          <w:color w:val="auto"/>
        </w:rPr>
      </w:pPr>
      <w:r>
        <w:rPr>
          <w:color w:val="auto"/>
        </w:rPr>
        <w:t xml:space="preserve">1.14 </w:t>
      </w:r>
      <w:r>
        <w:rPr>
          <w:rFonts w:hint="eastAsia" w:cs="宋体"/>
          <w:color w:val="auto"/>
        </w:rPr>
        <w:t>总承包服务费计价表（表</w:t>
      </w:r>
      <w:r>
        <w:rPr>
          <w:color w:val="auto"/>
        </w:rPr>
        <w:t>12-5</w:t>
      </w:r>
      <w:r>
        <w:rPr>
          <w:rFonts w:hint="eastAsia" w:cs="宋体"/>
          <w:color w:val="auto"/>
        </w:rPr>
        <w:t>）</w:t>
      </w:r>
    </w:p>
    <w:p w14:paraId="4806094F">
      <w:pPr>
        <w:spacing w:line="360" w:lineRule="auto"/>
        <w:ind w:firstLine="630" w:firstLineChars="300"/>
        <w:jc w:val="left"/>
        <w:rPr>
          <w:color w:val="auto"/>
        </w:rPr>
      </w:pPr>
      <w:r>
        <w:rPr>
          <w:color w:val="auto"/>
        </w:rPr>
        <w:t xml:space="preserve">1.15 </w:t>
      </w:r>
      <w:r>
        <w:rPr>
          <w:rFonts w:hint="eastAsia" w:cs="宋体"/>
          <w:color w:val="auto"/>
        </w:rPr>
        <w:t>税前项目清单与计价表（表</w:t>
      </w:r>
      <w:r>
        <w:rPr>
          <w:color w:val="auto"/>
        </w:rPr>
        <w:t>-14</w:t>
      </w:r>
      <w:r>
        <w:rPr>
          <w:rFonts w:hint="eastAsia" w:cs="宋体"/>
          <w:color w:val="auto"/>
        </w:rPr>
        <w:t>）</w:t>
      </w:r>
    </w:p>
    <w:p w14:paraId="2DB7CB3B">
      <w:pPr>
        <w:spacing w:line="360" w:lineRule="auto"/>
        <w:ind w:firstLine="630" w:firstLineChars="300"/>
        <w:jc w:val="left"/>
        <w:rPr>
          <w:color w:val="auto"/>
        </w:rPr>
      </w:pPr>
      <w:r>
        <w:rPr>
          <w:color w:val="auto"/>
        </w:rPr>
        <w:t xml:space="preserve">1.16 </w:t>
      </w:r>
      <w:r>
        <w:rPr>
          <w:rFonts w:hint="eastAsia" w:cs="宋体"/>
          <w:color w:val="auto"/>
        </w:rPr>
        <w:t>规费、增值税计价表（表</w:t>
      </w:r>
      <w:r>
        <w:rPr>
          <w:color w:val="auto"/>
        </w:rPr>
        <w:t>-15</w:t>
      </w:r>
      <w:r>
        <w:rPr>
          <w:rFonts w:hint="eastAsia" w:cs="宋体"/>
          <w:color w:val="auto"/>
        </w:rPr>
        <w:t>）</w:t>
      </w:r>
    </w:p>
    <w:p w14:paraId="7E615B1A">
      <w:pPr>
        <w:spacing w:line="360" w:lineRule="auto"/>
        <w:ind w:firstLine="630" w:firstLineChars="300"/>
        <w:jc w:val="left"/>
        <w:rPr>
          <w:color w:val="auto"/>
        </w:rPr>
      </w:pPr>
      <w:r>
        <w:rPr>
          <w:color w:val="auto"/>
        </w:rPr>
        <w:t xml:space="preserve">1.17 </w:t>
      </w:r>
      <w:r>
        <w:rPr>
          <w:rFonts w:hint="eastAsia" w:cs="宋体"/>
          <w:color w:val="auto"/>
        </w:rPr>
        <w:t>发包人提供主要材料和工程设备一览表（表</w:t>
      </w:r>
      <w:r>
        <w:rPr>
          <w:color w:val="auto"/>
        </w:rPr>
        <w:t>-21</w:t>
      </w:r>
      <w:r>
        <w:rPr>
          <w:rFonts w:hint="eastAsia" w:cs="宋体"/>
          <w:color w:val="auto"/>
        </w:rPr>
        <w:t>）</w:t>
      </w:r>
    </w:p>
    <w:p w14:paraId="7082AFAA">
      <w:pPr>
        <w:spacing w:line="360" w:lineRule="auto"/>
        <w:ind w:firstLine="630" w:firstLineChars="300"/>
        <w:jc w:val="left"/>
        <w:rPr>
          <w:color w:val="auto"/>
        </w:rPr>
      </w:pPr>
      <w:r>
        <w:rPr>
          <w:color w:val="auto"/>
        </w:rPr>
        <w:t xml:space="preserve">1.18 </w:t>
      </w:r>
      <w:r>
        <w:rPr>
          <w:rFonts w:hint="eastAsia" w:cs="宋体"/>
          <w:color w:val="auto"/>
        </w:rPr>
        <w:t>允许调整主要材料和工程设备一览表（适用于造价信息差额调整法）（表</w:t>
      </w:r>
      <w:r>
        <w:rPr>
          <w:color w:val="auto"/>
        </w:rPr>
        <w:t>-22</w:t>
      </w:r>
      <w:r>
        <w:rPr>
          <w:rFonts w:hint="eastAsia" w:cs="宋体"/>
          <w:color w:val="auto"/>
        </w:rPr>
        <w:t>）</w:t>
      </w:r>
    </w:p>
    <w:p w14:paraId="0A05917B">
      <w:pPr>
        <w:spacing w:line="360" w:lineRule="auto"/>
        <w:ind w:firstLine="630" w:firstLineChars="300"/>
        <w:jc w:val="left"/>
        <w:rPr>
          <w:rFonts w:cs="宋体"/>
          <w:color w:val="auto"/>
        </w:rPr>
      </w:pPr>
      <w:r>
        <w:rPr>
          <w:color w:val="auto"/>
        </w:rPr>
        <w:t>1.19</w:t>
      </w:r>
      <w:r>
        <w:rPr>
          <w:rFonts w:hint="eastAsia" w:cs="宋体"/>
          <w:color w:val="auto"/>
        </w:rPr>
        <w:t>允许调整主要材料和工程设备一览表（适用于价格指数差额调整法）（表</w:t>
      </w:r>
      <w:r>
        <w:rPr>
          <w:color w:val="auto"/>
        </w:rPr>
        <w:t>-23</w:t>
      </w:r>
      <w:r>
        <w:rPr>
          <w:rFonts w:hint="eastAsia" w:cs="宋体"/>
          <w:color w:val="auto"/>
        </w:rPr>
        <w:t>）</w:t>
      </w:r>
    </w:p>
    <w:p w14:paraId="5E017F1A">
      <w:pPr>
        <w:spacing w:line="360" w:lineRule="auto"/>
        <w:ind w:firstLine="630" w:firstLineChars="300"/>
        <w:jc w:val="left"/>
        <w:rPr>
          <w:rFonts w:cs="宋体"/>
          <w:color w:val="auto"/>
        </w:rPr>
      </w:pPr>
      <w:r>
        <w:rPr>
          <w:rFonts w:hint="eastAsia" w:cs="宋体"/>
          <w:color w:val="auto"/>
        </w:rPr>
        <w:t>1.20本工程</w:t>
      </w:r>
      <w:r>
        <w:rPr>
          <w:rFonts w:cs="宋体"/>
          <w:color w:val="auto"/>
        </w:rPr>
        <w:t>材料和工程设备</w:t>
      </w:r>
      <w:r>
        <w:rPr>
          <w:rFonts w:hint="eastAsia" w:cs="宋体"/>
          <w:color w:val="auto"/>
        </w:rPr>
        <w:t>一览表（表-24）</w:t>
      </w:r>
    </w:p>
    <w:p w14:paraId="03F137B4">
      <w:pPr>
        <w:spacing w:line="360" w:lineRule="auto"/>
        <w:ind w:firstLine="630" w:firstLineChars="300"/>
        <w:jc w:val="left"/>
        <w:rPr>
          <w:rFonts w:cs="宋体"/>
          <w:color w:val="auto"/>
        </w:rPr>
      </w:pPr>
      <w:r>
        <w:rPr>
          <w:rFonts w:hint="eastAsia" w:cs="宋体"/>
          <w:color w:val="auto"/>
        </w:rPr>
        <w:t>注：如本工程在合同中约定采用造价信息价差调整法，1.</w:t>
      </w:r>
      <w:r>
        <w:rPr>
          <w:color w:val="auto"/>
        </w:rPr>
        <w:t xml:space="preserve">18 </w:t>
      </w:r>
      <w:r>
        <w:rPr>
          <w:rFonts w:cs="宋体"/>
          <w:color w:val="auto"/>
        </w:rPr>
        <w:t>允许调整</w:t>
      </w:r>
      <w:r>
        <w:rPr>
          <w:rFonts w:hint="eastAsia" w:cs="宋体"/>
          <w:color w:val="auto"/>
        </w:rPr>
        <w:t>主要材料和工程设备一览表（适用于造价信息差额调整法）（表</w:t>
      </w:r>
      <w:r>
        <w:rPr>
          <w:color w:val="auto"/>
        </w:rPr>
        <w:t>-22</w:t>
      </w:r>
      <w:r>
        <w:rPr>
          <w:rFonts w:hint="eastAsia" w:cs="宋体"/>
          <w:color w:val="auto"/>
        </w:rPr>
        <w:t>）载明的主要材料和工程设备为本工程允许调整材料和工程设备，工程量清单必须提供该表格，并应载明允许调整材料和工程设备名称型号规格、单位、风险系数、基准单价等内容，且不能提供空白表。</w:t>
      </w:r>
    </w:p>
    <w:p w14:paraId="225B20F4">
      <w:pPr>
        <w:spacing w:line="360" w:lineRule="auto"/>
        <w:ind w:firstLine="630" w:firstLineChars="300"/>
        <w:jc w:val="left"/>
        <w:rPr>
          <w:color w:val="auto"/>
        </w:rPr>
      </w:pPr>
      <w:r>
        <w:rPr>
          <w:rFonts w:hint="eastAsia" w:cs="宋体"/>
          <w:color w:val="auto"/>
        </w:rPr>
        <w:t>以下表格视工程实际需要选用，如该工程不发生如下表格相关项目和费用，所编制工程量清单则不需列入相应表格：</w:t>
      </w:r>
    </w:p>
    <w:p w14:paraId="5BF3BDCA">
      <w:pPr>
        <w:spacing w:line="360" w:lineRule="auto"/>
        <w:ind w:firstLine="630" w:firstLineChars="300"/>
        <w:jc w:val="left"/>
        <w:rPr>
          <w:color w:val="auto"/>
        </w:rPr>
      </w:pPr>
      <w:r>
        <w:rPr>
          <w:rFonts w:hint="eastAsia" w:ascii="宋体" w:hAnsi="宋体" w:cs="宋体"/>
          <w:color w:val="auto"/>
        </w:rPr>
        <w:t>①</w:t>
      </w:r>
      <w:r>
        <w:rPr>
          <w:rFonts w:hint="eastAsia" w:cs="宋体"/>
          <w:color w:val="auto"/>
        </w:rPr>
        <w:t>建设项目竞标报价汇总表（表</w:t>
      </w:r>
      <w:r>
        <w:rPr>
          <w:color w:val="auto"/>
        </w:rPr>
        <w:t>-02</w:t>
      </w:r>
      <w:r>
        <w:rPr>
          <w:rFonts w:hint="eastAsia" w:cs="宋体"/>
          <w:color w:val="auto"/>
        </w:rPr>
        <w:t>）</w:t>
      </w:r>
    </w:p>
    <w:p w14:paraId="76372D36">
      <w:pPr>
        <w:spacing w:line="360" w:lineRule="auto"/>
        <w:ind w:firstLine="630" w:firstLineChars="300"/>
        <w:jc w:val="left"/>
        <w:rPr>
          <w:color w:val="auto"/>
        </w:rPr>
      </w:pPr>
      <w:r>
        <w:rPr>
          <w:rFonts w:hint="eastAsia" w:cs="宋体"/>
          <w:color w:val="auto"/>
        </w:rPr>
        <w:t>②暂列金额明细表（表</w:t>
      </w:r>
      <w:r>
        <w:rPr>
          <w:color w:val="auto"/>
        </w:rPr>
        <w:t>12-1</w:t>
      </w:r>
      <w:r>
        <w:rPr>
          <w:rFonts w:hint="eastAsia" w:cs="宋体"/>
          <w:color w:val="auto"/>
        </w:rPr>
        <w:t>）</w:t>
      </w:r>
    </w:p>
    <w:p w14:paraId="61AB4083">
      <w:pPr>
        <w:spacing w:line="360" w:lineRule="auto"/>
        <w:ind w:firstLine="630" w:firstLineChars="300"/>
        <w:jc w:val="left"/>
        <w:rPr>
          <w:color w:val="auto"/>
        </w:rPr>
      </w:pPr>
      <w:r>
        <w:rPr>
          <w:rFonts w:hint="eastAsia" w:cs="宋体"/>
          <w:color w:val="auto"/>
        </w:rPr>
        <w:t>③材料（工程设备）暂估单价及调整表（表</w:t>
      </w:r>
      <w:r>
        <w:rPr>
          <w:color w:val="auto"/>
        </w:rPr>
        <w:t>12-2</w:t>
      </w:r>
      <w:r>
        <w:rPr>
          <w:rFonts w:hint="eastAsia" w:cs="宋体"/>
          <w:color w:val="auto"/>
        </w:rPr>
        <w:t>）</w:t>
      </w:r>
    </w:p>
    <w:p w14:paraId="246CF8AB">
      <w:pPr>
        <w:spacing w:line="360" w:lineRule="auto"/>
        <w:ind w:firstLine="630" w:firstLineChars="300"/>
        <w:jc w:val="left"/>
        <w:rPr>
          <w:color w:val="auto"/>
        </w:rPr>
      </w:pPr>
      <w:r>
        <w:rPr>
          <w:rFonts w:hint="eastAsia" w:cs="宋体"/>
          <w:color w:val="auto"/>
        </w:rPr>
        <w:t>④专业工程暂估价表（表</w:t>
      </w:r>
      <w:r>
        <w:rPr>
          <w:color w:val="auto"/>
        </w:rPr>
        <w:t>12-3</w:t>
      </w:r>
      <w:r>
        <w:rPr>
          <w:rFonts w:hint="eastAsia" w:cs="宋体"/>
          <w:color w:val="auto"/>
        </w:rPr>
        <w:t>）</w:t>
      </w:r>
    </w:p>
    <w:p w14:paraId="05D4664E">
      <w:pPr>
        <w:spacing w:line="360" w:lineRule="auto"/>
        <w:ind w:firstLine="630" w:firstLineChars="300"/>
        <w:jc w:val="left"/>
        <w:rPr>
          <w:color w:val="auto"/>
        </w:rPr>
      </w:pPr>
      <w:r>
        <w:rPr>
          <w:rFonts w:hint="eastAsia" w:cs="宋体"/>
          <w:color w:val="auto"/>
        </w:rPr>
        <w:t>⑤计日工表（表</w:t>
      </w:r>
      <w:r>
        <w:rPr>
          <w:color w:val="auto"/>
        </w:rPr>
        <w:t>12-4</w:t>
      </w:r>
      <w:r>
        <w:rPr>
          <w:rFonts w:hint="eastAsia" w:cs="宋体"/>
          <w:color w:val="auto"/>
        </w:rPr>
        <w:t>）</w:t>
      </w:r>
    </w:p>
    <w:p w14:paraId="1DE7E276">
      <w:pPr>
        <w:spacing w:line="360" w:lineRule="auto"/>
        <w:ind w:firstLine="630" w:firstLineChars="300"/>
        <w:jc w:val="left"/>
        <w:rPr>
          <w:color w:val="auto"/>
        </w:rPr>
      </w:pPr>
      <w:r>
        <w:rPr>
          <w:rFonts w:hint="eastAsia" w:cs="宋体"/>
          <w:color w:val="auto"/>
        </w:rPr>
        <w:t>⑥总承包服务费计价表（表</w:t>
      </w:r>
      <w:r>
        <w:rPr>
          <w:color w:val="auto"/>
        </w:rPr>
        <w:t>12-5</w:t>
      </w:r>
      <w:r>
        <w:rPr>
          <w:rFonts w:hint="eastAsia" w:cs="宋体"/>
          <w:color w:val="auto"/>
        </w:rPr>
        <w:t>）</w:t>
      </w:r>
    </w:p>
    <w:p w14:paraId="74404177">
      <w:pPr>
        <w:spacing w:line="360" w:lineRule="auto"/>
        <w:ind w:firstLine="630" w:firstLineChars="300"/>
        <w:jc w:val="left"/>
        <w:rPr>
          <w:rFonts w:cs="宋体"/>
          <w:color w:val="auto"/>
        </w:rPr>
      </w:pPr>
      <w:r>
        <w:rPr>
          <w:rFonts w:hint="eastAsia" w:cs="宋体"/>
          <w:color w:val="auto"/>
        </w:rPr>
        <w:t>⑦税前项目清单与计价表（表</w:t>
      </w:r>
      <w:r>
        <w:rPr>
          <w:color w:val="auto"/>
        </w:rPr>
        <w:t>-14</w:t>
      </w:r>
      <w:r>
        <w:rPr>
          <w:rFonts w:hint="eastAsia" w:cs="宋体"/>
          <w:color w:val="auto"/>
        </w:rPr>
        <w:t>）</w:t>
      </w:r>
    </w:p>
    <w:p w14:paraId="3B8B417C">
      <w:pPr>
        <w:spacing w:line="360" w:lineRule="auto"/>
        <w:ind w:firstLine="630" w:firstLineChars="300"/>
        <w:rPr>
          <w:color w:val="auto"/>
        </w:rPr>
      </w:pPr>
      <w:r>
        <w:rPr>
          <w:color w:val="auto"/>
        </w:rPr>
        <w:fldChar w:fldCharType="begin"/>
      </w:r>
      <w:r>
        <w:rPr>
          <w:color w:val="auto"/>
        </w:rPr>
        <w:instrText xml:space="preserve"> </w:instrText>
      </w:r>
      <w:r>
        <w:rPr>
          <w:rFonts w:hint="eastAsia"/>
          <w:color w:val="auto"/>
        </w:rPr>
        <w:instrText xml:space="preserve">= 8 \* GB3</w:instrText>
      </w:r>
      <w:r>
        <w:rPr>
          <w:color w:val="auto"/>
        </w:rPr>
        <w:instrText xml:space="preserve"> </w:instrText>
      </w:r>
      <w:r>
        <w:rPr>
          <w:color w:val="auto"/>
        </w:rPr>
        <w:fldChar w:fldCharType="separate"/>
      </w:r>
      <w:r>
        <w:rPr>
          <w:rFonts w:hint="eastAsia"/>
          <w:color w:val="auto"/>
        </w:rPr>
        <w:t>⑧</w:t>
      </w:r>
      <w:r>
        <w:rPr>
          <w:color w:val="auto"/>
        </w:rPr>
        <w:fldChar w:fldCharType="end"/>
      </w:r>
      <w:r>
        <w:rPr>
          <w:color w:val="auto"/>
        </w:rPr>
        <w:t xml:space="preserve"> </w:t>
      </w:r>
      <w:r>
        <w:rPr>
          <w:rFonts w:hint="eastAsia" w:cs="宋体"/>
          <w:color w:val="auto"/>
        </w:rPr>
        <w:t>允许调整主要材料和工程设备一览表（适用于价格指数差额调整法）（表</w:t>
      </w:r>
      <w:r>
        <w:rPr>
          <w:color w:val="auto"/>
        </w:rPr>
        <w:t>-23</w:t>
      </w:r>
      <w:r>
        <w:rPr>
          <w:rFonts w:hint="eastAsia" w:cs="宋体"/>
          <w:color w:val="auto"/>
        </w:rPr>
        <w:t>）</w:t>
      </w:r>
    </w:p>
    <w:p w14:paraId="034B0558">
      <w:pPr>
        <w:pStyle w:val="4"/>
        <w:spacing w:before="0" w:after="0" w:line="360" w:lineRule="auto"/>
        <w:rPr>
          <w:color w:val="auto"/>
        </w:rPr>
      </w:pPr>
      <w:bookmarkStart w:id="83" w:name="_Toc122424002"/>
      <w:bookmarkStart w:id="84" w:name="_Toc347872619"/>
      <w:bookmarkStart w:id="85" w:name="_Toc990933621"/>
      <w:bookmarkStart w:id="86" w:name="_Toc122424251"/>
      <w:bookmarkStart w:id="87" w:name="_Toc407135285"/>
      <w:bookmarkStart w:id="88" w:name="_Toc78449870"/>
      <w:r>
        <w:rPr>
          <w:color w:val="auto"/>
        </w:rPr>
        <w:t>2</w:t>
      </w:r>
      <w:r>
        <w:rPr>
          <w:rFonts w:hint="eastAsia"/>
          <w:color w:val="auto"/>
        </w:rPr>
        <w:t>.</w:t>
      </w:r>
      <w:r>
        <w:rPr>
          <w:rFonts w:hint="eastAsia" w:cs="黑体"/>
          <w:color w:val="auto"/>
        </w:rPr>
        <w:t>招标控制价编制说明</w:t>
      </w:r>
      <w:bookmarkEnd w:id="83"/>
      <w:bookmarkEnd w:id="84"/>
      <w:bookmarkEnd w:id="85"/>
      <w:bookmarkEnd w:id="86"/>
      <w:bookmarkEnd w:id="87"/>
      <w:bookmarkEnd w:id="88"/>
    </w:p>
    <w:p w14:paraId="46D6092E">
      <w:pPr>
        <w:spacing w:line="360" w:lineRule="auto"/>
        <w:ind w:firstLine="420" w:firstLineChars="200"/>
        <w:rPr>
          <w:color w:val="auto"/>
        </w:rPr>
      </w:pPr>
      <w:r>
        <w:rPr>
          <w:color w:val="auto"/>
        </w:rPr>
        <w:t xml:space="preserve">2.1 </w:t>
      </w:r>
      <w:r>
        <w:rPr>
          <w:rFonts w:hint="eastAsia" w:hAnsi="宋体" w:cs="宋体"/>
          <w:color w:val="auto"/>
        </w:rPr>
        <w:t>招标控制价编制依据：</w:t>
      </w:r>
    </w:p>
    <w:p w14:paraId="1F272959">
      <w:pPr>
        <w:spacing w:line="360" w:lineRule="auto"/>
        <w:ind w:firstLine="420" w:firstLineChars="200"/>
        <w:rPr>
          <w:rFonts w:hAnsi="宋体"/>
          <w:color w:val="auto"/>
        </w:rPr>
      </w:pPr>
      <w:r>
        <w:rPr>
          <w:rFonts w:hint="eastAsia" w:cs="宋体"/>
          <w:color w:val="auto"/>
        </w:rPr>
        <w:t>（</w:t>
      </w:r>
      <w:r>
        <w:rPr>
          <w:color w:val="auto"/>
        </w:rPr>
        <w:t>1</w:t>
      </w:r>
      <w:r>
        <w:rPr>
          <w:rFonts w:hint="eastAsia" w:cs="宋体"/>
          <w:color w:val="auto"/>
        </w:rPr>
        <w:t>）</w:t>
      </w:r>
      <w:r>
        <w:rPr>
          <w:rFonts w:hint="eastAsia" w:hAnsi="宋体" w:cs="宋体"/>
          <w:color w:val="auto"/>
        </w:rPr>
        <w:t>《计价规范》及《计算规范》、</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号）等</w:t>
      </w:r>
      <w:r>
        <w:rPr>
          <w:rFonts w:hint="eastAsia" w:hAnsi="宋体" w:cs="宋体"/>
          <w:color w:val="auto"/>
        </w:rPr>
        <w:t>；</w:t>
      </w:r>
    </w:p>
    <w:p w14:paraId="65CAC639">
      <w:pPr>
        <w:spacing w:line="360" w:lineRule="auto"/>
        <w:ind w:firstLine="420" w:firstLineChars="200"/>
        <w:rPr>
          <w:rFonts w:cs="宋体"/>
          <w:color w:val="auto"/>
        </w:rPr>
      </w:pPr>
      <w:r>
        <w:rPr>
          <w:rFonts w:hint="eastAsia" w:cs="宋体"/>
          <w:color w:val="auto"/>
        </w:rPr>
        <w:t>（</w:t>
      </w:r>
      <w:r>
        <w:rPr>
          <w:color w:val="auto"/>
        </w:rPr>
        <w:t>2</w:t>
      </w:r>
      <w:r>
        <w:rPr>
          <w:rFonts w:hint="eastAsia" w:cs="宋体"/>
          <w:color w:val="auto"/>
        </w:rPr>
        <w:t>）自治区住房城乡建设行政主管部门颁发的计价定额及有关规定：</w:t>
      </w:r>
      <w:r>
        <w:rPr>
          <w:rFonts w:hint="eastAsia"/>
          <w:color w:val="auto"/>
          <w:u w:val="single"/>
        </w:rPr>
        <w:t>详见</w:t>
      </w:r>
      <w:r>
        <w:rPr>
          <w:color w:val="auto"/>
          <w:u w:val="single"/>
        </w:rPr>
        <w:t xml:space="preserve">工程量清单说明   </w:t>
      </w:r>
      <w:r>
        <w:rPr>
          <w:rFonts w:hint="eastAsia" w:cs="宋体"/>
          <w:color w:val="auto"/>
        </w:rPr>
        <w:t>。</w:t>
      </w:r>
    </w:p>
    <w:p w14:paraId="05BE6867">
      <w:pPr>
        <w:spacing w:line="360" w:lineRule="auto"/>
        <w:ind w:firstLine="420" w:firstLineChars="200"/>
        <w:rPr>
          <w:color w:val="auto"/>
        </w:rPr>
      </w:pPr>
      <w:r>
        <w:rPr>
          <w:rFonts w:hint="eastAsia" w:cs="宋体"/>
          <w:color w:val="auto"/>
        </w:rPr>
        <w:t>（</w:t>
      </w:r>
      <w:r>
        <w:rPr>
          <w:color w:val="auto"/>
        </w:rPr>
        <w:t>3</w:t>
      </w:r>
      <w:r>
        <w:rPr>
          <w:rFonts w:hint="eastAsia" w:cs="宋体"/>
          <w:color w:val="auto"/>
        </w:rPr>
        <w:t>）建设工程设计文件及相关资料：</w:t>
      </w:r>
      <w:r>
        <w:rPr>
          <w:color w:val="auto"/>
          <w:u w:val="single"/>
        </w:rPr>
        <w:t>施工</w:t>
      </w:r>
      <w:r>
        <w:rPr>
          <w:rFonts w:hint="eastAsia"/>
          <w:color w:val="auto"/>
          <w:u w:val="single"/>
        </w:rPr>
        <w:t>图纸、工程量清单</w:t>
      </w:r>
      <w:r>
        <w:rPr>
          <w:color w:val="auto"/>
          <w:u w:val="single"/>
        </w:rPr>
        <w:t xml:space="preserve">   </w:t>
      </w:r>
      <w:r>
        <w:rPr>
          <w:rFonts w:hint="eastAsia" w:cs="宋体"/>
          <w:color w:val="auto"/>
        </w:rPr>
        <w:t>。</w:t>
      </w:r>
      <w:r>
        <w:rPr>
          <w:color w:val="auto"/>
        </w:rPr>
        <w:t xml:space="preserve"> </w:t>
      </w:r>
    </w:p>
    <w:p w14:paraId="32500C5A">
      <w:pPr>
        <w:spacing w:line="360" w:lineRule="auto"/>
        <w:ind w:firstLine="420" w:firstLineChars="200"/>
        <w:rPr>
          <w:color w:val="auto"/>
        </w:rPr>
      </w:pPr>
      <w:r>
        <w:rPr>
          <w:rFonts w:hint="eastAsia" w:cs="宋体"/>
          <w:color w:val="auto"/>
        </w:rPr>
        <w:t>（</w:t>
      </w:r>
      <w:r>
        <w:rPr>
          <w:color w:val="auto"/>
        </w:rPr>
        <w:t>4</w:t>
      </w:r>
      <w:r>
        <w:rPr>
          <w:rFonts w:hint="eastAsia" w:cs="宋体"/>
          <w:color w:val="auto"/>
        </w:rPr>
        <w:t>）本工程磋商文件及工程量清单；</w:t>
      </w:r>
    </w:p>
    <w:p w14:paraId="47C1370C">
      <w:pPr>
        <w:spacing w:line="360" w:lineRule="auto"/>
        <w:ind w:firstLine="420" w:firstLineChars="200"/>
        <w:rPr>
          <w:color w:val="auto"/>
        </w:rPr>
      </w:pPr>
      <w:r>
        <w:rPr>
          <w:rFonts w:hint="eastAsia" w:cs="宋体"/>
          <w:color w:val="auto"/>
        </w:rPr>
        <w:t>（</w:t>
      </w:r>
      <w:r>
        <w:rPr>
          <w:color w:val="auto"/>
        </w:rPr>
        <w:t>5</w:t>
      </w:r>
      <w:r>
        <w:rPr>
          <w:rFonts w:hint="eastAsia" w:cs="宋体"/>
          <w:color w:val="auto"/>
        </w:rPr>
        <w:t>）与建设项目相关的标准、规范、技术资料；</w:t>
      </w:r>
    </w:p>
    <w:p w14:paraId="47901301">
      <w:pPr>
        <w:spacing w:line="360" w:lineRule="auto"/>
        <w:ind w:firstLine="420" w:firstLineChars="200"/>
        <w:rPr>
          <w:color w:val="auto"/>
        </w:rPr>
      </w:pPr>
      <w:r>
        <w:rPr>
          <w:rFonts w:hint="eastAsia" w:cs="宋体"/>
          <w:color w:val="auto"/>
        </w:rPr>
        <w:t>（</w:t>
      </w:r>
      <w:r>
        <w:rPr>
          <w:color w:val="auto"/>
        </w:rPr>
        <w:t>6</w:t>
      </w:r>
      <w:r>
        <w:rPr>
          <w:rFonts w:hint="eastAsia" w:cs="宋体"/>
          <w:color w:val="auto"/>
        </w:rPr>
        <w:t>）施工现场情况、工程特点及常规施工方案；</w:t>
      </w:r>
    </w:p>
    <w:p w14:paraId="05BC9B08">
      <w:pPr>
        <w:spacing w:line="360" w:lineRule="auto"/>
        <w:ind w:firstLine="420" w:firstLineChars="200"/>
        <w:rPr>
          <w:rFonts w:hAnsi="宋体"/>
          <w:color w:val="auto"/>
        </w:rPr>
      </w:pPr>
      <w:r>
        <w:rPr>
          <w:rFonts w:hint="eastAsia" w:cs="宋体"/>
          <w:color w:val="auto"/>
        </w:rPr>
        <w:t>（</w:t>
      </w:r>
      <w:r>
        <w:rPr>
          <w:color w:val="auto"/>
        </w:rPr>
        <w:t>7</w:t>
      </w:r>
      <w:r>
        <w:rPr>
          <w:rFonts w:hint="eastAsia" w:cs="宋体"/>
          <w:color w:val="auto"/>
        </w:rPr>
        <w:t>）材料价格信息</w:t>
      </w:r>
      <w:r>
        <w:rPr>
          <w:rFonts w:hint="eastAsia" w:hAnsi="宋体" w:cs="宋体"/>
          <w:color w:val="auto"/>
        </w:rPr>
        <w:t>：材料价格主要按照</w:t>
      </w:r>
      <w:r>
        <w:rPr>
          <w:color w:val="auto"/>
          <w:u w:val="single"/>
        </w:rPr>
        <w:t xml:space="preserve"> </w:t>
      </w:r>
      <w:r>
        <w:rPr>
          <w:rFonts w:hint="eastAsia"/>
          <w:color w:val="auto"/>
          <w:u w:val="single"/>
        </w:rPr>
        <w:t>钦州</w:t>
      </w:r>
      <w:r>
        <w:rPr>
          <w:color w:val="auto"/>
          <w:u w:val="single"/>
        </w:rPr>
        <w:t xml:space="preserve"> </w:t>
      </w:r>
      <w:r>
        <w:rPr>
          <w:rFonts w:hint="eastAsia" w:cs="宋体"/>
          <w:color w:val="auto"/>
        </w:rPr>
        <w:t>市建设工程造价管理机构发布的工程造价信息</w:t>
      </w:r>
      <w:r>
        <w:rPr>
          <w:color w:val="auto"/>
          <w:u w:val="single"/>
        </w:rPr>
        <w:t xml:space="preserve">  </w:t>
      </w:r>
      <w:r>
        <w:rPr>
          <w:rFonts w:hint="eastAsia"/>
          <w:color w:val="auto"/>
          <w:u w:val="single"/>
        </w:rPr>
        <w:t>2025</w:t>
      </w:r>
      <w:r>
        <w:rPr>
          <w:color w:val="auto"/>
          <w:u w:val="single"/>
        </w:rPr>
        <w:t xml:space="preserve">  </w:t>
      </w:r>
      <w:r>
        <w:rPr>
          <w:rFonts w:hint="eastAsia" w:cs="宋体"/>
          <w:color w:val="auto"/>
        </w:rPr>
        <w:t>年第</w:t>
      </w:r>
      <w:r>
        <w:rPr>
          <w:color w:val="auto"/>
          <w:u w:val="single"/>
        </w:rPr>
        <w:t xml:space="preserve">  </w:t>
      </w:r>
      <w:r>
        <w:rPr>
          <w:rFonts w:hint="eastAsia"/>
          <w:color w:val="auto"/>
          <w:u w:val="single"/>
        </w:rPr>
        <w:t>9月</w:t>
      </w:r>
      <w:r>
        <w:rPr>
          <w:color w:val="auto"/>
          <w:u w:val="single"/>
        </w:rPr>
        <w:t xml:space="preserve"> </w:t>
      </w:r>
      <w:r>
        <w:rPr>
          <w:rFonts w:hint="eastAsia"/>
          <w:color w:val="auto"/>
          <w:u w:val="single"/>
        </w:rPr>
        <w:t>下半月</w:t>
      </w:r>
      <w:r>
        <w:rPr>
          <w:color w:val="auto"/>
          <w:u w:val="single"/>
        </w:rPr>
        <w:t xml:space="preserve">  </w:t>
      </w:r>
      <w:r>
        <w:rPr>
          <w:rFonts w:hint="eastAsia" w:cs="宋体"/>
          <w:color w:val="auto"/>
        </w:rPr>
        <w:t>期，缺项部分参照《南宁建设工程造价信息》发布的信息价，无信息价的按市场询价，材料档次按中高档计取</w:t>
      </w:r>
      <w:r>
        <w:rPr>
          <w:rFonts w:hint="eastAsia" w:hAnsi="宋体" w:cs="宋体"/>
          <w:color w:val="auto"/>
        </w:rPr>
        <w:t>。</w:t>
      </w:r>
    </w:p>
    <w:p w14:paraId="61C7F9E0">
      <w:pPr>
        <w:spacing w:line="360" w:lineRule="auto"/>
        <w:ind w:firstLine="420" w:firstLineChars="200"/>
        <w:rPr>
          <w:color w:val="auto"/>
        </w:rPr>
      </w:pPr>
      <w:r>
        <w:rPr>
          <w:color w:val="auto"/>
        </w:rPr>
        <w:t xml:space="preserve">2.2 </w:t>
      </w:r>
      <w:r>
        <w:rPr>
          <w:rFonts w:hint="eastAsia" w:hAnsi="宋体" w:cs="宋体"/>
          <w:color w:val="auto"/>
        </w:rPr>
        <w:t>分部分项及单价措施项目综合单价应包括磋商文件中采购人要求供应商所承担的风险内容及其范围（幅度）产生的风险费用。</w:t>
      </w:r>
    </w:p>
    <w:p w14:paraId="520D9534">
      <w:pPr>
        <w:spacing w:line="360" w:lineRule="auto"/>
        <w:ind w:firstLine="420"/>
        <w:rPr>
          <w:color w:val="auto"/>
        </w:rPr>
      </w:pPr>
      <w:r>
        <w:rPr>
          <w:color w:val="auto"/>
        </w:rPr>
        <w:t xml:space="preserve">2.3 </w:t>
      </w:r>
      <w:r>
        <w:rPr>
          <w:rFonts w:hint="eastAsia" w:hAnsi="宋体" w:cs="宋体"/>
          <w:color w:val="auto"/>
        </w:rPr>
        <w:t>总价措施项目应根据拟定的磋商文件和常规施工方案按《计价规范》和《计算规范》规定编制。</w:t>
      </w:r>
    </w:p>
    <w:p w14:paraId="1E81569F">
      <w:pPr>
        <w:spacing w:line="360" w:lineRule="auto"/>
        <w:ind w:firstLine="420" w:firstLineChars="200"/>
        <w:rPr>
          <w:color w:val="auto"/>
        </w:rPr>
      </w:pPr>
      <w:r>
        <w:rPr>
          <w:color w:val="auto"/>
        </w:rPr>
        <w:t xml:space="preserve">2.4 </w:t>
      </w:r>
      <w:r>
        <w:rPr>
          <w:rFonts w:hint="eastAsia" w:cs="宋体"/>
          <w:color w:val="auto"/>
        </w:rPr>
        <w:t>其他项目费应按下列规定报价：</w:t>
      </w:r>
    </w:p>
    <w:p w14:paraId="5C822E0D">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7111FECC">
      <w:pPr>
        <w:pStyle w:val="158"/>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23A43BF1">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33C2C0A0">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）计日工应按工程量清单中列出的项目和数量，根据工程特点和有关计价依据确定的综合单价计算；</w:t>
      </w:r>
    </w:p>
    <w:p w14:paraId="02880CDA">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）总承包服务费应根据工程量清单列出的内容</w:t>
      </w:r>
      <w:r>
        <w:rPr>
          <w:rFonts w:hint="eastAsia" w:hAnsi="宋体" w:cs="宋体"/>
          <w:color w:val="auto"/>
        </w:rPr>
        <w:t>和要求，按自治区住房城乡建设行政主管部门颁发的计价定额及有关规定计算</w:t>
      </w:r>
      <w:r>
        <w:rPr>
          <w:rFonts w:hint="eastAsia" w:cs="宋体"/>
          <w:color w:val="auto"/>
        </w:rPr>
        <w:t>。</w:t>
      </w:r>
    </w:p>
    <w:p w14:paraId="0F2D5BDC">
      <w:pPr>
        <w:spacing w:line="360" w:lineRule="auto"/>
        <w:ind w:firstLine="420" w:firstLineChars="200"/>
        <w:rPr>
          <w:color w:val="auto"/>
        </w:rPr>
      </w:pPr>
      <w:r>
        <w:rPr>
          <w:rFonts w:hint="eastAsia"/>
          <w:color w:val="auto"/>
        </w:rPr>
        <w:t>（6）对建设单位创建优质工程的，鼓励在采购控制价和预算中按广西壮族自治区工程建设定额规定计列工程优质费，并明确工程优质费不可竞争。</w:t>
      </w:r>
    </w:p>
    <w:p w14:paraId="0D9B0FB0">
      <w:pPr>
        <w:spacing w:line="360" w:lineRule="auto"/>
        <w:ind w:firstLine="420" w:firstLineChars="200"/>
        <w:rPr>
          <w:color w:val="auto"/>
        </w:rPr>
      </w:pPr>
      <w:r>
        <w:rPr>
          <w:color w:val="auto"/>
        </w:rPr>
        <w:t xml:space="preserve">2.5 </w:t>
      </w:r>
      <w:r>
        <w:rPr>
          <w:rFonts w:hint="eastAsia" w:cs="宋体"/>
          <w:color w:val="auto"/>
        </w:rPr>
        <w:t>规费和增值税应按规定确定，作为不可竞争费用。</w:t>
      </w:r>
    </w:p>
    <w:p w14:paraId="0723C768">
      <w:pPr>
        <w:spacing w:line="360" w:lineRule="auto"/>
        <w:rPr>
          <w:rFonts w:hAnsi="宋体"/>
          <w:color w:val="auto"/>
        </w:rPr>
      </w:pPr>
      <w:r>
        <w:rPr>
          <w:color w:val="auto"/>
        </w:rPr>
        <w:t xml:space="preserve">2.6 </w:t>
      </w:r>
      <w:r>
        <w:rPr>
          <w:rFonts w:hint="eastAsia" w:hAnsi="宋体" w:cs="宋体"/>
          <w:color w:val="auto"/>
        </w:rPr>
        <w:t>其它需要说明的问题：</w:t>
      </w:r>
      <w:r>
        <w:rPr>
          <w:color w:val="auto"/>
          <w:u w:val="single"/>
        </w:rPr>
        <w:t xml:space="preserve">   </w:t>
      </w:r>
      <w:r>
        <w:rPr>
          <w:rFonts w:hint="eastAsia"/>
          <w:color w:val="auto"/>
          <w:u w:val="single"/>
        </w:rPr>
        <w:t>详见工程量清单说明</w:t>
      </w:r>
      <w:r>
        <w:rPr>
          <w:color w:val="auto"/>
          <w:u w:val="single"/>
        </w:rPr>
        <w:t xml:space="preserve"> </w:t>
      </w:r>
      <w:r>
        <w:rPr>
          <w:rFonts w:hint="eastAsia" w:hAnsi="宋体" w:cs="宋体"/>
          <w:color w:val="auto"/>
        </w:rPr>
        <w:t>。</w:t>
      </w:r>
    </w:p>
    <w:p w14:paraId="426C613A">
      <w:pPr>
        <w:pStyle w:val="4"/>
        <w:spacing w:before="0" w:after="0" w:line="360" w:lineRule="auto"/>
        <w:rPr>
          <w:color w:val="auto"/>
        </w:rPr>
      </w:pPr>
      <w:bookmarkStart w:id="89" w:name="_Toc879821176"/>
      <w:bookmarkStart w:id="90" w:name="_Toc407135286"/>
      <w:bookmarkStart w:id="91" w:name="_Toc122424252"/>
      <w:bookmarkStart w:id="92" w:name="_Toc122424003"/>
      <w:bookmarkStart w:id="93" w:name="_Toc78449871"/>
      <w:bookmarkStart w:id="94" w:name="_Toc378483916"/>
      <w:r>
        <w:rPr>
          <w:color w:val="auto"/>
        </w:rPr>
        <w:t>3</w:t>
      </w:r>
      <w:r>
        <w:rPr>
          <w:rFonts w:hint="eastAsia"/>
          <w:color w:val="auto"/>
        </w:rPr>
        <w:t>.</w:t>
      </w:r>
      <w:r>
        <w:rPr>
          <w:rFonts w:hint="eastAsia" w:cs="黑体"/>
          <w:color w:val="auto"/>
        </w:rPr>
        <w:t>竞标报价（已标价工程量清单）编制说明</w:t>
      </w:r>
      <w:bookmarkEnd w:id="89"/>
      <w:bookmarkEnd w:id="90"/>
      <w:bookmarkEnd w:id="91"/>
      <w:bookmarkEnd w:id="92"/>
      <w:bookmarkEnd w:id="93"/>
      <w:bookmarkEnd w:id="94"/>
    </w:p>
    <w:p w14:paraId="5D326263">
      <w:pPr>
        <w:spacing w:line="360" w:lineRule="auto"/>
        <w:ind w:firstLine="420" w:firstLineChars="200"/>
        <w:rPr>
          <w:color w:val="auto"/>
        </w:rPr>
      </w:pPr>
      <w:r>
        <w:rPr>
          <w:color w:val="auto"/>
        </w:rPr>
        <w:t xml:space="preserve">3.1 </w:t>
      </w:r>
      <w:r>
        <w:rPr>
          <w:rFonts w:hint="eastAsia" w:cs="宋体"/>
          <w:color w:val="auto"/>
        </w:rPr>
        <w:t>供应商应依据磋商文件、工程量清单以及《计价规范》、《计算规范》自主报价，自主报价</w:t>
      </w:r>
      <w:r>
        <w:rPr>
          <w:rFonts w:hint="eastAsia" w:hAnsi="宋体" w:cs="宋体"/>
          <w:color w:val="auto"/>
        </w:rPr>
        <w:t>不得违反计价规范强制性条文规定。</w:t>
      </w:r>
      <w:r>
        <w:rPr>
          <w:rFonts w:hint="eastAsia" w:cs="宋体"/>
          <w:color w:val="auto"/>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rPr>
        <w:t>不得以自有机械闲置、自有材料等不计成本为由</w:t>
      </w:r>
      <w:r>
        <w:rPr>
          <w:rFonts w:hint="eastAsia" w:cs="宋体"/>
          <w:color w:val="auto"/>
        </w:rPr>
        <w:t>低于工程成本报价。</w:t>
      </w:r>
    </w:p>
    <w:p w14:paraId="30A0F231">
      <w:pPr>
        <w:spacing w:line="360" w:lineRule="auto"/>
        <w:ind w:firstLine="420" w:firstLineChars="200"/>
        <w:rPr>
          <w:rFonts w:hAnsi="宋体"/>
          <w:color w:val="auto"/>
        </w:rPr>
      </w:pPr>
      <w:r>
        <w:rPr>
          <w:color w:val="auto"/>
        </w:rPr>
        <w:t xml:space="preserve">3.2 </w:t>
      </w:r>
      <w:r>
        <w:rPr>
          <w:rFonts w:hint="eastAsia" w:cs="宋体"/>
          <w:color w:val="auto"/>
        </w:rPr>
        <w:t>供应商应按工程量清单填报价格。项目编码、项目名称、项目特征、计量单位、工程量必须与工程量清单一致，</w:t>
      </w:r>
      <w:r>
        <w:rPr>
          <w:rFonts w:hint="eastAsia" w:hAnsi="宋体" w:cs="宋体"/>
          <w:color w:val="auto"/>
        </w:rPr>
        <w:t>供应商不得对工程量清单项目进行增减调整。</w:t>
      </w:r>
    </w:p>
    <w:p w14:paraId="3D8BFBA3">
      <w:pPr>
        <w:spacing w:line="360" w:lineRule="auto"/>
        <w:ind w:firstLine="420" w:firstLineChars="200"/>
        <w:rPr>
          <w:color w:val="auto"/>
        </w:rPr>
      </w:pPr>
      <w:r>
        <w:rPr>
          <w:color w:val="auto"/>
        </w:rPr>
        <w:t xml:space="preserve">3.3 </w:t>
      </w:r>
      <w:r>
        <w:rPr>
          <w:rFonts w:hint="eastAsia" w:cs="宋体"/>
          <w:color w:val="auto"/>
        </w:rPr>
        <w:t>综合单价中应包含磋商文件中划分的应由供应商承担的风险范围及其费用。</w:t>
      </w:r>
    </w:p>
    <w:p w14:paraId="0E9BAE5D">
      <w:pPr>
        <w:spacing w:line="360" w:lineRule="auto"/>
        <w:ind w:firstLine="420" w:firstLineChars="200"/>
        <w:rPr>
          <w:rFonts w:hAnsi="宋体"/>
          <w:color w:val="auto"/>
        </w:rPr>
      </w:pPr>
      <w:r>
        <w:rPr>
          <w:color w:val="auto"/>
        </w:rPr>
        <w:t xml:space="preserve">3.4 </w:t>
      </w:r>
      <w:r>
        <w:rPr>
          <w:rFonts w:hint="eastAsia" w:hAnsi="宋体" w:cs="宋体"/>
          <w:color w:val="auto"/>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6DBE1780">
      <w:pPr>
        <w:spacing w:line="360" w:lineRule="auto"/>
        <w:ind w:firstLine="420" w:firstLineChars="200"/>
        <w:rPr>
          <w:color w:val="auto"/>
        </w:rPr>
      </w:pPr>
      <w:r>
        <w:rPr>
          <w:color w:val="auto"/>
        </w:rPr>
        <w:t xml:space="preserve">3.5 </w:t>
      </w:r>
      <w:r>
        <w:rPr>
          <w:rFonts w:hint="eastAsia" w:hAnsi="宋体" w:cs="宋体"/>
          <w:color w:val="auto"/>
        </w:rPr>
        <w:t>总价措施项目的金额应根据磋商文件及竞标时拟定的施工组织设计或施工方案，按计价规范的规定自主确定。但</w:t>
      </w:r>
      <w:r>
        <w:rPr>
          <w:rFonts w:hint="eastAsia" w:cs="宋体"/>
          <w:color w:val="auto"/>
        </w:rPr>
        <w:t>安全文明施工费按国家、省级或行业建设主管部门的有关规定执行，作为不竞争费用单列。</w:t>
      </w:r>
    </w:p>
    <w:p w14:paraId="1DE1FF5F">
      <w:pPr>
        <w:spacing w:line="360" w:lineRule="auto"/>
        <w:ind w:firstLine="420" w:firstLineChars="200"/>
        <w:rPr>
          <w:color w:val="auto"/>
        </w:rPr>
      </w:pPr>
      <w:r>
        <w:rPr>
          <w:color w:val="auto"/>
        </w:rPr>
        <w:t xml:space="preserve">3.6 </w:t>
      </w:r>
      <w:r>
        <w:rPr>
          <w:rFonts w:hint="eastAsia" w:cs="宋体"/>
          <w:color w:val="auto"/>
        </w:rPr>
        <w:t>其他项目费应按下列规定报价：</w:t>
      </w:r>
    </w:p>
    <w:p w14:paraId="525CAB0E">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）暂列金额应按工程量清单中列出的金额填写；</w:t>
      </w:r>
    </w:p>
    <w:p w14:paraId="7582D156">
      <w:pPr>
        <w:pStyle w:val="158"/>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）材料、工程设备暂估价应按工程量清单中列出的单价计入综合单价；</w:t>
      </w:r>
    </w:p>
    <w:p w14:paraId="1089FCAD">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2C16B98A">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）计日工应按工程量清单中列出的项目和估算数量，自主确定综合单价并计算计日工总额；计日工单价均不含规费和税金；</w:t>
      </w:r>
    </w:p>
    <w:p w14:paraId="7B8C785B">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）总承包服务费应根据工程量清单中列出的内容</w:t>
      </w:r>
      <w:r>
        <w:rPr>
          <w:rFonts w:hint="eastAsia" w:hAnsi="宋体" w:cs="宋体"/>
          <w:color w:val="auto"/>
        </w:rPr>
        <w:t>和供应材料、设备情况，按照采购人提出的协调、配合与服务要求和施工现场管理需要</w:t>
      </w:r>
      <w:r>
        <w:rPr>
          <w:rFonts w:hint="eastAsia" w:cs="宋体"/>
          <w:color w:val="auto"/>
        </w:rPr>
        <w:t>自主确定。</w:t>
      </w:r>
    </w:p>
    <w:p w14:paraId="63BCBB63">
      <w:pPr>
        <w:spacing w:line="360" w:lineRule="auto"/>
        <w:ind w:firstLine="420" w:firstLineChars="200"/>
        <w:rPr>
          <w:color w:val="auto"/>
        </w:rPr>
      </w:pPr>
      <w:r>
        <w:rPr>
          <w:rFonts w:hint="eastAsia"/>
          <w:color w:val="auto"/>
        </w:rPr>
        <w:t>（6）对建设单位创建优质工程的，鼓励在采购控制价和预算中按广西壮族自治区工程建设定额规定计列工程优质费，并明确工程优质费不可竞争。</w:t>
      </w:r>
    </w:p>
    <w:p w14:paraId="716B2654">
      <w:pPr>
        <w:spacing w:line="360" w:lineRule="auto"/>
        <w:ind w:firstLine="420" w:firstLineChars="200"/>
        <w:rPr>
          <w:color w:val="auto"/>
        </w:rPr>
      </w:pPr>
      <w:r>
        <w:rPr>
          <w:color w:val="auto"/>
        </w:rPr>
        <w:t xml:space="preserve">3.7 </w:t>
      </w:r>
      <w:r>
        <w:rPr>
          <w:rFonts w:hint="eastAsia" w:cs="宋体"/>
          <w:color w:val="auto"/>
        </w:rPr>
        <w:t>规费和增值税应按规定确定，作为不可竞争费用。</w:t>
      </w:r>
    </w:p>
    <w:p w14:paraId="7110778A">
      <w:pPr>
        <w:spacing w:line="360" w:lineRule="auto"/>
        <w:ind w:firstLine="420" w:firstLineChars="200"/>
        <w:rPr>
          <w:color w:val="auto"/>
        </w:rPr>
      </w:pPr>
      <w:r>
        <w:rPr>
          <w:color w:val="auto"/>
        </w:rPr>
        <w:t xml:space="preserve">3.8 </w:t>
      </w:r>
      <w:r>
        <w:rPr>
          <w:rFonts w:hint="eastAsia" w:cs="宋体"/>
          <w:color w:val="auto"/>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4F3C1ACE">
      <w:pPr>
        <w:spacing w:line="360" w:lineRule="auto"/>
        <w:ind w:firstLine="420" w:firstLineChars="200"/>
        <w:rPr>
          <w:color w:val="auto"/>
        </w:rPr>
      </w:pPr>
      <w:r>
        <w:rPr>
          <w:color w:val="auto"/>
        </w:rPr>
        <w:t xml:space="preserve">3.9 </w:t>
      </w:r>
      <w:r>
        <w:rPr>
          <w:rFonts w:hint="eastAsia" w:cs="宋体"/>
          <w:color w:val="auto"/>
        </w:rPr>
        <w:t>竞标总价应当与分部分项工程费、措施项目费、其他项目费和规费、增值税的合计金额一致。</w:t>
      </w:r>
    </w:p>
    <w:p w14:paraId="1829A530">
      <w:pPr>
        <w:spacing w:line="360" w:lineRule="auto"/>
        <w:ind w:firstLine="420" w:firstLineChars="200"/>
        <w:rPr>
          <w:color w:val="auto"/>
        </w:rPr>
      </w:pPr>
      <w:r>
        <w:rPr>
          <w:color w:val="auto"/>
        </w:rPr>
        <w:t>3.1</w:t>
      </w:r>
      <w:r>
        <w:rPr>
          <w:rFonts w:hint="eastAsia"/>
          <w:color w:val="auto"/>
        </w:rPr>
        <w:t>0</w:t>
      </w:r>
      <w:r>
        <w:rPr>
          <w:color w:val="auto"/>
        </w:rPr>
        <w:t xml:space="preserve"> </w:t>
      </w:r>
      <w:r>
        <w:rPr>
          <w:rFonts w:hint="eastAsia" w:cs="宋体"/>
          <w:color w:val="auto"/>
        </w:rPr>
        <w:t>供应商应按《允许调整主要材料和工程设备一览表》的内容填报，不得擅自调整材料和设备名称型号规格、单位、风险系数、基准单价。</w:t>
      </w:r>
    </w:p>
    <w:p w14:paraId="46A8777B">
      <w:pPr>
        <w:spacing w:line="360" w:lineRule="auto"/>
        <w:ind w:firstLine="420" w:firstLineChars="200"/>
        <w:rPr>
          <w:rFonts w:hAnsi="宋体"/>
          <w:color w:val="auto"/>
        </w:rPr>
      </w:pPr>
      <w:r>
        <w:rPr>
          <w:color w:val="auto"/>
        </w:rPr>
        <w:t>3.1</w:t>
      </w:r>
      <w:r>
        <w:rPr>
          <w:rFonts w:hint="eastAsia"/>
          <w:color w:val="auto"/>
        </w:rPr>
        <w:t>1</w:t>
      </w:r>
      <w:r>
        <w:rPr>
          <w:rFonts w:hint="eastAsia" w:hAnsi="宋体" w:cs="宋体"/>
          <w:color w:val="auto"/>
        </w:rPr>
        <w:t>竞标报价</w:t>
      </w:r>
      <w:r>
        <w:rPr>
          <w:rFonts w:hint="eastAsia" w:cs="宋体"/>
          <w:color w:val="auto"/>
        </w:rPr>
        <w:t>表格按本工程工程量清单表格要求填写，并</w:t>
      </w:r>
      <w:r>
        <w:rPr>
          <w:rFonts w:hint="eastAsia" w:hAnsi="宋体" w:cs="宋体"/>
          <w:color w:val="auto"/>
        </w:rPr>
        <w:t>应按磋商文件的要求，附上《工程量清单综合单价分析表》（表</w:t>
      </w:r>
      <w:r>
        <w:rPr>
          <w:color w:val="auto"/>
        </w:rPr>
        <w:t>-09</w:t>
      </w:r>
      <w:r>
        <w:rPr>
          <w:rFonts w:hint="eastAsia" w:hAnsi="宋体" w:cs="宋体"/>
          <w:color w:val="auto"/>
        </w:rPr>
        <w:t>）和《主要清单项目工料机分析表》（表</w:t>
      </w:r>
      <w:r>
        <w:rPr>
          <w:color w:val="auto"/>
        </w:rPr>
        <w:t>-10</w:t>
      </w:r>
      <w:r>
        <w:rPr>
          <w:rFonts w:hint="eastAsia" w:hAnsi="宋体" w:cs="宋体"/>
          <w:color w:val="auto"/>
        </w:rPr>
        <w:t>）。</w:t>
      </w:r>
    </w:p>
    <w:p w14:paraId="29A05664">
      <w:pPr>
        <w:spacing w:line="360" w:lineRule="auto"/>
        <w:ind w:firstLine="420" w:firstLineChars="200"/>
        <w:rPr>
          <w:color w:val="auto"/>
          <w:u w:val="single"/>
        </w:rPr>
      </w:pPr>
      <w:r>
        <w:rPr>
          <w:rFonts w:hint="eastAsia" w:cs="宋体"/>
          <w:color w:val="auto"/>
        </w:rPr>
        <w:t>未尽事宜详见本工程工程量清单、采购控制价编制说明以及现行《计价规范》等有关规定执行。</w:t>
      </w:r>
    </w:p>
    <w:p w14:paraId="437F2836">
      <w:pPr>
        <w:spacing w:line="360" w:lineRule="auto"/>
        <w:ind w:firstLine="420" w:firstLineChars="200"/>
        <w:rPr>
          <w:rFonts w:cs="宋体"/>
          <w:color w:val="auto"/>
        </w:rPr>
      </w:pPr>
      <w:r>
        <w:rPr>
          <w:rFonts w:hint="eastAsia" w:cs="宋体"/>
          <w:color w:val="auto"/>
        </w:rPr>
        <w:t>注：因2021年《广西壮族自治区园林绿化及仿古建筑工程费用定额》采用全费用综合单价形式，故园林绿化及仿古建筑工程的工程量清单及计价采用《自治区住房和城乡建设厅关于建设工程造价改革试点项目招竞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3066DE43">
      <w:pPr>
        <w:pStyle w:val="4"/>
        <w:spacing w:before="0" w:after="0" w:line="360" w:lineRule="auto"/>
        <w:rPr>
          <w:rFonts w:cs="黑体"/>
          <w:color w:val="auto"/>
        </w:rPr>
      </w:pPr>
      <w:bookmarkStart w:id="95" w:name="_Toc122424253"/>
      <w:bookmarkStart w:id="96" w:name="_Toc122424004"/>
      <w:r>
        <w:rPr>
          <w:rFonts w:hint="eastAsia" w:cs="黑体"/>
          <w:color w:val="auto"/>
        </w:rPr>
        <w:t>4.</w:t>
      </w:r>
      <w:r>
        <w:rPr>
          <w:rFonts w:hint="eastAsia"/>
          <w:color w:val="auto"/>
        </w:rPr>
        <w:t>工程量清单及</w:t>
      </w:r>
      <w:r>
        <w:rPr>
          <w:rFonts w:hint="eastAsia" w:cs="黑体"/>
          <w:color w:val="auto"/>
        </w:rPr>
        <w:t>图纸（另册）</w:t>
      </w:r>
      <w:bookmarkEnd w:id="95"/>
      <w:bookmarkEnd w:id="96"/>
    </w:p>
    <w:p w14:paraId="091C90CA">
      <w:pPr>
        <w:bidi w:val="0"/>
      </w:pPr>
      <w:r>
        <w:br w:type="page"/>
      </w:r>
    </w:p>
    <w:p w14:paraId="27D3C2D9">
      <w:pPr>
        <w:pStyle w:val="3"/>
        <w:jc w:val="center"/>
        <w:rPr>
          <w:color w:val="auto"/>
        </w:rPr>
      </w:pPr>
      <w:bookmarkStart w:id="97" w:name="_Toc122424265"/>
      <w:r>
        <w:rPr>
          <w:rFonts w:hint="eastAsia"/>
          <w:color w:val="auto"/>
        </w:rPr>
        <w:t>第六章 响应文件格式</w:t>
      </w:r>
      <w:bookmarkEnd w:id="97"/>
    </w:p>
    <w:p w14:paraId="419644C2">
      <w:pPr>
        <w:rPr>
          <w:b/>
          <w:color w:val="auto"/>
          <w:sz w:val="32"/>
          <w:szCs w:val="32"/>
        </w:rPr>
      </w:pPr>
      <w:bookmarkStart w:id="98" w:name="_Toc31728084"/>
      <w:bookmarkStart w:id="99" w:name="_Toc44229899"/>
      <w:bookmarkStart w:id="100" w:name="_Toc35611516"/>
      <w:bookmarkStart w:id="101" w:name="_Toc35611438"/>
      <w:bookmarkStart w:id="102" w:name="_Toc71366186"/>
      <w:bookmarkStart w:id="103" w:name="_Toc31723070"/>
      <w:r>
        <w:rPr>
          <w:rFonts w:hint="eastAsia"/>
          <w:b/>
          <w:color w:val="auto"/>
          <w:sz w:val="32"/>
          <w:szCs w:val="32"/>
        </w:rPr>
        <w:t>一、资格证明文件格式</w:t>
      </w:r>
      <w:bookmarkEnd w:id="98"/>
      <w:bookmarkEnd w:id="99"/>
      <w:bookmarkEnd w:id="100"/>
      <w:bookmarkEnd w:id="101"/>
      <w:bookmarkEnd w:id="102"/>
      <w:bookmarkEnd w:id="103"/>
    </w:p>
    <w:p w14:paraId="4CF77A37">
      <w:pPr>
        <w:snapToGrid w:val="0"/>
        <w:spacing w:before="156"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42160F6C">
      <w:pPr>
        <w:snapToGrid w:val="0"/>
        <w:spacing w:before="156" w:beforeLines="50" w:after="50"/>
        <w:jc w:val="center"/>
        <w:rPr>
          <w:rFonts w:ascii="宋体" w:hAnsi="宋体"/>
          <w:color w:val="auto"/>
          <w:sz w:val="44"/>
          <w:szCs w:val="44"/>
        </w:rPr>
      </w:pPr>
    </w:p>
    <w:p w14:paraId="4B701E12">
      <w:pPr>
        <w:snapToGrid w:val="0"/>
        <w:spacing w:before="156" w:beforeLines="50" w:after="50"/>
        <w:jc w:val="center"/>
        <w:rPr>
          <w:rFonts w:ascii="宋体" w:hAnsi="宋体"/>
          <w:color w:val="auto"/>
          <w:sz w:val="44"/>
          <w:szCs w:val="44"/>
        </w:rPr>
      </w:pPr>
      <w:r>
        <w:rPr>
          <w:rFonts w:hint="eastAsia" w:ascii="宋体" w:hAnsi="宋体"/>
          <w:color w:val="auto"/>
          <w:sz w:val="44"/>
          <w:szCs w:val="44"/>
        </w:rPr>
        <w:t>电 子 响 应 文 件</w:t>
      </w:r>
    </w:p>
    <w:p w14:paraId="665509AB">
      <w:pPr>
        <w:snapToGrid w:val="0"/>
        <w:spacing w:before="156" w:beforeLines="50" w:after="50"/>
        <w:rPr>
          <w:rFonts w:ascii="宋体" w:hAnsi="宋体"/>
          <w:color w:val="auto"/>
          <w:sz w:val="24"/>
          <w:szCs w:val="20"/>
        </w:rPr>
      </w:pPr>
    </w:p>
    <w:p w14:paraId="57533092">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资  格  证  明  文  件</w:t>
      </w:r>
    </w:p>
    <w:p w14:paraId="2D3D67D0">
      <w:pPr>
        <w:snapToGrid w:val="0"/>
        <w:spacing w:before="156" w:beforeLines="50" w:after="50"/>
        <w:rPr>
          <w:rFonts w:ascii="宋体" w:hAnsi="宋体"/>
          <w:bCs/>
          <w:color w:val="auto"/>
          <w:sz w:val="24"/>
          <w:szCs w:val="20"/>
        </w:rPr>
      </w:pPr>
    </w:p>
    <w:p w14:paraId="458BA614">
      <w:pPr>
        <w:snapToGrid w:val="0"/>
        <w:spacing w:before="156" w:beforeLines="50" w:after="50"/>
        <w:rPr>
          <w:rFonts w:ascii="宋体" w:hAnsi="宋体"/>
          <w:bCs/>
          <w:color w:val="auto"/>
          <w:sz w:val="24"/>
          <w:szCs w:val="20"/>
        </w:rPr>
      </w:pPr>
    </w:p>
    <w:p w14:paraId="1CFD2A09">
      <w:pPr>
        <w:snapToGrid w:val="0"/>
        <w:spacing w:before="156" w:beforeLines="50" w:after="50"/>
        <w:rPr>
          <w:rFonts w:ascii="宋体" w:hAnsi="宋体"/>
          <w:bCs/>
          <w:color w:val="auto"/>
          <w:sz w:val="24"/>
          <w:szCs w:val="20"/>
        </w:rPr>
      </w:pPr>
    </w:p>
    <w:p w14:paraId="5843AD3A">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05435ED5">
      <w:pPr>
        <w:snapToGrid w:val="0"/>
        <w:spacing w:before="156" w:beforeLines="50" w:after="50"/>
        <w:ind w:firstLine="720" w:firstLineChars="225"/>
        <w:rPr>
          <w:rFonts w:ascii="宋体" w:hAnsi="宋体" w:cs="仿宋_GB2312"/>
          <w:bCs/>
          <w:color w:val="auto"/>
          <w:sz w:val="32"/>
          <w:szCs w:val="32"/>
        </w:rPr>
      </w:pPr>
    </w:p>
    <w:p w14:paraId="21B4E60F">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2172D240">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0F699E82">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42C12AC2">
      <w:pPr>
        <w:snapToGrid w:val="0"/>
        <w:spacing w:before="156" w:beforeLines="50" w:after="50"/>
        <w:ind w:firstLine="720" w:firstLineChars="225"/>
        <w:rPr>
          <w:rFonts w:ascii="宋体" w:hAnsi="宋体" w:cs="仿宋_GB2312"/>
          <w:bCs/>
          <w:color w:val="auto"/>
          <w:sz w:val="32"/>
          <w:szCs w:val="32"/>
        </w:rPr>
      </w:pPr>
    </w:p>
    <w:p w14:paraId="28FF6CAA">
      <w:pPr>
        <w:pStyle w:val="8"/>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14:paraId="6E7D2406">
      <w:pPr>
        <w:pStyle w:val="8"/>
        <w:snapToGrid w:val="0"/>
        <w:spacing w:before="50" w:after="50"/>
        <w:ind w:firstLine="720" w:firstLineChars="225"/>
        <w:rPr>
          <w:rFonts w:ascii="宋体" w:hAnsi="宋体" w:cs="仿宋_GB2312"/>
          <w:bCs/>
          <w:color w:val="auto"/>
          <w:sz w:val="32"/>
          <w:szCs w:val="32"/>
        </w:rPr>
      </w:pPr>
    </w:p>
    <w:p w14:paraId="0748C1E8">
      <w:pPr>
        <w:pStyle w:val="8"/>
        <w:snapToGrid w:val="0"/>
        <w:spacing w:before="50" w:after="50"/>
        <w:ind w:firstLine="1280" w:firstLineChars="400"/>
        <w:rPr>
          <w:rFonts w:ascii="宋体" w:hAnsi="宋体" w:cs="仿宋_GB2312"/>
          <w:bCs/>
          <w:color w:val="auto"/>
          <w:sz w:val="32"/>
          <w:szCs w:val="32"/>
        </w:rPr>
      </w:pPr>
    </w:p>
    <w:p w14:paraId="00D94C8E">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48ACFEB7">
      <w:pPr>
        <w:snapToGrid w:val="0"/>
        <w:spacing w:before="156"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04E6DE6F">
      <w:pPr>
        <w:snapToGrid w:val="0"/>
        <w:spacing w:before="156" w:beforeLines="50"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0BBA86F4">
      <w:pPr>
        <w:snapToGrid w:val="0"/>
        <w:spacing w:before="156" w:beforeLines="50" w:after="50"/>
        <w:rPr>
          <w:rFonts w:ascii="宋体" w:hAnsi="宋体"/>
          <w:color w:val="auto"/>
          <w:sz w:val="24"/>
          <w:szCs w:val="20"/>
        </w:rPr>
      </w:pPr>
      <w:r>
        <w:rPr>
          <w:rFonts w:ascii="宋体" w:hAnsi="宋体"/>
          <w:color w:val="auto"/>
          <w:sz w:val="24"/>
          <w:szCs w:val="20"/>
        </w:rPr>
        <w:t xml:space="preserve"> </w:t>
      </w:r>
    </w:p>
    <w:p w14:paraId="0117CD66">
      <w:pPr>
        <w:spacing w:line="300" w:lineRule="auto"/>
        <w:rPr>
          <w:rFonts w:ascii="宋体" w:hAnsi="宋体"/>
          <w:color w:val="auto"/>
          <w:szCs w:val="21"/>
        </w:rPr>
      </w:pPr>
    </w:p>
    <w:p w14:paraId="47A5765E">
      <w:pPr>
        <w:spacing w:line="300" w:lineRule="auto"/>
        <w:rPr>
          <w:rFonts w:ascii="宋体" w:hAnsi="宋体"/>
          <w:color w:val="auto"/>
          <w:szCs w:val="21"/>
        </w:rPr>
      </w:pPr>
    </w:p>
    <w:p w14:paraId="78669FEF">
      <w:pPr>
        <w:spacing w:line="300" w:lineRule="auto"/>
        <w:rPr>
          <w:rFonts w:ascii="宋体" w:hAnsi="宋体"/>
          <w:color w:val="auto"/>
          <w:szCs w:val="21"/>
        </w:rPr>
      </w:pPr>
    </w:p>
    <w:p w14:paraId="64091208">
      <w:pPr>
        <w:spacing w:line="300" w:lineRule="auto"/>
        <w:rPr>
          <w:rFonts w:ascii="宋体" w:hAnsi="宋体"/>
          <w:color w:val="auto"/>
          <w:szCs w:val="21"/>
        </w:rPr>
      </w:pPr>
    </w:p>
    <w:p w14:paraId="1FEE6C91">
      <w:pPr>
        <w:spacing w:line="300" w:lineRule="auto"/>
        <w:rPr>
          <w:rFonts w:ascii="宋体" w:hAnsi="宋体"/>
          <w:color w:val="auto"/>
          <w:szCs w:val="21"/>
        </w:rPr>
      </w:pPr>
    </w:p>
    <w:p w14:paraId="7354AF2C">
      <w:pPr>
        <w:spacing w:line="300" w:lineRule="auto"/>
        <w:rPr>
          <w:rFonts w:ascii="宋体" w:hAnsi="宋体"/>
          <w:color w:val="auto"/>
          <w:szCs w:val="21"/>
        </w:rPr>
      </w:pPr>
    </w:p>
    <w:p w14:paraId="684812D9">
      <w:pPr>
        <w:spacing w:line="300" w:lineRule="auto"/>
        <w:rPr>
          <w:rFonts w:ascii="宋体" w:hAnsi="宋体"/>
          <w:color w:val="auto"/>
          <w:szCs w:val="21"/>
        </w:rPr>
      </w:pPr>
    </w:p>
    <w:p w14:paraId="101957CB">
      <w:pPr>
        <w:spacing w:line="300" w:lineRule="auto"/>
        <w:rPr>
          <w:rFonts w:ascii="宋体" w:hAnsi="宋体"/>
          <w:color w:val="auto"/>
          <w:szCs w:val="21"/>
        </w:rPr>
      </w:pPr>
    </w:p>
    <w:p w14:paraId="6DA129D1">
      <w:pPr>
        <w:spacing w:line="300" w:lineRule="auto"/>
        <w:rPr>
          <w:rFonts w:ascii="宋体" w:hAnsi="宋体"/>
          <w:color w:val="auto"/>
          <w:szCs w:val="21"/>
        </w:rPr>
      </w:pPr>
    </w:p>
    <w:p w14:paraId="27FEDF17">
      <w:pPr>
        <w:spacing w:line="300" w:lineRule="auto"/>
        <w:rPr>
          <w:rFonts w:ascii="宋体" w:hAnsi="宋体"/>
          <w:color w:val="auto"/>
          <w:szCs w:val="21"/>
        </w:rPr>
      </w:pPr>
    </w:p>
    <w:p w14:paraId="6C5A11B8">
      <w:pPr>
        <w:spacing w:line="300" w:lineRule="auto"/>
        <w:rPr>
          <w:rFonts w:ascii="宋体" w:hAnsi="宋体"/>
          <w:color w:val="auto"/>
          <w:szCs w:val="21"/>
        </w:rPr>
      </w:pPr>
    </w:p>
    <w:p w14:paraId="29A34D2F">
      <w:pPr>
        <w:spacing w:line="300" w:lineRule="auto"/>
        <w:rPr>
          <w:rFonts w:ascii="宋体" w:hAnsi="宋体"/>
          <w:color w:val="auto"/>
          <w:szCs w:val="21"/>
        </w:rPr>
      </w:pPr>
    </w:p>
    <w:p w14:paraId="6DD9EC8D">
      <w:pPr>
        <w:spacing w:line="300" w:lineRule="auto"/>
        <w:rPr>
          <w:rFonts w:ascii="宋体" w:hAnsi="宋体"/>
          <w:color w:val="auto"/>
          <w:szCs w:val="21"/>
        </w:rPr>
      </w:pPr>
    </w:p>
    <w:p w14:paraId="2BD506E0">
      <w:pPr>
        <w:spacing w:line="300" w:lineRule="auto"/>
        <w:rPr>
          <w:rFonts w:ascii="宋体" w:hAnsi="宋体"/>
          <w:color w:val="auto"/>
          <w:szCs w:val="21"/>
        </w:rPr>
      </w:pPr>
    </w:p>
    <w:p w14:paraId="4AE1839B">
      <w:pPr>
        <w:spacing w:line="300" w:lineRule="auto"/>
        <w:rPr>
          <w:rFonts w:ascii="宋体" w:hAnsi="宋体"/>
          <w:color w:val="auto"/>
          <w:szCs w:val="21"/>
        </w:rPr>
      </w:pPr>
    </w:p>
    <w:p w14:paraId="64D60CF5">
      <w:pPr>
        <w:spacing w:line="320" w:lineRule="exact"/>
        <w:jc w:val="left"/>
        <w:rPr>
          <w:rFonts w:ascii="宋体" w:hAnsi="宋体"/>
          <w:color w:val="auto"/>
          <w:szCs w:val="21"/>
        </w:rPr>
      </w:pPr>
      <w:r>
        <w:rPr>
          <w:rFonts w:ascii="宋体" w:hAnsi="宋体"/>
          <w:color w:val="auto"/>
          <w:szCs w:val="21"/>
        </w:rPr>
        <w:br w:type="page"/>
      </w:r>
      <w:r>
        <w:rPr>
          <w:rFonts w:hint="eastAsia" w:ascii="宋体" w:hAnsi="宋体"/>
          <w:color w:val="auto"/>
          <w:szCs w:val="21"/>
        </w:rPr>
        <w:t xml:space="preserve"> </w:t>
      </w:r>
    </w:p>
    <w:p w14:paraId="4B23A0B7">
      <w:pPr>
        <w:spacing w:line="360" w:lineRule="auto"/>
        <w:jc w:val="center"/>
        <w:rPr>
          <w:rFonts w:ascii="宋体" w:hAnsi="宋体"/>
          <w:b/>
          <w:color w:val="auto"/>
          <w:sz w:val="32"/>
          <w:szCs w:val="32"/>
        </w:rPr>
      </w:pPr>
      <w:r>
        <w:rPr>
          <w:rFonts w:hint="eastAsia" w:ascii="宋体" w:hAnsi="宋体"/>
          <w:b/>
          <w:color w:val="auto"/>
          <w:sz w:val="32"/>
          <w:szCs w:val="32"/>
        </w:rPr>
        <w:t>供应商直接控股、管理关系信息表</w:t>
      </w:r>
    </w:p>
    <w:p w14:paraId="4B229A8B">
      <w:pPr>
        <w:snapToGrid w:val="0"/>
        <w:spacing w:before="156" w:beforeLines="50" w:after="50" w:line="360" w:lineRule="auto"/>
        <w:jc w:val="center"/>
        <w:rPr>
          <w:rFonts w:ascii="宋体" w:hAnsi="宋体"/>
          <w:b/>
          <w:color w:val="auto"/>
          <w:sz w:val="24"/>
        </w:rPr>
      </w:pPr>
    </w:p>
    <w:p w14:paraId="02E7A6FA">
      <w:pPr>
        <w:spacing w:line="360" w:lineRule="auto"/>
        <w:contextualSpacing/>
        <w:jc w:val="center"/>
        <w:rPr>
          <w:rFonts w:ascii="宋体" w:hAnsi="宋体"/>
          <w:b/>
          <w:color w:val="auto"/>
          <w:sz w:val="32"/>
          <w:szCs w:val="32"/>
        </w:rPr>
      </w:pPr>
      <w:r>
        <w:rPr>
          <w:rFonts w:hint="eastAsia" w:ascii="宋体" w:hAnsi="宋体"/>
          <w:b/>
          <w:color w:val="auto"/>
          <w:sz w:val="32"/>
          <w:szCs w:val="32"/>
        </w:rPr>
        <w:t>供应商直接控股股东信息表</w:t>
      </w:r>
    </w:p>
    <w:p w14:paraId="66A64330">
      <w:pPr>
        <w:spacing w:line="360" w:lineRule="auto"/>
        <w:contextualSpacing/>
        <w:jc w:val="center"/>
        <w:rPr>
          <w:rFonts w:ascii="宋体" w:hAnsi="宋体"/>
          <w:b/>
          <w:color w:val="auto"/>
          <w:sz w:val="24"/>
        </w:rPr>
      </w:pPr>
    </w:p>
    <w:tbl>
      <w:tblPr>
        <w:tblStyle w:val="4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A46BFF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8994C3">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106FD0">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C51D0">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6475B2">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1F781E">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14:paraId="4FA0D76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F857BD">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1517175">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7429F2">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CF1878">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6C5103">
            <w:pPr>
              <w:widowControl/>
              <w:spacing w:line="360" w:lineRule="auto"/>
              <w:contextualSpacing/>
              <w:jc w:val="center"/>
              <w:rPr>
                <w:rFonts w:ascii="宋体" w:hAnsi="宋体" w:cs="宋体"/>
                <w:color w:val="auto"/>
                <w:kern w:val="0"/>
                <w:sz w:val="24"/>
              </w:rPr>
            </w:pPr>
          </w:p>
        </w:tc>
      </w:tr>
      <w:tr w14:paraId="128EB31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905A01">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7B371D">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FA4A49">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516700">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FB8BAA">
            <w:pPr>
              <w:widowControl/>
              <w:spacing w:line="360" w:lineRule="auto"/>
              <w:contextualSpacing/>
              <w:jc w:val="center"/>
              <w:rPr>
                <w:rFonts w:ascii="宋体" w:hAnsi="宋体" w:cs="宋体"/>
                <w:color w:val="auto"/>
                <w:kern w:val="0"/>
                <w:sz w:val="24"/>
              </w:rPr>
            </w:pPr>
          </w:p>
        </w:tc>
      </w:tr>
      <w:tr w14:paraId="6DC0332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639E229">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2EDD4">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428E70">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12C172C">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72E9DA">
            <w:pPr>
              <w:widowControl/>
              <w:spacing w:line="360" w:lineRule="auto"/>
              <w:contextualSpacing/>
              <w:jc w:val="center"/>
              <w:rPr>
                <w:rFonts w:ascii="宋体" w:hAnsi="宋体" w:cs="宋体"/>
                <w:color w:val="auto"/>
                <w:kern w:val="0"/>
                <w:sz w:val="24"/>
              </w:rPr>
            </w:pPr>
          </w:p>
        </w:tc>
      </w:tr>
      <w:tr w14:paraId="06BDFBF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7A0C26">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086DBD">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5227CB">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B764D4">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FB2B650">
            <w:pPr>
              <w:widowControl/>
              <w:spacing w:line="360" w:lineRule="auto"/>
              <w:contextualSpacing/>
              <w:jc w:val="center"/>
              <w:rPr>
                <w:rFonts w:ascii="宋体" w:hAnsi="宋体" w:cs="宋体"/>
                <w:color w:val="auto"/>
                <w:kern w:val="0"/>
                <w:sz w:val="24"/>
              </w:rPr>
            </w:pPr>
          </w:p>
        </w:tc>
      </w:tr>
    </w:tbl>
    <w:p w14:paraId="75882D4F">
      <w:pPr>
        <w:spacing w:line="360" w:lineRule="auto"/>
        <w:contextualSpacing/>
        <w:jc w:val="left"/>
        <w:rPr>
          <w:rFonts w:ascii="宋体" w:hAnsi="宋体" w:cs="宋体"/>
          <w:color w:val="auto"/>
          <w:sz w:val="24"/>
        </w:rPr>
      </w:pPr>
      <w:r>
        <w:rPr>
          <w:rFonts w:hint="eastAsia" w:ascii="宋体" w:hAnsi="宋体" w:cs="宋体"/>
          <w:color w:val="auto"/>
          <w:sz w:val="24"/>
        </w:rPr>
        <w:t>注：</w:t>
      </w:r>
    </w:p>
    <w:p w14:paraId="1374227F">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B846377">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1A40DE28">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36047046">
      <w:pPr>
        <w:spacing w:line="360" w:lineRule="auto"/>
        <w:ind w:firstLine="420" w:firstLineChars="200"/>
        <w:contextualSpacing/>
        <w:jc w:val="left"/>
        <w:rPr>
          <w:rFonts w:ascii="宋体" w:hAnsi="宋体" w:cs="宋体"/>
          <w:color w:val="auto"/>
          <w:szCs w:val="21"/>
        </w:rPr>
      </w:pPr>
    </w:p>
    <w:p w14:paraId="50DCF796">
      <w:pPr>
        <w:spacing w:line="360" w:lineRule="auto"/>
        <w:ind w:firstLine="560" w:firstLineChars="200"/>
        <w:contextualSpacing/>
        <w:jc w:val="left"/>
        <w:rPr>
          <w:rFonts w:ascii="宋体" w:hAnsi="宋体" w:cs="宋体"/>
          <w:color w:val="auto"/>
          <w:sz w:val="28"/>
          <w:szCs w:val="28"/>
        </w:rPr>
      </w:pPr>
    </w:p>
    <w:p w14:paraId="28DEA76E">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7367EB07">
      <w:pPr>
        <w:spacing w:line="360" w:lineRule="auto"/>
        <w:ind w:right="480" w:firstLine="3000" w:firstLineChars="125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r>
        <w:rPr>
          <w:rFonts w:hint="eastAsia" w:ascii="宋体" w:hAnsi="宋体" w:cs="宋体"/>
          <w:color w:val="auto"/>
          <w:sz w:val="24"/>
          <w:u w:val="single"/>
        </w:rPr>
        <w:t xml:space="preserve">                    </w:t>
      </w:r>
    </w:p>
    <w:p w14:paraId="4102948A">
      <w:pPr>
        <w:spacing w:line="360" w:lineRule="auto"/>
        <w:ind w:firstLine="480" w:firstLineChars="200"/>
        <w:contextualSpacing/>
        <w:jc w:val="right"/>
        <w:rPr>
          <w:rFonts w:ascii="宋体" w:hAnsi="宋体" w:cs="宋体"/>
          <w:color w:val="auto"/>
          <w:sz w:val="28"/>
          <w:szCs w:val="28"/>
        </w:rPr>
      </w:pPr>
      <w:r>
        <w:rPr>
          <w:rFonts w:hint="eastAsia" w:ascii="宋体" w:hAnsi="宋体" w:cs="宋体"/>
          <w:color w:val="auto"/>
          <w:sz w:val="24"/>
        </w:rPr>
        <w:t>年    月    日</w:t>
      </w:r>
    </w:p>
    <w:p w14:paraId="1F85A489">
      <w:pPr>
        <w:snapToGrid w:val="0"/>
        <w:jc w:val="center"/>
        <w:rPr>
          <w:rFonts w:ascii="宋体" w:hAnsi="宋体"/>
          <w:b/>
          <w:color w:val="auto"/>
          <w:sz w:val="28"/>
          <w:szCs w:val="28"/>
        </w:rPr>
      </w:pPr>
      <w:r>
        <w:rPr>
          <w:rFonts w:ascii="宋体" w:hAnsi="宋体"/>
          <w:b/>
          <w:color w:val="auto"/>
          <w:sz w:val="28"/>
          <w:szCs w:val="28"/>
        </w:rPr>
        <w:br w:type="page"/>
      </w:r>
    </w:p>
    <w:p w14:paraId="4AE03B34">
      <w:pPr>
        <w:spacing w:line="360" w:lineRule="auto"/>
        <w:jc w:val="center"/>
        <w:rPr>
          <w:rFonts w:ascii="宋体" w:hAnsi="宋体"/>
          <w:b/>
          <w:color w:val="auto"/>
          <w:sz w:val="32"/>
          <w:szCs w:val="32"/>
        </w:rPr>
      </w:pPr>
      <w:r>
        <w:rPr>
          <w:rFonts w:hint="eastAsia" w:ascii="宋体" w:hAnsi="宋体"/>
          <w:b/>
          <w:color w:val="auto"/>
          <w:sz w:val="32"/>
          <w:szCs w:val="32"/>
        </w:rPr>
        <w:t>供应商直接管理关系信息表</w:t>
      </w:r>
    </w:p>
    <w:p w14:paraId="73185345">
      <w:pPr>
        <w:snapToGrid w:val="0"/>
        <w:spacing w:line="360" w:lineRule="auto"/>
        <w:jc w:val="center"/>
        <w:rPr>
          <w:rFonts w:ascii="宋体" w:hAnsi="宋体"/>
          <w:b/>
          <w:color w:val="auto"/>
          <w:sz w:val="24"/>
        </w:rPr>
      </w:pPr>
    </w:p>
    <w:tbl>
      <w:tblPr>
        <w:tblStyle w:val="4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3CA0DA6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D0B742">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AEC0F">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249981">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1CC5C4">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相互关系</w:t>
            </w:r>
          </w:p>
        </w:tc>
      </w:tr>
      <w:tr w14:paraId="377E36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7E9D91">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0AD3AA">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386366">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BF78DD">
            <w:pPr>
              <w:widowControl/>
              <w:spacing w:line="360" w:lineRule="auto"/>
              <w:contextualSpacing/>
              <w:jc w:val="center"/>
              <w:rPr>
                <w:rFonts w:ascii="宋体" w:hAnsi="宋体" w:cs="宋体"/>
                <w:color w:val="auto"/>
                <w:kern w:val="0"/>
                <w:sz w:val="24"/>
              </w:rPr>
            </w:pPr>
          </w:p>
        </w:tc>
      </w:tr>
      <w:tr w14:paraId="7B9ECE8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094462A">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41920E">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84AA8">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F2C109">
            <w:pPr>
              <w:widowControl/>
              <w:spacing w:line="360" w:lineRule="auto"/>
              <w:contextualSpacing/>
              <w:jc w:val="center"/>
              <w:rPr>
                <w:rFonts w:ascii="宋体" w:hAnsi="宋体" w:cs="宋体"/>
                <w:color w:val="auto"/>
                <w:kern w:val="0"/>
                <w:sz w:val="24"/>
              </w:rPr>
            </w:pPr>
          </w:p>
        </w:tc>
      </w:tr>
      <w:tr w14:paraId="6742EC3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52F2D1">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866419">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3392F0">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5FC48">
            <w:pPr>
              <w:widowControl/>
              <w:spacing w:line="360" w:lineRule="auto"/>
              <w:contextualSpacing/>
              <w:jc w:val="center"/>
              <w:rPr>
                <w:rFonts w:ascii="宋体" w:hAnsi="宋体" w:cs="宋体"/>
                <w:color w:val="auto"/>
                <w:kern w:val="0"/>
                <w:sz w:val="24"/>
              </w:rPr>
            </w:pPr>
          </w:p>
        </w:tc>
      </w:tr>
      <w:tr w14:paraId="721D3D8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D04C9F">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054CEE">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1FA396B">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C30F2A">
            <w:pPr>
              <w:widowControl/>
              <w:spacing w:line="360" w:lineRule="auto"/>
              <w:contextualSpacing/>
              <w:jc w:val="center"/>
              <w:rPr>
                <w:rFonts w:ascii="宋体" w:hAnsi="宋体" w:cs="宋体"/>
                <w:color w:val="auto"/>
                <w:kern w:val="0"/>
                <w:sz w:val="24"/>
              </w:rPr>
            </w:pPr>
          </w:p>
        </w:tc>
      </w:tr>
    </w:tbl>
    <w:p w14:paraId="17FDA7BA">
      <w:pPr>
        <w:spacing w:line="360" w:lineRule="auto"/>
        <w:contextualSpacing/>
        <w:jc w:val="left"/>
        <w:rPr>
          <w:rFonts w:ascii="宋体" w:hAnsi="宋体"/>
          <w:color w:val="auto"/>
          <w:sz w:val="24"/>
        </w:rPr>
      </w:pPr>
      <w:r>
        <w:rPr>
          <w:rFonts w:hint="eastAsia" w:ascii="宋体" w:hAnsi="宋体"/>
          <w:color w:val="auto"/>
          <w:sz w:val="24"/>
        </w:rPr>
        <w:t>注：</w:t>
      </w:r>
    </w:p>
    <w:p w14:paraId="35222D78">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63AE2641">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57328F59">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14:paraId="42B9B90B">
      <w:pPr>
        <w:spacing w:line="360" w:lineRule="auto"/>
        <w:contextualSpacing/>
        <w:jc w:val="left"/>
        <w:rPr>
          <w:rFonts w:ascii="宋体" w:hAnsi="宋体"/>
          <w:color w:val="auto"/>
          <w:sz w:val="28"/>
          <w:szCs w:val="28"/>
        </w:rPr>
      </w:pPr>
    </w:p>
    <w:p w14:paraId="405D1644">
      <w:pPr>
        <w:spacing w:line="360" w:lineRule="auto"/>
        <w:contextualSpacing/>
        <w:jc w:val="left"/>
        <w:rPr>
          <w:rFonts w:ascii="宋体" w:hAnsi="宋体"/>
          <w:color w:val="auto"/>
          <w:sz w:val="28"/>
          <w:szCs w:val="28"/>
        </w:rPr>
      </w:pPr>
    </w:p>
    <w:p w14:paraId="6F293684">
      <w:pPr>
        <w:spacing w:line="360" w:lineRule="auto"/>
        <w:contextualSpacing/>
        <w:jc w:val="left"/>
        <w:rPr>
          <w:color w:val="auto"/>
          <w:sz w:val="28"/>
          <w:szCs w:val="28"/>
        </w:rPr>
      </w:pPr>
    </w:p>
    <w:p w14:paraId="0C4A224B">
      <w:pPr>
        <w:spacing w:line="360" w:lineRule="auto"/>
        <w:contextualSpacing/>
        <w:jc w:val="left"/>
        <w:rPr>
          <w:color w:val="auto"/>
          <w:sz w:val="28"/>
          <w:szCs w:val="28"/>
        </w:rPr>
      </w:pPr>
    </w:p>
    <w:p w14:paraId="29194926">
      <w:pPr>
        <w:spacing w:line="360" w:lineRule="auto"/>
        <w:contextualSpacing/>
        <w:jc w:val="left"/>
        <w:rPr>
          <w:color w:val="auto"/>
          <w:sz w:val="28"/>
          <w:szCs w:val="28"/>
        </w:rPr>
      </w:pPr>
    </w:p>
    <w:p w14:paraId="76213BE6">
      <w:pPr>
        <w:spacing w:line="360" w:lineRule="auto"/>
        <w:contextualSpacing/>
        <w:jc w:val="left"/>
        <w:rPr>
          <w:rFonts w:ascii="宋体" w:hAnsi="宋体"/>
          <w:color w:val="auto"/>
          <w:sz w:val="28"/>
          <w:szCs w:val="28"/>
        </w:rPr>
      </w:pPr>
    </w:p>
    <w:p w14:paraId="082533BD">
      <w:pPr>
        <w:spacing w:line="360" w:lineRule="auto"/>
        <w:ind w:right="480"/>
        <w:contextualSpacing/>
        <w:jc w:val="center"/>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0DE86FED">
      <w:pPr>
        <w:spacing w:line="360" w:lineRule="auto"/>
        <w:ind w:right="480" w:firstLine="3360" w:firstLineChars="1400"/>
        <w:contextualSpacing/>
        <w:rPr>
          <w:rFonts w:ascii="宋体" w:hAnsi="宋体"/>
          <w:color w:val="auto"/>
          <w:sz w:val="24"/>
        </w:rPr>
      </w:pPr>
      <w:r>
        <w:rPr>
          <w:rFonts w:hint="eastAsia" w:ascii="宋体" w:hAnsi="宋体"/>
          <w:color w:val="auto"/>
          <w:sz w:val="24"/>
        </w:rPr>
        <w:t>供应商（电子签章）：</w:t>
      </w:r>
      <w:r>
        <w:rPr>
          <w:rFonts w:hint="eastAsia" w:ascii="宋体" w:hAnsi="宋体"/>
          <w:color w:val="auto"/>
          <w:sz w:val="24"/>
          <w:u w:val="single"/>
        </w:rPr>
        <w:t xml:space="preserve">                </w:t>
      </w:r>
    </w:p>
    <w:p w14:paraId="0C781D8B">
      <w:pPr>
        <w:spacing w:line="360" w:lineRule="auto"/>
        <w:ind w:firstLine="480" w:firstLineChars="200"/>
        <w:contextualSpacing/>
        <w:jc w:val="left"/>
        <w:rPr>
          <w:rFonts w:ascii="宋体" w:hAnsi="宋体"/>
          <w:color w:val="auto"/>
          <w:sz w:val="28"/>
          <w:szCs w:val="28"/>
        </w:rPr>
      </w:pPr>
      <w:r>
        <w:rPr>
          <w:rFonts w:hint="eastAsia" w:ascii="宋体" w:hAnsi="宋体"/>
          <w:color w:val="auto"/>
          <w:sz w:val="24"/>
        </w:rPr>
        <w:t xml:space="preserve">                                        年    月    日</w:t>
      </w:r>
    </w:p>
    <w:p w14:paraId="4070969D">
      <w:pPr>
        <w:spacing w:line="320" w:lineRule="exact"/>
        <w:jc w:val="center"/>
        <w:rPr>
          <w:rFonts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14:paraId="69DDE3DF">
      <w:pPr>
        <w:spacing w:line="320" w:lineRule="exact"/>
        <w:jc w:val="center"/>
        <w:rPr>
          <w:rFonts w:ascii="宋体" w:hAnsi="宋体"/>
          <w:color w:val="auto"/>
          <w:sz w:val="24"/>
          <w:szCs w:val="20"/>
        </w:rPr>
      </w:pPr>
    </w:p>
    <w:p w14:paraId="4CA39855">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71E6E9D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4AC91C1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（项目名称）（项目编号）</w:t>
      </w:r>
      <w:r>
        <w:rPr>
          <w:rFonts w:hint="eastAsia" w:ascii="宋体" w:hAnsi="宋体" w:cs="宋体"/>
          <w:color w:val="auto"/>
          <w:sz w:val="24"/>
        </w:rPr>
        <w:t>项目的竞标，为便于贵方公正、择优地确定成交供应商及其服务，我方就本次竞标有关事项郑重声明如下：</w:t>
      </w:r>
    </w:p>
    <w:p w14:paraId="369C6D4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57421DA1">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7EA4165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1C401F3F">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14:paraId="33DFDF8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14:paraId="79DC8A3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14:paraId="43B9C31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（4）响应磋商文件规定的竞标有效期。</w:t>
      </w:r>
    </w:p>
    <w:p w14:paraId="7CA0EBCB">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549170B6">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33F4AA9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21BEEBC2">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5B76336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4F9A50AE">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4748DCD0">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14EE379D">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612F594">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3EF4187">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336E8CAA">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A70C6A8">
      <w:pPr>
        <w:pStyle w:val="26"/>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7.与本磋商有关的一切正式往来信函请寄：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357B0F63">
      <w:pPr>
        <w:pStyle w:val="26"/>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7F03F0DB">
      <w:pPr>
        <w:pStyle w:val="22"/>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w:t>
      </w:r>
      <w:r>
        <w:rPr>
          <w:rFonts w:hint="eastAsia" w:ascii="宋体" w:hAnsi="宋体" w:cs="宋体"/>
          <w:color w:val="auto"/>
          <w:sz w:val="24"/>
          <w:u w:val="single"/>
        </w:rPr>
        <w:t xml:space="preserve">                               </w:t>
      </w:r>
    </w:p>
    <w:p w14:paraId="4DEFE73A">
      <w:pPr>
        <w:pStyle w:val="22"/>
        <w:tabs>
          <w:tab w:val="left" w:pos="939"/>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112EF550">
      <w:pPr>
        <w:pStyle w:val="22"/>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特此承诺。</w:t>
      </w:r>
    </w:p>
    <w:p w14:paraId="221119BE">
      <w:pPr>
        <w:spacing w:line="360" w:lineRule="auto"/>
        <w:ind w:firstLine="482" w:firstLineChars="200"/>
        <w:contextualSpacing/>
        <w:jc w:val="left"/>
        <w:rPr>
          <w:rFonts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如为联合体竞标，盖章处须加盖联合体牵头人电子签章并由联合体牵头人法定代表人签字或者盖章或者电子签名，否则响应文件按无效处理。</w:t>
      </w:r>
    </w:p>
    <w:p w14:paraId="46E710B2">
      <w:pPr>
        <w:spacing w:line="360" w:lineRule="auto"/>
        <w:contextualSpacing/>
        <w:jc w:val="left"/>
        <w:rPr>
          <w:rFonts w:ascii="宋体" w:hAnsi="宋体" w:cs="宋体"/>
          <w:color w:val="auto"/>
          <w:sz w:val="24"/>
        </w:rPr>
      </w:pPr>
    </w:p>
    <w:p w14:paraId="7ED0C1CF">
      <w:pPr>
        <w:spacing w:line="360" w:lineRule="auto"/>
        <w:ind w:firstLine="1800" w:firstLineChars="750"/>
        <w:contextualSpacing/>
        <w:rPr>
          <w:color w:val="auto"/>
          <w:sz w:val="24"/>
        </w:rPr>
      </w:pPr>
      <w:r>
        <w:rPr>
          <w:rFonts w:hint="eastAsia"/>
          <w:color w:val="auto"/>
          <w:sz w:val="24"/>
        </w:rPr>
        <w:t>法定代表人（</w:t>
      </w:r>
      <w:r>
        <w:rPr>
          <w:rFonts w:hint="eastAsia" w:ascii="宋体" w:hAnsi="宋体"/>
          <w:color w:val="auto"/>
          <w:sz w:val="24"/>
        </w:rPr>
        <w:t>签字或者盖章或者电子签名</w:t>
      </w:r>
      <w:r>
        <w:rPr>
          <w:rFonts w:hint="eastAsia"/>
          <w:color w:val="auto"/>
          <w:sz w:val="24"/>
        </w:rPr>
        <w:t>）：</w:t>
      </w:r>
      <w:r>
        <w:rPr>
          <w:rFonts w:hint="eastAsia"/>
          <w:color w:val="auto"/>
          <w:sz w:val="24"/>
          <w:u w:val="single"/>
        </w:rPr>
        <w:t xml:space="preserve">               </w:t>
      </w:r>
      <w:r>
        <w:rPr>
          <w:rFonts w:hint="eastAsia"/>
          <w:color w:val="auto"/>
          <w:sz w:val="24"/>
        </w:rPr>
        <w:t xml:space="preserve">                                     </w:t>
      </w:r>
    </w:p>
    <w:p w14:paraId="5569741F">
      <w:pPr>
        <w:spacing w:line="360" w:lineRule="auto"/>
        <w:ind w:firstLine="4320" w:firstLineChars="1800"/>
        <w:contextualSpacing/>
        <w:rPr>
          <w:rFonts w:ascii="宋体" w:hAnsi="宋体" w:cs="宋体"/>
          <w:color w:val="auto"/>
          <w:sz w:val="24"/>
          <w:u w:val="single"/>
        </w:rPr>
      </w:pPr>
      <w:r>
        <w:rPr>
          <w:rFonts w:hint="eastAsia"/>
          <w:color w:val="auto"/>
          <w:sz w:val="24"/>
        </w:rPr>
        <w:t>供应商（电子签章）：</w:t>
      </w:r>
      <w:r>
        <w:rPr>
          <w:rFonts w:hint="eastAsia"/>
          <w:color w:val="auto"/>
          <w:sz w:val="24"/>
          <w:u w:val="single"/>
        </w:rPr>
        <w:t xml:space="preserve">                               </w:t>
      </w:r>
      <w:r>
        <w:rPr>
          <w:rFonts w:hint="eastAsia"/>
          <w:color w:val="auto"/>
          <w:sz w:val="24"/>
        </w:rPr>
        <w:t xml:space="preserve">       </w:t>
      </w:r>
      <w:r>
        <w:rPr>
          <w:rFonts w:hint="eastAsia" w:ascii="宋体" w:hAnsi="宋体" w:cs="宋体"/>
          <w:color w:val="auto"/>
          <w:sz w:val="24"/>
        </w:rPr>
        <w:t xml:space="preserve">    </w:t>
      </w:r>
    </w:p>
    <w:p w14:paraId="763B18E5">
      <w:pPr>
        <w:pStyle w:val="22"/>
        <w:tabs>
          <w:tab w:val="left" w:pos="939"/>
        </w:tabs>
        <w:spacing w:line="360" w:lineRule="auto"/>
        <w:ind w:left="0" w:leftChars="0" w:firstLine="480" w:firstLineChars="200"/>
        <w:rPr>
          <w:color w:val="auto"/>
          <w:sz w:val="24"/>
        </w:rPr>
      </w:pPr>
      <w:r>
        <w:rPr>
          <w:rFonts w:hint="eastAsia" w:ascii="宋体" w:hAnsi="宋体" w:cs="宋体"/>
          <w:color w:val="auto"/>
          <w:sz w:val="24"/>
        </w:rPr>
        <w:t xml:space="preserve">                                             </w:t>
      </w:r>
      <w:r>
        <w:rPr>
          <w:rFonts w:hint="eastAsia"/>
          <w:color w:val="auto"/>
          <w:sz w:val="24"/>
        </w:rPr>
        <w:t>年    月    日</w:t>
      </w:r>
    </w:p>
    <w:p w14:paraId="41F6C984">
      <w:pPr>
        <w:spacing w:line="360" w:lineRule="auto"/>
        <w:ind w:right="420"/>
        <w:contextualSpacing/>
        <w:jc w:val="left"/>
        <w:rPr>
          <w:rFonts w:ascii="宋体" w:hAnsi="宋体"/>
          <w:b/>
          <w:color w:val="auto"/>
          <w:sz w:val="32"/>
          <w:szCs w:val="32"/>
        </w:rPr>
      </w:pPr>
      <w:r>
        <w:rPr>
          <w:rFonts w:hint="eastAsia"/>
          <w:color w:val="auto"/>
          <w:sz w:val="24"/>
        </w:rPr>
        <w:br w:type="page"/>
      </w:r>
      <w:r>
        <w:rPr>
          <w:rFonts w:hint="eastAsia" w:ascii="宋体" w:hAnsi="宋体"/>
          <w:b/>
          <w:bCs/>
          <w:color w:val="auto"/>
          <w:sz w:val="32"/>
          <w:szCs w:val="32"/>
        </w:rPr>
        <w:t>二、</w:t>
      </w:r>
      <w:r>
        <w:rPr>
          <w:rFonts w:hint="eastAsia" w:ascii="宋体" w:hAnsi="宋体"/>
          <w:b/>
          <w:color w:val="auto"/>
          <w:sz w:val="32"/>
          <w:szCs w:val="32"/>
        </w:rPr>
        <w:t xml:space="preserve">报价文件格式 </w:t>
      </w:r>
    </w:p>
    <w:p w14:paraId="3410665C">
      <w:pPr>
        <w:snapToGrid w:val="0"/>
        <w:spacing w:before="156" w:beforeLines="50"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14:paraId="4E50D755">
      <w:pPr>
        <w:snapToGrid w:val="0"/>
        <w:spacing w:before="156" w:beforeLines="50" w:after="50"/>
        <w:rPr>
          <w:rFonts w:ascii="宋体" w:hAnsi="宋体"/>
          <w:bCs/>
          <w:color w:val="auto"/>
          <w:sz w:val="32"/>
          <w:szCs w:val="20"/>
        </w:rPr>
      </w:pPr>
      <w:r>
        <w:rPr>
          <w:rFonts w:hint="eastAsia" w:ascii="宋体" w:hAnsi="宋体"/>
          <w:color w:val="auto"/>
          <w:sz w:val="24"/>
        </w:rPr>
        <w:t xml:space="preserve">                                                    </w:t>
      </w:r>
    </w:p>
    <w:p w14:paraId="5AB22FC1">
      <w:pPr>
        <w:snapToGrid w:val="0"/>
        <w:spacing w:before="156" w:beforeLines="50" w:after="50"/>
        <w:jc w:val="center"/>
        <w:rPr>
          <w:rFonts w:ascii="宋体" w:hAnsi="宋体"/>
          <w:color w:val="auto"/>
          <w:sz w:val="24"/>
          <w:szCs w:val="20"/>
        </w:rPr>
      </w:pPr>
      <w:r>
        <w:rPr>
          <w:rFonts w:hint="eastAsia" w:ascii="宋体" w:hAnsi="宋体"/>
          <w:color w:val="auto"/>
          <w:sz w:val="44"/>
          <w:szCs w:val="44"/>
        </w:rPr>
        <w:t>电 子 响 应 文 件</w:t>
      </w:r>
    </w:p>
    <w:p w14:paraId="302C07F5">
      <w:pPr>
        <w:snapToGrid w:val="0"/>
        <w:spacing w:before="156" w:beforeLines="50" w:after="50"/>
        <w:rPr>
          <w:rFonts w:ascii="宋体" w:hAnsi="宋体"/>
          <w:color w:val="auto"/>
          <w:sz w:val="24"/>
          <w:szCs w:val="20"/>
        </w:rPr>
      </w:pPr>
    </w:p>
    <w:p w14:paraId="0D8C7EDC">
      <w:pPr>
        <w:snapToGrid w:val="0"/>
        <w:spacing w:before="156" w:beforeLines="50" w:after="50"/>
        <w:rPr>
          <w:rFonts w:ascii="宋体" w:hAnsi="宋体"/>
          <w:color w:val="auto"/>
          <w:sz w:val="24"/>
          <w:szCs w:val="20"/>
        </w:rPr>
      </w:pPr>
    </w:p>
    <w:p w14:paraId="6454E7A8">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报  价  文  件</w:t>
      </w:r>
    </w:p>
    <w:p w14:paraId="08CBB253">
      <w:pPr>
        <w:snapToGrid w:val="0"/>
        <w:spacing w:before="156" w:beforeLines="50" w:after="50"/>
        <w:rPr>
          <w:rFonts w:ascii="宋体" w:hAnsi="宋体"/>
          <w:bCs/>
          <w:color w:val="auto"/>
          <w:sz w:val="24"/>
          <w:szCs w:val="20"/>
        </w:rPr>
      </w:pPr>
    </w:p>
    <w:p w14:paraId="4719F8DF">
      <w:pPr>
        <w:snapToGrid w:val="0"/>
        <w:spacing w:before="156" w:beforeLines="50" w:after="50"/>
        <w:rPr>
          <w:rFonts w:ascii="宋体" w:hAnsi="宋体"/>
          <w:bCs/>
          <w:color w:val="auto"/>
          <w:sz w:val="24"/>
          <w:szCs w:val="20"/>
        </w:rPr>
      </w:pPr>
    </w:p>
    <w:p w14:paraId="23E6095C">
      <w:pPr>
        <w:snapToGrid w:val="0"/>
        <w:spacing w:before="156" w:beforeLines="50" w:after="50"/>
        <w:rPr>
          <w:rFonts w:ascii="宋体" w:hAnsi="宋体"/>
          <w:bCs/>
          <w:color w:val="auto"/>
          <w:sz w:val="24"/>
          <w:szCs w:val="20"/>
        </w:rPr>
      </w:pPr>
    </w:p>
    <w:p w14:paraId="14D4E51A">
      <w:pPr>
        <w:snapToGrid w:val="0"/>
        <w:spacing w:before="156" w:beforeLines="50" w:after="50"/>
        <w:rPr>
          <w:rFonts w:ascii="宋体" w:hAnsi="宋体"/>
          <w:bCs/>
          <w:color w:val="auto"/>
          <w:sz w:val="24"/>
          <w:szCs w:val="20"/>
        </w:rPr>
      </w:pPr>
    </w:p>
    <w:p w14:paraId="506763EC">
      <w:pPr>
        <w:snapToGrid w:val="0"/>
        <w:spacing w:before="156" w:beforeLines="50" w:after="50"/>
        <w:rPr>
          <w:rFonts w:ascii="宋体" w:hAnsi="宋体"/>
          <w:bCs/>
          <w:color w:val="auto"/>
          <w:sz w:val="24"/>
          <w:szCs w:val="20"/>
        </w:rPr>
      </w:pPr>
    </w:p>
    <w:p w14:paraId="597AAB4D">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73DED17D">
      <w:pPr>
        <w:snapToGrid w:val="0"/>
        <w:spacing w:before="156" w:beforeLines="50" w:after="50"/>
        <w:ind w:firstLine="720" w:firstLineChars="225"/>
        <w:rPr>
          <w:rFonts w:ascii="宋体" w:hAnsi="宋体" w:cs="仿宋_GB2312"/>
          <w:bCs/>
          <w:color w:val="auto"/>
          <w:sz w:val="32"/>
          <w:szCs w:val="32"/>
        </w:rPr>
      </w:pPr>
    </w:p>
    <w:p w14:paraId="622E1936">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01C4F642">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36483706">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620942F6">
      <w:pPr>
        <w:snapToGrid w:val="0"/>
        <w:spacing w:before="156" w:beforeLines="50" w:after="50"/>
        <w:ind w:firstLine="720" w:firstLineChars="225"/>
        <w:rPr>
          <w:rFonts w:ascii="宋体" w:hAnsi="宋体" w:cs="仿宋_GB2312"/>
          <w:bCs/>
          <w:color w:val="auto"/>
          <w:sz w:val="32"/>
          <w:szCs w:val="32"/>
        </w:rPr>
      </w:pPr>
    </w:p>
    <w:p w14:paraId="7BF80A50">
      <w:pPr>
        <w:pStyle w:val="8"/>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0CFB514A">
      <w:pPr>
        <w:pStyle w:val="8"/>
        <w:snapToGrid w:val="0"/>
        <w:spacing w:before="50" w:after="50"/>
        <w:ind w:firstLine="640" w:firstLineChars="200"/>
        <w:rPr>
          <w:rFonts w:ascii="宋体" w:hAnsi="宋体" w:cs="仿宋_GB2312"/>
          <w:bCs/>
          <w:color w:val="auto"/>
          <w:sz w:val="32"/>
          <w:szCs w:val="32"/>
        </w:rPr>
      </w:pPr>
    </w:p>
    <w:p w14:paraId="411A09A7">
      <w:pPr>
        <w:pStyle w:val="8"/>
        <w:snapToGrid w:val="0"/>
        <w:spacing w:before="50" w:after="50"/>
        <w:ind w:firstLine="720" w:firstLineChars="225"/>
        <w:rPr>
          <w:rFonts w:ascii="宋体" w:hAnsi="宋体" w:cs="仿宋_GB2312"/>
          <w:bCs/>
          <w:color w:val="auto"/>
          <w:sz w:val="32"/>
          <w:szCs w:val="32"/>
        </w:rPr>
      </w:pPr>
    </w:p>
    <w:p w14:paraId="0514F79C">
      <w:pPr>
        <w:pStyle w:val="8"/>
        <w:snapToGrid w:val="0"/>
        <w:spacing w:before="50" w:after="50"/>
        <w:ind w:firstLine="0"/>
        <w:rPr>
          <w:rFonts w:ascii="宋体" w:hAnsi="宋体" w:cs="仿宋_GB2312"/>
          <w:bCs/>
          <w:color w:val="auto"/>
          <w:sz w:val="32"/>
          <w:szCs w:val="32"/>
        </w:rPr>
      </w:pPr>
    </w:p>
    <w:p w14:paraId="10138131">
      <w:pPr>
        <w:pStyle w:val="8"/>
        <w:snapToGrid w:val="0"/>
        <w:spacing w:before="50" w:after="50"/>
        <w:ind w:firstLine="1280" w:firstLineChars="400"/>
        <w:rPr>
          <w:rFonts w:ascii="宋体" w:hAnsi="宋体" w:cs="仿宋_GB2312"/>
          <w:bCs/>
          <w:color w:val="auto"/>
          <w:sz w:val="32"/>
          <w:szCs w:val="32"/>
        </w:rPr>
      </w:pPr>
    </w:p>
    <w:p w14:paraId="176CDB6A">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14E80FFF">
      <w:pPr>
        <w:snapToGrid w:val="0"/>
        <w:spacing w:before="156" w:beforeLines="50" w:after="50" w:line="360" w:lineRule="auto"/>
        <w:ind w:left="142"/>
        <w:jc w:val="left"/>
        <w:rPr>
          <w:rFonts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14:paraId="3290770F">
      <w:pPr>
        <w:spacing w:line="520" w:lineRule="exact"/>
        <w:jc w:val="left"/>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5B1675AC">
      <w:pPr>
        <w:spacing w:line="520" w:lineRule="exact"/>
        <w:jc w:val="center"/>
        <w:rPr>
          <w:rFonts w:ascii="宋体" w:hAnsi="宋体" w:cs="方正小标宋简体"/>
          <w:b/>
          <w:bCs/>
          <w:color w:val="auto"/>
          <w:sz w:val="32"/>
          <w:szCs w:val="32"/>
        </w:rPr>
      </w:pPr>
      <w:r>
        <w:rPr>
          <w:rFonts w:ascii="宋体" w:hAnsi="宋体"/>
          <w:b/>
          <w:bCs/>
          <w:color w:val="auto"/>
          <w:sz w:val="32"/>
          <w:szCs w:val="32"/>
        </w:rPr>
        <w:br w:type="page"/>
      </w:r>
      <w:r>
        <w:rPr>
          <w:rFonts w:hint="eastAsia" w:ascii="宋体" w:hAnsi="宋体" w:cs="方正小标宋简体"/>
          <w:b/>
          <w:bCs/>
          <w:color w:val="auto"/>
          <w:sz w:val="32"/>
          <w:szCs w:val="32"/>
        </w:rPr>
        <w:t>竞标函及竞标函附录</w:t>
      </w:r>
    </w:p>
    <w:p w14:paraId="49BA0940">
      <w:pPr>
        <w:spacing w:line="520" w:lineRule="exact"/>
        <w:jc w:val="center"/>
        <w:rPr>
          <w:rFonts w:ascii="宋体" w:hAnsi="宋体" w:cs="方正小标宋简体"/>
          <w:b/>
          <w:bCs/>
          <w:color w:val="auto"/>
          <w:sz w:val="32"/>
          <w:szCs w:val="32"/>
        </w:rPr>
      </w:pPr>
    </w:p>
    <w:p w14:paraId="617EC853">
      <w:pPr>
        <w:spacing w:line="520" w:lineRule="exact"/>
        <w:jc w:val="center"/>
        <w:rPr>
          <w:rFonts w:ascii="宋体" w:hAnsi="宋体" w:cs="方正小标宋简体"/>
          <w:b/>
          <w:bCs/>
          <w:color w:val="auto"/>
          <w:sz w:val="32"/>
          <w:szCs w:val="32"/>
        </w:rPr>
      </w:pPr>
      <w:r>
        <w:rPr>
          <w:rFonts w:hint="eastAsia" w:ascii="宋体" w:hAnsi="宋体" w:cs="方正小标宋简体"/>
          <w:b/>
          <w:bCs/>
          <w:color w:val="auto"/>
          <w:sz w:val="32"/>
          <w:szCs w:val="32"/>
        </w:rPr>
        <w:t>（一）竞标函</w:t>
      </w:r>
    </w:p>
    <w:p w14:paraId="46BB82C6">
      <w:pPr>
        <w:spacing w:line="520" w:lineRule="exact"/>
        <w:jc w:val="center"/>
        <w:rPr>
          <w:rFonts w:ascii="宋体" w:hAnsi="宋体" w:cs="方正小标宋简体"/>
          <w:b/>
          <w:bCs/>
          <w:color w:val="auto"/>
          <w:sz w:val="32"/>
          <w:szCs w:val="32"/>
        </w:rPr>
      </w:pPr>
    </w:p>
    <w:p w14:paraId="5F6B15C3">
      <w:pPr>
        <w:spacing w:line="360" w:lineRule="auto"/>
        <w:rPr>
          <w:color w:val="auto"/>
          <w:szCs w:val="21"/>
        </w:rPr>
      </w:pPr>
      <w:r>
        <w:rPr>
          <w:color w:val="auto"/>
          <w:szCs w:val="21"/>
          <w:u w:val="single"/>
        </w:rPr>
        <w:t xml:space="preserve">      </w:t>
      </w:r>
      <w:r>
        <w:rPr>
          <w:rFonts w:hint="eastAsia"/>
          <w:color w:val="auto"/>
          <w:szCs w:val="21"/>
          <w:u w:val="single"/>
        </w:rPr>
        <w:t xml:space="preserve">                 </w:t>
      </w:r>
      <w:r>
        <w:rPr>
          <w:color w:val="auto"/>
          <w:szCs w:val="21"/>
          <w:u w:val="single"/>
        </w:rPr>
        <w:t xml:space="preserve">   </w:t>
      </w:r>
      <w:r>
        <w:rPr>
          <w:color w:val="auto"/>
          <w:szCs w:val="21"/>
        </w:rPr>
        <w:t>（</w:t>
      </w:r>
      <w:r>
        <w:rPr>
          <w:rFonts w:hint="eastAsia"/>
          <w:color w:val="auto"/>
          <w:szCs w:val="21"/>
          <w:lang w:val="zh-CN" w:bidi="zh-CN"/>
        </w:rPr>
        <w:t>采购人</w:t>
      </w:r>
      <w:r>
        <w:rPr>
          <w:color w:val="auto"/>
          <w:szCs w:val="21"/>
          <w:lang w:val="zh-CN" w:bidi="zh-CN"/>
        </w:rPr>
        <w:t>名称</w:t>
      </w:r>
      <w:r>
        <w:rPr>
          <w:color w:val="auto"/>
          <w:szCs w:val="21"/>
        </w:rPr>
        <w:t>）：</w:t>
      </w:r>
    </w:p>
    <w:p w14:paraId="2057F665">
      <w:pPr>
        <w:pStyle w:val="179"/>
        <w:numPr>
          <w:ilvl w:val="0"/>
          <w:numId w:val="2"/>
        </w:numPr>
        <w:tabs>
          <w:tab w:val="left" w:pos="762"/>
          <w:tab w:val="left" w:pos="2074"/>
          <w:tab w:val="left" w:pos="3430"/>
          <w:tab w:val="left" w:pos="4687"/>
          <w:tab w:val="left" w:pos="7898"/>
        </w:tabs>
        <w:ind w:firstLine="440"/>
        <w:rPr>
          <w:rFonts w:ascii="Times New Roman" w:hAnsi="Times New Roman" w:cs="Times New Roman"/>
          <w:color w:val="auto"/>
          <w:szCs w:val="21"/>
        </w:rPr>
      </w:pPr>
      <w:bookmarkStart w:id="104" w:name="bookmark2065"/>
      <w:bookmarkEnd w:id="104"/>
      <w:r>
        <w:rPr>
          <w:rFonts w:ascii="Times New Roman" w:hAnsi="Times New Roman" w:cs="Times New Roman"/>
          <w:color w:val="auto"/>
          <w:szCs w:val="21"/>
        </w:rPr>
        <w:t>我方已仔细研究了</w:t>
      </w:r>
      <w:r>
        <w:rPr>
          <w:rFonts w:hint="eastAsia" w:ascii="Times New Roman" w:hAnsi="Times New Roman" w:cs="Times New Roman"/>
          <w:color w:val="auto"/>
          <w:szCs w:val="21"/>
          <w:u w:val="single"/>
          <w:lang w:val="en-US"/>
        </w:rPr>
        <w:t xml:space="preserve">           </w:t>
      </w:r>
      <w:r>
        <w:rPr>
          <w:rFonts w:ascii="Times New Roman" w:hAnsi="Times New Roman" w:cs="Times New Roman"/>
          <w:color w:val="auto"/>
          <w:szCs w:val="21"/>
          <w:u w:val="single"/>
        </w:rPr>
        <w:t>（项目名称</w:t>
      </w:r>
      <w:r>
        <w:rPr>
          <w:rFonts w:hint="eastAsia" w:ascii="Times New Roman" w:hAnsi="Times New Roman" w:cs="Times New Roman"/>
          <w:color w:val="auto"/>
          <w:szCs w:val="21"/>
          <w:u w:val="single"/>
        </w:rPr>
        <w:t>、项目编号</w:t>
      </w:r>
      <w:r>
        <w:rPr>
          <w:rFonts w:ascii="Times New Roman" w:hAnsi="Times New Roman" w:cs="Times New Roman"/>
          <w:color w:val="auto"/>
          <w:szCs w:val="21"/>
          <w:u w:val="single"/>
        </w:rPr>
        <w:t>）</w:t>
      </w:r>
      <w:r>
        <w:rPr>
          <w:rFonts w:hint="eastAsia" w:ascii="Times New Roman" w:hAnsi="Times New Roman" w:cs="Times New Roman"/>
          <w:color w:val="auto"/>
          <w:szCs w:val="21"/>
          <w:u w:val="single"/>
          <w:lang w:val="en-US"/>
        </w:rPr>
        <w:t xml:space="preserve">          </w:t>
      </w:r>
      <w:r>
        <w:rPr>
          <w:rFonts w:hint="eastAsia" w:ascii="Times New Roman" w:hAnsi="Times New Roman" w:cs="Times New Roman"/>
          <w:color w:val="auto"/>
          <w:szCs w:val="21"/>
        </w:rPr>
        <w:t>磋商</w:t>
      </w:r>
      <w:r>
        <w:rPr>
          <w:rFonts w:ascii="Times New Roman" w:hAnsi="Times New Roman" w:cs="Times New Roman"/>
          <w:color w:val="auto"/>
          <w:szCs w:val="21"/>
        </w:rPr>
        <w:t>文件的全部内容，愿意以人民币（大写）</w:t>
      </w:r>
      <w:r>
        <w:rPr>
          <w:rFonts w:hint="eastAsia" w:ascii="Times New Roman" w:hAnsi="Times New Roman" w:cs="Times New Roman"/>
          <w:color w:val="auto"/>
          <w:szCs w:val="21"/>
          <w:u w:val="single"/>
          <w:lang w:val="en-US"/>
        </w:rPr>
        <w:t xml:space="preserve">            </w:t>
      </w:r>
      <w:r>
        <w:rPr>
          <w:rFonts w:ascii="Times New Roman" w:hAnsi="Times New Roman" w:cs="Times New Roman"/>
          <w:color w:val="auto"/>
          <w:szCs w:val="21"/>
        </w:rPr>
        <w:t>元（¥</w:t>
      </w:r>
      <w:r>
        <w:rPr>
          <w:rFonts w:hint="eastAsia" w:ascii="Times New Roman" w:hAnsi="Times New Roman" w:cs="Times New Roman"/>
          <w:color w:val="auto"/>
          <w:szCs w:val="21"/>
          <w:u w:val="single"/>
          <w:lang w:val="en-US"/>
        </w:rPr>
        <w:t xml:space="preserve">        </w:t>
      </w:r>
      <w:r>
        <w:rPr>
          <w:rFonts w:ascii="Times New Roman" w:hAnsi="Times New Roman" w:cs="Times New Roman"/>
          <w:color w:val="auto"/>
          <w:szCs w:val="21"/>
        </w:rPr>
        <w:t>）的</w:t>
      </w:r>
      <w:r>
        <w:rPr>
          <w:rFonts w:hint="eastAsia" w:ascii="Times New Roman" w:hAnsi="Times New Roman" w:cs="Times New Roman"/>
          <w:color w:val="auto"/>
          <w:szCs w:val="21"/>
        </w:rPr>
        <w:t>竞</w:t>
      </w:r>
      <w:r>
        <w:rPr>
          <w:rFonts w:ascii="Times New Roman" w:hAnsi="Times New Roman" w:cs="Times New Roman"/>
          <w:color w:val="auto"/>
          <w:szCs w:val="21"/>
        </w:rPr>
        <w:t>标总报价，工期</w:t>
      </w:r>
      <w:r>
        <w:rPr>
          <w:rFonts w:hint="eastAsia" w:ascii="Times New Roman" w:hAnsi="Times New Roman" w:cs="Times New Roman"/>
          <w:color w:val="auto"/>
          <w:szCs w:val="21"/>
          <w:u w:val="single"/>
          <w:lang w:val="en-US"/>
        </w:rPr>
        <w:t xml:space="preserve">            </w:t>
      </w:r>
      <w:r>
        <w:rPr>
          <w:rFonts w:ascii="Times New Roman" w:hAnsi="Times New Roman" w:cs="Times New Roman"/>
          <w:color w:val="auto"/>
          <w:szCs w:val="21"/>
        </w:rPr>
        <w:t>日历天，按合同约定实施和完成承包工程，修补工程中的任何缺陷，工程质量达到</w:t>
      </w:r>
      <w:r>
        <w:rPr>
          <w:rFonts w:hint="eastAsia" w:ascii="Times New Roman" w:hAnsi="Times New Roman" w:cs="Times New Roman"/>
          <w:color w:val="auto"/>
          <w:szCs w:val="21"/>
          <w:u w:val="single"/>
          <w:lang w:val="en-US"/>
        </w:rPr>
        <w:t xml:space="preserve">           </w:t>
      </w:r>
      <w:r>
        <w:rPr>
          <w:rFonts w:ascii="Times New Roman" w:hAnsi="Times New Roman" w:cs="Times New Roman"/>
          <w:color w:val="auto"/>
          <w:szCs w:val="21"/>
          <w:u w:val="single"/>
        </w:rPr>
        <w:t xml:space="preserve"> </w:t>
      </w:r>
      <w:r>
        <w:rPr>
          <w:rFonts w:ascii="Times New Roman" w:hAnsi="Times New Roman" w:cs="Times New Roman"/>
          <w:color w:val="auto"/>
          <w:szCs w:val="21"/>
          <w:lang w:val="en-US" w:bidi="en-US"/>
        </w:rPr>
        <w:t>。</w:t>
      </w:r>
    </w:p>
    <w:p w14:paraId="7E95E75C">
      <w:pPr>
        <w:pStyle w:val="179"/>
        <w:numPr>
          <w:ilvl w:val="0"/>
          <w:numId w:val="2"/>
        </w:numPr>
        <w:tabs>
          <w:tab w:val="left" w:pos="762"/>
        </w:tabs>
        <w:ind w:firstLine="420"/>
        <w:rPr>
          <w:rFonts w:ascii="Times New Roman" w:hAnsi="Times New Roman" w:cs="Times New Roman"/>
          <w:color w:val="auto"/>
          <w:szCs w:val="21"/>
        </w:rPr>
      </w:pPr>
      <w:bookmarkStart w:id="105" w:name="bookmark2068"/>
      <w:bookmarkEnd w:id="105"/>
      <w:bookmarkStart w:id="106" w:name="bookmark2067"/>
      <w:bookmarkEnd w:id="106"/>
      <w:bookmarkStart w:id="107" w:name="bookmark2066"/>
      <w:bookmarkEnd w:id="107"/>
      <w:r>
        <w:rPr>
          <w:rFonts w:hint="eastAsia"/>
          <w:color w:val="auto"/>
        </w:rPr>
        <w:t>我方承认竞标函附录是我方竞标函的组成部分。</w:t>
      </w:r>
    </w:p>
    <w:p w14:paraId="49206BD8">
      <w:pPr>
        <w:pStyle w:val="179"/>
        <w:numPr>
          <w:ilvl w:val="0"/>
          <w:numId w:val="2"/>
        </w:numPr>
        <w:tabs>
          <w:tab w:val="left" w:pos="762"/>
        </w:tabs>
        <w:ind w:firstLine="420"/>
        <w:rPr>
          <w:rFonts w:ascii="Times New Roman" w:hAnsi="Times New Roman" w:cs="Times New Roman"/>
          <w:color w:val="auto"/>
          <w:szCs w:val="21"/>
        </w:rPr>
      </w:pPr>
      <w:r>
        <w:rPr>
          <w:rFonts w:ascii="Times New Roman" w:hAnsi="Times New Roman" w:cs="Times New Roman"/>
          <w:color w:val="auto"/>
          <w:szCs w:val="21"/>
        </w:rPr>
        <w:t>如我方</w:t>
      </w:r>
      <w:r>
        <w:rPr>
          <w:rFonts w:hint="eastAsia" w:ascii="Times New Roman" w:hAnsi="Times New Roman" w:cs="Times New Roman"/>
          <w:color w:val="auto"/>
          <w:szCs w:val="21"/>
        </w:rPr>
        <w:t>成交</w:t>
      </w:r>
      <w:r>
        <w:rPr>
          <w:rFonts w:ascii="Times New Roman" w:hAnsi="Times New Roman" w:cs="Times New Roman"/>
          <w:color w:val="auto"/>
          <w:szCs w:val="21"/>
        </w:rPr>
        <w:t>：</w:t>
      </w:r>
    </w:p>
    <w:p w14:paraId="5867F80E">
      <w:pPr>
        <w:pStyle w:val="179"/>
        <w:tabs>
          <w:tab w:val="left" w:pos="903"/>
        </w:tabs>
        <w:ind w:firstLine="420"/>
        <w:rPr>
          <w:rFonts w:ascii="Times New Roman" w:hAnsi="Times New Roman" w:cs="Times New Roman"/>
          <w:color w:val="auto"/>
          <w:szCs w:val="21"/>
        </w:rPr>
      </w:pPr>
      <w:bookmarkStart w:id="108" w:name="bookmark2069"/>
      <w:r>
        <w:rPr>
          <w:rFonts w:ascii="Times New Roman" w:hAnsi="Times New Roman" w:cs="Times New Roman"/>
          <w:color w:val="auto"/>
          <w:szCs w:val="21"/>
        </w:rPr>
        <w:t>（</w:t>
      </w:r>
      <w:bookmarkEnd w:id="108"/>
      <w:r>
        <w:rPr>
          <w:rFonts w:ascii="Times New Roman" w:hAnsi="Times New Roman" w:cs="Times New Roman"/>
          <w:color w:val="auto"/>
          <w:szCs w:val="21"/>
        </w:rPr>
        <w:t>1）我方承诺在收到</w:t>
      </w:r>
      <w:r>
        <w:rPr>
          <w:rFonts w:hint="eastAsia" w:ascii="Times New Roman" w:hAnsi="Times New Roman" w:cs="Times New Roman"/>
          <w:color w:val="auto"/>
          <w:szCs w:val="21"/>
        </w:rPr>
        <w:t>成交</w:t>
      </w:r>
      <w:r>
        <w:rPr>
          <w:rFonts w:ascii="Times New Roman" w:hAnsi="Times New Roman" w:cs="Times New Roman"/>
          <w:color w:val="auto"/>
          <w:szCs w:val="21"/>
        </w:rPr>
        <w:t>通知书后，在</w:t>
      </w:r>
      <w:r>
        <w:rPr>
          <w:rFonts w:hint="eastAsia" w:ascii="Times New Roman" w:hAnsi="Times New Roman" w:cs="Times New Roman"/>
          <w:color w:val="auto"/>
          <w:szCs w:val="21"/>
        </w:rPr>
        <w:t>成交</w:t>
      </w:r>
      <w:r>
        <w:rPr>
          <w:rFonts w:ascii="Times New Roman" w:hAnsi="Times New Roman" w:cs="Times New Roman"/>
          <w:color w:val="auto"/>
          <w:szCs w:val="21"/>
        </w:rPr>
        <w:t>通知书规定的期限内与你方签订合同。</w:t>
      </w:r>
    </w:p>
    <w:p w14:paraId="430050A7">
      <w:pPr>
        <w:pStyle w:val="179"/>
        <w:tabs>
          <w:tab w:val="left" w:pos="903"/>
        </w:tabs>
        <w:ind w:firstLine="420"/>
        <w:rPr>
          <w:rFonts w:ascii="Times New Roman" w:hAnsi="Times New Roman" w:cs="Times New Roman"/>
          <w:color w:val="auto"/>
          <w:szCs w:val="21"/>
        </w:rPr>
      </w:pPr>
      <w:bookmarkStart w:id="109" w:name="bookmark2070"/>
      <w:r>
        <w:rPr>
          <w:rFonts w:ascii="Times New Roman" w:hAnsi="Times New Roman" w:cs="Times New Roman"/>
          <w:color w:val="auto"/>
          <w:szCs w:val="21"/>
        </w:rPr>
        <w:t>（</w:t>
      </w:r>
      <w:bookmarkEnd w:id="109"/>
      <w:r>
        <w:rPr>
          <w:rFonts w:ascii="Times New Roman" w:hAnsi="Times New Roman" w:cs="Times New Roman"/>
          <w:color w:val="auto"/>
          <w:szCs w:val="21"/>
        </w:rPr>
        <w:t>2）</w:t>
      </w:r>
      <w:r>
        <w:rPr>
          <w:color w:val="auto"/>
        </w:rPr>
        <w:t>在签订合同时不向你方提出附加条件</w:t>
      </w:r>
      <w:r>
        <w:rPr>
          <w:rFonts w:ascii="Times New Roman" w:hAnsi="Times New Roman" w:cs="Times New Roman"/>
          <w:color w:val="auto"/>
          <w:szCs w:val="21"/>
        </w:rPr>
        <w:t>。</w:t>
      </w:r>
    </w:p>
    <w:p w14:paraId="5473EA86">
      <w:pPr>
        <w:pStyle w:val="179"/>
        <w:tabs>
          <w:tab w:val="left" w:pos="903"/>
        </w:tabs>
        <w:ind w:firstLine="420"/>
        <w:rPr>
          <w:rFonts w:ascii="Times New Roman" w:hAnsi="Times New Roman" w:cs="Times New Roman"/>
          <w:color w:val="auto"/>
          <w:szCs w:val="21"/>
        </w:rPr>
      </w:pPr>
      <w:bookmarkStart w:id="110" w:name="bookmark2071"/>
      <w:r>
        <w:rPr>
          <w:rFonts w:ascii="Times New Roman" w:hAnsi="Times New Roman" w:cs="Times New Roman"/>
          <w:color w:val="auto"/>
          <w:szCs w:val="21"/>
        </w:rPr>
        <w:t>（</w:t>
      </w:r>
      <w:bookmarkEnd w:id="110"/>
      <w:r>
        <w:rPr>
          <w:rFonts w:ascii="Times New Roman" w:hAnsi="Times New Roman" w:cs="Times New Roman"/>
          <w:color w:val="auto"/>
          <w:szCs w:val="21"/>
        </w:rPr>
        <w:t>3）我方承诺按照</w:t>
      </w:r>
      <w:r>
        <w:rPr>
          <w:rFonts w:hint="eastAsia" w:ascii="Times New Roman" w:hAnsi="Times New Roman" w:cs="Times New Roman"/>
          <w:color w:val="auto"/>
          <w:szCs w:val="21"/>
        </w:rPr>
        <w:t>磋商</w:t>
      </w:r>
      <w:r>
        <w:rPr>
          <w:rFonts w:ascii="Times New Roman" w:hAnsi="Times New Roman" w:cs="Times New Roman"/>
          <w:color w:val="auto"/>
          <w:szCs w:val="21"/>
        </w:rPr>
        <w:t>文件规定向你方递交履约担保。</w:t>
      </w:r>
    </w:p>
    <w:p w14:paraId="51822881">
      <w:pPr>
        <w:pStyle w:val="179"/>
        <w:tabs>
          <w:tab w:val="left" w:pos="903"/>
        </w:tabs>
        <w:ind w:firstLine="420"/>
        <w:rPr>
          <w:rFonts w:ascii="Times New Roman" w:hAnsi="Times New Roman" w:cs="Times New Roman"/>
          <w:color w:val="auto"/>
          <w:szCs w:val="21"/>
        </w:rPr>
      </w:pPr>
      <w:bookmarkStart w:id="111" w:name="bookmark2072"/>
      <w:r>
        <w:rPr>
          <w:rFonts w:ascii="Times New Roman" w:hAnsi="Times New Roman" w:cs="Times New Roman"/>
          <w:color w:val="auto"/>
          <w:szCs w:val="21"/>
        </w:rPr>
        <w:t>（</w:t>
      </w:r>
      <w:bookmarkEnd w:id="111"/>
      <w:r>
        <w:rPr>
          <w:rFonts w:ascii="Times New Roman" w:hAnsi="Times New Roman" w:cs="Times New Roman"/>
          <w:color w:val="auto"/>
          <w:szCs w:val="21"/>
        </w:rPr>
        <w:t>4）我方承诺在合同约定的期限内完成并移交全部合同工程。</w:t>
      </w:r>
    </w:p>
    <w:p w14:paraId="0362B2C6">
      <w:pPr>
        <w:pStyle w:val="179"/>
        <w:numPr>
          <w:ilvl w:val="0"/>
          <w:numId w:val="2"/>
        </w:numPr>
        <w:tabs>
          <w:tab w:val="left" w:pos="762"/>
        </w:tabs>
        <w:ind w:firstLine="440"/>
        <w:rPr>
          <w:rFonts w:ascii="Times New Roman" w:hAnsi="Times New Roman" w:cs="Times New Roman"/>
          <w:color w:val="auto"/>
          <w:szCs w:val="21"/>
        </w:rPr>
      </w:pPr>
      <w:bookmarkStart w:id="112" w:name="bookmark2073"/>
      <w:bookmarkEnd w:id="112"/>
      <w:r>
        <w:rPr>
          <w:color w:val="auto"/>
        </w:rPr>
        <w:t>在合同协议书正式签署生效之前，本</w:t>
      </w:r>
      <w:r>
        <w:rPr>
          <w:rFonts w:hint="eastAsia" w:ascii="Times New Roman" w:hAnsi="Times New Roman" w:cs="Times New Roman"/>
          <w:color w:val="auto"/>
          <w:szCs w:val="21"/>
        </w:rPr>
        <w:t>竞</w:t>
      </w:r>
      <w:r>
        <w:rPr>
          <w:rFonts w:ascii="Times New Roman" w:hAnsi="Times New Roman" w:cs="Times New Roman"/>
          <w:color w:val="auto"/>
          <w:szCs w:val="21"/>
        </w:rPr>
        <w:t>标</w:t>
      </w:r>
      <w:r>
        <w:rPr>
          <w:color w:val="auto"/>
        </w:rPr>
        <w:t>函连同你方的</w:t>
      </w:r>
      <w:r>
        <w:rPr>
          <w:rFonts w:hint="eastAsia"/>
          <w:color w:val="auto"/>
        </w:rPr>
        <w:t>成交</w:t>
      </w:r>
      <w:r>
        <w:rPr>
          <w:color w:val="auto"/>
        </w:rPr>
        <w:t>通知书将构成我们双方之间共同遵守的文件，对双方具有约束力</w:t>
      </w:r>
      <w:r>
        <w:rPr>
          <w:rFonts w:ascii="Times New Roman" w:hAnsi="Times New Roman" w:cs="Times New Roman"/>
          <w:color w:val="auto"/>
          <w:szCs w:val="21"/>
        </w:rPr>
        <w:t>。</w:t>
      </w:r>
    </w:p>
    <w:p w14:paraId="6EA8BADB">
      <w:pPr>
        <w:spacing w:line="360" w:lineRule="auto"/>
        <w:ind w:firstLine="420" w:firstLineChars="200"/>
        <w:rPr>
          <w:color w:val="auto"/>
          <w:szCs w:val="21"/>
        </w:rPr>
      </w:pPr>
      <w:bookmarkStart w:id="113" w:name="bookmark2074"/>
      <w:bookmarkEnd w:id="113"/>
      <w:r>
        <w:rPr>
          <w:rFonts w:hint="eastAsia"/>
          <w:color w:val="auto"/>
          <w:szCs w:val="21"/>
        </w:rPr>
        <w:t>5.</w:t>
      </w:r>
      <w:r>
        <w:rPr>
          <w:rFonts w:hint="eastAsia"/>
          <w:color w:val="auto"/>
          <w:szCs w:val="21"/>
          <w:u w:val="single"/>
        </w:rPr>
        <w:t xml:space="preserve">                                                   </w:t>
      </w:r>
      <w:r>
        <w:rPr>
          <w:color w:val="auto"/>
          <w:szCs w:val="21"/>
        </w:rPr>
        <w:t>（其他补充说明）。</w:t>
      </w:r>
    </w:p>
    <w:p w14:paraId="2893606D">
      <w:pPr>
        <w:spacing w:line="360" w:lineRule="auto"/>
        <w:jc w:val="center"/>
        <w:rPr>
          <w:rFonts w:ascii="宋体" w:hAnsi="宋体" w:cs="方正小标宋简体"/>
          <w:b/>
          <w:bCs/>
          <w:color w:val="auto"/>
          <w:sz w:val="32"/>
          <w:szCs w:val="32"/>
        </w:rPr>
      </w:pPr>
    </w:p>
    <w:p w14:paraId="65C5BCF4">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1BA013DF">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1F453934">
      <w:pPr>
        <w:spacing w:line="360" w:lineRule="auto"/>
        <w:jc w:val="center"/>
        <w:rPr>
          <w:rFonts w:ascii="宋体" w:hAnsi="宋体" w:cs="方正小标宋简体"/>
          <w:b/>
          <w:bCs/>
          <w:color w:val="auto"/>
          <w:sz w:val="32"/>
          <w:szCs w:val="32"/>
        </w:rPr>
      </w:pPr>
      <w:r>
        <w:rPr>
          <w:rFonts w:hint="eastAsia" w:ascii="宋体" w:hAnsi="宋体" w:cs="仿宋_GB2312"/>
          <w:color w:val="auto"/>
          <w:sz w:val="24"/>
        </w:rPr>
        <w:t>日期：   年   月   日</w:t>
      </w:r>
      <w:r>
        <w:rPr>
          <w:rFonts w:ascii="宋体" w:hAnsi="宋体" w:cs="方正小标宋简体"/>
          <w:b/>
          <w:bCs/>
          <w:color w:val="auto"/>
          <w:sz w:val="32"/>
          <w:szCs w:val="32"/>
        </w:rPr>
        <w:br w:type="page"/>
      </w:r>
      <w:r>
        <w:rPr>
          <w:rFonts w:hint="eastAsia" w:ascii="宋体" w:hAnsi="宋体" w:cs="方正小标宋简体"/>
          <w:b/>
          <w:bCs/>
          <w:color w:val="auto"/>
          <w:sz w:val="32"/>
          <w:szCs w:val="32"/>
        </w:rPr>
        <w:t>（二）竞标函附录</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323D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025D821">
            <w:pPr>
              <w:jc w:val="center"/>
              <w:rPr>
                <w:color w:val="auto"/>
              </w:rPr>
            </w:pPr>
            <w:r>
              <w:rPr>
                <w:rFonts w:hint="eastAsia" w:cs="宋体"/>
                <w:color w:val="auto"/>
              </w:rPr>
              <w:t>序</w:t>
            </w:r>
            <w:r>
              <w:rPr>
                <w:color w:val="auto"/>
              </w:rPr>
              <w:t xml:space="preserve"> </w:t>
            </w:r>
            <w:r>
              <w:rPr>
                <w:rFonts w:hint="eastAsia" w:cs="宋体"/>
                <w:color w:val="auto"/>
              </w:rPr>
              <w:t>号</w:t>
            </w:r>
          </w:p>
        </w:tc>
        <w:tc>
          <w:tcPr>
            <w:tcW w:w="1985" w:type="dxa"/>
            <w:vAlign w:val="center"/>
          </w:tcPr>
          <w:p w14:paraId="55E44DA2">
            <w:pPr>
              <w:jc w:val="center"/>
              <w:rPr>
                <w:color w:val="auto"/>
              </w:rPr>
            </w:pPr>
            <w:r>
              <w:rPr>
                <w:rFonts w:hint="eastAsia" w:cs="宋体"/>
                <w:color w:val="auto"/>
              </w:rPr>
              <w:t>条款内容</w:t>
            </w:r>
          </w:p>
        </w:tc>
        <w:tc>
          <w:tcPr>
            <w:tcW w:w="2126" w:type="dxa"/>
            <w:vAlign w:val="center"/>
          </w:tcPr>
          <w:p w14:paraId="753DCA53">
            <w:pPr>
              <w:jc w:val="center"/>
              <w:rPr>
                <w:color w:val="auto"/>
              </w:rPr>
            </w:pPr>
            <w:r>
              <w:rPr>
                <w:rFonts w:hint="eastAsia" w:cs="宋体"/>
                <w:color w:val="auto"/>
              </w:rPr>
              <w:t>合同条款号</w:t>
            </w:r>
          </w:p>
        </w:tc>
        <w:tc>
          <w:tcPr>
            <w:tcW w:w="1984" w:type="dxa"/>
            <w:vAlign w:val="center"/>
          </w:tcPr>
          <w:p w14:paraId="337CEC34">
            <w:pPr>
              <w:jc w:val="center"/>
              <w:rPr>
                <w:color w:val="auto"/>
              </w:rPr>
            </w:pPr>
            <w:r>
              <w:rPr>
                <w:rFonts w:hint="eastAsia" w:cs="宋体"/>
                <w:color w:val="auto"/>
              </w:rPr>
              <w:t>约定内容</w:t>
            </w:r>
          </w:p>
        </w:tc>
        <w:tc>
          <w:tcPr>
            <w:tcW w:w="1843" w:type="dxa"/>
            <w:vAlign w:val="center"/>
          </w:tcPr>
          <w:p w14:paraId="0C10073F">
            <w:pPr>
              <w:jc w:val="center"/>
              <w:rPr>
                <w:color w:val="auto"/>
              </w:rPr>
            </w:pPr>
            <w:r>
              <w:rPr>
                <w:rFonts w:hint="eastAsia" w:cs="宋体"/>
                <w:color w:val="auto"/>
              </w:rPr>
              <w:t>供应商响应情况</w:t>
            </w:r>
          </w:p>
        </w:tc>
      </w:tr>
      <w:tr w14:paraId="6426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53222897">
            <w:pPr>
              <w:jc w:val="center"/>
              <w:rPr>
                <w:color w:val="auto"/>
              </w:rPr>
            </w:pPr>
            <w:r>
              <w:rPr>
                <w:color w:val="auto"/>
              </w:rPr>
              <w:t>1</w:t>
            </w:r>
          </w:p>
        </w:tc>
        <w:tc>
          <w:tcPr>
            <w:tcW w:w="1985" w:type="dxa"/>
            <w:vAlign w:val="center"/>
          </w:tcPr>
          <w:p w14:paraId="4912B17B">
            <w:pPr>
              <w:rPr>
                <w:color w:val="auto"/>
              </w:rPr>
            </w:pPr>
            <w:r>
              <w:rPr>
                <w:rFonts w:hint="eastAsia" w:cs="宋体"/>
                <w:color w:val="auto"/>
              </w:rPr>
              <w:t>项目经理</w:t>
            </w:r>
          </w:p>
        </w:tc>
        <w:tc>
          <w:tcPr>
            <w:tcW w:w="2126" w:type="dxa"/>
            <w:tcMar>
              <w:left w:w="170" w:type="dxa"/>
            </w:tcMar>
            <w:vAlign w:val="center"/>
          </w:tcPr>
          <w:p w14:paraId="4262CA7F">
            <w:pPr>
              <w:jc w:val="center"/>
              <w:rPr>
                <w:color w:val="auto"/>
              </w:rPr>
            </w:pPr>
            <w:r>
              <w:rPr>
                <w:rFonts w:hint="eastAsia" w:cs="宋体"/>
                <w:color w:val="auto"/>
              </w:rPr>
              <w:t>专用条款</w:t>
            </w:r>
          </w:p>
        </w:tc>
        <w:tc>
          <w:tcPr>
            <w:tcW w:w="1984" w:type="dxa"/>
            <w:vAlign w:val="center"/>
          </w:tcPr>
          <w:p w14:paraId="331A61B9">
            <w:pPr>
              <w:rPr>
                <w:color w:val="auto"/>
              </w:rPr>
            </w:pPr>
            <w:r>
              <w:rPr>
                <w:rFonts w:hint="eastAsia" w:cs="宋体"/>
                <w:color w:val="auto"/>
              </w:rPr>
              <w:t>姓名：</w:t>
            </w:r>
            <w:r>
              <w:rPr>
                <w:color w:val="auto"/>
                <w:u w:val="single"/>
              </w:rPr>
              <w:t xml:space="preserve">          </w:t>
            </w:r>
          </w:p>
        </w:tc>
        <w:tc>
          <w:tcPr>
            <w:tcW w:w="1843" w:type="dxa"/>
            <w:vAlign w:val="center"/>
          </w:tcPr>
          <w:p w14:paraId="02575EC5">
            <w:pPr>
              <w:jc w:val="center"/>
              <w:rPr>
                <w:color w:val="auto"/>
              </w:rPr>
            </w:pPr>
          </w:p>
        </w:tc>
      </w:tr>
      <w:tr w14:paraId="5091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A906646">
            <w:pPr>
              <w:jc w:val="center"/>
              <w:rPr>
                <w:color w:val="auto"/>
              </w:rPr>
            </w:pPr>
            <w:r>
              <w:rPr>
                <w:color w:val="auto"/>
              </w:rPr>
              <w:t>2</w:t>
            </w:r>
          </w:p>
        </w:tc>
        <w:tc>
          <w:tcPr>
            <w:tcW w:w="1985" w:type="dxa"/>
            <w:vAlign w:val="center"/>
          </w:tcPr>
          <w:p w14:paraId="0C1E3F04">
            <w:pPr>
              <w:rPr>
                <w:color w:val="auto"/>
              </w:rPr>
            </w:pPr>
            <w:r>
              <w:rPr>
                <w:rFonts w:hint="eastAsia" w:cs="宋体"/>
                <w:color w:val="auto"/>
              </w:rPr>
              <w:t>竞标有效期</w:t>
            </w:r>
          </w:p>
        </w:tc>
        <w:tc>
          <w:tcPr>
            <w:tcW w:w="2126" w:type="dxa"/>
            <w:tcMar>
              <w:left w:w="170" w:type="dxa"/>
            </w:tcMar>
            <w:vAlign w:val="center"/>
          </w:tcPr>
          <w:p w14:paraId="07ED398E">
            <w:pPr>
              <w:rPr>
                <w:color w:val="auto"/>
              </w:rPr>
            </w:pPr>
          </w:p>
        </w:tc>
        <w:tc>
          <w:tcPr>
            <w:tcW w:w="1984" w:type="dxa"/>
            <w:vAlign w:val="center"/>
          </w:tcPr>
          <w:p w14:paraId="75B5D8C1">
            <w:pPr>
              <w:jc w:val="center"/>
              <w:rPr>
                <w:color w:val="auto"/>
                <w:u w:val="single"/>
              </w:rPr>
            </w:pPr>
          </w:p>
        </w:tc>
        <w:tc>
          <w:tcPr>
            <w:tcW w:w="1843" w:type="dxa"/>
            <w:vAlign w:val="center"/>
          </w:tcPr>
          <w:p w14:paraId="0B431A73">
            <w:pPr>
              <w:jc w:val="center"/>
              <w:rPr>
                <w:color w:val="auto"/>
              </w:rPr>
            </w:pPr>
          </w:p>
        </w:tc>
      </w:tr>
      <w:tr w14:paraId="3DF4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FCCCBAE">
            <w:pPr>
              <w:jc w:val="center"/>
              <w:rPr>
                <w:color w:val="auto"/>
              </w:rPr>
            </w:pPr>
            <w:r>
              <w:rPr>
                <w:color w:val="auto"/>
              </w:rPr>
              <w:t>3</w:t>
            </w:r>
          </w:p>
        </w:tc>
        <w:tc>
          <w:tcPr>
            <w:tcW w:w="1985" w:type="dxa"/>
            <w:vAlign w:val="center"/>
          </w:tcPr>
          <w:p w14:paraId="3808580E">
            <w:pPr>
              <w:rPr>
                <w:color w:val="auto"/>
              </w:rPr>
            </w:pPr>
            <w:r>
              <w:rPr>
                <w:rFonts w:hint="eastAsia" w:cs="宋体"/>
                <w:color w:val="auto"/>
              </w:rPr>
              <w:t>工期</w:t>
            </w:r>
          </w:p>
        </w:tc>
        <w:tc>
          <w:tcPr>
            <w:tcW w:w="2126" w:type="dxa"/>
            <w:tcMar>
              <w:left w:w="170" w:type="dxa"/>
            </w:tcMar>
            <w:vAlign w:val="center"/>
          </w:tcPr>
          <w:p w14:paraId="705A4BA4">
            <w:pPr>
              <w:jc w:val="center"/>
              <w:rPr>
                <w:color w:val="auto"/>
              </w:rPr>
            </w:pPr>
            <w:r>
              <w:rPr>
                <w:rFonts w:hint="eastAsia" w:cs="宋体"/>
                <w:color w:val="auto"/>
              </w:rPr>
              <w:t>专用条款</w:t>
            </w:r>
          </w:p>
        </w:tc>
        <w:tc>
          <w:tcPr>
            <w:tcW w:w="1984" w:type="dxa"/>
            <w:vAlign w:val="center"/>
          </w:tcPr>
          <w:p w14:paraId="130704A6">
            <w:pPr>
              <w:jc w:val="center"/>
              <w:rPr>
                <w:color w:val="auto"/>
              </w:rPr>
            </w:pPr>
            <w:r>
              <w:rPr>
                <w:color w:val="auto"/>
                <w:u w:val="single"/>
              </w:rPr>
              <w:t xml:space="preserve">          </w:t>
            </w:r>
            <w:r>
              <w:rPr>
                <w:rFonts w:hint="eastAsia" w:cs="宋体"/>
                <w:color w:val="auto"/>
              </w:rPr>
              <w:t>日历天</w:t>
            </w:r>
          </w:p>
        </w:tc>
        <w:tc>
          <w:tcPr>
            <w:tcW w:w="1843" w:type="dxa"/>
            <w:vAlign w:val="center"/>
          </w:tcPr>
          <w:p w14:paraId="05A4F278">
            <w:pPr>
              <w:jc w:val="center"/>
              <w:rPr>
                <w:color w:val="auto"/>
              </w:rPr>
            </w:pPr>
          </w:p>
        </w:tc>
      </w:tr>
      <w:tr w14:paraId="43E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9EA35C5">
            <w:pPr>
              <w:jc w:val="center"/>
              <w:rPr>
                <w:color w:val="auto"/>
              </w:rPr>
            </w:pPr>
            <w:r>
              <w:rPr>
                <w:color w:val="auto"/>
              </w:rPr>
              <w:t>4</w:t>
            </w:r>
          </w:p>
        </w:tc>
        <w:tc>
          <w:tcPr>
            <w:tcW w:w="1985" w:type="dxa"/>
            <w:vAlign w:val="center"/>
          </w:tcPr>
          <w:p w14:paraId="213C9C15">
            <w:pPr>
              <w:rPr>
                <w:color w:val="auto"/>
              </w:rPr>
            </w:pPr>
            <w:r>
              <w:rPr>
                <w:rFonts w:hint="eastAsia" w:cs="宋体"/>
                <w:color w:val="auto"/>
              </w:rPr>
              <w:t>缺陷责任期</w:t>
            </w:r>
          </w:p>
        </w:tc>
        <w:tc>
          <w:tcPr>
            <w:tcW w:w="2126" w:type="dxa"/>
            <w:tcMar>
              <w:left w:w="170" w:type="dxa"/>
            </w:tcMar>
            <w:vAlign w:val="center"/>
          </w:tcPr>
          <w:p w14:paraId="05162AE8">
            <w:pPr>
              <w:jc w:val="center"/>
              <w:rPr>
                <w:color w:val="auto"/>
              </w:rPr>
            </w:pPr>
            <w:r>
              <w:rPr>
                <w:rFonts w:hint="eastAsia" w:cs="宋体"/>
                <w:color w:val="auto"/>
              </w:rPr>
              <w:t>专用条款</w:t>
            </w:r>
          </w:p>
        </w:tc>
        <w:tc>
          <w:tcPr>
            <w:tcW w:w="1984" w:type="dxa"/>
            <w:vAlign w:val="center"/>
          </w:tcPr>
          <w:p w14:paraId="61E39530">
            <w:pPr>
              <w:jc w:val="center"/>
              <w:rPr>
                <w:color w:val="auto"/>
              </w:rPr>
            </w:pPr>
          </w:p>
        </w:tc>
        <w:tc>
          <w:tcPr>
            <w:tcW w:w="1843" w:type="dxa"/>
            <w:vAlign w:val="center"/>
          </w:tcPr>
          <w:p w14:paraId="5C5440E8">
            <w:pPr>
              <w:jc w:val="center"/>
              <w:rPr>
                <w:color w:val="auto"/>
              </w:rPr>
            </w:pPr>
          </w:p>
        </w:tc>
      </w:tr>
      <w:tr w14:paraId="6B066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6A9D52C">
            <w:pPr>
              <w:jc w:val="center"/>
              <w:rPr>
                <w:color w:val="auto"/>
              </w:rPr>
            </w:pPr>
            <w:r>
              <w:rPr>
                <w:color w:val="auto"/>
              </w:rPr>
              <w:t>5</w:t>
            </w:r>
          </w:p>
        </w:tc>
        <w:tc>
          <w:tcPr>
            <w:tcW w:w="1985" w:type="dxa"/>
            <w:vAlign w:val="center"/>
          </w:tcPr>
          <w:p w14:paraId="3FA82243">
            <w:pPr>
              <w:rPr>
                <w:color w:val="auto"/>
              </w:rPr>
            </w:pPr>
            <w:r>
              <w:rPr>
                <w:rFonts w:hint="eastAsia" w:cs="宋体"/>
                <w:color w:val="auto"/>
              </w:rPr>
              <w:t>发包人支付担保</w:t>
            </w:r>
          </w:p>
        </w:tc>
        <w:tc>
          <w:tcPr>
            <w:tcW w:w="2126" w:type="dxa"/>
            <w:tcMar>
              <w:left w:w="170" w:type="dxa"/>
            </w:tcMar>
            <w:vAlign w:val="center"/>
          </w:tcPr>
          <w:p w14:paraId="5F11BECA">
            <w:pPr>
              <w:jc w:val="center"/>
              <w:rPr>
                <w:color w:val="auto"/>
              </w:rPr>
            </w:pPr>
            <w:r>
              <w:rPr>
                <w:rFonts w:hint="eastAsia" w:cs="宋体"/>
                <w:color w:val="auto"/>
              </w:rPr>
              <w:t>专用条款</w:t>
            </w:r>
          </w:p>
        </w:tc>
        <w:tc>
          <w:tcPr>
            <w:tcW w:w="1984" w:type="dxa"/>
            <w:vAlign w:val="center"/>
          </w:tcPr>
          <w:p w14:paraId="08927A91">
            <w:pPr>
              <w:jc w:val="center"/>
              <w:rPr>
                <w:color w:val="auto"/>
              </w:rPr>
            </w:pPr>
          </w:p>
        </w:tc>
        <w:tc>
          <w:tcPr>
            <w:tcW w:w="1843" w:type="dxa"/>
            <w:vAlign w:val="center"/>
          </w:tcPr>
          <w:p w14:paraId="05BEF82D">
            <w:pPr>
              <w:jc w:val="center"/>
              <w:rPr>
                <w:color w:val="auto"/>
              </w:rPr>
            </w:pPr>
          </w:p>
        </w:tc>
      </w:tr>
      <w:tr w14:paraId="6FFA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BCB8A5D">
            <w:pPr>
              <w:jc w:val="center"/>
              <w:rPr>
                <w:color w:val="auto"/>
              </w:rPr>
            </w:pPr>
            <w:r>
              <w:rPr>
                <w:color w:val="auto"/>
              </w:rPr>
              <w:t>6</w:t>
            </w:r>
          </w:p>
        </w:tc>
        <w:tc>
          <w:tcPr>
            <w:tcW w:w="1985" w:type="dxa"/>
            <w:vAlign w:val="center"/>
          </w:tcPr>
          <w:p w14:paraId="103DBEA4">
            <w:pPr>
              <w:rPr>
                <w:color w:val="auto"/>
              </w:rPr>
            </w:pPr>
            <w:r>
              <w:rPr>
                <w:rFonts w:hint="eastAsia" w:cs="宋体"/>
                <w:color w:val="auto"/>
              </w:rPr>
              <w:t>承包人履约担保金额</w:t>
            </w:r>
          </w:p>
        </w:tc>
        <w:tc>
          <w:tcPr>
            <w:tcW w:w="2126" w:type="dxa"/>
            <w:tcMar>
              <w:left w:w="170" w:type="dxa"/>
            </w:tcMar>
            <w:vAlign w:val="center"/>
          </w:tcPr>
          <w:p w14:paraId="4F0BD83D">
            <w:pPr>
              <w:jc w:val="center"/>
              <w:rPr>
                <w:color w:val="auto"/>
              </w:rPr>
            </w:pPr>
            <w:r>
              <w:rPr>
                <w:rFonts w:hint="eastAsia" w:cs="宋体"/>
                <w:color w:val="auto"/>
              </w:rPr>
              <w:t>专用条款</w:t>
            </w:r>
          </w:p>
        </w:tc>
        <w:tc>
          <w:tcPr>
            <w:tcW w:w="1984" w:type="dxa"/>
            <w:vAlign w:val="center"/>
          </w:tcPr>
          <w:p w14:paraId="18227406">
            <w:pPr>
              <w:jc w:val="center"/>
              <w:rPr>
                <w:color w:val="auto"/>
              </w:rPr>
            </w:pPr>
          </w:p>
        </w:tc>
        <w:tc>
          <w:tcPr>
            <w:tcW w:w="1843" w:type="dxa"/>
            <w:vAlign w:val="center"/>
          </w:tcPr>
          <w:p w14:paraId="01F9424A">
            <w:pPr>
              <w:jc w:val="center"/>
              <w:rPr>
                <w:color w:val="auto"/>
              </w:rPr>
            </w:pPr>
          </w:p>
        </w:tc>
      </w:tr>
      <w:tr w14:paraId="05CE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A8674AE">
            <w:pPr>
              <w:jc w:val="center"/>
              <w:rPr>
                <w:color w:val="auto"/>
              </w:rPr>
            </w:pPr>
            <w:r>
              <w:rPr>
                <w:color w:val="auto"/>
              </w:rPr>
              <w:t>7</w:t>
            </w:r>
          </w:p>
        </w:tc>
        <w:tc>
          <w:tcPr>
            <w:tcW w:w="1985" w:type="dxa"/>
            <w:vAlign w:val="center"/>
          </w:tcPr>
          <w:p w14:paraId="18114AD8">
            <w:pPr>
              <w:rPr>
                <w:color w:val="auto"/>
              </w:rPr>
            </w:pPr>
            <w:r>
              <w:rPr>
                <w:rFonts w:hint="eastAsia" w:cs="宋体"/>
                <w:color w:val="auto"/>
              </w:rPr>
              <w:t>分包</w:t>
            </w:r>
          </w:p>
        </w:tc>
        <w:tc>
          <w:tcPr>
            <w:tcW w:w="2126" w:type="dxa"/>
            <w:tcMar>
              <w:left w:w="170" w:type="dxa"/>
            </w:tcMar>
            <w:vAlign w:val="center"/>
          </w:tcPr>
          <w:p w14:paraId="3B4C9102">
            <w:pPr>
              <w:jc w:val="center"/>
              <w:rPr>
                <w:color w:val="auto"/>
              </w:rPr>
            </w:pPr>
            <w:r>
              <w:rPr>
                <w:rFonts w:hint="eastAsia" w:cs="宋体"/>
                <w:color w:val="auto"/>
              </w:rPr>
              <w:t>专用条款</w:t>
            </w:r>
          </w:p>
        </w:tc>
        <w:tc>
          <w:tcPr>
            <w:tcW w:w="1984" w:type="dxa"/>
            <w:vAlign w:val="center"/>
          </w:tcPr>
          <w:p w14:paraId="2FBA0DC7">
            <w:pPr>
              <w:jc w:val="center"/>
              <w:rPr>
                <w:color w:val="auto"/>
              </w:rPr>
            </w:pPr>
            <w:r>
              <w:rPr>
                <w:rFonts w:hint="eastAsia" w:cs="宋体"/>
                <w:color w:val="auto"/>
              </w:rPr>
              <w:t>见分包项目情况表</w:t>
            </w:r>
          </w:p>
        </w:tc>
        <w:tc>
          <w:tcPr>
            <w:tcW w:w="1843" w:type="dxa"/>
            <w:vAlign w:val="center"/>
          </w:tcPr>
          <w:p w14:paraId="7AFD4D23">
            <w:pPr>
              <w:jc w:val="center"/>
              <w:rPr>
                <w:color w:val="auto"/>
              </w:rPr>
            </w:pPr>
          </w:p>
        </w:tc>
      </w:tr>
      <w:tr w14:paraId="293E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92" w:type="dxa"/>
            <w:vAlign w:val="center"/>
          </w:tcPr>
          <w:p w14:paraId="4C7A7914">
            <w:pPr>
              <w:jc w:val="center"/>
              <w:rPr>
                <w:color w:val="auto"/>
              </w:rPr>
            </w:pPr>
            <w:r>
              <w:rPr>
                <w:color w:val="auto"/>
              </w:rPr>
              <w:t>8</w:t>
            </w:r>
          </w:p>
        </w:tc>
        <w:tc>
          <w:tcPr>
            <w:tcW w:w="1985" w:type="dxa"/>
            <w:vAlign w:val="center"/>
          </w:tcPr>
          <w:p w14:paraId="594432F9">
            <w:pPr>
              <w:rPr>
                <w:color w:val="auto"/>
              </w:rPr>
            </w:pPr>
            <w:r>
              <w:rPr>
                <w:rFonts w:hint="eastAsia" w:cs="宋体"/>
                <w:color w:val="auto"/>
              </w:rPr>
              <w:t>逾期竣工违约金</w:t>
            </w:r>
          </w:p>
        </w:tc>
        <w:tc>
          <w:tcPr>
            <w:tcW w:w="2126" w:type="dxa"/>
            <w:tcMar>
              <w:left w:w="170" w:type="dxa"/>
            </w:tcMar>
            <w:vAlign w:val="center"/>
          </w:tcPr>
          <w:p w14:paraId="2EC7228B">
            <w:pPr>
              <w:jc w:val="center"/>
              <w:rPr>
                <w:color w:val="auto"/>
              </w:rPr>
            </w:pPr>
            <w:r>
              <w:rPr>
                <w:rFonts w:hint="eastAsia" w:cs="宋体"/>
                <w:color w:val="auto"/>
              </w:rPr>
              <w:t>专用条款</w:t>
            </w:r>
          </w:p>
        </w:tc>
        <w:tc>
          <w:tcPr>
            <w:tcW w:w="1984" w:type="dxa"/>
            <w:vAlign w:val="center"/>
          </w:tcPr>
          <w:p w14:paraId="6E385A69">
            <w:pPr>
              <w:rPr>
                <w:color w:val="auto"/>
              </w:rPr>
            </w:pPr>
          </w:p>
        </w:tc>
        <w:tc>
          <w:tcPr>
            <w:tcW w:w="1843" w:type="dxa"/>
            <w:vAlign w:val="center"/>
          </w:tcPr>
          <w:p w14:paraId="5A4D0670">
            <w:pPr>
              <w:jc w:val="center"/>
              <w:rPr>
                <w:color w:val="auto"/>
              </w:rPr>
            </w:pPr>
          </w:p>
        </w:tc>
      </w:tr>
      <w:tr w14:paraId="24FF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80CCDDA">
            <w:pPr>
              <w:jc w:val="center"/>
              <w:rPr>
                <w:color w:val="auto"/>
              </w:rPr>
            </w:pPr>
            <w:r>
              <w:rPr>
                <w:color w:val="auto"/>
              </w:rPr>
              <w:t>9</w:t>
            </w:r>
          </w:p>
        </w:tc>
        <w:tc>
          <w:tcPr>
            <w:tcW w:w="1985" w:type="dxa"/>
            <w:vAlign w:val="center"/>
          </w:tcPr>
          <w:p w14:paraId="700058EF">
            <w:pPr>
              <w:rPr>
                <w:color w:val="auto"/>
              </w:rPr>
            </w:pPr>
            <w:r>
              <w:rPr>
                <w:rFonts w:hint="eastAsia" w:cs="宋体"/>
                <w:color w:val="auto"/>
              </w:rPr>
              <w:t>逾期竣工违约金最高限额</w:t>
            </w:r>
          </w:p>
        </w:tc>
        <w:tc>
          <w:tcPr>
            <w:tcW w:w="2126" w:type="dxa"/>
            <w:tcMar>
              <w:left w:w="170" w:type="dxa"/>
            </w:tcMar>
            <w:vAlign w:val="center"/>
          </w:tcPr>
          <w:p w14:paraId="02E7FD4B">
            <w:pPr>
              <w:jc w:val="center"/>
              <w:rPr>
                <w:color w:val="auto"/>
              </w:rPr>
            </w:pPr>
            <w:r>
              <w:rPr>
                <w:rFonts w:hint="eastAsia" w:cs="宋体"/>
                <w:color w:val="auto"/>
              </w:rPr>
              <w:t>专用条款</w:t>
            </w:r>
          </w:p>
        </w:tc>
        <w:tc>
          <w:tcPr>
            <w:tcW w:w="1984" w:type="dxa"/>
            <w:vAlign w:val="center"/>
          </w:tcPr>
          <w:p w14:paraId="438E760E">
            <w:pPr>
              <w:rPr>
                <w:color w:val="auto"/>
              </w:rPr>
            </w:pPr>
          </w:p>
        </w:tc>
        <w:tc>
          <w:tcPr>
            <w:tcW w:w="1843" w:type="dxa"/>
            <w:vAlign w:val="center"/>
          </w:tcPr>
          <w:p w14:paraId="2A0F73A6">
            <w:pPr>
              <w:jc w:val="center"/>
              <w:rPr>
                <w:color w:val="auto"/>
              </w:rPr>
            </w:pPr>
          </w:p>
        </w:tc>
      </w:tr>
      <w:tr w14:paraId="4A97E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F88297">
            <w:pPr>
              <w:jc w:val="center"/>
              <w:rPr>
                <w:color w:val="auto"/>
              </w:rPr>
            </w:pPr>
            <w:r>
              <w:rPr>
                <w:color w:val="auto"/>
              </w:rPr>
              <w:t>10</w:t>
            </w:r>
          </w:p>
        </w:tc>
        <w:tc>
          <w:tcPr>
            <w:tcW w:w="1985" w:type="dxa"/>
            <w:vAlign w:val="center"/>
          </w:tcPr>
          <w:p w14:paraId="3917BE5C">
            <w:pPr>
              <w:rPr>
                <w:color w:val="auto"/>
              </w:rPr>
            </w:pPr>
            <w:r>
              <w:rPr>
                <w:rFonts w:hint="eastAsia" w:cs="宋体"/>
                <w:color w:val="auto"/>
              </w:rPr>
              <w:t>质量标准</w:t>
            </w:r>
          </w:p>
        </w:tc>
        <w:tc>
          <w:tcPr>
            <w:tcW w:w="2126" w:type="dxa"/>
            <w:tcMar>
              <w:left w:w="170" w:type="dxa"/>
            </w:tcMar>
            <w:vAlign w:val="center"/>
          </w:tcPr>
          <w:p w14:paraId="6C1AADE8">
            <w:pPr>
              <w:jc w:val="center"/>
              <w:rPr>
                <w:color w:val="auto"/>
              </w:rPr>
            </w:pPr>
            <w:r>
              <w:rPr>
                <w:rFonts w:hint="eastAsia" w:cs="宋体"/>
                <w:color w:val="auto"/>
              </w:rPr>
              <w:t>专用条款</w:t>
            </w:r>
          </w:p>
        </w:tc>
        <w:tc>
          <w:tcPr>
            <w:tcW w:w="1984" w:type="dxa"/>
            <w:vAlign w:val="center"/>
          </w:tcPr>
          <w:p w14:paraId="7C3FE66D">
            <w:pPr>
              <w:jc w:val="center"/>
              <w:rPr>
                <w:color w:val="auto"/>
              </w:rPr>
            </w:pPr>
          </w:p>
        </w:tc>
        <w:tc>
          <w:tcPr>
            <w:tcW w:w="1843" w:type="dxa"/>
            <w:vAlign w:val="center"/>
          </w:tcPr>
          <w:p w14:paraId="3E53CE4A">
            <w:pPr>
              <w:jc w:val="center"/>
              <w:rPr>
                <w:color w:val="auto"/>
              </w:rPr>
            </w:pPr>
          </w:p>
        </w:tc>
      </w:tr>
      <w:tr w14:paraId="2D70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29A4EE4">
            <w:pPr>
              <w:jc w:val="center"/>
              <w:rPr>
                <w:color w:val="auto"/>
              </w:rPr>
            </w:pPr>
            <w:r>
              <w:rPr>
                <w:color w:val="auto"/>
              </w:rPr>
              <w:t>11</w:t>
            </w:r>
          </w:p>
        </w:tc>
        <w:tc>
          <w:tcPr>
            <w:tcW w:w="1985" w:type="dxa"/>
            <w:vAlign w:val="center"/>
          </w:tcPr>
          <w:p w14:paraId="2A2CF67A">
            <w:pPr>
              <w:rPr>
                <w:color w:val="auto"/>
              </w:rPr>
            </w:pPr>
            <w:r>
              <w:rPr>
                <w:rFonts w:hint="eastAsia" w:cs="宋体"/>
                <w:color w:val="auto"/>
              </w:rPr>
              <w:t>预付款额度</w:t>
            </w:r>
          </w:p>
        </w:tc>
        <w:tc>
          <w:tcPr>
            <w:tcW w:w="2126" w:type="dxa"/>
            <w:tcMar>
              <w:left w:w="170" w:type="dxa"/>
            </w:tcMar>
            <w:vAlign w:val="center"/>
          </w:tcPr>
          <w:p w14:paraId="450F342B">
            <w:pPr>
              <w:jc w:val="center"/>
              <w:rPr>
                <w:color w:val="auto"/>
              </w:rPr>
            </w:pPr>
            <w:r>
              <w:rPr>
                <w:rFonts w:hint="eastAsia" w:cs="宋体"/>
                <w:color w:val="auto"/>
              </w:rPr>
              <w:t>专用条款</w:t>
            </w:r>
          </w:p>
        </w:tc>
        <w:tc>
          <w:tcPr>
            <w:tcW w:w="1984" w:type="dxa"/>
            <w:vAlign w:val="center"/>
          </w:tcPr>
          <w:p w14:paraId="42123920">
            <w:pPr>
              <w:jc w:val="center"/>
              <w:rPr>
                <w:color w:val="auto"/>
              </w:rPr>
            </w:pPr>
          </w:p>
        </w:tc>
        <w:tc>
          <w:tcPr>
            <w:tcW w:w="1843" w:type="dxa"/>
            <w:vAlign w:val="center"/>
          </w:tcPr>
          <w:p w14:paraId="3AB173E2">
            <w:pPr>
              <w:jc w:val="center"/>
              <w:rPr>
                <w:color w:val="auto"/>
              </w:rPr>
            </w:pPr>
          </w:p>
        </w:tc>
      </w:tr>
      <w:tr w14:paraId="417B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CF1ABBA">
            <w:pPr>
              <w:jc w:val="center"/>
              <w:rPr>
                <w:color w:val="auto"/>
              </w:rPr>
            </w:pPr>
            <w:r>
              <w:rPr>
                <w:color w:val="auto"/>
              </w:rPr>
              <w:t>12</w:t>
            </w:r>
          </w:p>
        </w:tc>
        <w:tc>
          <w:tcPr>
            <w:tcW w:w="1985" w:type="dxa"/>
            <w:vAlign w:val="center"/>
          </w:tcPr>
          <w:p w14:paraId="4A8C4637">
            <w:pPr>
              <w:rPr>
                <w:color w:val="auto"/>
              </w:rPr>
            </w:pPr>
            <w:r>
              <w:rPr>
                <w:rFonts w:hint="eastAsia" w:cs="宋体"/>
                <w:color w:val="auto"/>
              </w:rPr>
              <w:t>预付款保函金额</w:t>
            </w:r>
          </w:p>
        </w:tc>
        <w:tc>
          <w:tcPr>
            <w:tcW w:w="2126" w:type="dxa"/>
            <w:tcMar>
              <w:left w:w="170" w:type="dxa"/>
            </w:tcMar>
            <w:vAlign w:val="center"/>
          </w:tcPr>
          <w:p w14:paraId="3D168646">
            <w:pPr>
              <w:jc w:val="center"/>
              <w:rPr>
                <w:color w:val="auto"/>
              </w:rPr>
            </w:pPr>
            <w:r>
              <w:rPr>
                <w:rFonts w:hint="eastAsia" w:cs="宋体"/>
                <w:color w:val="auto"/>
              </w:rPr>
              <w:t>专用条款</w:t>
            </w:r>
          </w:p>
        </w:tc>
        <w:tc>
          <w:tcPr>
            <w:tcW w:w="1984" w:type="dxa"/>
            <w:vAlign w:val="center"/>
          </w:tcPr>
          <w:p w14:paraId="5607D848">
            <w:pPr>
              <w:jc w:val="center"/>
              <w:rPr>
                <w:color w:val="auto"/>
              </w:rPr>
            </w:pPr>
          </w:p>
        </w:tc>
        <w:tc>
          <w:tcPr>
            <w:tcW w:w="1843" w:type="dxa"/>
            <w:vAlign w:val="center"/>
          </w:tcPr>
          <w:p w14:paraId="4518754E">
            <w:pPr>
              <w:jc w:val="center"/>
              <w:rPr>
                <w:color w:val="auto"/>
              </w:rPr>
            </w:pPr>
          </w:p>
        </w:tc>
      </w:tr>
      <w:tr w14:paraId="4493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5D124AA">
            <w:pPr>
              <w:jc w:val="center"/>
              <w:rPr>
                <w:color w:val="auto"/>
              </w:rPr>
            </w:pPr>
            <w:r>
              <w:rPr>
                <w:color w:val="auto"/>
              </w:rPr>
              <w:t>13</w:t>
            </w:r>
          </w:p>
        </w:tc>
        <w:tc>
          <w:tcPr>
            <w:tcW w:w="1985" w:type="dxa"/>
            <w:vAlign w:val="center"/>
          </w:tcPr>
          <w:p w14:paraId="147CA6E7">
            <w:pPr>
              <w:rPr>
                <w:color w:val="auto"/>
              </w:rPr>
            </w:pPr>
            <w:r>
              <w:rPr>
                <w:rFonts w:hint="eastAsia" w:cs="宋体"/>
                <w:color w:val="auto"/>
              </w:rPr>
              <w:t>质量保证金额度</w:t>
            </w:r>
          </w:p>
        </w:tc>
        <w:tc>
          <w:tcPr>
            <w:tcW w:w="2126" w:type="dxa"/>
            <w:tcMar>
              <w:left w:w="170" w:type="dxa"/>
            </w:tcMar>
            <w:vAlign w:val="center"/>
          </w:tcPr>
          <w:p w14:paraId="586153E6">
            <w:pPr>
              <w:jc w:val="center"/>
              <w:rPr>
                <w:color w:val="auto"/>
              </w:rPr>
            </w:pPr>
            <w:r>
              <w:rPr>
                <w:rFonts w:hint="eastAsia" w:cs="宋体"/>
                <w:color w:val="auto"/>
              </w:rPr>
              <w:t>专用条款</w:t>
            </w:r>
          </w:p>
        </w:tc>
        <w:tc>
          <w:tcPr>
            <w:tcW w:w="1984" w:type="dxa"/>
            <w:vAlign w:val="center"/>
          </w:tcPr>
          <w:p w14:paraId="0EF8C8F3">
            <w:pPr>
              <w:jc w:val="center"/>
              <w:rPr>
                <w:color w:val="auto"/>
              </w:rPr>
            </w:pPr>
            <w:r>
              <w:rPr>
                <w:rFonts w:hint="eastAsia" w:cs="宋体"/>
                <w:color w:val="auto"/>
              </w:rPr>
              <w:t>结算价的</w:t>
            </w:r>
            <w:r>
              <w:rPr>
                <w:color w:val="auto"/>
                <w:u w:val="single"/>
              </w:rPr>
              <w:t xml:space="preserve">     </w:t>
            </w:r>
            <w:r>
              <w:rPr>
                <w:color w:val="auto"/>
              </w:rPr>
              <w:t xml:space="preserve">% </w:t>
            </w:r>
            <w:r>
              <w:rPr>
                <w:color w:val="auto"/>
                <w:u w:val="single"/>
              </w:rPr>
              <w:t xml:space="preserve"> </w:t>
            </w:r>
          </w:p>
        </w:tc>
        <w:tc>
          <w:tcPr>
            <w:tcW w:w="1843" w:type="dxa"/>
            <w:vAlign w:val="center"/>
          </w:tcPr>
          <w:p w14:paraId="61BEB67D">
            <w:pPr>
              <w:jc w:val="center"/>
              <w:rPr>
                <w:color w:val="auto"/>
              </w:rPr>
            </w:pPr>
          </w:p>
        </w:tc>
      </w:tr>
      <w:tr w14:paraId="2BA3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26E91F">
            <w:pPr>
              <w:jc w:val="center"/>
              <w:rPr>
                <w:color w:val="auto"/>
              </w:rPr>
            </w:pPr>
            <w:r>
              <w:rPr>
                <w:color w:val="auto"/>
              </w:rPr>
              <w:t>……</w:t>
            </w:r>
          </w:p>
        </w:tc>
        <w:tc>
          <w:tcPr>
            <w:tcW w:w="1985" w:type="dxa"/>
            <w:vAlign w:val="center"/>
          </w:tcPr>
          <w:p w14:paraId="3504E207">
            <w:pPr>
              <w:jc w:val="center"/>
              <w:rPr>
                <w:color w:val="auto"/>
              </w:rPr>
            </w:pPr>
            <w:r>
              <w:rPr>
                <w:color w:val="auto"/>
              </w:rPr>
              <w:t>……</w:t>
            </w:r>
          </w:p>
        </w:tc>
        <w:tc>
          <w:tcPr>
            <w:tcW w:w="2126" w:type="dxa"/>
            <w:tcMar>
              <w:left w:w="170" w:type="dxa"/>
            </w:tcMar>
            <w:vAlign w:val="center"/>
          </w:tcPr>
          <w:p w14:paraId="0A9BA2FB">
            <w:pPr>
              <w:rPr>
                <w:color w:val="auto"/>
              </w:rPr>
            </w:pPr>
          </w:p>
        </w:tc>
        <w:tc>
          <w:tcPr>
            <w:tcW w:w="1984" w:type="dxa"/>
            <w:vAlign w:val="center"/>
          </w:tcPr>
          <w:p w14:paraId="06C6A437">
            <w:pPr>
              <w:jc w:val="center"/>
              <w:rPr>
                <w:color w:val="auto"/>
              </w:rPr>
            </w:pPr>
          </w:p>
        </w:tc>
        <w:tc>
          <w:tcPr>
            <w:tcW w:w="1843" w:type="dxa"/>
            <w:vAlign w:val="center"/>
          </w:tcPr>
          <w:p w14:paraId="2CF1F532">
            <w:pPr>
              <w:jc w:val="center"/>
              <w:rPr>
                <w:color w:val="auto"/>
              </w:rPr>
            </w:pPr>
          </w:p>
        </w:tc>
      </w:tr>
      <w:tr w14:paraId="7F98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7CECD82C">
            <w:pPr>
              <w:spacing w:line="360" w:lineRule="auto"/>
              <w:rPr>
                <w:color w:val="auto"/>
              </w:rPr>
            </w:pPr>
            <w:r>
              <w:rPr>
                <w:rFonts w:hint="eastAsia" w:cs="宋体"/>
                <w:color w:val="auto"/>
              </w:rPr>
              <w:t>说明：供应商在响应磋商文件中规定的实质性要求和条件的基础上，可做出其他有利于采购人的承诺。此类承诺可在本表中予以补充填写。</w:t>
            </w:r>
          </w:p>
        </w:tc>
      </w:tr>
    </w:tbl>
    <w:p w14:paraId="65E260A1">
      <w:pPr>
        <w:spacing w:line="360" w:lineRule="auto"/>
        <w:ind w:right="-817" w:rightChars="-389" w:firstLine="2640" w:firstLineChars="1100"/>
        <w:contextualSpacing/>
        <w:rPr>
          <w:rFonts w:ascii="宋体" w:hAnsi="宋体" w:cs="仿宋_GB2312"/>
          <w:color w:val="auto"/>
          <w:sz w:val="24"/>
        </w:rPr>
      </w:pPr>
    </w:p>
    <w:p w14:paraId="5D867729">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7AE935F2">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3F8E2A96">
      <w:pPr>
        <w:spacing w:line="360" w:lineRule="auto"/>
        <w:jc w:val="center"/>
        <w:rPr>
          <w:rFonts w:ascii="宋体" w:hAnsi="宋体" w:cs="仿宋_GB2312"/>
          <w:color w:val="auto"/>
          <w:sz w:val="24"/>
        </w:rPr>
      </w:pPr>
      <w:r>
        <w:rPr>
          <w:rFonts w:hint="eastAsia" w:ascii="宋体" w:hAnsi="宋体" w:cs="仿宋_GB2312"/>
          <w:color w:val="auto"/>
          <w:sz w:val="24"/>
        </w:rPr>
        <w:t>日期：   年   月   日</w:t>
      </w:r>
    </w:p>
    <w:p w14:paraId="0670E42A">
      <w:pPr>
        <w:spacing w:line="360" w:lineRule="auto"/>
        <w:rPr>
          <w:rFonts w:ascii="宋体" w:hAnsi="宋体" w:cs="仿宋_GB2312"/>
          <w:color w:val="auto"/>
          <w:sz w:val="24"/>
        </w:rPr>
      </w:pPr>
    </w:p>
    <w:p w14:paraId="2A2E8C8C">
      <w:pPr>
        <w:spacing w:line="360" w:lineRule="auto"/>
        <w:jc w:val="center"/>
        <w:rPr>
          <w:rFonts w:ascii="方正小标宋简体" w:hAnsi="方正小标宋简体" w:eastAsia="方正小标宋简体" w:cs="方正小标宋简体"/>
          <w:bCs/>
          <w:color w:val="auto"/>
          <w:sz w:val="32"/>
          <w:szCs w:val="32"/>
        </w:rPr>
      </w:pPr>
      <w:r>
        <w:rPr>
          <w:rFonts w:ascii="宋体" w:hAnsi="宋体"/>
          <w:b/>
          <w:bCs/>
          <w:color w:val="auto"/>
          <w:sz w:val="32"/>
          <w:szCs w:val="32"/>
        </w:rPr>
        <w:br w:type="page"/>
      </w:r>
      <w:r>
        <w:rPr>
          <w:rFonts w:hint="eastAsia" w:ascii="宋体" w:hAnsi="宋体" w:cs="方正小标宋简体"/>
          <w:b/>
          <w:bCs/>
          <w:color w:val="auto"/>
          <w:sz w:val="32"/>
          <w:szCs w:val="32"/>
        </w:rPr>
        <w:t>竞标报价表</w:t>
      </w:r>
    </w:p>
    <w:p w14:paraId="0688066D">
      <w:pPr>
        <w:spacing w:line="440" w:lineRule="exact"/>
        <w:jc w:val="center"/>
        <w:rPr>
          <w:rFonts w:ascii="方正小标宋简体" w:hAnsi="方正小标宋简体" w:eastAsia="方正小标宋简体" w:cs="方正小标宋简体"/>
          <w:bCs/>
          <w:color w:val="auto"/>
          <w:sz w:val="32"/>
          <w:szCs w:val="32"/>
        </w:rPr>
      </w:pPr>
    </w:p>
    <w:p w14:paraId="55351DE7">
      <w:pPr>
        <w:spacing w:line="360" w:lineRule="auto"/>
        <w:contextualSpacing/>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72B17783">
      <w:pPr>
        <w:spacing w:line="360" w:lineRule="auto"/>
        <w:contextualSpacing/>
        <w:rPr>
          <w:rFonts w:ascii="宋体" w:hAnsi="宋体" w:cs="仿宋_GB2312"/>
          <w:color w:val="auto"/>
          <w:sz w:val="24"/>
          <w:u w:val="single"/>
        </w:rPr>
      </w:pPr>
      <w:r>
        <w:rPr>
          <w:rFonts w:hint="eastAsia" w:ascii="宋体" w:hAnsi="宋体" w:cs="仿宋_GB2312"/>
          <w:color w:val="auto"/>
          <w:sz w:val="24"/>
        </w:rPr>
        <w:t>分标（如有）：</w:t>
      </w:r>
      <w:r>
        <w:rPr>
          <w:rFonts w:hint="eastAsia" w:ascii="宋体" w:hAnsi="宋体" w:cs="仿宋_GB2312"/>
          <w:color w:val="auto"/>
          <w:sz w:val="24"/>
          <w:u w:val="single"/>
        </w:rPr>
        <w:t xml:space="preserve">            </w:t>
      </w:r>
    </w:p>
    <w:p w14:paraId="2F190742">
      <w:pPr>
        <w:spacing w:line="360" w:lineRule="auto"/>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0B21D855">
      <w:pPr>
        <w:spacing w:line="360" w:lineRule="auto"/>
        <w:contextualSpacing/>
        <w:rPr>
          <w:rFonts w:ascii="宋体" w:hAnsi="宋体" w:cs="仿宋_GB2312"/>
          <w:color w:val="auto"/>
          <w:sz w:val="24"/>
        </w:rPr>
      </w:pPr>
      <w:r>
        <w:rPr>
          <w:rFonts w:hint="eastAsia" w:ascii="宋体" w:hAnsi="宋体" w:cs="仿宋_GB2312"/>
          <w:color w:val="auto"/>
          <w:sz w:val="24"/>
        </w:rPr>
        <w:t xml:space="preserve">                                                单位：元</w:t>
      </w:r>
    </w:p>
    <w:tbl>
      <w:tblPr>
        <w:tblStyle w:val="44"/>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7985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2A3E861A">
            <w:pPr>
              <w:spacing w:line="360" w:lineRule="auto"/>
              <w:contextualSpacing/>
              <w:jc w:val="center"/>
              <w:rPr>
                <w:rFonts w:ascii="宋体" w:hAnsi="宋体" w:cs="仿宋_GB2312"/>
                <w:color w:val="auto"/>
                <w:sz w:val="24"/>
              </w:rPr>
            </w:pPr>
            <w:r>
              <w:rPr>
                <w:rFonts w:ascii="宋体" w:hAnsi="宋体" w:cs="仿宋_GB2312"/>
                <w:color w:val="auto"/>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70BF4477">
            <w:pPr>
              <w:spacing w:line="360" w:lineRule="auto"/>
              <w:contextualSpacing/>
              <w:jc w:val="center"/>
              <w:rPr>
                <w:rFonts w:ascii="宋体" w:hAnsi="宋体" w:cs="仿宋_GB2312"/>
                <w:color w:val="auto"/>
                <w:sz w:val="24"/>
              </w:rPr>
            </w:pPr>
            <w:r>
              <w:rPr>
                <w:rFonts w:hint="eastAsia" w:ascii="宋体" w:hAnsi="宋体" w:cs="仿宋_GB2312"/>
                <w:color w:val="auto"/>
                <w:sz w:val="24"/>
              </w:rPr>
              <w:t>项目</w:t>
            </w:r>
            <w:r>
              <w:rPr>
                <w:rFonts w:ascii="宋体" w:hAnsi="宋体" w:cs="仿宋_GB2312"/>
                <w:color w:val="auto"/>
                <w:sz w:val="24"/>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0A64BCEF">
            <w:pPr>
              <w:spacing w:line="360" w:lineRule="auto"/>
              <w:contextualSpacing/>
              <w:jc w:val="center"/>
              <w:rPr>
                <w:rFonts w:ascii="宋体" w:hAnsi="宋体" w:cs="仿宋_GB2312"/>
                <w:color w:val="auto"/>
                <w:sz w:val="24"/>
              </w:rPr>
            </w:pPr>
            <w:r>
              <w:rPr>
                <w:rFonts w:hint="eastAsia" w:ascii="宋体" w:hAnsi="宋体" w:cs="仿宋_GB2312"/>
                <w:color w:val="auto"/>
                <w:sz w:val="24"/>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1D47BE14">
            <w:pPr>
              <w:spacing w:line="360" w:lineRule="auto"/>
              <w:contextualSpacing/>
              <w:jc w:val="center"/>
              <w:rPr>
                <w:rFonts w:ascii="宋体" w:hAnsi="宋体" w:cs="仿宋_GB2312"/>
                <w:color w:val="auto"/>
                <w:sz w:val="24"/>
              </w:rPr>
            </w:pPr>
            <w:r>
              <w:rPr>
                <w:rFonts w:hint="eastAsia" w:ascii="宋体" w:hAnsi="宋体" w:cs="仿宋_GB2312"/>
                <w:color w:val="auto"/>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E929686">
            <w:pPr>
              <w:spacing w:line="360" w:lineRule="auto"/>
              <w:contextualSpacing/>
              <w:jc w:val="center"/>
              <w:rPr>
                <w:rFonts w:ascii="宋体" w:hAnsi="宋体" w:cs="仿宋_GB2312"/>
                <w:color w:val="auto"/>
                <w:sz w:val="24"/>
              </w:rPr>
            </w:pPr>
            <w:r>
              <w:rPr>
                <w:rFonts w:ascii="宋体" w:hAnsi="宋体" w:cs="仿宋_GB2312"/>
                <w:color w:val="auto"/>
                <w:sz w:val="24"/>
              </w:rPr>
              <w:t>备注</w:t>
            </w:r>
          </w:p>
        </w:tc>
      </w:tr>
      <w:tr w14:paraId="292C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9C93272">
            <w:pPr>
              <w:spacing w:line="360" w:lineRule="auto"/>
              <w:contextualSpacing/>
              <w:jc w:val="center"/>
              <w:rPr>
                <w:rFonts w:ascii="宋体" w:hAnsi="宋体" w:cs="仿宋_GB2312"/>
                <w:color w:val="auto"/>
                <w:sz w:val="24"/>
              </w:rPr>
            </w:pPr>
            <w:r>
              <w:rPr>
                <w:rFonts w:ascii="宋体" w:hAnsi="宋体" w:cs="仿宋_GB2312"/>
                <w:color w:val="auto"/>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6345ED9D">
            <w:pPr>
              <w:spacing w:line="360" w:lineRule="auto"/>
              <w:contextualSpacing/>
              <w:jc w:val="center"/>
              <w:rPr>
                <w:rFonts w:ascii="宋体" w:hAnsi="宋体" w:cs="仿宋_GB2312"/>
                <w:color w:val="auto"/>
                <w:sz w:val="24"/>
              </w:rPr>
            </w:pPr>
          </w:p>
        </w:tc>
        <w:tc>
          <w:tcPr>
            <w:tcW w:w="1505" w:type="dxa"/>
            <w:tcBorders>
              <w:top w:val="single" w:color="auto" w:sz="4" w:space="0"/>
              <w:left w:val="single" w:color="auto" w:sz="4" w:space="0"/>
              <w:bottom w:val="single" w:color="auto" w:sz="4" w:space="0"/>
              <w:right w:val="single" w:color="auto" w:sz="4" w:space="0"/>
            </w:tcBorders>
            <w:vAlign w:val="center"/>
          </w:tcPr>
          <w:p w14:paraId="2FEEBC08">
            <w:pPr>
              <w:spacing w:line="360" w:lineRule="auto"/>
              <w:contextualSpacing/>
              <w:jc w:val="center"/>
              <w:rPr>
                <w:rFonts w:ascii="宋体" w:hAnsi="宋体" w:cs="仿宋_GB2312"/>
                <w:color w:val="auto"/>
                <w:sz w:val="24"/>
              </w:rPr>
            </w:pPr>
            <w:r>
              <w:rPr>
                <w:rFonts w:hint="eastAsia" w:ascii="宋体" w:hAnsi="宋体" w:cs="仿宋_GB2312"/>
                <w:color w:val="auto"/>
                <w:sz w:val="24"/>
              </w:rPr>
              <w:t>1项</w:t>
            </w:r>
          </w:p>
        </w:tc>
        <w:tc>
          <w:tcPr>
            <w:tcW w:w="3107" w:type="dxa"/>
            <w:tcBorders>
              <w:top w:val="single" w:color="auto" w:sz="4" w:space="0"/>
              <w:left w:val="single" w:color="auto" w:sz="4" w:space="0"/>
              <w:bottom w:val="single" w:color="auto" w:sz="4" w:space="0"/>
              <w:right w:val="single" w:color="auto" w:sz="4" w:space="0"/>
            </w:tcBorders>
          </w:tcPr>
          <w:p w14:paraId="7AACC014">
            <w:pPr>
              <w:spacing w:line="360" w:lineRule="auto"/>
              <w:contextualSpacing/>
              <w:rPr>
                <w:rFonts w:ascii="宋体" w:hAnsi="宋体" w:cs="仿宋_GB2312"/>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60FD43C">
            <w:pPr>
              <w:spacing w:line="360" w:lineRule="auto"/>
              <w:contextualSpacing/>
              <w:rPr>
                <w:rFonts w:ascii="宋体" w:hAnsi="宋体" w:cs="仿宋_GB2312"/>
                <w:color w:val="auto"/>
                <w:sz w:val="24"/>
              </w:rPr>
            </w:pPr>
          </w:p>
        </w:tc>
      </w:tr>
      <w:tr w14:paraId="2A0C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76ADB86A">
            <w:pPr>
              <w:pStyle w:val="18"/>
              <w:rPr>
                <w:rFonts w:ascii="宋体" w:hAnsi="宋体" w:cs="仿宋_GB2312"/>
                <w:color w:val="auto"/>
                <w:sz w:val="24"/>
              </w:rPr>
            </w:pPr>
            <w:r>
              <w:rPr>
                <w:rFonts w:hint="eastAsia" w:ascii="宋体" w:hAnsi="宋体" w:cs="仿宋_GB2312"/>
                <w:color w:val="auto"/>
                <w:sz w:val="24"/>
              </w:rPr>
              <w:t>合计金额（人民币）</w:t>
            </w:r>
            <w:r>
              <w:rPr>
                <w:rFonts w:hint="eastAsia" w:ascii="宋体" w:hAnsi="宋体" w:cs="仿宋_GB2312"/>
                <w:color w:val="auto"/>
                <w:sz w:val="24"/>
                <w:u w:val="single"/>
              </w:rPr>
              <w:t xml:space="preserve">大写：                      </w:t>
            </w:r>
            <w:r>
              <w:rPr>
                <w:rFonts w:hint="eastAsia" w:ascii="宋体" w:hAnsi="宋体" w:cs="仿宋_GB2312"/>
                <w:color w:val="auto"/>
                <w:sz w:val="24"/>
              </w:rPr>
              <w:t xml:space="preserve"> （</w:t>
            </w:r>
            <w:r>
              <w:rPr>
                <w:color w:val="auto"/>
                <w:szCs w:val="21"/>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bl>
    <w:p w14:paraId="55CFD703">
      <w:pPr>
        <w:spacing w:line="360" w:lineRule="auto"/>
        <w:contextualSpacing/>
        <w:jc w:val="left"/>
        <w:rPr>
          <w:rFonts w:ascii="宋体" w:hAnsi="宋体" w:cs="仿宋_GB2312"/>
          <w:color w:val="auto"/>
          <w:sz w:val="24"/>
        </w:rPr>
      </w:pPr>
    </w:p>
    <w:p w14:paraId="5A7BDAEC">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14:paraId="4D02CC7D">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1.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36BCDF86">
      <w:pPr>
        <w:spacing w:line="360" w:lineRule="auto"/>
        <w:ind w:firstLine="480" w:firstLineChars="200"/>
        <w:contextualSpacing/>
        <w:jc w:val="left"/>
        <w:rPr>
          <w:rFonts w:ascii="宋体" w:hAnsi="宋体" w:cs="仿宋_GB2312"/>
          <w:b/>
          <w:color w:val="auto"/>
          <w:sz w:val="24"/>
        </w:rPr>
      </w:pPr>
      <w:r>
        <w:rPr>
          <w:rFonts w:hint="eastAsia" w:ascii="宋体" w:hAnsi="宋体" w:cs="仿宋_GB2312"/>
          <w:bCs/>
          <w:color w:val="auto"/>
          <w:sz w:val="24"/>
        </w:rPr>
        <w:t>2.</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61B7C52E">
      <w:pPr>
        <w:spacing w:line="360" w:lineRule="auto"/>
        <w:ind w:right="-817" w:rightChars="-389"/>
        <w:contextualSpacing/>
        <w:rPr>
          <w:rFonts w:ascii="宋体" w:hAnsi="宋体" w:cs="仿宋_GB2312"/>
          <w:color w:val="auto"/>
          <w:sz w:val="24"/>
        </w:rPr>
      </w:pPr>
    </w:p>
    <w:p w14:paraId="6B783156">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06CE4763">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707E8F14">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14:paraId="62EA8DEF">
      <w:pPr>
        <w:spacing w:line="360" w:lineRule="auto"/>
        <w:contextualSpacing/>
        <w:jc w:val="center"/>
        <w:rPr>
          <w:rFonts w:ascii="宋体" w:hAnsi="宋体" w:cs="仿宋_GB2312"/>
          <w:b/>
          <w:color w:val="auto"/>
          <w:sz w:val="32"/>
          <w:szCs w:val="32"/>
        </w:rPr>
      </w:pPr>
      <w:r>
        <w:rPr>
          <w:rFonts w:ascii="宋体" w:hAnsi="宋体" w:cs="仿宋_GB2312"/>
          <w:color w:val="auto"/>
          <w:sz w:val="24"/>
        </w:rPr>
        <w:br w:type="page"/>
      </w:r>
      <w:r>
        <w:rPr>
          <w:rFonts w:hint="eastAsia" w:ascii="宋体" w:hAnsi="宋体" w:cs="宋体"/>
          <w:b/>
          <w:color w:val="auto"/>
          <w:sz w:val="32"/>
          <w:szCs w:val="32"/>
        </w:rPr>
        <w:t>已标价工程量清单</w:t>
      </w:r>
    </w:p>
    <w:p w14:paraId="45E645ED">
      <w:pPr>
        <w:spacing w:line="360" w:lineRule="auto"/>
        <w:ind w:firstLine="420" w:firstLineChars="200"/>
        <w:rPr>
          <w:color w:val="auto"/>
        </w:rPr>
      </w:pPr>
      <w:r>
        <w:rPr>
          <w:color w:val="auto"/>
        </w:rPr>
        <w:t xml:space="preserve">1. </w:t>
      </w:r>
      <w:r>
        <w:rPr>
          <w:rFonts w:hint="eastAsia" w:cs="宋体"/>
          <w:color w:val="auto"/>
        </w:rPr>
        <w:t>已标价工程量清单应按第五章</w:t>
      </w:r>
      <w:r>
        <w:rPr>
          <w:rFonts w:hint="eastAsia"/>
          <w:color w:val="auto"/>
        </w:rPr>
        <w:t>“工程量清单及图纸”</w:t>
      </w:r>
      <w:r>
        <w:rPr>
          <w:rFonts w:hint="eastAsia" w:cs="宋体"/>
          <w:color w:val="auto"/>
        </w:rPr>
        <w:t>中的相关表格及竞标报价说明填写。构成合同文件的已标价工程量清单包括第五章</w:t>
      </w:r>
      <w:r>
        <w:rPr>
          <w:rFonts w:hint="eastAsia"/>
          <w:color w:val="auto"/>
        </w:rPr>
        <w:t>“工程量清单及图纸”</w:t>
      </w:r>
      <w:r>
        <w:rPr>
          <w:rFonts w:hint="eastAsia" w:cs="宋体"/>
          <w:color w:val="auto"/>
        </w:rPr>
        <w:t>有关工程量清单、竞标报价以及其他说明的内容。</w:t>
      </w:r>
    </w:p>
    <w:p w14:paraId="0F129959">
      <w:pPr>
        <w:spacing w:line="360" w:lineRule="auto"/>
        <w:ind w:firstLine="420" w:firstLineChars="200"/>
        <w:rPr>
          <w:color w:val="auto"/>
        </w:rPr>
      </w:pPr>
      <w:r>
        <w:rPr>
          <w:color w:val="auto"/>
        </w:rPr>
        <w:t xml:space="preserve">2. </w:t>
      </w:r>
      <w:r>
        <w:rPr>
          <w:rFonts w:hint="eastAsia" w:cs="宋体"/>
          <w:color w:val="auto"/>
        </w:rPr>
        <w:t>一般计税法建设工程已标价工程量清单表格按</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w:t>
      </w:r>
      <w:r>
        <w:rPr>
          <w:rFonts w:hint="eastAsia" w:ascii="宋体" w:hAnsi="宋体" w:cs="宋体"/>
          <w:color w:val="auto"/>
        </w:rPr>
        <w:t>附件“增值税一般计税方法工程计价表”</w:t>
      </w:r>
      <w:r>
        <w:rPr>
          <w:rFonts w:hint="eastAsia" w:cs="宋体"/>
          <w:color w:val="auto"/>
        </w:rPr>
        <w:t>要求提供，简易计税法表格按《</w:t>
      </w:r>
      <w:r>
        <w:rPr>
          <w:color w:val="auto"/>
        </w:rPr>
        <w:t>&lt;</w:t>
      </w:r>
      <w:r>
        <w:rPr>
          <w:rFonts w:hint="eastAsia" w:cs="宋体"/>
          <w:color w:val="auto"/>
        </w:rPr>
        <w:t>建设工程工程量清单计价规范</w:t>
      </w:r>
      <w:r>
        <w:rPr>
          <w:color w:val="auto"/>
        </w:rPr>
        <w:t>&gt;</w:t>
      </w:r>
      <w:r>
        <w:rPr>
          <w:rFonts w:hint="eastAsia" w:cs="宋体"/>
          <w:color w:val="auto"/>
        </w:rPr>
        <w:t>（</w:t>
      </w:r>
      <w:r>
        <w:rPr>
          <w:color w:val="auto"/>
        </w:rPr>
        <w:t>GB5050-2013</w:t>
      </w:r>
      <w:r>
        <w:rPr>
          <w:rFonts w:hint="eastAsia" w:cs="宋体"/>
          <w:color w:val="auto"/>
        </w:rPr>
        <w:t>）广西壮族自治区实施细则》要求的表格提供，但规费和税费按照</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号）、《自治区住房城乡建设厅关于调整建设工程计价增值税税率的通知》（桂建标〔2018〕14号）、《自治区住房城乡建设厅关于调整建设工程计价增值税税率的通知》（桂建标〔2019〕12号）</w:t>
      </w:r>
      <w:r>
        <w:rPr>
          <w:rFonts w:hint="eastAsia" w:ascii="宋体" w:hAnsi="宋体" w:cs="宋体"/>
          <w:color w:val="auto"/>
        </w:rPr>
        <w:t>调整</w:t>
      </w:r>
      <w:r>
        <w:rPr>
          <w:rFonts w:hint="eastAsia" w:cs="宋体"/>
          <w:color w:val="auto"/>
        </w:rPr>
        <w:t>，具体内容包括：</w:t>
      </w:r>
    </w:p>
    <w:p w14:paraId="146A44FA">
      <w:pPr>
        <w:spacing w:line="360" w:lineRule="auto"/>
        <w:ind w:firstLine="630" w:firstLineChars="300"/>
        <w:rPr>
          <w:color w:val="auto"/>
        </w:rPr>
      </w:pPr>
      <w:r>
        <w:rPr>
          <w:color w:val="auto"/>
        </w:rPr>
        <w:t xml:space="preserve">1.1 </w:t>
      </w:r>
      <w:r>
        <w:rPr>
          <w:rFonts w:hint="eastAsia" w:cs="宋体"/>
          <w:color w:val="auto"/>
        </w:rPr>
        <w:t>竞标总价（封</w:t>
      </w:r>
      <w:r>
        <w:rPr>
          <w:color w:val="auto"/>
        </w:rPr>
        <w:t>-3</w:t>
      </w:r>
      <w:r>
        <w:rPr>
          <w:rFonts w:hint="eastAsia" w:cs="宋体"/>
          <w:color w:val="auto"/>
        </w:rPr>
        <w:t>）</w:t>
      </w:r>
    </w:p>
    <w:p w14:paraId="73483665">
      <w:pPr>
        <w:spacing w:line="360" w:lineRule="auto"/>
        <w:ind w:firstLine="630" w:firstLineChars="300"/>
        <w:rPr>
          <w:color w:val="auto"/>
        </w:rPr>
      </w:pPr>
      <w:r>
        <w:rPr>
          <w:color w:val="auto"/>
        </w:rPr>
        <w:t xml:space="preserve">1.2 </w:t>
      </w:r>
      <w:r>
        <w:rPr>
          <w:rFonts w:hint="eastAsia" w:cs="宋体"/>
          <w:color w:val="auto"/>
        </w:rPr>
        <w:t>竞标总价（扉</w:t>
      </w:r>
      <w:r>
        <w:rPr>
          <w:color w:val="auto"/>
        </w:rPr>
        <w:t>-3</w:t>
      </w:r>
      <w:r>
        <w:rPr>
          <w:rFonts w:hint="eastAsia" w:cs="宋体"/>
          <w:color w:val="auto"/>
        </w:rPr>
        <w:t>）</w:t>
      </w:r>
    </w:p>
    <w:p w14:paraId="3C4560E7">
      <w:pPr>
        <w:spacing w:line="360" w:lineRule="auto"/>
        <w:ind w:firstLine="630" w:firstLineChars="300"/>
        <w:rPr>
          <w:color w:val="auto"/>
        </w:rPr>
      </w:pPr>
      <w:r>
        <w:rPr>
          <w:color w:val="auto"/>
        </w:rPr>
        <w:t xml:space="preserve">1.3 </w:t>
      </w:r>
      <w:r>
        <w:rPr>
          <w:rFonts w:hint="eastAsia" w:cs="宋体"/>
          <w:color w:val="auto"/>
        </w:rPr>
        <w:t>总说明（表</w:t>
      </w:r>
      <w:r>
        <w:rPr>
          <w:color w:val="auto"/>
        </w:rPr>
        <w:t>-01</w:t>
      </w:r>
      <w:r>
        <w:rPr>
          <w:rFonts w:hint="eastAsia" w:cs="宋体"/>
          <w:color w:val="auto"/>
        </w:rPr>
        <w:t>）</w:t>
      </w:r>
    </w:p>
    <w:p w14:paraId="38816530">
      <w:pPr>
        <w:spacing w:line="360" w:lineRule="auto"/>
        <w:ind w:firstLine="630" w:firstLineChars="300"/>
        <w:rPr>
          <w:color w:val="auto"/>
        </w:rPr>
      </w:pPr>
      <w:r>
        <w:rPr>
          <w:color w:val="auto"/>
        </w:rPr>
        <w:t xml:space="preserve">1.4 </w:t>
      </w:r>
      <w:r>
        <w:rPr>
          <w:rFonts w:hint="eastAsia" w:cs="宋体"/>
          <w:color w:val="auto"/>
        </w:rPr>
        <w:t>建设项目竞标报价汇总表（表</w:t>
      </w:r>
      <w:r>
        <w:rPr>
          <w:color w:val="auto"/>
        </w:rPr>
        <w:t>-02</w:t>
      </w:r>
      <w:r>
        <w:rPr>
          <w:rFonts w:hint="eastAsia" w:cs="宋体"/>
          <w:color w:val="auto"/>
        </w:rPr>
        <w:t>）</w:t>
      </w:r>
    </w:p>
    <w:p w14:paraId="2C8686F2">
      <w:pPr>
        <w:spacing w:line="360" w:lineRule="auto"/>
        <w:ind w:firstLine="630" w:firstLineChars="300"/>
        <w:rPr>
          <w:color w:val="auto"/>
        </w:rPr>
      </w:pPr>
      <w:r>
        <w:rPr>
          <w:color w:val="auto"/>
        </w:rPr>
        <w:t xml:space="preserve">1.5 </w:t>
      </w:r>
      <w:r>
        <w:rPr>
          <w:rFonts w:hint="eastAsia" w:cs="宋体"/>
          <w:color w:val="auto"/>
        </w:rPr>
        <w:t>单项工程竞标报价汇总表（表</w:t>
      </w:r>
      <w:r>
        <w:rPr>
          <w:color w:val="auto"/>
        </w:rPr>
        <w:t>-03</w:t>
      </w:r>
      <w:r>
        <w:rPr>
          <w:rFonts w:hint="eastAsia" w:cs="宋体"/>
          <w:color w:val="auto"/>
        </w:rPr>
        <w:t>）</w:t>
      </w:r>
    </w:p>
    <w:p w14:paraId="4F69530E">
      <w:pPr>
        <w:spacing w:line="360" w:lineRule="auto"/>
        <w:ind w:firstLine="630" w:firstLineChars="300"/>
        <w:rPr>
          <w:color w:val="auto"/>
        </w:rPr>
      </w:pPr>
      <w:r>
        <w:rPr>
          <w:color w:val="auto"/>
        </w:rPr>
        <w:t xml:space="preserve">1.6 </w:t>
      </w:r>
      <w:r>
        <w:rPr>
          <w:rFonts w:hint="eastAsia" w:cs="宋体"/>
          <w:color w:val="auto"/>
        </w:rPr>
        <w:t>单位工程竞标报价汇总表（表</w:t>
      </w:r>
      <w:r>
        <w:rPr>
          <w:color w:val="auto"/>
        </w:rPr>
        <w:t>-04</w:t>
      </w:r>
      <w:r>
        <w:rPr>
          <w:rFonts w:hint="eastAsia" w:cs="宋体"/>
          <w:color w:val="auto"/>
        </w:rPr>
        <w:t>）</w:t>
      </w:r>
    </w:p>
    <w:p w14:paraId="6D36DC6F">
      <w:pPr>
        <w:spacing w:line="360" w:lineRule="auto"/>
        <w:ind w:firstLine="630" w:firstLineChars="300"/>
        <w:rPr>
          <w:color w:val="auto"/>
        </w:rPr>
      </w:pPr>
      <w:r>
        <w:rPr>
          <w:color w:val="auto"/>
        </w:rPr>
        <w:t xml:space="preserve">1.7 </w:t>
      </w:r>
      <w:r>
        <w:rPr>
          <w:rFonts w:hint="eastAsia" w:cs="宋体"/>
          <w:color w:val="auto"/>
        </w:rPr>
        <w:t>分部分项工程和单价措施项目清单与计价表（表</w:t>
      </w:r>
      <w:r>
        <w:rPr>
          <w:color w:val="auto"/>
        </w:rPr>
        <w:t>-08</w:t>
      </w:r>
      <w:r>
        <w:rPr>
          <w:rFonts w:hint="eastAsia" w:cs="宋体"/>
          <w:color w:val="auto"/>
        </w:rPr>
        <w:t>）</w:t>
      </w:r>
    </w:p>
    <w:p w14:paraId="5E0C7429">
      <w:pPr>
        <w:spacing w:line="360" w:lineRule="auto"/>
        <w:ind w:firstLine="630" w:firstLineChars="300"/>
        <w:rPr>
          <w:color w:val="auto"/>
        </w:rPr>
      </w:pPr>
      <w:r>
        <w:rPr>
          <w:color w:val="auto"/>
        </w:rPr>
        <w:t xml:space="preserve">1.8 </w:t>
      </w:r>
      <w:r>
        <w:rPr>
          <w:rFonts w:hint="eastAsia" w:cs="宋体"/>
          <w:color w:val="auto"/>
        </w:rPr>
        <w:t>工程量清单综合单价分析表（表</w:t>
      </w:r>
      <w:r>
        <w:rPr>
          <w:color w:val="auto"/>
        </w:rPr>
        <w:t>-09</w:t>
      </w:r>
      <w:r>
        <w:rPr>
          <w:rFonts w:hint="eastAsia" w:cs="宋体"/>
          <w:color w:val="auto"/>
        </w:rPr>
        <w:t>）</w:t>
      </w:r>
    </w:p>
    <w:p w14:paraId="07C97B81">
      <w:pPr>
        <w:spacing w:line="360" w:lineRule="auto"/>
        <w:ind w:firstLine="630" w:firstLineChars="300"/>
        <w:rPr>
          <w:color w:val="auto"/>
        </w:rPr>
      </w:pPr>
      <w:r>
        <w:rPr>
          <w:color w:val="auto"/>
        </w:rPr>
        <w:t xml:space="preserve">1.9 </w:t>
      </w:r>
      <w:r>
        <w:rPr>
          <w:rFonts w:hint="eastAsia" w:cs="宋体"/>
          <w:color w:val="auto"/>
        </w:rPr>
        <w:t>主要清单项目工料机分析表（表</w:t>
      </w:r>
      <w:r>
        <w:rPr>
          <w:color w:val="auto"/>
        </w:rPr>
        <w:t>-10</w:t>
      </w:r>
      <w:r>
        <w:rPr>
          <w:rFonts w:hint="eastAsia" w:cs="宋体"/>
          <w:color w:val="auto"/>
        </w:rPr>
        <w:t>）【备注：可按要求有选择的提供】</w:t>
      </w:r>
    </w:p>
    <w:p w14:paraId="38A1872A">
      <w:pPr>
        <w:spacing w:line="360" w:lineRule="auto"/>
        <w:ind w:firstLine="630" w:firstLineChars="300"/>
        <w:rPr>
          <w:color w:val="auto"/>
        </w:rPr>
      </w:pPr>
      <w:r>
        <w:rPr>
          <w:color w:val="auto"/>
        </w:rPr>
        <w:t xml:space="preserve">1.10 </w:t>
      </w:r>
      <w:r>
        <w:rPr>
          <w:rFonts w:hint="eastAsia" w:cs="宋体"/>
          <w:color w:val="auto"/>
        </w:rPr>
        <w:t>总价措施项目清单与计价表（表</w:t>
      </w:r>
      <w:r>
        <w:rPr>
          <w:color w:val="auto"/>
        </w:rPr>
        <w:t>-11</w:t>
      </w:r>
      <w:r>
        <w:rPr>
          <w:rFonts w:hint="eastAsia" w:cs="宋体"/>
          <w:color w:val="auto"/>
        </w:rPr>
        <w:t>）</w:t>
      </w:r>
    </w:p>
    <w:p w14:paraId="5ADE28A8">
      <w:pPr>
        <w:spacing w:line="360" w:lineRule="auto"/>
        <w:ind w:firstLine="630" w:firstLineChars="300"/>
        <w:rPr>
          <w:color w:val="auto"/>
        </w:rPr>
      </w:pPr>
      <w:r>
        <w:rPr>
          <w:color w:val="auto"/>
        </w:rPr>
        <w:t xml:space="preserve">1.11 </w:t>
      </w:r>
      <w:r>
        <w:rPr>
          <w:rFonts w:hint="eastAsia" w:cs="宋体"/>
          <w:color w:val="auto"/>
        </w:rPr>
        <w:t>其他项目清单与计价汇总表（表</w:t>
      </w:r>
      <w:r>
        <w:rPr>
          <w:color w:val="auto"/>
        </w:rPr>
        <w:t>-12</w:t>
      </w:r>
      <w:r>
        <w:rPr>
          <w:rFonts w:hint="eastAsia" w:cs="宋体"/>
          <w:color w:val="auto"/>
        </w:rPr>
        <w:t>）</w:t>
      </w:r>
    </w:p>
    <w:p w14:paraId="1C6F2D39">
      <w:pPr>
        <w:spacing w:line="360" w:lineRule="auto"/>
        <w:ind w:firstLine="630" w:firstLineChars="300"/>
        <w:rPr>
          <w:color w:val="auto"/>
        </w:rPr>
      </w:pPr>
      <w:r>
        <w:rPr>
          <w:color w:val="auto"/>
        </w:rPr>
        <w:t xml:space="preserve">1.12 </w:t>
      </w:r>
      <w:r>
        <w:rPr>
          <w:rFonts w:hint="eastAsia" w:cs="宋体"/>
          <w:color w:val="auto"/>
        </w:rPr>
        <w:t>暂列金额明细表（表</w:t>
      </w:r>
      <w:r>
        <w:rPr>
          <w:color w:val="auto"/>
        </w:rPr>
        <w:t>12-1</w:t>
      </w:r>
      <w:r>
        <w:rPr>
          <w:rFonts w:hint="eastAsia" w:cs="宋体"/>
          <w:color w:val="auto"/>
        </w:rPr>
        <w:t>）</w:t>
      </w:r>
    </w:p>
    <w:p w14:paraId="72125002">
      <w:pPr>
        <w:spacing w:line="360" w:lineRule="auto"/>
        <w:ind w:firstLine="630" w:firstLineChars="300"/>
        <w:rPr>
          <w:color w:val="auto"/>
        </w:rPr>
      </w:pPr>
      <w:r>
        <w:rPr>
          <w:color w:val="auto"/>
        </w:rPr>
        <w:t xml:space="preserve">1.13 </w:t>
      </w:r>
      <w:r>
        <w:rPr>
          <w:rFonts w:hint="eastAsia" w:cs="宋体"/>
          <w:color w:val="auto"/>
        </w:rPr>
        <w:t>材料（工程设备）暂估单价及调整表（表</w:t>
      </w:r>
      <w:r>
        <w:rPr>
          <w:color w:val="auto"/>
        </w:rPr>
        <w:t>12-2</w:t>
      </w:r>
      <w:r>
        <w:rPr>
          <w:rFonts w:hint="eastAsia" w:cs="宋体"/>
          <w:color w:val="auto"/>
        </w:rPr>
        <w:t>）</w:t>
      </w:r>
    </w:p>
    <w:p w14:paraId="219F294F">
      <w:pPr>
        <w:spacing w:line="360" w:lineRule="auto"/>
        <w:ind w:firstLine="630" w:firstLineChars="300"/>
        <w:rPr>
          <w:color w:val="auto"/>
        </w:rPr>
      </w:pPr>
      <w:r>
        <w:rPr>
          <w:color w:val="auto"/>
        </w:rPr>
        <w:t xml:space="preserve">1.14 </w:t>
      </w:r>
      <w:r>
        <w:rPr>
          <w:rFonts w:hint="eastAsia" w:cs="宋体"/>
          <w:color w:val="auto"/>
        </w:rPr>
        <w:t>专业工程暂估价及结算价表（表</w:t>
      </w:r>
      <w:r>
        <w:rPr>
          <w:color w:val="auto"/>
        </w:rPr>
        <w:t>12-3</w:t>
      </w:r>
      <w:r>
        <w:rPr>
          <w:rFonts w:hint="eastAsia" w:cs="宋体"/>
          <w:color w:val="auto"/>
        </w:rPr>
        <w:t>）</w:t>
      </w:r>
    </w:p>
    <w:p w14:paraId="102951CB">
      <w:pPr>
        <w:spacing w:line="360" w:lineRule="auto"/>
        <w:ind w:firstLine="630" w:firstLineChars="300"/>
        <w:rPr>
          <w:color w:val="auto"/>
        </w:rPr>
      </w:pPr>
      <w:r>
        <w:rPr>
          <w:color w:val="auto"/>
        </w:rPr>
        <w:t>1.15</w:t>
      </w:r>
      <w:r>
        <w:rPr>
          <w:rFonts w:hint="eastAsia" w:cs="宋体"/>
          <w:color w:val="auto"/>
        </w:rPr>
        <w:t>计日工表（表</w:t>
      </w:r>
      <w:r>
        <w:rPr>
          <w:color w:val="auto"/>
        </w:rPr>
        <w:t>12-4</w:t>
      </w:r>
      <w:r>
        <w:rPr>
          <w:rFonts w:hint="eastAsia" w:cs="宋体"/>
          <w:color w:val="auto"/>
        </w:rPr>
        <w:t>）</w:t>
      </w:r>
    </w:p>
    <w:p w14:paraId="07956FAB">
      <w:pPr>
        <w:spacing w:line="360" w:lineRule="auto"/>
        <w:ind w:firstLine="630" w:firstLineChars="300"/>
        <w:rPr>
          <w:color w:val="auto"/>
        </w:rPr>
      </w:pPr>
      <w:r>
        <w:rPr>
          <w:color w:val="auto"/>
        </w:rPr>
        <w:t xml:space="preserve">1.16 </w:t>
      </w:r>
      <w:r>
        <w:rPr>
          <w:rFonts w:hint="eastAsia" w:cs="宋体"/>
          <w:color w:val="auto"/>
        </w:rPr>
        <w:t>总承包服务费计价表（表</w:t>
      </w:r>
      <w:r>
        <w:rPr>
          <w:color w:val="auto"/>
        </w:rPr>
        <w:t>12-5</w:t>
      </w:r>
      <w:r>
        <w:rPr>
          <w:rFonts w:hint="eastAsia" w:cs="宋体"/>
          <w:color w:val="auto"/>
        </w:rPr>
        <w:t>）</w:t>
      </w:r>
    </w:p>
    <w:p w14:paraId="347B74A7">
      <w:pPr>
        <w:spacing w:line="360" w:lineRule="auto"/>
        <w:ind w:firstLine="630" w:firstLineChars="300"/>
        <w:rPr>
          <w:color w:val="auto"/>
        </w:rPr>
      </w:pPr>
      <w:r>
        <w:rPr>
          <w:color w:val="auto"/>
        </w:rPr>
        <w:t xml:space="preserve">1.17 </w:t>
      </w:r>
      <w:r>
        <w:rPr>
          <w:rFonts w:hint="eastAsia" w:cs="宋体"/>
          <w:color w:val="auto"/>
        </w:rPr>
        <w:t>税前项目清单与计价表（表</w:t>
      </w:r>
      <w:r>
        <w:rPr>
          <w:color w:val="auto"/>
        </w:rPr>
        <w:t>-14</w:t>
      </w:r>
      <w:r>
        <w:rPr>
          <w:rFonts w:hint="eastAsia" w:cs="宋体"/>
          <w:color w:val="auto"/>
        </w:rPr>
        <w:t>）</w:t>
      </w:r>
    </w:p>
    <w:p w14:paraId="40730812">
      <w:pPr>
        <w:spacing w:line="360" w:lineRule="auto"/>
        <w:ind w:firstLine="630" w:firstLineChars="300"/>
        <w:rPr>
          <w:color w:val="auto"/>
        </w:rPr>
      </w:pPr>
      <w:r>
        <w:rPr>
          <w:color w:val="auto"/>
        </w:rPr>
        <w:t xml:space="preserve">1.18 </w:t>
      </w:r>
      <w:r>
        <w:rPr>
          <w:rFonts w:hint="eastAsia" w:cs="宋体"/>
          <w:color w:val="auto"/>
        </w:rPr>
        <w:t>规费、增值税计价表（表</w:t>
      </w:r>
      <w:r>
        <w:rPr>
          <w:color w:val="auto"/>
        </w:rPr>
        <w:t>-15</w:t>
      </w:r>
      <w:r>
        <w:rPr>
          <w:rFonts w:hint="eastAsia" w:cs="宋体"/>
          <w:color w:val="auto"/>
        </w:rPr>
        <w:t>）</w:t>
      </w:r>
    </w:p>
    <w:p w14:paraId="1D9BBD52">
      <w:pPr>
        <w:spacing w:line="360" w:lineRule="auto"/>
        <w:ind w:firstLine="630" w:firstLineChars="300"/>
        <w:rPr>
          <w:color w:val="auto"/>
        </w:rPr>
      </w:pPr>
      <w:r>
        <w:rPr>
          <w:color w:val="auto"/>
        </w:rPr>
        <w:t xml:space="preserve">1.19 </w:t>
      </w:r>
      <w:r>
        <w:rPr>
          <w:rFonts w:hint="eastAsia" w:cs="宋体"/>
          <w:color w:val="auto"/>
        </w:rPr>
        <w:t>发包人提供主要材料和工程设备一览表（表</w:t>
      </w:r>
      <w:r>
        <w:rPr>
          <w:color w:val="auto"/>
        </w:rPr>
        <w:t>-21</w:t>
      </w:r>
      <w:r>
        <w:rPr>
          <w:rFonts w:hint="eastAsia" w:cs="宋体"/>
          <w:color w:val="auto"/>
        </w:rPr>
        <w:t>）</w:t>
      </w:r>
    </w:p>
    <w:p w14:paraId="2D6180C5">
      <w:pPr>
        <w:spacing w:line="360" w:lineRule="auto"/>
        <w:ind w:firstLine="630" w:firstLineChars="300"/>
        <w:rPr>
          <w:color w:val="auto"/>
        </w:rPr>
      </w:pPr>
      <w:r>
        <w:rPr>
          <w:color w:val="auto"/>
        </w:rPr>
        <w:t xml:space="preserve">1.20 </w:t>
      </w:r>
      <w:r>
        <w:rPr>
          <w:rFonts w:hint="eastAsia" w:cs="宋体"/>
          <w:color w:val="auto"/>
        </w:rPr>
        <w:t>允许调整主要材料和工程设备一览表（适用于造价信息差额调整法）（表</w:t>
      </w:r>
      <w:r>
        <w:rPr>
          <w:color w:val="auto"/>
        </w:rPr>
        <w:t>-22</w:t>
      </w:r>
      <w:r>
        <w:rPr>
          <w:rFonts w:hint="eastAsia" w:cs="宋体"/>
          <w:color w:val="auto"/>
        </w:rPr>
        <w:t>）</w:t>
      </w:r>
    </w:p>
    <w:p w14:paraId="03D99C07">
      <w:pPr>
        <w:spacing w:line="360" w:lineRule="auto"/>
        <w:ind w:firstLine="630" w:firstLineChars="300"/>
        <w:rPr>
          <w:color w:val="auto"/>
        </w:rPr>
      </w:pPr>
      <w:r>
        <w:rPr>
          <w:color w:val="auto"/>
        </w:rPr>
        <w:t xml:space="preserve">1.21 </w:t>
      </w:r>
      <w:r>
        <w:rPr>
          <w:rFonts w:hint="eastAsia" w:cs="宋体"/>
          <w:color w:val="auto"/>
        </w:rPr>
        <w:t>允许调整主要材料和工程设备一览表（适用于价格指数差额调整法）（表</w:t>
      </w:r>
      <w:r>
        <w:rPr>
          <w:color w:val="auto"/>
        </w:rPr>
        <w:t>-23</w:t>
      </w:r>
      <w:r>
        <w:rPr>
          <w:rFonts w:hint="eastAsia" w:cs="宋体"/>
          <w:color w:val="auto"/>
        </w:rPr>
        <w:t>）</w:t>
      </w:r>
    </w:p>
    <w:p w14:paraId="78B550C6">
      <w:pPr>
        <w:spacing w:line="360" w:lineRule="auto"/>
        <w:ind w:firstLine="630" w:firstLineChars="300"/>
        <w:rPr>
          <w:color w:val="auto"/>
        </w:rPr>
      </w:pPr>
      <w:r>
        <w:rPr>
          <w:rFonts w:hint="eastAsia"/>
          <w:color w:val="auto"/>
        </w:rPr>
        <w:t>1.22</w:t>
      </w:r>
      <w:r>
        <w:rPr>
          <w:rFonts w:hint="eastAsia" w:cs="宋体"/>
          <w:color w:val="auto"/>
        </w:rPr>
        <w:t>本工程</w:t>
      </w:r>
      <w:r>
        <w:rPr>
          <w:rFonts w:cs="宋体"/>
          <w:color w:val="auto"/>
        </w:rPr>
        <w:t>材料和工程设备</w:t>
      </w:r>
      <w:r>
        <w:rPr>
          <w:rFonts w:hint="eastAsia" w:cs="宋体"/>
          <w:color w:val="auto"/>
        </w:rPr>
        <w:t>一览表（表-24）</w:t>
      </w:r>
    </w:p>
    <w:p w14:paraId="270CFFC0">
      <w:pPr>
        <w:spacing w:line="360" w:lineRule="auto"/>
        <w:rPr>
          <w:color w:val="auto"/>
        </w:rPr>
      </w:pPr>
      <w:r>
        <w:rPr>
          <w:rFonts w:hint="eastAsia" w:cs="宋体"/>
          <w:color w:val="auto"/>
        </w:rPr>
        <w:t>备注：</w:t>
      </w:r>
    </w:p>
    <w:p w14:paraId="249FE7EA">
      <w:pPr>
        <w:spacing w:line="360" w:lineRule="auto"/>
        <w:ind w:firstLine="420" w:firstLineChars="200"/>
        <w:rPr>
          <w:color w:val="auto"/>
        </w:rPr>
      </w:pPr>
      <w:r>
        <w:rPr>
          <w:rFonts w:hint="eastAsia" w:cs="宋体"/>
          <w:color w:val="auto"/>
        </w:rPr>
        <w:t>（</w:t>
      </w:r>
      <w:r>
        <w:rPr>
          <w:color w:val="auto"/>
        </w:rPr>
        <w:t>1</w:t>
      </w:r>
      <w:r>
        <w:rPr>
          <w:rFonts w:hint="eastAsia" w:cs="宋体"/>
          <w:color w:val="auto"/>
        </w:rPr>
        <w:t>）供应商在上传竞标报价文件时应上传纸质竞标总价封面的原件扫描件。报标总价封面必须经供应商盖章，并由法定代表人（或其授权人）签字（或盖章），同时由编制人签字盖专用章。</w:t>
      </w:r>
    </w:p>
    <w:p w14:paraId="464B6146">
      <w:pPr>
        <w:spacing w:line="360" w:lineRule="auto"/>
        <w:ind w:firstLine="420" w:firstLineChars="200"/>
        <w:rPr>
          <w:color w:val="auto"/>
        </w:rPr>
      </w:pPr>
      <w:r>
        <w:rPr>
          <w:rFonts w:hint="eastAsia" w:cs="宋体"/>
          <w:color w:val="auto"/>
        </w:rPr>
        <w:t>（</w:t>
      </w:r>
      <w:r>
        <w:rPr>
          <w:color w:val="auto"/>
        </w:rPr>
        <w:t>2</w:t>
      </w:r>
      <w:r>
        <w:rPr>
          <w:rFonts w:hint="eastAsia" w:cs="宋体"/>
          <w:color w:val="auto"/>
        </w:rPr>
        <w:t>）</w:t>
      </w:r>
      <w:r>
        <w:rPr>
          <w:color w:val="auto"/>
        </w:rPr>
        <w:t>1.8</w:t>
      </w:r>
      <w:r>
        <w:rPr>
          <w:rFonts w:hint="eastAsia" w:cs="宋体"/>
          <w:color w:val="auto"/>
        </w:rPr>
        <w:t>工程量清单综合单价分析表和</w:t>
      </w:r>
      <w:r>
        <w:rPr>
          <w:color w:val="auto"/>
        </w:rPr>
        <w:t>1.9</w:t>
      </w:r>
      <w:r>
        <w:rPr>
          <w:rFonts w:hint="eastAsia" w:cs="宋体"/>
          <w:color w:val="auto"/>
        </w:rPr>
        <w:t>主要清单项目工料机分析表要求附上。</w:t>
      </w:r>
    </w:p>
    <w:p w14:paraId="33D5BB32">
      <w:pPr>
        <w:spacing w:line="360" w:lineRule="auto"/>
        <w:ind w:firstLine="420" w:firstLineChars="200"/>
        <w:rPr>
          <w:color w:val="auto"/>
        </w:rPr>
      </w:pPr>
      <w:r>
        <w:rPr>
          <w:rFonts w:hint="eastAsia" w:cs="宋体"/>
          <w:color w:val="auto"/>
        </w:rPr>
        <w:t>（</w:t>
      </w:r>
      <w:r>
        <w:rPr>
          <w:color w:val="auto"/>
        </w:rPr>
        <w:t>3</w:t>
      </w:r>
      <w:r>
        <w:rPr>
          <w:rFonts w:hint="eastAsia" w:cs="宋体"/>
          <w:color w:val="auto"/>
        </w:rPr>
        <w:t>）已标价工程量清单表格要严格按照采购工程量清单给出的表格要求和内容填报。如本工程在合同中约定采用造价信息价差调整法，1.</w:t>
      </w:r>
      <w:r>
        <w:rPr>
          <w:color w:val="auto"/>
        </w:rPr>
        <w:t xml:space="preserve">18 </w:t>
      </w:r>
      <w:r>
        <w:rPr>
          <w:rFonts w:hint="eastAsia" w:cs="宋体"/>
          <w:color w:val="auto"/>
        </w:rPr>
        <w:t>允许调整主要材料和工程设备一览表（适用于造价信息差额调整法）（表</w:t>
      </w:r>
      <w:r>
        <w:rPr>
          <w:color w:val="auto"/>
        </w:rPr>
        <w:t>-22</w:t>
      </w:r>
      <w:r>
        <w:rPr>
          <w:rFonts w:hint="eastAsia" w:cs="宋体"/>
          <w:color w:val="auto"/>
        </w:rPr>
        <w:t>）载明的主要材料和工程设备为本工程允许调整的材料和工程设备，采购工程量清单必须提供该表格，且不能提供空白表。以下表格视工程实际需要选用，如该工程不发生如下表格相关项目和费用，采购工程量清单不应列入该部分表格，已标价工程量清单亦不包括这部分表格。</w:t>
      </w:r>
    </w:p>
    <w:p w14:paraId="15351A1A">
      <w:pPr>
        <w:spacing w:line="360" w:lineRule="auto"/>
        <w:ind w:firstLine="420" w:firstLineChars="200"/>
        <w:rPr>
          <w:color w:val="auto"/>
        </w:rPr>
      </w:pPr>
      <w:r>
        <w:rPr>
          <w:rFonts w:hint="eastAsia" w:ascii="宋体" w:hAnsi="宋体" w:cs="宋体"/>
          <w:color w:val="auto"/>
        </w:rPr>
        <w:t>①</w:t>
      </w:r>
      <w:r>
        <w:rPr>
          <w:rFonts w:hint="eastAsia" w:cs="宋体"/>
          <w:color w:val="auto"/>
        </w:rPr>
        <w:t>建设项目竞标报价汇总表（表</w:t>
      </w:r>
      <w:r>
        <w:rPr>
          <w:color w:val="auto"/>
        </w:rPr>
        <w:t>-02</w:t>
      </w:r>
      <w:r>
        <w:rPr>
          <w:rFonts w:hint="eastAsia" w:cs="宋体"/>
          <w:color w:val="auto"/>
        </w:rPr>
        <w:t>）</w:t>
      </w:r>
    </w:p>
    <w:p w14:paraId="1A4951C2">
      <w:pPr>
        <w:spacing w:line="360" w:lineRule="auto"/>
        <w:ind w:firstLine="420" w:firstLineChars="200"/>
        <w:rPr>
          <w:color w:val="auto"/>
        </w:rPr>
      </w:pPr>
      <w:r>
        <w:rPr>
          <w:rFonts w:hint="eastAsia" w:cs="宋体"/>
          <w:color w:val="auto"/>
        </w:rPr>
        <w:t>②暂列金额明细表（表</w:t>
      </w:r>
      <w:r>
        <w:rPr>
          <w:color w:val="auto"/>
        </w:rPr>
        <w:t>12-1</w:t>
      </w:r>
      <w:r>
        <w:rPr>
          <w:rFonts w:hint="eastAsia" w:cs="宋体"/>
          <w:color w:val="auto"/>
        </w:rPr>
        <w:t>）</w:t>
      </w:r>
    </w:p>
    <w:p w14:paraId="5349AF71">
      <w:pPr>
        <w:spacing w:line="360" w:lineRule="auto"/>
        <w:ind w:firstLine="420" w:firstLineChars="200"/>
        <w:rPr>
          <w:color w:val="auto"/>
        </w:rPr>
      </w:pPr>
      <w:r>
        <w:rPr>
          <w:rFonts w:hint="eastAsia" w:cs="宋体"/>
          <w:color w:val="auto"/>
        </w:rPr>
        <w:t>③材料（工程设备）暂估单位及调整表（表</w:t>
      </w:r>
      <w:r>
        <w:rPr>
          <w:color w:val="auto"/>
        </w:rPr>
        <w:t>12-2</w:t>
      </w:r>
      <w:r>
        <w:rPr>
          <w:rFonts w:hint="eastAsia" w:cs="宋体"/>
          <w:color w:val="auto"/>
        </w:rPr>
        <w:t>）</w:t>
      </w:r>
    </w:p>
    <w:p w14:paraId="2A59A392">
      <w:pPr>
        <w:spacing w:line="360" w:lineRule="auto"/>
        <w:ind w:firstLine="420" w:firstLineChars="200"/>
        <w:rPr>
          <w:color w:val="auto"/>
        </w:rPr>
      </w:pPr>
      <w:r>
        <w:rPr>
          <w:rFonts w:hint="eastAsia" w:cs="宋体"/>
          <w:color w:val="auto"/>
        </w:rPr>
        <w:t>④专业工程暂估价及结算价表（表</w:t>
      </w:r>
      <w:r>
        <w:rPr>
          <w:color w:val="auto"/>
        </w:rPr>
        <w:t>12-3</w:t>
      </w:r>
      <w:r>
        <w:rPr>
          <w:rFonts w:hint="eastAsia" w:cs="宋体"/>
          <w:color w:val="auto"/>
        </w:rPr>
        <w:t>）</w:t>
      </w:r>
    </w:p>
    <w:p w14:paraId="7A7F1037">
      <w:pPr>
        <w:spacing w:line="360" w:lineRule="auto"/>
        <w:ind w:firstLine="420" w:firstLineChars="200"/>
        <w:rPr>
          <w:color w:val="auto"/>
        </w:rPr>
      </w:pPr>
      <w:r>
        <w:rPr>
          <w:rFonts w:hint="eastAsia" w:cs="宋体"/>
          <w:color w:val="auto"/>
        </w:rPr>
        <w:t>⑤计日工表表</w:t>
      </w:r>
      <w:r>
        <w:rPr>
          <w:color w:val="auto"/>
        </w:rPr>
        <w:t>12-4</w:t>
      </w:r>
      <w:r>
        <w:rPr>
          <w:rFonts w:hint="eastAsia" w:cs="宋体"/>
          <w:color w:val="auto"/>
        </w:rPr>
        <w:t>）</w:t>
      </w:r>
    </w:p>
    <w:p w14:paraId="0760712A">
      <w:pPr>
        <w:spacing w:line="360" w:lineRule="auto"/>
        <w:ind w:firstLine="420" w:firstLineChars="200"/>
        <w:rPr>
          <w:color w:val="auto"/>
        </w:rPr>
      </w:pPr>
      <w:r>
        <w:rPr>
          <w:rFonts w:hint="eastAsia" w:cs="宋体"/>
          <w:color w:val="auto"/>
        </w:rPr>
        <w:t>⑥总承包服务费计价表（表</w:t>
      </w:r>
      <w:r>
        <w:rPr>
          <w:color w:val="auto"/>
        </w:rPr>
        <w:t>12-5</w:t>
      </w:r>
      <w:r>
        <w:rPr>
          <w:rFonts w:hint="eastAsia" w:cs="宋体"/>
          <w:color w:val="auto"/>
        </w:rPr>
        <w:t>）</w:t>
      </w:r>
    </w:p>
    <w:p w14:paraId="353D9C5C">
      <w:pPr>
        <w:spacing w:line="360" w:lineRule="auto"/>
        <w:ind w:firstLine="420" w:firstLineChars="200"/>
        <w:rPr>
          <w:color w:val="auto"/>
        </w:rPr>
      </w:pPr>
      <w:r>
        <w:rPr>
          <w:rFonts w:hint="eastAsia" w:cs="宋体"/>
          <w:color w:val="auto"/>
        </w:rPr>
        <w:t>⑦税前项目清单与计价表（表</w:t>
      </w:r>
      <w:r>
        <w:rPr>
          <w:color w:val="auto"/>
        </w:rPr>
        <w:t>-14</w:t>
      </w:r>
      <w:r>
        <w:rPr>
          <w:rFonts w:hint="eastAsia" w:cs="宋体"/>
          <w:color w:val="auto"/>
        </w:rPr>
        <w:t>）</w:t>
      </w:r>
    </w:p>
    <w:p w14:paraId="544E2EA2">
      <w:pPr>
        <w:spacing w:line="360" w:lineRule="auto"/>
        <w:ind w:firstLine="420" w:firstLineChars="200"/>
        <w:rPr>
          <w:rFonts w:cs="宋体"/>
          <w:color w:val="auto"/>
        </w:rPr>
      </w:pPr>
      <w:r>
        <w:rPr>
          <w:color w:val="auto"/>
        </w:rPr>
        <w:fldChar w:fldCharType="begin"/>
      </w:r>
      <w:r>
        <w:rPr>
          <w:color w:val="auto"/>
        </w:rPr>
        <w:instrText xml:space="preserve"> </w:instrText>
      </w:r>
      <w:r>
        <w:rPr>
          <w:rFonts w:hint="eastAsia"/>
          <w:color w:val="auto"/>
        </w:rPr>
        <w:instrText xml:space="preserve">= 8 \* GB3</w:instrText>
      </w:r>
      <w:r>
        <w:rPr>
          <w:color w:val="auto"/>
        </w:rPr>
        <w:instrText xml:space="preserve"> </w:instrText>
      </w:r>
      <w:r>
        <w:rPr>
          <w:color w:val="auto"/>
        </w:rPr>
        <w:fldChar w:fldCharType="separate"/>
      </w:r>
      <w:r>
        <w:rPr>
          <w:rFonts w:hint="eastAsia"/>
          <w:color w:val="auto"/>
        </w:rPr>
        <w:t>⑧</w:t>
      </w:r>
      <w:r>
        <w:rPr>
          <w:color w:val="auto"/>
        </w:rPr>
        <w:fldChar w:fldCharType="end"/>
      </w:r>
      <w:r>
        <w:rPr>
          <w:color w:val="auto"/>
        </w:rPr>
        <w:t xml:space="preserve"> </w:t>
      </w:r>
      <w:r>
        <w:rPr>
          <w:rFonts w:hint="eastAsia" w:cs="宋体"/>
          <w:color w:val="auto"/>
        </w:rPr>
        <w:t>允许调整主要材料和工程设备一览表（适用于价格指数差额调整法）（表</w:t>
      </w:r>
      <w:r>
        <w:rPr>
          <w:color w:val="auto"/>
        </w:rPr>
        <w:t>-23</w:t>
      </w:r>
      <w:r>
        <w:rPr>
          <w:rFonts w:hint="eastAsia" w:cs="宋体"/>
          <w:color w:val="auto"/>
        </w:rPr>
        <w:t>）</w:t>
      </w:r>
    </w:p>
    <w:p w14:paraId="4ADFD088">
      <w:pPr>
        <w:spacing w:line="360" w:lineRule="auto"/>
        <w:ind w:firstLine="420" w:firstLineChars="200"/>
        <w:contextualSpacing/>
        <w:jc w:val="left"/>
        <w:rPr>
          <w:rFonts w:hAnsi="宋体" w:cs="宋体"/>
          <w:color w:val="auto"/>
          <w:kern w:val="0"/>
        </w:rPr>
      </w:pPr>
      <w:r>
        <w:rPr>
          <w:rFonts w:hint="eastAsia" w:cs="宋体"/>
          <w:color w:val="auto"/>
        </w:rPr>
        <w:t>注：</w:t>
      </w:r>
      <w:r>
        <w:rPr>
          <w:rFonts w:hint="eastAsia" w:hAnsi="宋体" w:cs="宋体"/>
          <w:color w:val="auto"/>
          <w:kern w:val="0"/>
        </w:rPr>
        <w:t>因2021年《广西壮族自治区园林绿化及仿古建筑工程费用定额》采用全费用综合单价形式，故园林绿化及仿古建筑工程的已标价工程量清单</w:t>
      </w:r>
      <w:r>
        <w:rPr>
          <w:rFonts w:hint="eastAsia" w:cs="黑体"/>
          <w:color w:val="auto"/>
        </w:rPr>
        <w:t>采用</w:t>
      </w:r>
      <w:r>
        <w:rPr>
          <w:rFonts w:hint="eastAsia" w:hAnsi="宋体" w:cs="宋体"/>
          <w:color w:val="auto"/>
          <w:kern w:val="0"/>
        </w:rPr>
        <w:t>《自治区住房和城乡建设厅关于建设工程造价改革试点项目招竞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EDC10A1">
      <w:pPr>
        <w:spacing w:line="360" w:lineRule="auto"/>
        <w:contextualSpacing/>
        <w:jc w:val="left"/>
        <w:rPr>
          <w:color w:val="auto"/>
        </w:rPr>
      </w:pPr>
    </w:p>
    <w:p w14:paraId="28EB65E9">
      <w:pPr>
        <w:spacing w:line="360" w:lineRule="auto"/>
        <w:ind w:firstLine="643" w:firstLineChars="200"/>
        <w:contextualSpacing/>
        <w:jc w:val="center"/>
        <w:rPr>
          <w:rFonts w:ascii="宋体" w:hAnsi="宋体"/>
          <w:b/>
          <w:color w:val="auto"/>
          <w:sz w:val="32"/>
          <w:szCs w:val="32"/>
        </w:rPr>
      </w:pPr>
      <w:r>
        <w:rPr>
          <w:rFonts w:ascii="宋体" w:hAnsi="宋体"/>
          <w:b/>
          <w:bCs/>
          <w:color w:val="auto"/>
          <w:sz w:val="32"/>
          <w:szCs w:val="32"/>
        </w:rPr>
        <w:br w:type="page"/>
      </w:r>
      <w:r>
        <w:rPr>
          <w:rFonts w:hint="eastAsia" w:ascii="宋体" w:hAnsi="宋体"/>
          <w:b/>
          <w:bCs/>
          <w:color w:val="auto"/>
          <w:sz w:val="32"/>
          <w:szCs w:val="32"/>
        </w:rPr>
        <w:t>三、</w:t>
      </w:r>
      <w:r>
        <w:rPr>
          <w:rFonts w:hint="eastAsia" w:ascii="宋体" w:hAnsi="宋体"/>
          <w:b/>
          <w:color w:val="auto"/>
          <w:sz w:val="32"/>
          <w:szCs w:val="32"/>
        </w:rPr>
        <w:t>商务技术文件格式</w:t>
      </w:r>
    </w:p>
    <w:p w14:paraId="1B1DEA24">
      <w:pPr>
        <w:snapToGrid w:val="0"/>
        <w:spacing w:before="156"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14:paraId="195E34DB">
      <w:pPr>
        <w:snapToGrid w:val="0"/>
        <w:spacing w:before="156" w:beforeLines="50" w:after="50"/>
        <w:rPr>
          <w:rFonts w:ascii="宋体" w:hAnsi="宋体"/>
          <w:bCs/>
          <w:color w:val="auto"/>
          <w:sz w:val="32"/>
          <w:szCs w:val="20"/>
        </w:rPr>
      </w:pPr>
      <w:r>
        <w:rPr>
          <w:rFonts w:hint="eastAsia" w:ascii="宋体" w:hAnsi="宋体"/>
          <w:color w:val="auto"/>
          <w:sz w:val="24"/>
        </w:rPr>
        <w:t xml:space="preserve">                                                    </w:t>
      </w:r>
    </w:p>
    <w:p w14:paraId="2F8978F7">
      <w:pPr>
        <w:snapToGrid w:val="0"/>
        <w:spacing w:before="156" w:beforeLines="50" w:after="50"/>
        <w:jc w:val="center"/>
        <w:rPr>
          <w:rFonts w:ascii="宋体" w:hAnsi="宋体"/>
          <w:color w:val="auto"/>
          <w:sz w:val="24"/>
          <w:szCs w:val="20"/>
        </w:rPr>
      </w:pPr>
      <w:r>
        <w:rPr>
          <w:rFonts w:hint="eastAsia" w:ascii="宋体" w:hAnsi="宋体"/>
          <w:color w:val="auto"/>
          <w:sz w:val="44"/>
          <w:szCs w:val="44"/>
        </w:rPr>
        <w:t>电 子 响 应 文 件</w:t>
      </w:r>
    </w:p>
    <w:p w14:paraId="01AAB23A">
      <w:pPr>
        <w:snapToGrid w:val="0"/>
        <w:spacing w:before="156" w:beforeLines="50" w:after="50"/>
        <w:rPr>
          <w:rFonts w:ascii="宋体" w:hAnsi="宋体"/>
          <w:color w:val="auto"/>
          <w:sz w:val="24"/>
          <w:szCs w:val="20"/>
        </w:rPr>
      </w:pPr>
    </w:p>
    <w:p w14:paraId="45C039F5">
      <w:pPr>
        <w:snapToGrid w:val="0"/>
        <w:spacing w:before="156" w:beforeLines="50" w:after="50"/>
        <w:rPr>
          <w:rFonts w:ascii="宋体" w:hAnsi="宋体"/>
          <w:color w:val="auto"/>
          <w:sz w:val="24"/>
          <w:szCs w:val="20"/>
        </w:rPr>
      </w:pPr>
    </w:p>
    <w:p w14:paraId="3AEFFB7B">
      <w:pPr>
        <w:snapToGrid w:val="0"/>
        <w:spacing w:before="156" w:beforeLines="50" w:after="50"/>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商  务  技  术  文  件</w:t>
      </w:r>
    </w:p>
    <w:p w14:paraId="3A6DE222">
      <w:pPr>
        <w:snapToGrid w:val="0"/>
        <w:spacing w:before="156" w:beforeLines="50" w:after="50"/>
        <w:rPr>
          <w:rFonts w:ascii="宋体" w:hAnsi="宋体"/>
          <w:bCs/>
          <w:color w:val="auto"/>
          <w:sz w:val="24"/>
          <w:szCs w:val="20"/>
        </w:rPr>
      </w:pPr>
    </w:p>
    <w:p w14:paraId="7E84EA69">
      <w:pPr>
        <w:snapToGrid w:val="0"/>
        <w:spacing w:before="156" w:beforeLines="50" w:after="50"/>
        <w:rPr>
          <w:rFonts w:ascii="宋体" w:hAnsi="宋体"/>
          <w:bCs/>
          <w:color w:val="auto"/>
          <w:sz w:val="24"/>
          <w:szCs w:val="20"/>
        </w:rPr>
      </w:pPr>
    </w:p>
    <w:p w14:paraId="0F986C3C">
      <w:pPr>
        <w:snapToGrid w:val="0"/>
        <w:spacing w:before="156" w:beforeLines="50" w:after="50"/>
        <w:rPr>
          <w:rFonts w:ascii="宋体" w:hAnsi="宋体"/>
          <w:bCs/>
          <w:color w:val="auto"/>
          <w:sz w:val="24"/>
          <w:szCs w:val="20"/>
        </w:rPr>
      </w:pPr>
    </w:p>
    <w:p w14:paraId="50368893">
      <w:pPr>
        <w:snapToGrid w:val="0"/>
        <w:spacing w:before="156" w:beforeLines="50" w:after="50"/>
        <w:rPr>
          <w:rFonts w:ascii="宋体" w:hAnsi="宋体"/>
          <w:bCs/>
          <w:color w:val="auto"/>
          <w:sz w:val="24"/>
          <w:szCs w:val="20"/>
        </w:rPr>
      </w:pPr>
    </w:p>
    <w:p w14:paraId="2A3D8AA1">
      <w:pPr>
        <w:snapToGrid w:val="0"/>
        <w:spacing w:before="156" w:beforeLines="50" w:after="50"/>
        <w:rPr>
          <w:rFonts w:ascii="宋体" w:hAnsi="宋体"/>
          <w:bCs/>
          <w:color w:val="auto"/>
          <w:sz w:val="24"/>
          <w:szCs w:val="20"/>
        </w:rPr>
      </w:pPr>
    </w:p>
    <w:p w14:paraId="415C8A3D">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430C00A6">
      <w:pPr>
        <w:snapToGrid w:val="0"/>
        <w:spacing w:before="156" w:beforeLines="50" w:after="50"/>
        <w:ind w:firstLine="720" w:firstLineChars="225"/>
        <w:rPr>
          <w:rFonts w:ascii="宋体" w:hAnsi="宋体" w:cs="仿宋_GB2312"/>
          <w:bCs/>
          <w:color w:val="auto"/>
          <w:sz w:val="32"/>
          <w:szCs w:val="32"/>
        </w:rPr>
      </w:pPr>
    </w:p>
    <w:p w14:paraId="26525BEF">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14:paraId="1264CA8A">
      <w:pPr>
        <w:snapToGrid w:val="0"/>
        <w:spacing w:before="156"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40BE893B">
      <w:pPr>
        <w:snapToGrid w:val="0"/>
        <w:spacing w:before="156"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75CF2CBF">
      <w:pPr>
        <w:snapToGrid w:val="0"/>
        <w:spacing w:before="156" w:beforeLines="50" w:after="50"/>
        <w:ind w:firstLine="720" w:firstLineChars="225"/>
        <w:rPr>
          <w:rFonts w:ascii="宋体" w:hAnsi="宋体" w:cs="仿宋_GB2312"/>
          <w:bCs/>
          <w:color w:val="auto"/>
          <w:sz w:val="32"/>
          <w:szCs w:val="32"/>
        </w:rPr>
      </w:pPr>
    </w:p>
    <w:p w14:paraId="4E5BD039">
      <w:pPr>
        <w:pStyle w:val="8"/>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14D54086">
      <w:pPr>
        <w:pStyle w:val="8"/>
        <w:snapToGrid w:val="0"/>
        <w:spacing w:before="50" w:after="50"/>
        <w:ind w:firstLine="640" w:firstLineChars="200"/>
        <w:rPr>
          <w:rFonts w:ascii="宋体" w:hAnsi="宋体" w:cs="仿宋_GB2312"/>
          <w:bCs/>
          <w:color w:val="auto"/>
          <w:sz w:val="32"/>
          <w:szCs w:val="32"/>
        </w:rPr>
      </w:pPr>
    </w:p>
    <w:p w14:paraId="21A0D264">
      <w:pPr>
        <w:pStyle w:val="8"/>
        <w:snapToGrid w:val="0"/>
        <w:spacing w:before="50" w:after="50"/>
        <w:ind w:firstLine="720" w:firstLineChars="225"/>
        <w:rPr>
          <w:rFonts w:ascii="宋体" w:hAnsi="宋体" w:cs="仿宋_GB2312"/>
          <w:bCs/>
          <w:color w:val="auto"/>
          <w:sz w:val="32"/>
          <w:szCs w:val="32"/>
        </w:rPr>
      </w:pPr>
    </w:p>
    <w:p w14:paraId="710457ED">
      <w:pPr>
        <w:pStyle w:val="8"/>
        <w:snapToGrid w:val="0"/>
        <w:spacing w:before="50" w:after="50"/>
        <w:ind w:firstLine="0"/>
        <w:rPr>
          <w:rFonts w:ascii="宋体" w:hAnsi="宋体" w:cs="仿宋_GB2312"/>
          <w:bCs/>
          <w:color w:val="auto"/>
          <w:sz w:val="32"/>
          <w:szCs w:val="32"/>
        </w:rPr>
      </w:pPr>
    </w:p>
    <w:p w14:paraId="1024D8D5">
      <w:pPr>
        <w:pStyle w:val="8"/>
        <w:snapToGrid w:val="0"/>
        <w:spacing w:before="50" w:after="50"/>
        <w:ind w:firstLine="1280" w:firstLineChars="400"/>
        <w:rPr>
          <w:rFonts w:ascii="宋体" w:hAnsi="宋体" w:cs="仿宋_GB2312"/>
          <w:bCs/>
          <w:color w:val="auto"/>
          <w:sz w:val="32"/>
          <w:szCs w:val="32"/>
        </w:rPr>
      </w:pPr>
    </w:p>
    <w:p w14:paraId="4D9E299D">
      <w:pPr>
        <w:snapToGrid w:val="0"/>
        <w:spacing w:before="156"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14:paraId="2A053DBC">
      <w:pPr>
        <w:snapToGrid w:val="0"/>
        <w:spacing w:before="156" w:beforeLines="50" w:after="50" w:line="360" w:lineRule="auto"/>
        <w:ind w:right="480" w:firstLine="240" w:firstLineChars="100"/>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63C9B2DF">
      <w:pPr>
        <w:snapToGrid w:val="0"/>
        <w:spacing w:before="156"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14:paraId="62BD40EA">
      <w:pPr>
        <w:spacing w:line="400" w:lineRule="exact"/>
        <w:rPr>
          <w:rFonts w:ascii="仿宋_GB2312" w:hAnsi="仿宋_GB2312" w:eastAsia="仿宋_GB2312" w:cs="仿宋_GB2312"/>
          <w:color w:val="auto"/>
          <w:sz w:val="32"/>
          <w:szCs w:val="32"/>
        </w:rPr>
      </w:pPr>
    </w:p>
    <w:p w14:paraId="2233B0D4">
      <w:pPr>
        <w:spacing w:line="520" w:lineRule="exact"/>
        <w:jc w:val="center"/>
        <w:rPr>
          <w:rFonts w:ascii="宋体" w:hAnsi="宋体" w:cs="仿宋_GB2312"/>
          <w:b/>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宋体" w:hAnsi="宋体" w:cs="方正小标宋简体"/>
          <w:b/>
          <w:color w:val="auto"/>
          <w:sz w:val="32"/>
          <w:szCs w:val="32"/>
        </w:rPr>
        <w:t>无串通竞标行为的承诺函</w:t>
      </w:r>
    </w:p>
    <w:p w14:paraId="264F38D6">
      <w:pPr>
        <w:spacing w:line="360" w:lineRule="auto"/>
        <w:ind w:firstLine="640" w:firstLineChars="200"/>
        <w:contextualSpacing/>
        <w:rPr>
          <w:rFonts w:ascii="仿宋_GB2312" w:hAnsi="仿宋_GB2312" w:eastAsia="仿宋_GB2312" w:cs="仿宋_GB2312"/>
          <w:color w:val="auto"/>
          <w:sz w:val="32"/>
          <w:szCs w:val="32"/>
        </w:rPr>
      </w:pPr>
    </w:p>
    <w:p w14:paraId="5CEC951C">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3CE92CBC">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w:t>
      </w:r>
      <w:r>
        <w:rPr>
          <w:rFonts w:hint="eastAsia" w:ascii="宋体" w:hAnsi="宋体" w:cs="仿宋_GB2312"/>
          <w:color w:val="auto"/>
          <w:sz w:val="24"/>
          <w:lang w:eastAsia="zh-CN"/>
        </w:rPr>
        <w:t>不同供应商的响应文件由同一单位或者个人编制或不同供应商报名的IP地址一致</w:t>
      </w:r>
      <w:r>
        <w:rPr>
          <w:rFonts w:hint="eastAsia" w:ascii="宋体" w:hAnsi="宋体" w:cs="仿宋_GB2312"/>
          <w:color w:val="auto"/>
          <w:sz w:val="24"/>
        </w:rPr>
        <w:t xml:space="preserve">； </w:t>
      </w:r>
    </w:p>
    <w:p w14:paraId="2D9320D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7B91796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3.不同供应商的响应文件载明的项目管理员为同一个人；</w:t>
      </w:r>
    </w:p>
    <w:p w14:paraId="62CCE140">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372DF823">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69178898">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6.不同供应商的磋商保证金从同一单位或者个人账户转出。</w:t>
      </w:r>
    </w:p>
    <w:p w14:paraId="289517D7">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7E415C12">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41D125D6">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734B449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4A32331E">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3CA7BBEB">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14:paraId="09E9DF77">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21D5684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15092EF8">
      <w:pPr>
        <w:spacing w:line="360" w:lineRule="auto"/>
        <w:ind w:firstLine="480" w:firstLineChars="200"/>
        <w:contextualSpacing/>
        <w:rPr>
          <w:rFonts w:ascii="宋体" w:hAnsi="宋体" w:cs="仿宋_GB2312"/>
          <w:color w:val="auto"/>
          <w:sz w:val="24"/>
        </w:rPr>
      </w:pPr>
    </w:p>
    <w:p w14:paraId="6668778E">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1ED50B63">
      <w:pPr>
        <w:spacing w:line="360" w:lineRule="auto"/>
        <w:contextualSpacing/>
        <w:rPr>
          <w:rFonts w:ascii="宋体" w:hAnsi="宋体" w:cs="仿宋_GB2312"/>
          <w:color w:val="auto"/>
          <w:sz w:val="24"/>
        </w:rPr>
      </w:pPr>
    </w:p>
    <w:p w14:paraId="32BCAB3A">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14:paraId="6FD5CA45">
      <w:pPr>
        <w:spacing w:line="360" w:lineRule="auto"/>
        <w:ind w:firstLine="480" w:firstLineChars="200"/>
        <w:contextualSpacing/>
        <w:jc w:val="center"/>
        <w:rPr>
          <w:rFonts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14:paraId="7B89C340">
      <w:pPr>
        <w:spacing w:line="520" w:lineRule="exact"/>
        <w:jc w:val="center"/>
        <w:rPr>
          <w:rFonts w:ascii="宋体" w:hAnsi="宋体" w:cs="仿宋_GB2312"/>
          <w:b/>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ascii="宋体" w:hAnsi="宋体" w:cs="方正小标宋简体"/>
          <w:b/>
          <w:bCs/>
          <w:color w:val="auto"/>
          <w:sz w:val="32"/>
          <w:szCs w:val="32"/>
        </w:rPr>
        <w:t>法定代表人证明书</w:t>
      </w:r>
    </w:p>
    <w:p w14:paraId="59CC657A">
      <w:pPr>
        <w:spacing w:line="360" w:lineRule="auto"/>
        <w:ind w:left="540"/>
        <w:contextualSpacing/>
        <w:rPr>
          <w:rFonts w:ascii="仿宋_GB2312" w:hAnsi="仿宋_GB2312" w:eastAsia="仿宋_GB2312" w:cs="仿宋_GB2312"/>
          <w:color w:val="auto"/>
          <w:sz w:val="32"/>
          <w:szCs w:val="32"/>
        </w:rPr>
      </w:pPr>
    </w:p>
    <w:p w14:paraId="32492008">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6E5ED845">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5F2D083A">
      <w:pPr>
        <w:spacing w:line="360" w:lineRule="auto"/>
        <w:ind w:left="54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312DC94F">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4A96E3A7">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50391D85">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14:paraId="3971F127">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14:paraId="6F0550D3">
      <w:pPr>
        <w:spacing w:line="360" w:lineRule="auto"/>
        <w:ind w:left="540"/>
        <w:contextualSpacing/>
        <w:rPr>
          <w:rFonts w:ascii="宋体" w:hAnsi="宋体" w:cs="仿宋_GB2312"/>
          <w:color w:val="auto"/>
          <w:sz w:val="24"/>
        </w:rPr>
      </w:pPr>
    </w:p>
    <w:p w14:paraId="4A815B92">
      <w:pPr>
        <w:spacing w:line="360" w:lineRule="auto"/>
        <w:ind w:left="540"/>
        <w:contextualSpacing/>
        <w:rPr>
          <w:rFonts w:ascii="宋体" w:hAnsi="宋体" w:cs="仿宋_GB2312"/>
          <w:color w:val="auto"/>
          <w:sz w:val="24"/>
        </w:rPr>
      </w:pPr>
    </w:p>
    <w:p w14:paraId="697218D0">
      <w:pPr>
        <w:spacing w:line="360" w:lineRule="auto"/>
        <w:ind w:left="540"/>
        <w:contextualSpacing/>
        <w:rPr>
          <w:rFonts w:ascii="宋体" w:hAnsi="宋体" w:cs="仿宋_GB2312"/>
          <w:color w:val="auto"/>
          <w:sz w:val="24"/>
        </w:rPr>
      </w:pPr>
    </w:p>
    <w:p w14:paraId="261995B8">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14:paraId="6CA38F2A">
      <w:pPr>
        <w:spacing w:line="360" w:lineRule="auto"/>
        <w:ind w:left="540"/>
        <w:contextualSpacing/>
        <w:rPr>
          <w:rFonts w:ascii="宋体" w:hAnsi="宋体" w:cs="仿宋_GB2312"/>
          <w:color w:val="auto"/>
          <w:sz w:val="24"/>
        </w:rPr>
      </w:pPr>
    </w:p>
    <w:p w14:paraId="5325BAF9">
      <w:pPr>
        <w:spacing w:line="360" w:lineRule="auto"/>
        <w:ind w:left="540" w:firstLine="3000" w:firstLineChars="1250"/>
        <w:contextualSpacing/>
        <w:jc w:val="left"/>
        <w:rPr>
          <w:rFonts w:ascii="宋体" w:hAnsi="宋体" w:cs="仿宋_GB2312"/>
          <w:color w:val="auto"/>
          <w:sz w:val="24"/>
        </w:rPr>
      </w:pPr>
      <w:r>
        <w:rPr>
          <w:rFonts w:hint="eastAsia" w:ascii="宋体" w:hAnsi="宋体" w:cs="仿宋_GB2312"/>
          <w:color w:val="auto"/>
          <w:sz w:val="24"/>
        </w:rPr>
        <w:t>供应商（电子签章）：</w:t>
      </w:r>
      <w:r>
        <w:rPr>
          <w:rFonts w:hint="eastAsia" w:ascii="宋体" w:hAnsi="宋体" w:cs="仿宋_GB2312"/>
          <w:color w:val="auto"/>
          <w:sz w:val="24"/>
          <w:u w:val="single"/>
        </w:rPr>
        <w:t xml:space="preserve">               </w:t>
      </w:r>
    </w:p>
    <w:p w14:paraId="49EBE4D2">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06F3F655">
      <w:pPr>
        <w:spacing w:line="360" w:lineRule="auto"/>
        <w:contextualSpacing/>
        <w:jc w:val="center"/>
        <w:rPr>
          <w:rFonts w:ascii="宋体" w:hAnsi="宋体" w:cs="仿宋_GB2312"/>
          <w:b/>
          <w:color w:val="auto"/>
          <w:sz w:val="24"/>
        </w:rPr>
      </w:pPr>
    </w:p>
    <w:p w14:paraId="484D683D">
      <w:pPr>
        <w:spacing w:line="360" w:lineRule="auto"/>
        <w:contextualSpacing/>
        <w:jc w:val="left"/>
        <w:rPr>
          <w:rFonts w:ascii="宋体" w:hAnsi="宋体" w:cs="仿宋_GB2312"/>
          <w:color w:val="auto"/>
          <w:sz w:val="24"/>
        </w:rPr>
      </w:pPr>
    </w:p>
    <w:p w14:paraId="75FA948C">
      <w:pPr>
        <w:spacing w:line="360" w:lineRule="auto"/>
        <w:contextualSpacing/>
        <w:jc w:val="left"/>
        <w:rPr>
          <w:rFonts w:ascii="宋体" w:hAnsi="宋体" w:cs="仿宋_GB2312"/>
          <w:color w:val="auto"/>
          <w:sz w:val="24"/>
        </w:rPr>
      </w:pPr>
      <w:r>
        <w:rPr>
          <w:rFonts w:hint="eastAsia" w:ascii="宋体" w:hAnsi="宋体" w:cs="仿宋_GB2312"/>
          <w:color w:val="auto"/>
          <w:sz w:val="24"/>
        </w:rPr>
        <w:t>注：联合体竞标的只需牵头人出具。</w:t>
      </w:r>
    </w:p>
    <w:p w14:paraId="13FAF466">
      <w:pPr>
        <w:adjustRightInd w:val="0"/>
        <w:snapToGrid w:val="0"/>
        <w:spacing w:line="300" w:lineRule="auto"/>
        <w:jc w:val="left"/>
        <w:rPr>
          <w:rFonts w:ascii="宋体" w:hAnsi="宋体"/>
          <w:b/>
          <w:color w:val="auto"/>
          <w:szCs w:val="21"/>
        </w:rPr>
      </w:pPr>
    </w:p>
    <w:p w14:paraId="315CCFFC">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ascii="方正小标宋简体" w:hAnsi="方正小标宋简体" w:eastAsia="方正小标宋简体" w:cs="方正小标宋简体"/>
          <w:color w:val="auto"/>
          <w:sz w:val="44"/>
          <w:szCs w:val="44"/>
        </w:rPr>
        <w:t xml:space="preserve"> </w:t>
      </w:r>
    </w:p>
    <w:p w14:paraId="3629D334">
      <w:pPr>
        <w:spacing w:line="520" w:lineRule="exact"/>
        <w:jc w:val="center"/>
        <w:rPr>
          <w:rFonts w:ascii="宋体" w:hAnsi="宋体" w:cs="方正小标宋简体"/>
          <w:b/>
          <w:color w:val="auto"/>
          <w:sz w:val="32"/>
          <w:szCs w:val="32"/>
        </w:rPr>
      </w:pPr>
      <w:bookmarkStart w:id="114" w:name="_Hlk65853643"/>
      <w:r>
        <w:rPr>
          <w:rFonts w:hint="eastAsia" w:ascii="宋体" w:hAnsi="宋体" w:cs="方正小标宋简体"/>
          <w:b/>
          <w:color w:val="auto"/>
          <w:sz w:val="32"/>
          <w:szCs w:val="32"/>
        </w:rPr>
        <w:t>授权委托书</w:t>
      </w:r>
    </w:p>
    <w:p w14:paraId="7D918109">
      <w:pPr>
        <w:spacing w:line="520" w:lineRule="exact"/>
        <w:jc w:val="center"/>
        <w:rPr>
          <w:rFonts w:ascii="宋体" w:hAnsi="宋体" w:cs="方正小标宋简体"/>
          <w:b/>
          <w:color w:val="auto"/>
          <w:sz w:val="24"/>
        </w:rPr>
      </w:pPr>
      <w:r>
        <w:rPr>
          <w:rFonts w:hint="eastAsia" w:ascii="宋体" w:hAnsi="宋体" w:cs="方正小标宋简体"/>
          <w:b/>
          <w:color w:val="auto"/>
          <w:sz w:val="24"/>
        </w:rPr>
        <w:t>（非联合体竞标格式）</w:t>
      </w:r>
    </w:p>
    <w:p w14:paraId="721177E5">
      <w:pPr>
        <w:spacing w:line="520" w:lineRule="exact"/>
        <w:jc w:val="center"/>
        <w:rPr>
          <w:rFonts w:ascii="宋体" w:hAnsi="宋体" w:cs="方正小标宋简体"/>
          <w:b/>
          <w:color w:val="auto"/>
          <w:sz w:val="24"/>
        </w:rPr>
      </w:pPr>
      <w:r>
        <w:rPr>
          <w:rFonts w:hint="eastAsia" w:ascii="宋体" w:hAnsi="宋体" w:cs="方正小标宋简体"/>
          <w:b/>
          <w:color w:val="auto"/>
          <w:sz w:val="24"/>
        </w:rPr>
        <w:t>（如有委托时）</w:t>
      </w:r>
    </w:p>
    <w:p w14:paraId="787D0BE4">
      <w:pPr>
        <w:spacing w:line="520" w:lineRule="exact"/>
        <w:rPr>
          <w:rFonts w:ascii="仿宋_GB2312" w:hAnsi="仿宋_GB2312" w:eastAsia="仿宋_GB2312" w:cs="仿宋_GB2312"/>
          <w:color w:val="auto"/>
          <w:sz w:val="32"/>
          <w:szCs w:val="32"/>
        </w:rPr>
      </w:pPr>
    </w:p>
    <w:p w14:paraId="1DBADFDD">
      <w:pPr>
        <w:spacing w:line="360" w:lineRule="auto"/>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392E1731">
      <w:pPr>
        <w:spacing w:line="360" w:lineRule="auto"/>
        <w:ind w:firstLine="480" w:firstLineChars="200"/>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t>□法定代表人/□负责人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7CEE840E">
      <w:pPr>
        <w:spacing w:line="360" w:lineRule="auto"/>
        <w:rPr>
          <w:rFonts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14:paraId="219B7CEA">
      <w:pPr>
        <w:spacing w:line="360" w:lineRule="auto"/>
        <w:ind w:firstLine="480" w:firstLineChars="200"/>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35361F35">
      <w:pPr>
        <w:spacing w:line="360" w:lineRule="auto"/>
        <w:ind w:firstLine="480" w:firstLineChars="200"/>
        <w:rPr>
          <w:rFonts w:ascii="宋体" w:hAnsi="宋体" w:cs="仿宋_GB2312"/>
          <w:color w:val="auto"/>
          <w:sz w:val="24"/>
        </w:rPr>
      </w:pPr>
      <w:r>
        <w:rPr>
          <w:rFonts w:hint="eastAsia" w:ascii="宋体" w:hAnsi="宋体" w:cs="仿宋_GB2312"/>
          <w:color w:val="auto"/>
          <w:sz w:val="24"/>
        </w:rPr>
        <w:t>委托代理人无转委托权，特此委托。</w:t>
      </w:r>
    </w:p>
    <w:p w14:paraId="7FA57204">
      <w:pPr>
        <w:spacing w:line="360" w:lineRule="auto"/>
        <w:ind w:firstLine="480" w:firstLineChars="200"/>
        <w:rPr>
          <w:rFonts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14:paraId="3F8F6098">
      <w:pPr>
        <w:spacing w:line="360" w:lineRule="auto"/>
        <w:rPr>
          <w:rFonts w:ascii="宋体" w:hAnsi="宋体" w:cs="仿宋_GB2312"/>
          <w:color w:val="auto"/>
          <w:sz w:val="24"/>
        </w:rPr>
      </w:pPr>
    </w:p>
    <w:p w14:paraId="08D94987">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14:paraId="3F02E8AC">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427759D5">
      <w:pPr>
        <w:spacing w:line="360" w:lineRule="auto"/>
        <w:contextualSpacing/>
        <w:rPr>
          <w:rFonts w:ascii="宋体" w:hAnsi="宋体" w:cs="仿宋_GB2312"/>
          <w:color w:val="auto"/>
          <w:sz w:val="24"/>
        </w:rPr>
      </w:pPr>
      <w:r>
        <w:rPr>
          <w:rFonts w:hint="eastAsia" w:ascii="宋体" w:hAnsi="宋体" w:cs="仿宋_GB2312"/>
          <w:color w:val="auto"/>
          <w:sz w:val="24"/>
        </w:rPr>
        <w:t xml:space="preserve">                                </w:t>
      </w:r>
    </w:p>
    <w:p w14:paraId="264E082B">
      <w:pPr>
        <w:spacing w:line="360" w:lineRule="auto"/>
        <w:rPr>
          <w:rFonts w:ascii="宋体" w:hAnsi="宋体" w:cs="仿宋_GB2312"/>
          <w:color w:val="auto"/>
          <w:sz w:val="24"/>
        </w:rPr>
      </w:pPr>
      <w:r>
        <w:rPr>
          <w:rFonts w:hint="eastAsia" w:ascii="宋体" w:hAnsi="宋体" w:cs="仿宋_GB2312"/>
          <w:color w:val="auto"/>
          <w:sz w:val="24"/>
        </w:rPr>
        <w:t xml:space="preserve">                         供应商（电子签章）：                      </w:t>
      </w:r>
    </w:p>
    <w:p w14:paraId="642458F4">
      <w:pPr>
        <w:spacing w:line="360" w:lineRule="auto"/>
        <w:rPr>
          <w:rFonts w:ascii="宋体" w:hAnsi="宋体" w:cs="仿宋_GB2312"/>
          <w:color w:val="auto"/>
          <w:sz w:val="24"/>
        </w:rPr>
      </w:pPr>
      <w:r>
        <w:rPr>
          <w:rFonts w:hint="eastAsia" w:ascii="宋体" w:hAnsi="宋体" w:cs="仿宋_GB2312"/>
          <w:color w:val="auto"/>
          <w:sz w:val="24"/>
        </w:rPr>
        <w:t xml:space="preserve">                                         年    月    日</w:t>
      </w:r>
    </w:p>
    <w:p w14:paraId="425E78E4">
      <w:pPr>
        <w:spacing w:line="360" w:lineRule="auto"/>
        <w:rPr>
          <w:rFonts w:ascii="宋体" w:hAnsi="宋体" w:cs="仿宋_GB2312"/>
          <w:color w:val="auto"/>
          <w:sz w:val="24"/>
        </w:rPr>
      </w:pPr>
    </w:p>
    <w:p w14:paraId="33FC27AB">
      <w:pPr>
        <w:spacing w:line="360" w:lineRule="auto"/>
        <w:rPr>
          <w:rFonts w:ascii="宋体" w:hAnsi="宋体" w:cs="仿宋_GB2312"/>
          <w:color w:val="auto"/>
          <w:sz w:val="24"/>
        </w:rPr>
      </w:pPr>
      <w:r>
        <w:rPr>
          <w:rFonts w:hint="eastAsia" w:ascii="宋体" w:hAnsi="宋体" w:cs="仿宋_GB2312"/>
          <w:color w:val="auto"/>
          <w:sz w:val="24"/>
        </w:rPr>
        <w:t>注：法定代表人必须在授权委托书上签字或者盖章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否则其响应文件按无效处理。</w:t>
      </w:r>
    </w:p>
    <w:p w14:paraId="2F6301FC">
      <w:pPr>
        <w:spacing w:line="360" w:lineRule="auto"/>
        <w:ind w:firstLine="420" w:firstLineChars="200"/>
        <w:jc w:val="left"/>
        <w:rPr>
          <w:rFonts w:ascii="仿宋_GB2312" w:hAnsi="仿宋_GB2312" w:eastAsia="仿宋_GB2312" w:cs="仿宋_GB2312"/>
          <w:color w:val="auto"/>
          <w:szCs w:val="21"/>
        </w:rPr>
      </w:pPr>
    </w:p>
    <w:p w14:paraId="4E6B4570">
      <w:pPr>
        <w:spacing w:line="360" w:lineRule="auto"/>
        <w:contextualSpacing/>
        <w:rPr>
          <w:rFonts w:ascii="宋体" w:hAnsi="宋体" w:cs="仿宋_GB2312"/>
          <w:color w:val="auto"/>
          <w:sz w:val="24"/>
        </w:rPr>
      </w:pPr>
    </w:p>
    <w:bookmarkEnd w:id="114"/>
    <w:p w14:paraId="259F5BC2">
      <w:pPr>
        <w:spacing w:line="360" w:lineRule="auto"/>
        <w:jc w:val="center"/>
        <w:rPr>
          <w:rFonts w:ascii="宋体" w:hAnsi="宋体" w:cs="方正小标宋简体"/>
          <w:b/>
          <w:color w:val="auto"/>
          <w:sz w:val="32"/>
          <w:szCs w:val="32"/>
        </w:rPr>
      </w:pPr>
      <w:r>
        <w:rPr>
          <w:rFonts w:ascii="仿宋_GB2312" w:hAnsi="仿宋_GB2312" w:eastAsia="仿宋_GB2312" w:cs="仿宋_GB2312"/>
          <w:color w:val="auto"/>
          <w:sz w:val="32"/>
          <w:szCs w:val="32"/>
        </w:rPr>
        <w:br w:type="page"/>
      </w:r>
      <w:r>
        <w:rPr>
          <w:rFonts w:hint="eastAsia" w:ascii="宋体" w:hAnsi="宋体" w:cs="方正小标宋简体"/>
          <w:b/>
          <w:color w:val="auto"/>
          <w:sz w:val="32"/>
          <w:szCs w:val="32"/>
        </w:rPr>
        <w:t>建筑材料和设备节能环保要求承诺书</w:t>
      </w:r>
    </w:p>
    <w:p w14:paraId="5F3AD984">
      <w:pPr>
        <w:spacing w:line="360" w:lineRule="auto"/>
        <w:jc w:val="center"/>
        <w:rPr>
          <w:rFonts w:ascii="宋体" w:hAnsi="宋体" w:cs="宋体"/>
          <w:color w:val="auto"/>
          <w:szCs w:val="21"/>
        </w:rPr>
      </w:pPr>
    </w:p>
    <w:p w14:paraId="40C6F449">
      <w:pPr>
        <w:spacing w:line="360" w:lineRule="auto"/>
        <w:ind w:firstLine="480" w:firstLineChars="200"/>
        <w:jc w:val="left"/>
        <w:rPr>
          <w:color w:val="auto"/>
          <w:sz w:val="24"/>
        </w:rPr>
      </w:pPr>
      <w:r>
        <w:rPr>
          <w:rFonts w:hint="eastAsia"/>
          <w:color w:val="auto"/>
          <w:sz w:val="24"/>
        </w:rPr>
        <w:t>我方承诺，一旦成交，我方保证严格执行</w:t>
      </w:r>
      <w:r>
        <w:rPr>
          <w:rFonts w:hint="eastAsia" w:cs="宋体"/>
          <w:color w:val="auto"/>
          <w:sz w:val="24"/>
        </w:rPr>
        <w:t>《财政部</w:t>
      </w:r>
      <w:r>
        <w:rPr>
          <w:rFonts w:cs="宋体"/>
          <w:color w:val="auto"/>
          <w:sz w:val="24"/>
        </w:rPr>
        <w:t xml:space="preserve"> </w:t>
      </w:r>
      <w:r>
        <w:rPr>
          <w:rFonts w:hint="eastAsia" w:cs="宋体"/>
          <w:color w:val="auto"/>
          <w:sz w:val="24"/>
        </w:rPr>
        <w:t>发展改革委</w:t>
      </w:r>
      <w:r>
        <w:rPr>
          <w:rFonts w:cs="宋体"/>
          <w:color w:val="auto"/>
          <w:sz w:val="24"/>
        </w:rPr>
        <w:t xml:space="preserve"> </w:t>
      </w:r>
      <w:r>
        <w:rPr>
          <w:rFonts w:hint="eastAsia" w:cs="宋体"/>
          <w:color w:val="auto"/>
          <w:sz w:val="24"/>
        </w:rPr>
        <w:t>生态环境部</w:t>
      </w:r>
      <w:r>
        <w:rPr>
          <w:rFonts w:cs="宋体"/>
          <w:color w:val="auto"/>
          <w:sz w:val="24"/>
        </w:rPr>
        <w:t xml:space="preserve"> </w:t>
      </w:r>
      <w:r>
        <w:rPr>
          <w:rFonts w:hint="eastAsia" w:cs="宋体"/>
          <w:color w:val="auto"/>
          <w:sz w:val="24"/>
        </w:rPr>
        <w:t>市场监管总局关于调整优化节能产品、环境标志产品政府采购执行机制的通知》（财库〔</w:t>
      </w:r>
      <w:r>
        <w:rPr>
          <w:rFonts w:cs="宋体"/>
          <w:color w:val="auto"/>
          <w:sz w:val="24"/>
        </w:rPr>
        <w:t>2019</w:t>
      </w:r>
      <w:r>
        <w:rPr>
          <w:rFonts w:hint="eastAsia" w:cs="宋体"/>
          <w:color w:val="auto"/>
          <w:sz w:val="24"/>
        </w:rPr>
        <w:t>〕</w:t>
      </w:r>
      <w:r>
        <w:rPr>
          <w:rFonts w:cs="宋体"/>
          <w:color w:val="auto"/>
          <w:sz w:val="24"/>
        </w:rPr>
        <w:t>9</w:t>
      </w:r>
      <w:r>
        <w:rPr>
          <w:rFonts w:hint="eastAsia" w:cs="宋体"/>
          <w:color w:val="auto"/>
          <w:sz w:val="24"/>
        </w:rPr>
        <w:t>号）和《关于印发节能产品政府采购品目清单的通知》（财库〔</w:t>
      </w:r>
      <w:r>
        <w:rPr>
          <w:rFonts w:cs="宋体"/>
          <w:color w:val="auto"/>
          <w:sz w:val="24"/>
        </w:rPr>
        <w:t>2019</w:t>
      </w:r>
      <w:r>
        <w:rPr>
          <w:rFonts w:hint="eastAsia" w:cs="宋体"/>
          <w:color w:val="auto"/>
          <w:sz w:val="24"/>
        </w:rPr>
        <w:t>〕</w:t>
      </w:r>
      <w:r>
        <w:rPr>
          <w:rFonts w:cs="宋体"/>
          <w:color w:val="auto"/>
          <w:sz w:val="24"/>
        </w:rPr>
        <w:t>19</w:t>
      </w:r>
      <w:r>
        <w:rPr>
          <w:rFonts w:hint="eastAsia" w:cs="宋体"/>
          <w:color w:val="auto"/>
          <w:sz w:val="24"/>
        </w:rPr>
        <w:t>号）的规定，所有工程中涉及的建筑材料和设备如属于财库〔</w:t>
      </w:r>
      <w:r>
        <w:rPr>
          <w:rFonts w:cs="宋体"/>
          <w:color w:val="auto"/>
          <w:sz w:val="24"/>
        </w:rPr>
        <w:t>2019</w:t>
      </w:r>
      <w:r>
        <w:rPr>
          <w:rFonts w:hint="eastAsia" w:cs="宋体"/>
          <w:color w:val="auto"/>
          <w:sz w:val="24"/>
        </w:rPr>
        <w:t>〕</w:t>
      </w:r>
      <w:r>
        <w:rPr>
          <w:rFonts w:cs="宋体"/>
          <w:color w:val="auto"/>
          <w:sz w:val="24"/>
        </w:rPr>
        <w:t>19</w:t>
      </w:r>
      <w:r>
        <w:rPr>
          <w:rFonts w:hint="eastAsia" w:cs="宋体"/>
          <w:color w:val="auto"/>
          <w:sz w:val="24"/>
        </w:rPr>
        <w:t>号文中《节能产品政府采购品目清单》内标注“★”的产品，都使用政府强制采购的节能产品。</w:t>
      </w:r>
      <w:r>
        <w:rPr>
          <w:rFonts w:hint="eastAsia"/>
          <w:color w:val="auto"/>
          <w:sz w:val="24"/>
        </w:rPr>
        <w:t>如我方在该项目的承包中出现未按规定执行的情形，我方愿意按照相关规定接受采购人及有关行政主管部门的处罚，愿意承担一切后果，并不再寻求任何旨在减轻或者免除法律责任的辩解。</w:t>
      </w:r>
    </w:p>
    <w:p w14:paraId="13D1A141">
      <w:pPr>
        <w:spacing w:line="360" w:lineRule="auto"/>
        <w:ind w:firstLine="480" w:firstLineChars="200"/>
        <w:jc w:val="center"/>
        <w:rPr>
          <w:color w:val="auto"/>
          <w:sz w:val="24"/>
        </w:rPr>
      </w:pPr>
    </w:p>
    <w:p w14:paraId="1504774E">
      <w:pPr>
        <w:spacing w:line="360" w:lineRule="auto"/>
        <w:contextualSpacing/>
        <w:rPr>
          <w:rFonts w:ascii="宋体" w:hAnsi="宋体" w:cs="仿宋_GB2312"/>
          <w:color w:val="auto"/>
          <w:sz w:val="24"/>
        </w:rPr>
      </w:pPr>
    </w:p>
    <w:p w14:paraId="13321298">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14:paraId="127B8A00">
      <w:pPr>
        <w:snapToGrid w:val="0"/>
        <w:spacing w:before="156" w:beforeLines="50" w:after="50"/>
        <w:jc w:val="left"/>
        <w:rPr>
          <w:rFonts w:ascii="宋体" w:hAnsi="宋体" w:cs="仿宋_GB2312"/>
          <w:color w:val="auto"/>
          <w:sz w:val="24"/>
        </w:rPr>
      </w:pPr>
      <w:r>
        <w:rPr>
          <w:rFonts w:hint="eastAsia" w:ascii="宋体" w:hAnsi="宋体" w:cs="仿宋_GB2312"/>
          <w:color w:val="auto"/>
          <w:sz w:val="24"/>
        </w:rPr>
        <w:t xml:space="preserve">                               年   月   日</w:t>
      </w:r>
    </w:p>
    <w:p w14:paraId="06F49082">
      <w:pPr>
        <w:snapToGrid w:val="0"/>
        <w:spacing w:before="156" w:beforeLines="50" w:after="50"/>
        <w:jc w:val="center"/>
        <w:rPr>
          <w:rFonts w:ascii="宋体" w:hAnsi="宋体" w:cs="方正小标宋简体"/>
          <w:b/>
          <w:color w:val="auto"/>
          <w:sz w:val="32"/>
          <w:szCs w:val="32"/>
        </w:rPr>
      </w:pPr>
      <w:r>
        <w:rPr>
          <w:rFonts w:hint="eastAsia" w:ascii="宋体" w:hAnsi="宋体" w:cs="仿宋_GB2312"/>
          <w:color w:val="auto"/>
          <w:sz w:val="24"/>
        </w:rPr>
        <w:br w:type="page"/>
      </w:r>
      <w:r>
        <w:rPr>
          <w:rFonts w:hint="eastAsia" w:ascii="宋体" w:hAnsi="宋体" w:cs="方正小标宋简体"/>
          <w:b/>
          <w:color w:val="auto"/>
          <w:sz w:val="32"/>
          <w:szCs w:val="32"/>
        </w:rPr>
        <w:t>商务要求响应表</w:t>
      </w:r>
    </w:p>
    <w:p w14:paraId="320F793F">
      <w:pPr>
        <w:spacing w:line="360" w:lineRule="auto"/>
        <w:contextualSpacing/>
        <w:rPr>
          <w:rFonts w:hint="eastAsia" w:ascii="宋体" w:hAnsi="宋体" w:cs="仿宋_GB2312"/>
          <w:color w:val="auto"/>
          <w:sz w:val="24"/>
        </w:rPr>
      </w:pPr>
    </w:p>
    <w:p w14:paraId="00C91FBC">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5EF1356C">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4"/>
        <w:gridCol w:w="1800"/>
        <w:gridCol w:w="2264"/>
        <w:gridCol w:w="2735"/>
        <w:gridCol w:w="1492"/>
      </w:tblGrid>
      <w:tr w14:paraId="6E1CF3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2" w:type="pct"/>
            <w:vAlign w:val="center"/>
          </w:tcPr>
          <w:p w14:paraId="4E991D5F">
            <w:pPr>
              <w:pStyle w:val="21"/>
              <w:spacing w:line="360" w:lineRule="auto"/>
              <w:ind w:firstLine="0" w:firstLineChars="0"/>
              <w:contextualSpacing/>
              <w:jc w:val="center"/>
              <w:rPr>
                <w:rFonts w:ascii="宋体" w:hAnsi="宋体" w:eastAsia="宋体" w:cs="仿宋_GB2312"/>
                <w:color w:val="auto"/>
                <w:kern w:val="2"/>
                <w:sz w:val="24"/>
                <w:szCs w:val="24"/>
              </w:rPr>
            </w:pPr>
            <w:bookmarkStart w:id="115" w:name="_Toc301781611"/>
            <w:bookmarkStart w:id="116" w:name="_Toc383699906"/>
            <w:bookmarkStart w:id="117" w:name="_Toc254970729"/>
            <w:bookmarkStart w:id="118" w:name="_Toc254970588"/>
            <w:bookmarkStart w:id="119" w:name="_Toc173066401"/>
            <w:bookmarkStart w:id="120" w:name="_Toc295404981"/>
            <w:bookmarkStart w:id="121" w:name="_Toc173211900"/>
            <w:bookmarkStart w:id="122" w:name="_Toc297193185"/>
            <w:bookmarkStart w:id="123" w:name="_Toc373333689"/>
            <w:r>
              <w:rPr>
                <w:rFonts w:hint="eastAsia" w:ascii="宋体" w:hAnsi="宋体" w:eastAsia="宋体" w:cs="仿宋_GB2312"/>
                <w:color w:val="auto"/>
                <w:kern w:val="2"/>
                <w:sz w:val="24"/>
                <w:szCs w:val="24"/>
              </w:rPr>
              <w:t>序号</w:t>
            </w:r>
            <w:bookmarkEnd w:id="115"/>
            <w:bookmarkEnd w:id="116"/>
            <w:bookmarkEnd w:id="117"/>
            <w:bookmarkEnd w:id="118"/>
            <w:bookmarkEnd w:id="119"/>
            <w:bookmarkEnd w:id="120"/>
            <w:bookmarkEnd w:id="121"/>
            <w:bookmarkEnd w:id="122"/>
            <w:bookmarkEnd w:id="123"/>
          </w:p>
        </w:tc>
        <w:tc>
          <w:tcPr>
            <w:tcW w:w="989" w:type="pct"/>
            <w:tcBorders>
              <w:right w:val="single" w:color="auto" w:sz="4" w:space="0"/>
            </w:tcBorders>
            <w:vAlign w:val="center"/>
          </w:tcPr>
          <w:p w14:paraId="67D222A1">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244" w:type="pct"/>
            <w:tcBorders>
              <w:left w:val="single" w:color="auto" w:sz="4" w:space="0"/>
            </w:tcBorders>
            <w:vAlign w:val="center"/>
          </w:tcPr>
          <w:p w14:paraId="0E09114A">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磋商文件要求</w:t>
            </w:r>
          </w:p>
        </w:tc>
        <w:tc>
          <w:tcPr>
            <w:tcW w:w="1503" w:type="pct"/>
            <w:vAlign w:val="center"/>
          </w:tcPr>
          <w:p w14:paraId="219C74E9">
            <w:pPr>
              <w:pStyle w:val="21"/>
              <w:spacing w:line="360" w:lineRule="auto"/>
              <w:ind w:firstLine="0" w:firstLineChars="0"/>
              <w:contextualSpacing/>
              <w:jc w:val="center"/>
              <w:rPr>
                <w:rFonts w:ascii="宋体" w:hAnsi="宋体" w:eastAsia="宋体" w:cs="仿宋_GB2312"/>
                <w:color w:val="auto"/>
                <w:kern w:val="2"/>
                <w:sz w:val="24"/>
                <w:szCs w:val="24"/>
              </w:rPr>
            </w:pPr>
            <w:bookmarkStart w:id="124" w:name="_Toc173066403"/>
            <w:bookmarkStart w:id="125" w:name="_Toc383699908"/>
            <w:bookmarkStart w:id="126" w:name="_Toc254970731"/>
            <w:bookmarkStart w:id="127" w:name="_Toc295404983"/>
            <w:bookmarkStart w:id="128" w:name="_Toc254970590"/>
            <w:bookmarkStart w:id="129" w:name="_Toc373333691"/>
            <w:bookmarkStart w:id="130" w:name="_Toc297193187"/>
            <w:bookmarkStart w:id="131" w:name="_Toc173211902"/>
            <w:bookmarkStart w:id="132" w:name="_Toc301781613"/>
            <w:r>
              <w:rPr>
                <w:rFonts w:hint="eastAsia" w:ascii="宋体" w:hAnsi="宋体" w:eastAsia="宋体" w:cs="仿宋_GB2312"/>
                <w:color w:val="auto"/>
                <w:kern w:val="2"/>
                <w:sz w:val="24"/>
                <w:szCs w:val="24"/>
              </w:rPr>
              <w:t>竞标响应</w:t>
            </w:r>
            <w:bookmarkEnd w:id="124"/>
            <w:bookmarkEnd w:id="125"/>
            <w:bookmarkEnd w:id="126"/>
            <w:bookmarkEnd w:id="127"/>
            <w:bookmarkEnd w:id="128"/>
            <w:bookmarkEnd w:id="129"/>
            <w:bookmarkEnd w:id="130"/>
            <w:bookmarkEnd w:id="131"/>
            <w:bookmarkEnd w:id="132"/>
          </w:p>
        </w:tc>
        <w:tc>
          <w:tcPr>
            <w:tcW w:w="820" w:type="pct"/>
            <w:vAlign w:val="center"/>
          </w:tcPr>
          <w:p w14:paraId="24D0A3B9">
            <w:pPr>
              <w:pStyle w:val="21"/>
              <w:spacing w:line="360" w:lineRule="auto"/>
              <w:ind w:firstLine="0" w:firstLineChars="0"/>
              <w:contextualSpacing/>
              <w:jc w:val="center"/>
              <w:rPr>
                <w:rFonts w:ascii="宋体" w:hAnsi="宋体" w:eastAsia="宋体" w:cs="仿宋_GB2312"/>
                <w:color w:val="auto"/>
                <w:kern w:val="2"/>
                <w:sz w:val="24"/>
                <w:szCs w:val="24"/>
              </w:rPr>
            </w:pPr>
            <w:bookmarkStart w:id="133" w:name="_Toc373333692"/>
            <w:bookmarkStart w:id="134" w:name="_Toc295404984"/>
            <w:bookmarkStart w:id="135" w:name="_Toc254970591"/>
            <w:bookmarkStart w:id="136" w:name="_Toc301781614"/>
            <w:bookmarkStart w:id="137" w:name="_Toc173066404"/>
            <w:bookmarkStart w:id="138" w:name="_Toc383699909"/>
            <w:bookmarkStart w:id="139" w:name="_Toc173211903"/>
            <w:bookmarkStart w:id="140" w:name="_Toc254970732"/>
            <w:bookmarkStart w:id="141" w:name="_Toc297193188"/>
            <w:r>
              <w:rPr>
                <w:rFonts w:hint="eastAsia" w:ascii="宋体" w:hAnsi="宋体" w:eastAsia="宋体" w:cs="仿宋_GB2312"/>
                <w:color w:val="auto"/>
                <w:kern w:val="2"/>
                <w:sz w:val="24"/>
                <w:szCs w:val="24"/>
              </w:rPr>
              <w:t>偏离</w:t>
            </w:r>
            <w:bookmarkEnd w:id="133"/>
            <w:bookmarkEnd w:id="134"/>
            <w:bookmarkEnd w:id="135"/>
            <w:bookmarkEnd w:id="136"/>
            <w:bookmarkEnd w:id="137"/>
            <w:bookmarkEnd w:id="138"/>
            <w:bookmarkEnd w:id="139"/>
            <w:bookmarkEnd w:id="140"/>
            <w:bookmarkEnd w:id="141"/>
            <w:bookmarkStart w:id="142" w:name="_Toc295404985"/>
            <w:bookmarkStart w:id="143" w:name="_Toc173066405"/>
            <w:bookmarkStart w:id="144" w:name="_Toc373333693"/>
            <w:bookmarkStart w:id="145" w:name="_Toc173211904"/>
            <w:bookmarkStart w:id="146" w:name="_Toc383699910"/>
            <w:bookmarkStart w:id="147" w:name="_Toc254970733"/>
            <w:bookmarkStart w:id="148" w:name="_Toc254970592"/>
            <w:bookmarkStart w:id="149" w:name="_Toc301781615"/>
            <w:bookmarkStart w:id="150" w:name="_Toc297193189"/>
            <w:r>
              <w:rPr>
                <w:rFonts w:hint="eastAsia" w:ascii="宋体" w:hAnsi="宋体" w:eastAsia="宋体" w:cs="仿宋_GB2312"/>
                <w:color w:val="auto"/>
                <w:kern w:val="2"/>
                <w:sz w:val="24"/>
                <w:szCs w:val="24"/>
              </w:rPr>
              <w:t>说明</w:t>
            </w:r>
            <w:bookmarkEnd w:id="142"/>
            <w:bookmarkEnd w:id="143"/>
            <w:bookmarkEnd w:id="144"/>
            <w:bookmarkEnd w:id="145"/>
            <w:bookmarkEnd w:id="146"/>
            <w:bookmarkEnd w:id="147"/>
            <w:bookmarkEnd w:id="148"/>
            <w:bookmarkEnd w:id="149"/>
            <w:bookmarkEnd w:id="150"/>
          </w:p>
        </w:tc>
      </w:tr>
      <w:tr w14:paraId="2C2AE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2" w:type="pct"/>
            <w:vAlign w:val="center"/>
          </w:tcPr>
          <w:p w14:paraId="2BE0AEC1">
            <w:pPr>
              <w:pStyle w:val="21"/>
              <w:spacing w:line="360" w:lineRule="auto"/>
              <w:ind w:firstLine="0" w:firstLineChars="0"/>
              <w:contextualSpacing/>
              <w:jc w:val="center"/>
              <w:rPr>
                <w:rFonts w:ascii="宋体" w:hAnsi="宋体" w:eastAsia="宋体" w:cs="仿宋_GB2312"/>
                <w:color w:val="auto"/>
                <w:kern w:val="2"/>
                <w:sz w:val="24"/>
                <w:szCs w:val="24"/>
              </w:rPr>
            </w:pPr>
            <w:bookmarkStart w:id="151" w:name="_Toc173211905"/>
            <w:bookmarkStart w:id="152" w:name="_Toc254970593"/>
            <w:bookmarkStart w:id="153" w:name="_Toc297193190"/>
            <w:bookmarkStart w:id="154" w:name="_Toc383699911"/>
            <w:bookmarkStart w:id="155" w:name="_Toc373333694"/>
            <w:bookmarkStart w:id="156" w:name="_Toc295404986"/>
            <w:bookmarkStart w:id="157" w:name="_Toc173066406"/>
            <w:bookmarkStart w:id="158" w:name="_Toc301781616"/>
            <w:bookmarkStart w:id="159" w:name="_Toc254970734"/>
            <w:r>
              <w:rPr>
                <w:rFonts w:hint="eastAsia" w:ascii="宋体" w:hAnsi="宋体" w:eastAsia="宋体" w:cs="仿宋_GB2312"/>
                <w:color w:val="auto"/>
                <w:kern w:val="2"/>
                <w:sz w:val="24"/>
                <w:szCs w:val="24"/>
              </w:rPr>
              <w:t>1</w:t>
            </w:r>
            <w:bookmarkEnd w:id="151"/>
            <w:bookmarkEnd w:id="152"/>
            <w:bookmarkEnd w:id="153"/>
            <w:bookmarkEnd w:id="154"/>
            <w:bookmarkEnd w:id="155"/>
            <w:bookmarkEnd w:id="156"/>
            <w:bookmarkEnd w:id="157"/>
            <w:bookmarkEnd w:id="158"/>
            <w:bookmarkEnd w:id="159"/>
          </w:p>
        </w:tc>
        <w:tc>
          <w:tcPr>
            <w:tcW w:w="989" w:type="pct"/>
            <w:tcBorders>
              <w:right w:val="single" w:color="auto" w:sz="4" w:space="0"/>
            </w:tcBorders>
            <w:vAlign w:val="center"/>
          </w:tcPr>
          <w:p w14:paraId="33275A1C">
            <w:pPr>
              <w:spacing w:line="360" w:lineRule="auto"/>
              <w:rPr>
                <w:rFonts w:ascii="宋体" w:hAnsi="宋体" w:eastAsia="宋体" w:cs="仿宋_GB2312"/>
                <w:color w:val="auto"/>
                <w:kern w:val="2"/>
                <w:sz w:val="24"/>
                <w:szCs w:val="24"/>
              </w:rPr>
            </w:pPr>
            <w:r>
              <w:rPr>
                <w:rFonts w:hint="eastAsia" w:ascii="宋体" w:hAnsi="宋体" w:eastAsia="宋体" w:cs="仿宋_GB2312"/>
                <w:color w:val="auto"/>
                <w:kern w:val="2"/>
                <w:sz w:val="24"/>
                <w:szCs w:val="24"/>
                <w:highlight w:val="none"/>
                <w:lang w:val="en-US" w:eastAsia="zh-CN" w:bidi="ar-SA"/>
              </w:rPr>
              <w:t>计划工期</w:t>
            </w:r>
          </w:p>
        </w:tc>
        <w:tc>
          <w:tcPr>
            <w:tcW w:w="1244" w:type="pct"/>
            <w:tcBorders>
              <w:left w:val="single" w:color="auto" w:sz="4" w:space="0"/>
            </w:tcBorders>
            <w:vAlign w:val="center"/>
          </w:tcPr>
          <w:p w14:paraId="3880BA99">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5DD5A0A6">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3469A211">
            <w:pPr>
              <w:pStyle w:val="21"/>
              <w:spacing w:line="360" w:lineRule="auto"/>
              <w:ind w:firstLine="0" w:firstLineChars="0"/>
              <w:contextualSpacing/>
              <w:jc w:val="center"/>
              <w:rPr>
                <w:rFonts w:ascii="宋体" w:hAnsi="宋体" w:eastAsia="宋体" w:cs="仿宋_GB2312"/>
                <w:color w:val="auto"/>
                <w:kern w:val="2"/>
                <w:sz w:val="24"/>
                <w:szCs w:val="24"/>
              </w:rPr>
            </w:pPr>
          </w:p>
        </w:tc>
      </w:tr>
      <w:tr w14:paraId="30C222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2" w:type="pct"/>
            <w:vAlign w:val="center"/>
          </w:tcPr>
          <w:p w14:paraId="56B3233C">
            <w:pPr>
              <w:pStyle w:val="21"/>
              <w:spacing w:line="360" w:lineRule="auto"/>
              <w:ind w:firstLine="0" w:firstLineChars="0"/>
              <w:contextualSpacing/>
              <w:jc w:val="center"/>
              <w:rPr>
                <w:rFonts w:ascii="宋体" w:hAnsi="宋体" w:eastAsia="宋体" w:cs="仿宋_GB2312"/>
                <w:color w:val="auto"/>
                <w:kern w:val="2"/>
                <w:sz w:val="24"/>
                <w:szCs w:val="24"/>
              </w:rPr>
            </w:pPr>
            <w:bookmarkStart w:id="160" w:name="_Toc297193191"/>
            <w:bookmarkStart w:id="161" w:name="_Toc383699912"/>
            <w:bookmarkStart w:id="162" w:name="_Toc301781617"/>
            <w:bookmarkStart w:id="163" w:name="_Toc254970594"/>
            <w:bookmarkStart w:id="164" w:name="_Toc173066407"/>
            <w:bookmarkStart w:id="165" w:name="_Toc173211906"/>
            <w:bookmarkStart w:id="166" w:name="_Toc254970735"/>
            <w:bookmarkStart w:id="167" w:name="_Toc295404987"/>
            <w:bookmarkStart w:id="168" w:name="_Toc373333695"/>
            <w:r>
              <w:rPr>
                <w:rFonts w:hint="eastAsia" w:ascii="宋体" w:hAnsi="宋体" w:eastAsia="宋体" w:cs="仿宋_GB2312"/>
                <w:color w:val="auto"/>
                <w:kern w:val="2"/>
                <w:sz w:val="24"/>
                <w:szCs w:val="24"/>
              </w:rPr>
              <w:t>2</w:t>
            </w:r>
            <w:bookmarkEnd w:id="160"/>
            <w:bookmarkEnd w:id="161"/>
            <w:bookmarkEnd w:id="162"/>
            <w:bookmarkEnd w:id="163"/>
            <w:bookmarkEnd w:id="164"/>
            <w:bookmarkEnd w:id="165"/>
            <w:bookmarkEnd w:id="166"/>
            <w:bookmarkEnd w:id="167"/>
            <w:bookmarkEnd w:id="168"/>
          </w:p>
        </w:tc>
        <w:tc>
          <w:tcPr>
            <w:tcW w:w="989" w:type="pct"/>
            <w:tcBorders>
              <w:right w:val="single" w:color="auto" w:sz="4" w:space="0"/>
            </w:tcBorders>
            <w:vAlign w:val="center"/>
          </w:tcPr>
          <w:p w14:paraId="50E59C17">
            <w:pPr>
              <w:spacing w:line="360" w:lineRule="auto"/>
              <w:rPr>
                <w:rFonts w:ascii="宋体" w:hAnsi="宋体" w:eastAsia="宋体" w:cs="仿宋_GB2312"/>
                <w:color w:val="auto"/>
                <w:kern w:val="2"/>
                <w:sz w:val="24"/>
                <w:szCs w:val="24"/>
              </w:rPr>
            </w:pPr>
            <w:r>
              <w:rPr>
                <w:rFonts w:hint="eastAsia" w:ascii="宋体" w:hAnsi="宋体" w:eastAsia="宋体" w:cs="仿宋_GB2312"/>
                <w:color w:val="auto"/>
                <w:kern w:val="2"/>
                <w:sz w:val="24"/>
                <w:szCs w:val="24"/>
                <w:highlight w:val="none"/>
                <w:lang w:val="en-US" w:eastAsia="zh-CN" w:bidi="ar-SA"/>
              </w:rPr>
              <w:t>建设地点</w:t>
            </w:r>
          </w:p>
        </w:tc>
        <w:tc>
          <w:tcPr>
            <w:tcW w:w="1244" w:type="pct"/>
            <w:tcBorders>
              <w:left w:val="single" w:color="auto" w:sz="4" w:space="0"/>
            </w:tcBorders>
            <w:vAlign w:val="center"/>
          </w:tcPr>
          <w:p w14:paraId="050F0F80">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4ED9493B">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7362B8DA">
            <w:pPr>
              <w:pStyle w:val="21"/>
              <w:spacing w:line="360" w:lineRule="auto"/>
              <w:ind w:firstLine="0" w:firstLineChars="0"/>
              <w:contextualSpacing/>
              <w:jc w:val="center"/>
              <w:rPr>
                <w:rFonts w:ascii="宋体" w:hAnsi="宋体" w:eastAsia="宋体" w:cs="仿宋_GB2312"/>
                <w:color w:val="auto"/>
                <w:kern w:val="2"/>
                <w:sz w:val="24"/>
                <w:szCs w:val="24"/>
              </w:rPr>
            </w:pPr>
          </w:p>
        </w:tc>
      </w:tr>
      <w:tr w14:paraId="02BFAA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2" w:type="pct"/>
            <w:vAlign w:val="center"/>
          </w:tcPr>
          <w:p w14:paraId="1D206A9C">
            <w:pPr>
              <w:pStyle w:val="21"/>
              <w:spacing w:line="360" w:lineRule="auto"/>
              <w:ind w:firstLine="0" w:firstLineChars="0"/>
              <w:contextualSpacing/>
              <w:jc w:val="center"/>
              <w:rPr>
                <w:rFonts w:ascii="宋体" w:hAnsi="宋体" w:eastAsia="宋体" w:cs="仿宋_GB2312"/>
                <w:color w:val="auto"/>
                <w:kern w:val="2"/>
                <w:sz w:val="24"/>
                <w:szCs w:val="24"/>
              </w:rPr>
            </w:pPr>
            <w:bookmarkStart w:id="169" w:name="_Toc254970595"/>
            <w:bookmarkStart w:id="170" w:name="_Toc373333696"/>
            <w:bookmarkStart w:id="171" w:name="_Toc297193192"/>
            <w:bookmarkStart w:id="172" w:name="_Toc383699913"/>
            <w:bookmarkStart w:id="173" w:name="_Toc173211907"/>
            <w:bookmarkStart w:id="174" w:name="_Toc301781618"/>
            <w:bookmarkStart w:id="175" w:name="_Toc295404988"/>
            <w:bookmarkStart w:id="176" w:name="_Toc254970736"/>
            <w:bookmarkStart w:id="177" w:name="_Toc173066408"/>
            <w:r>
              <w:rPr>
                <w:rFonts w:hint="eastAsia" w:ascii="宋体" w:hAnsi="宋体" w:eastAsia="宋体" w:cs="仿宋_GB2312"/>
                <w:color w:val="auto"/>
                <w:kern w:val="2"/>
                <w:sz w:val="24"/>
                <w:szCs w:val="24"/>
              </w:rPr>
              <w:t>3</w:t>
            </w:r>
            <w:bookmarkEnd w:id="169"/>
            <w:bookmarkEnd w:id="170"/>
            <w:bookmarkEnd w:id="171"/>
            <w:bookmarkEnd w:id="172"/>
            <w:bookmarkEnd w:id="173"/>
            <w:bookmarkEnd w:id="174"/>
            <w:bookmarkEnd w:id="175"/>
            <w:bookmarkEnd w:id="176"/>
            <w:bookmarkEnd w:id="177"/>
          </w:p>
        </w:tc>
        <w:tc>
          <w:tcPr>
            <w:tcW w:w="989" w:type="pct"/>
            <w:tcBorders>
              <w:right w:val="single" w:color="auto" w:sz="4" w:space="0"/>
            </w:tcBorders>
            <w:vAlign w:val="center"/>
          </w:tcPr>
          <w:p w14:paraId="606438D7">
            <w:pPr>
              <w:spacing w:line="360" w:lineRule="auto"/>
              <w:rPr>
                <w:rFonts w:ascii="宋体" w:hAnsi="宋体" w:eastAsia="宋体" w:cs="仿宋_GB2312"/>
                <w:color w:val="auto"/>
                <w:kern w:val="2"/>
                <w:sz w:val="24"/>
                <w:szCs w:val="24"/>
              </w:rPr>
            </w:pPr>
            <w:r>
              <w:rPr>
                <w:rFonts w:hint="eastAsia" w:ascii="宋体" w:hAnsi="宋体" w:eastAsia="宋体" w:cs="仿宋_GB2312"/>
                <w:color w:val="auto"/>
                <w:kern w:val="2"/>
                <w:sz w:val="24"/>
                <w:szCs w:val="24"/>
                <w:highlight w:val="none"/>
                <w:lang w:val="en-US" w:eastAsia="zh-CN" w:bidi="ar-SA"/>
              </w:rPr>
              <w:t>合同签订时间</w:t>
            </w:r>
          </w:p>
        </w:tc>
        <w:tc>
          <w:tcPr>
            <w:tcW w:w="1244" w:type="pct"/>
            <w:tcBorders>
              <w:left w:val="single" w:color="auto" w:sz="4" w:space="0"/>
            </w:tcBorders>
            <w:vAlign w:val="center"/>
          </w:tcPr>
          <w:p w14:paraId="527AC21F">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352BC22E">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7B717609">
            <w:pPr>
              <w:pStyle w:val="21"/>
              <w:spacing w:line="360" w:lineRule="auto"/>
              <w:ind w:firstLine="0" w:firstLineChars="0"/>
              <w:contextualSpacing/>
              <w:jc w:val="center"/>
              <w:rPr>
                <w:rFonts w:ascii="宋体" w:hAnsi="宋体" w:eastAsia="宋体" w:cs="仿宋_GB2312"/>
                <w:color w:val="auto"/>
                <w:kern w:val="2"/>
                <w:sz w:val="24"/>
                <w:szCs w:val="24"/>
              </w:rPr>
            </w:pPr>
          </w:p>
        </w:tc>
      </w:tr>
      <w:tr w14:paraId="65CB95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2" w:type="pct"/>
            <w:vAlign w:val="center"/>
          </w:tcPr>
          <w:p w14:paraId="39059728">
            <w:pPr>
              <w:pStyle w:val="21"/>
              <w:spacing w:line="360" w:lineRule="auto"/>
              <w:ind w:firstLine="0" w:firstLineChars="0"/>
              <w:contextualSpacing/>
              <w:jc w:val="center"/>
              <w:rPr>
                <w:rFonts w:ascii="宋体" w:hAnsi="宋体" w:eastAsia="宋体" w:cs="仿宋_GB2312"/>
                <w:color w:val="auto"/>
                <w:kern w:val="2"/>
                <w:sz w:val="24"/>
                <w:szCs w:val="24"/>
              </w:rPr>
            </w:pPr>
            <w:bookmarkStart w:id="178" w:name="_Toc297193193"/>
            <w:bookmarkStart w:id="179" w:name="_Toc373333697"/>
            <w:bookmarkStart w:id="180" w:name="_Toc254970737"/>
            <w:bookmarkStart w:id="181" w:name="_Toc173211908"/>
            <w:bookmarkStart w:id="182" w:name="_Toc254970596"/>
            <w:bookmarkStart w:id="183" w:name="_Toc295404989"/>
            <w:bookmarkStart w:id="184" w:name="_Toc301781619"/>
            <w:bookmarkStart w:id="185" w:name="_Toc173066409"/>
            <w:bookmarkStart w:id="186" w:name="_Toc383699914"/>
            <w:r>
              <w:rPr>
                <w:rFonts w:hint="eastAsia" w:ascii="宋体" w:hAnsi="宋体" w:eastAsia="宋体" w:cs="仿宋_GB2312"/>
                <w:color w:val="auto"/>
                <w:kern w:val="2"/>
                <w:sz w:val="24"/>
                <w:szCs w:val="24"/>
              </w:rPr>
              <w:t>4</w:t>
            </w:r>
            <w:bookmarkEnd w:id="178"/>
            <w:bookmarkEnd w:id="179"/>
            <w:bookmarkEnd w:id="180"/>
            <w:bookmarkEnd w:id="181"/>
            <w:bookmarkEnd w:id="182"/>
            <w:bookmarkEnd w:id="183"/>
            <w:bookmarkEnd w:id="184"/>
            <w:bookmarkEnd w:id="185"/>
            <w:bookmarkEnd w:id="186"/>
          </w:p>
        </w:tc>
        <w:tc>
          <w:tcPr>
            <w:tcW w:w="989" w:type="pct"/>
            <w:tcBorders>
              <w:right w:val="single" w:color="auto" w:sz="4" w:space="0"/>
            </w:tcBorders>
            <w:vAlign w:val="center"/>
          </w:tcPr>
          <w:p w14:paraId="215A14D0">
            <w:pPr>
              <w:spacing w:line="360" w:lineRule="auto"/>
              <w:rPr>
                <w:rFonts w:ascii="宋体" w:hAnsi="宋体" w:eastAsia="宋体" w:cs="仿宋_GB2312"/>
                <w:color w:val="auto"/>
                <w:kern w:val="2"/>
                <w:sz w:val="24"/>
                <w:szCs w:val="24"/>
              </w:rPr>
            </w:pPr>
            <w:r>
              <w:rPr>
                <w:rFonts w:hint="eastAsia" w:ascii="宋体" w:hAnsi="宋体" w:eastAsia="宋体" w:cs="仿宋_GB2312"/>
                <w:color w:val="auto"/>
                <w:kern w:val="2"/>
                <w:sz w:val="24"/>
                <w:szCs w:val="24"/>
                <w:highlight w:val="none"/>
                <w:lang w:val="en-US" w:eastAsia="zh-CN" w:bidi="ar-SA"/>
              </w:rPr>
              <w:t>付款条件（进度和方式）</w:t>
            </w:r>
          </w:p>
        </w:tc>
        <w:tc>
          <w:tcPr>
            <w:tcW w:w="1244" w:type="pct"/>
            <w:tcBorders>
              <w:left w:val="single" w:color="auto" w:sz="4" w:space="0"/>
            </w:tcBorders>
            <w:vAlign w:val="center"/>
          </w:tcPr>
          <w:p w14:paraId="600A9EA5">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13289AE8">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5D542126">
            <w:pPr>
              <w:pStyle w:val="21"/>
              <w:spacing w:line="360" w:lineRule="auto"/>
              <w:ind w:firstLine="0" w:firstLineChars="0"/>
              <w:contextualSpacing/>
              <w:jc w:val="center"/>
              <w:rPr>
                <w:rFonts w:ascii="宋体" w:hAnsi="宋体" w:eastAsia="宋体" w:cs="仿宋_GB2312"/>
                <w:color w:val="auto"/>
                <w:kern w:val="2"/>
                <w:sz w:val="24"/>
                <w:szCs w:val="24"/>
              </w:rPr>
            </w:pPr>
          </w:p>
        </w:tc>
      </w:tr>
      <w:tr w14:paraId="753637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42" w:type="pct"/>
            <w:vAlign w:val="center"/>
          </w:tcPr>
          <w:p w14:paraId="7126FF24">
            <w:pPr>
              <w:pStyle w:val="21"/>
              <w:spacing w:line="360" w:lineRule="auto"/>
              <w:ind w:firstLine="0" w:firstLineChars="0"/>
              <w:contextualSpacing/>
              <w:jc w:val="center"/>
              <w:rPr>
                <w:rFonts w:ascii="宋体" w:hAnsi="宋体" w:eastAsia="宋体" w:cs="仿宋_GB2312"/>
                <w:color w:val="auto"/>
                <w:kern w:val="2"/>
                <w:sz w:val="24"/>
                <w:szCs w:val="24"/>
              </w:rPr>
            </w:pPr>
            <w:bookmarkStart w:id="187" w:name="_Toc301781620"/>
            <w:bookmarkStart w:id="188" w:name="_Toc254970738"/>
            <w:bookmarkStart w:id="189" w:name="_Toc173211909"/>
            <w:bookmarkStart w:id="190" w:name="_Toc254970597"/>
            <w:bookmarkStart w:id="191" w:name="_Toc297193194"/>
            <w:bookmarkStart w:id="192" w:name="_Toc383699915"/>
            <w:bookmarkStart w:id="193" w:name="_Toc173066410"/>
            <w:bookmarkStart w:id="194" w:name="_Toc295404990"/>
            <w:bookmarkStart w:id="195" w:name="_Toc373333698"/>
            <w:r>
              <w:rPr>
                <w:rFonts w:hint="eastAsia" w:ascii="宋体" w:hAnsi="宋体" w:eastAsia="宋体" w:cs="仿宋_GB2312"/>
                <w:color w:val="auto"/>
                <w:kern w:val="2"/>
                <w:sz w:val="24"/>
                <w:szCs w:val="24"/>
              </w:rPr>
              <w:t>5</w:t>
            </w:r>
            <w:bookmarkEnd w:id="187"/>
            <w:bookmarkEnd w:id="188"/>
            <w:bookmarkEnd w:id="189"/>
            <w:bookmarkEnd w:id="190"/>
            <w:bookmarkEnd w:id="191"/>
            <w:bookmarkEnd w:id="192"/>
            <w:bookmarkEnd w:id="193"/>
            <w:bookmarkEnd w:id="194"/>
            <w:bookmarkEnd w:id="195"/>
          </w:p>
        </w:tc>
        <w:tc>
          <w:tcPr>
            <w:tcW w:w="989" w:type="pct"/>
            <w:tcBorders>
              <w:right w:val="single" w:color="auto" w:sz="4" w:space="0"/>
            </w:tcBorders>
            <w:vAlign w:val="center"/>
          </w:tcPr>
          <w:p w14:paraId="3F42A68C">
            <w:pPr>
              <w:spacing w:line="360" w:lineRule="auto"/>
              <w:rPr>
                <w:rFonts w:ascii="宋体" w:hAnsi="宋体" w:eastAsia="宋体" w:cs="仿宋_GB2312"/>
                <w:color w:val="auto"/>
                <w:kern w:val="2"/>
                <w:sz w:val="24"/>
                <w:szCs w:val="24"/>
              </w:rPr>
            </w:pPr>
            <w:r>
              <w:rPr>
                <w:rFonts w:hint="eastAsia" w:ascii="宋体" w:hAnsi="宋体" w:eastAsia="宋体" w:cs="仿宋_GB2312"/>
                <w:color w:val="auto"/>
                <w:kern w:val="2"/>
                <w:sz w:val="24"/>
                <w:szCs w:val="24"/>
                <w:highlight w:val="none"/>
                <w:lang w:val="en-US" w:eastAsia="zh-CN" w:bidi="ar-SA"/>
              </w:rPr>
              <w:t>验收标准</w:t>
            </w:r>
          </w:p>
        </w:tc>
        <w:tc>
          <w:tcPr>
            <w:tcW w:w="1244" w:type="pct"/>
            <w:tcBorders>
              <w:left w:val="single" w:color="auto" w:sz="4" w:space="0"/>
            </w:tcBorders>
            <w:vAlign w:val="center"/>
          </w:tcPr>
          <w:p w14:paraId="3548C201">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1397CA45">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678852FE">
            <w:pPr>
              <w:pStyle w:val="21"/>
              <w:spacing w:line="360" w:lineRule="auto"/>
              <w:ind w:firstLine="0" w:firstLineChars="0"/>
              <w:contextualSpacing/>
              <w:jc w:val="center"/>
              <w:rPr>
                <w:rFonts w:ascii="宋体" w:hAnsi="宋体" w:eastAsia="宋体" w:cs="仿宋_GB2312"/>
                <w:color w:val="auto"/>
                <w:kern w:val="2"/>
                <w:sz w:val="24"/>
                <w:szCs w:val="24"/>
              </w:rPr>
            </w:pPr>
          </w:p>
        </w:tc>
      </w:tr>
      <w:tr w14:paraId="0A35B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442" w:type="pct"/>
            <w:vAlign w:val="center"/>
          </w:tcPr>
          <w:p w14:paraId="0586CA19">
            <w:pPr>
              <w:pStyle w:val="21"/>
              <w:spacing w:line="360" w:lineRule="auto"/>
              <w:ind w:firstLine="0" w:firstLineChars="0"/>
              <w:contextualSpacing/>
              <w:jc w:val="center"/>
              <w:rPr>
                <w:rFonts w:ascii="宋体" w:hAnsi="宋体" w:eastAsia="宋体" w:cs="仿宋_GB2312"/>
                <w:color w:val="auto"/>
                <w:kern w:val="2"/>
                <w:sz w:val="24"/>
                <w:szCs w:val="24"/>
              </w:rPr>
            </w:pPr>
            <w:bookmarkStart w:id="196" w:name="_Toc297193195"/>
            <w:bookmarkStart w:id="197" w:name="_Toc173066415"/>
            <w:bookmarkStart w:id="198" w:name="_Toc383699916"/>
            <w:bookmarkStart w:id="199" w:name="_Toc295404991"/>
            <w:bookmarkStart w:id="200" w:name="_Toc173211914"/>
            <w:bookmarkStart w:id="201" w:name="_Toc373333699"/>
            <w:bookmarkStart w:id="202" w:name="_Toc254970743"/>
            <w:bookmarkStart w:id="203" w:name="_Toc301781621"/>
            <w:bookmarkStart w:id="204" w:name="_Toc254970602"/>
            <w:r>
              <w:rPr>
                <w:rFonts w:hint="eastAsia" w:ascii="宋体" w:hAnsi="宋体" w:eastAsia="宋体" w:cs="仿宋_GB2312"/>
                <w:color w:val="auto"/>
                <w:kern w:val="2"/>
                <w:sz w:val="24"/>
                <w:szCs w:val="24"/>
              </w:rPr>
              <w:t>…</w:t>
            </w:r>
            <w:bookmarkEnd w:id="196"/>
            <w:bookmarkEnd w:id="197"/>
            <w:bookmarkEnd w:id="198"/>
            <w:bookmarkEnd w:id="199"/>
            <w:bookmarkEnd w:id="200"/>
            <w:bookmarkEnd w:id="201"/>
            <w:bookmarkEnd w:id="202"/>
            <w:bookmarkEnd w:id="203"/>
            <w:bookmarkEnd w:id="204"/>
          </w:p>
        </w:tc>
        <w:tc>
          <w:tcPr>
            <w:tcW w:w="989" w:type="pct"/>
            <w:tcBorders>
              <w:right w:val="single" w:color="auto" w:sz="4" w:space="0"/>
            </w:tcBorders>
            <w:vAlign w:val="center"/>
          </w:tcPr>
          <w:p w14:paraId="637C8E00">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244" w:type="pct"/>
            <w:tcBorders>
              <w:left w:val="single" w:color="auto" w:sz="4" w:space="0"/>
            </w:tcBorders>
            <w:vAlign w:val="center"/>
          </w:tcPr>
          <w:p w14:paraId="69D0A942">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705E7698">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tcBorders>
              <w:right w:val="single" w:color="auto" w:sz="4" w:space="0"/>
            </w:tcBorders>
            <w:vAlign w:val="center"/>
          </w:tcPr>
          <w:p w14:paraId="53764967">
            <w:pPr>
              <w:pStyle w:val="21"/>
              <w:spacing w:line="360" w:lineRule="auto"/>
              <w:ind w:firstLine="0" w:firstLineChars="0"/>
              <w:contextualSpacing/>
              <w:jc w:val="center"/>
              <w:rPr>
                <w:rFonts w:ascii="宋体" w:hAnsi="宋体" w:eastAsia="宋体" w:cs="仿宋_GB2312"/>
                <w:color w:val="auto"/>
                <w:kern w:val="2"/>
                <w:sz w:val="24"/>
                <w:szCs w:val="24"/>
              </w:rPr>
            </w:pPr>
          </w:p>
        </w:tc>
      </w:tr>
    </w:tbl>
    <w:p w14:paraId="1E71740D">
      <w:pPr>
        <w:adjustRightInd w:val="0"/>
        <w:spacing w:line="360" w:lineRule="auto"/>
        <w:contextualSpacing/>
        <w:rPr>
          <w:rFonts w:ascii="宋体" w:hAnsi="宋体" w:cs="仿宋_GB2312"/>
          <w:color w:val="auto"/>
          <w:sz w:val="24"/>
        </w:rPr>
      </w:pPr>
    </w:p>
    <w:p w14:paraId="4BE7381E">
      <w:pPr>
        <w:pStyle w:val="2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54BAA089">
      <w:pPr>
        <w:pStyle w:val="2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 采购需求”中的</w:t>
      </w:r>
      <w:r>
        <w:rPr>
          <w:rFonts w:hint="eastAsia" w:ascii="宋体" w:hAnsi="宋体" w:eastAsia="宋体" w:cs="仿宋_GB2312"/>
          <w:color w:val="auto"/>
          <w:sz w:val="24"/>
          <w:szCs w:val="24"/>
          <w:lang w:val="en-US" w:eastAsia="zh-CN"/>
        </w:rPr>
        <w:t>商务</w:t>
      </w:r>
      <w:r>
        <w:rPr>
          <w:rFonts w:hint="eastAsia" w:ascii="宋体" w:hAnsi="宋体" w:eastAsia="宋体" w:cs="仿宋_GB2312"/>
          <w:color w:val="auto"/>
          <w:sz w:val="24"/>
          <w:szCs w:val="24"/>
        </w:rPr>
        <w:t>要求逐条作出明确响应，并作出偏离说明。</w:t>
      </w:r>
    </w:p>
    <w:p w14:paraId="4AADBABE">
      <w:pPr>
        <w:pStyle w:val="2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7AC0FDE5">
      <w:pPr>
        <w:spacing w:line="360" w:lineRule="auto"/>
        <w:ind w:right="-817" w:rightChars="-389"/>
        <w:contextualSpacing/>
        <w:rPr>
          <w:rFonts w:ascii="宋体" w:hAnsi="宋体" w:cs="仿宋_GB2312"/>
          <w:color w:val="auto"/>
          <w:sz w:val="24"/>
        </w:rPr>
      </w:pPr>
    </w:p>
    <w:p w14:paraId="2B942599">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14:paraId="2F2FCF4B">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14:paraId="13385171">
      <w:pPr>
        <w:spacing w:line="360" w:lineRule="auto"/>
        <w:ind w:right="-817" w:rightChars="-389" w:firstLine="4080" w:firstLineChars="1700"/>
        <w:contextualSpacing/>
        <w:rPr>
          <w:rFonts w:hint="eastAsia" w:ascii="宋体" w:hAnsi="宋体" w:cs="仿宋_GB2312"/>
          <w:color w:val="auto"/>
          <w:sz w:val="24"/>
        </w:rPr>
      </w:pPr>
      <w:r>
        <w:rPr>
          <w:rFonts w:hint="eastAsia" w:ascii="宋体" w:hAnsi="宋体" w:cs="仿宋_GB2312"/>
          <w:color w:val="auto"/>
          <w:sz w:val="24"/>
        </w:rPr>
        <w:t>日期：   年   月   日</w:t>
      </w:r>
    </w:p>
    <w:p w14:paraId="48D5FBDE">
      <w:pPr>
        <w:pStyle w:val="55"/>
        <w:rPr>
          <w:rFonts w:hint="eastAsia" w:ascii="宋体" w:hAnsi="宋体" w:cs="仿宋_GB2312"/>
          <w:color w:val="auto"/>
          <w:sz w:val="24"/>
        </w:rPr>
      </w:pPr>
    </w:p>
    <w:p w14:paraId="015ACBAA">
      <w:pPr>
        <w:rPr>
          <w:rFonts w:hint="eastAsia" w:ascii="宋体" w:hAnsi="宋体" w:cs="仿宋_GB2312"/>
          <w:color w:val="auto"/>
          <w:sz w:val="24"/>
        </w:rPr>
      </w:pPr>
      <w:r>
        <w:rPr>
          <w:rFonts w:hint="eastAsia" w:ascii="宋体" w:hAnsi="宋体" w:cs="仿宋_GB2312"/>
          <w:color w:val="auto"/>
          <w:sz w:val="24"/>
        </w:rPr>
        <w:br w:type="page"/>
      </w:r>
    </w:p>
    <w:p w14:paraId="21B0BB21">
      <w:pPr>
        <w:snapToGrid w:val="0"/>
        <w:spacing w:before="156" w:beforeLines="50" w:after="50"/>
        <w:jc w:val="center"/>
        <w:rPr>
          <w:rFonts w:ascii="宋体" w:hAnsi="宋体" w:cs="方正小标宋简体"/>
          <w:b/>
          <w:color w:val="auto"/>
          <w:sz w:val="32"/>
          <w:szCs w:val="32"/>
        </w:rPr>
      </w:pPr>
      <w:r>
        <w:rPr>
          <w:rFonts w:hint="eastAsia" w:ascii="宋体" w:hAnsi="宋体" w:cs="方正小标宋简体"/>
          <w:b/>
          <w:color w:val="auto"/>
          <w:sz w:val="32"/>
          <w:szCs w:val="32"/>
          <w:lang w:val="en-US" w:eastAsia="zh-CN"/>
        </w:rPr>
        <w:t>技术</w:t>
      </w:r>
      <w:r>
        <w:rPr>
          <w:rFonts w:hint="eastAsia" w:ascii="宋体" w:hAnsi="宋体" w:cs="方正小标宋简体"/>
          <w:b/>
          <w:color w:val="auto"/>
          <w:sz w:val="32"/>
          <w:szCs w:val="32"/>
        </w:rPr>
        <w:t>要求响应表</w:t>
      </w:r>
    </w:p>
    <w:p w14:paraId="73D6B93D">
      <w:pPr>
        <w:spacing w:line="360" w:lineRule="auto"/>
        <w:contextualSpacing/>
        <w:rPr>
          <w:rFonts w:hint="eastAsia" w:ascii="宋体" w:hAnsi="宋体" w:cs="仿宋_GB2312"/>
          <w:color w:val="auto"/>
          <w:sz w:val="24"/>
        </w:rPr>
      </w:pPr>
    </w:p>
    <w:p w14:paraId="0555F367">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07031A02">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5"/>
        <w:gridCol w:w="1745"/>
        <w:gridCol w:w="2207"/>
        <w:gridCol w:w="2735"/>
        <w:gridCol w:w="1493"/>
      </w:tblGrid>
      <w:tr w14:paraId="5BF76B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3EA9373">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959" w:type="pct"/>
            <w:tcBorders>
              <w:right w:val="single" w:color="auto" w:sz="4" w:space="0"/>
            </w:tcBorders>
            <w:vAlign w:val="center"/>
          </w:tcPr>
          <w:p w14:paraId="5413E3EF">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213" w:type="pct"/>
            <w:tcBorders>
              <w:left w:val="single" w:color="auto" w:sz="4" w:space="0"/>
            </w:tcBorders>
            <w:vAlign w:val="center"/>
          </w:tcPr>
          <w:p w14:paraId="37A515EE">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磋商文件要求</w:t>
            </w:r>
          </w:p>
        </w:tc>
        <w:tc>
          <w:tcPr>
            <w:tcW w:w="1503" w:type="pct"/>
            <w:vAlign w:val="center"/>
          </w:tcPr>
          <w:p w14:paraId="1263E602">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c>
          <w:tcPr>
            <w:tcW w:w="820" w:type="pct"/>
            <w:vAlign w:val="center"/>
          </w:tcPr>
          <w:p w14:paraId="24D6B325">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3BE76B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65354D86">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1</w:t>
            </w:r>
          </w:p>
        </w:tc>
        <w:tc>
          <w:tcPr>
            <w:tcW w:w="959" w:type="pct"/>
            <w:tcBorders>
              <w:right w:val="single" w:color="auto" w:sz="4" w:space="0"/>
            </w:tcBorders>
            <w:vAlign w:val="center"/>
          </w:tcPr>
          <w:p w14:paraId="0D43E46E">
            <w:pPr>
              <w:spacing w:line="360" w:lineRule="auto"/>
              <w:rPr>
                <w:rFonts w:ascii="宋体" w:hAnsi="宋体" w:eastAsia="宋体" w:cs="仿宋_GB2312"/>
                <w:color w:val="auto"/>
                <w:kern w:val="2"/>
                <w:sz w:val="24"/>
                <w:szCs w:val="24"/>
              </w:rPr>
            </w:pPr>
          </w:p>
        </w:tc>
        <w:tc>
          <w:tcPr>
            <w:tcW w:w="1213" w:type="pct"/>
            <w:tcBorders>
              <w:left w:val="single" w:color="auto" w:sz="4" w:space="0"/>
            </w:tcBorders>
            <w:vAlign w:val="center"/>
          </w:tcPr>
          <w:p w14:paraId="143D9268">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766B1C1E">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75D92679">
            <w:pPr>
              <w:pStyle w:val="21"/>
              <w:spacing w:line="360" w:lineRule="auto"/>
              <w:ind w:firstLine="0" w:firstLineChars="0"/>
              <w:contextualSpacing/>
              <w:jc w:val="center"/>
              <w:rPr>
                <w:rFonts w:ascii="宋体" w:hAnsi="宋体" w:eastAsia="宋体" w:cs="仿宋_GB2312"/>
                <w:color w:val="auto"/>
                <w:kern w:val="2"/>
                <w:sz w:val="24"/>
                <w:szCs w:val="24"/>
              </w:rPr>
            </w:pPr>
          </w:p>
        </w:tc>
      </w:tr>
      <w:tr w14:paraId="540FF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6C8E83C">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2</w:t>
            </w:r>
          </w:p>
        </w:tc>
        <w:tc>
          <w:tcPr>
            <w:tcW w:w="959" w:type="pct"/>
            <w:tcBorders>
              <w:right w:val="single" w:color="auto" w:sz="4" w:space="0"/>
            </w:tcBorders>
            <w:vAlign w:val="center"/>
          </w:tcPr>
          <w:p w14:paraId="3CE0E15D">
            <w:pPr>
              <w:spacing w:line="360" w:lineRule="auto"/>
              <w:rPr>
                <w:rFonts w:ascii="宋体" w:hAnsi="宋体" w:eastAsia="宋体" w:cs="仿宋_GB2312"/>
                <w:color w:val="auto"/>
                <w:kern w:val="2"/>
                <w:sz w:val="24"/>
                <w:szCs w:val="24"/>
              </w:rPr>
            </w:pPr>
          </w:p>
        </w:tc>
        <w:tc>
          <w:tcPr>
            <w:tcW w:w="1213" w:type="pct"/>
            <w:tcBorders>
              <w:left w:val="single" w:color="auto" w:sz="4" w:space="0"/>
            </w:tcBorders>
            <w:vAlign w:val="center"/>
          </w:tcPr>
          <w:p w14:paraId="60FD3791">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552AC034">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116E4765">
            <w:pPr>
              <w:pStyle w:val="21"/>
              <w:spacing w:line="360" w:lineRule="auto"/>
              <w:ind w:firstLine="0" w:firstLineChars="0"/>
              <w:contextualSpacing/>
              <w:jc w:val="center"/>
              <w:rPr>
                <w:rFonts w:ascii="宋体" w:hAnsi="宋体" w:eastAsia="宋体" w:cs="仿宋_GB2312"/>
                <w:color w:val="auto"/>
                <w:kern w:val="2"/>
                <w:sz w:val="24"/>
                <w:szCs w:val="24"/>
              </w:rPr>
            </w:pPr>
          </w:p>
        </w:tc>
      </w:tr>
      <w:tr w14:paraId="2C704B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3805599">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3</w:t>
            </w:r>
          </w:p>
        </w:tc>
        <w:tc>
          <w:tcPr>
            <w:tcW w:w="959" w:type="pct"/>
            <w:tcBorders>
              <w:right w:val="single" w:color="auto" w:sz="4" w:space="0"/>
            </w:tcBorders>
            <w:vAlign w:val="center"/>
          </w:tcPr>
          <w:p w14:paraId="598DAE1B">
            <w:pPr>
              <w:spacing w:line="360" w:lineRule="auto"/>
              <w:rPr>
                <w:rFonts w:ascii="宋体" w:hAnsi="宋体" w:eastAsia="宋体" w:cs="仿宋_GB2312"/>
                <w:color w:val="auto"/>
                <w:kern w:val="2"/>
                <w:sz w:val="24"/>
                <w:szCs w:val="24"/>
              </w:rPr>
            </w:pPr>
          </w:p>
        </w:tc>
        <w:tc>
          <w:tcPr>
            <w:tcW w:w="1213" w:type="pct"/>
            <w:tcBorders>
              <w:left w:val="single" w:color="auto" w:sz="4" w:space="0"/>
            </w:tcBorders>
            <w:vAlign w:val="center"/>
          </w:tcPr>
          <w:p w14:paraId="24F70C7B">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47F7DE85">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1E29EED1">
            <w:pPr>
              <w:pStyle w:val="21"/>
              <w:spacing w:line="360" w:lineRule="auto"/>
              <w:ind w:firstLine="0" w:firstLineChars="0"/>
              <w:contextualSpacing/>
              <w:jc w:val="center"/>
              <w:rPr>
                <w:rFonts w:ascii="宋体" w:hAnsi="宋体" w:eastAsia="宋体" w:cs="仿宋_GB2312"/>
                <w:color w:val="auto"/>
                <w:kern w:val="2"/>
                <w:sz w:val="24"/>
                <w:szCs w:val="24"/>
              </w:rPr>
            </w:pPr>
          </w:p>
        </w:tc>
      </w:tr>
      <w:tr w14:paraId="32513E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91D0FEB">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4</w:t>
            </w:r>
          </w:p>
        </w:tc>
        <w:tc>
          <w:tcPr>
            <w:tcW w:w="959" w:type="pct"/>
            <w:tcBorders>
              <w:right w:val="single" w:color="auto" w:sz="4" w:space="0"/>
            </w:tcBorders>
            <w:vAlign w:val="center"/>
          </w:tcPr>
          <w:p w14:paraId="5716723E">
            <w:pPr>
              <w:spacing w:line="360" w:lineRule="auto"/>
              <w:rPr>
                <w:rFonts w:ascii="宋体" w:hAnsi="宋体" w:eastAsia="宋体" w:cs="仿宋_GB2312"/>
                <w:color w:val="auto"/>
                <w:kern w:val="2"/>
                <w:sz w:val="24"/>
                <w:szCs w:val="24"/>
              </w:rPr>
            </w:pPr>
          </w:p>
        </w:tc>
        <w:tc>
          <w:tcPr>
            <w:tcW w:w="1213" w:type="pct"/>
            <w:tcBorders>
              <w:left w:val="single" w:color="auto" w:sz="4" w:space="0"/>
            </w:tcBorders>
            <w:vAlign w:val="center"/>
          </w:tcPr>
          <w:p w14:paraId="05E719C7">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1EDF31CF">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3B550607">
            <w:pPr>
              <w:pStyle w:val="21"/>
              <w:spacing w:line="360" w:lineRule="auto"/>
              <w:ind w:firstLine="0" w:firstLineChars="0"/>
              <w:contextualSpacing/>
              <w:jc w:val="center"/>
              <w:rPr>
                <w:rFonts w:ascii="宋体" w:hAnsi="宋体" w:eastAsia="宋体" w:cs="仿宋_GB2312"/>
                <w:color w:val="auto"/>
                <w:kern w:val="2"/>
                <w:sz w:val="24"/>
                <w:szCs w:val="24"/>
              </w:rPr>
            </w:pPr>
          </w:p>
        </w:tc>
      </w:tr>
      <w:tr w14:paraId="70883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A7D8624">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5</w:t>
            </w:r>
          </w:p>
        </w:tc>
        <w:tc>
          <w:tcPr>
            <w:tcW w:w="959" w:type="pct"/>
            <w:tcBorders>
              <w:right w:val="single" w:color="auto" w:sz="4" w:space="0"/>
            </w:tcBorders>
            <w:vAlign w:val="center"/>
          </w:tcPr>
          <w:p w14:paraId="4D55D5D1">
            <w:pPr>
              <w:spacing w:line="360" w:lineRule="auto"/>
              <w:rPr>
                <w:rFonts w:ascii="宋体" w:hAnsi="宋体" w:eastAsia="宋体" w:cs="仿宋_GB2312"/>
                <w:color w:val="auto"/>
                <w:kern w:val="2"/>
                <w:sz w:val="24"/>
                <w:szCs w:val="24"/>
              </w:rPr>
            </w:pPr>
          </w:p>
        </w:tc>
        <w:tc>
          <w:tcPr>
            <w:tcW w:w="1213" w:type="pct"/>
            <w:tcBorders>
              <w:left w:val="single" w:color="auto" w:sz="4" w:space="0"/>
            </w:tcBorders>
            <w:vAlign w:val="center"/>
          </w:tcPr>
          <w:p w14:paraId="77C20D55">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437EC495">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vAlign w:val="center"/>
          </w:tcPr>
          <w:p w14:paraId="58991A2D">
            <w:pPr>
              <w:pStyle w:val="21"/>
              <w:spacing w:line="360" w:lineRule="auto"/>
              <w:ind w:firstLine="0" w:firstLineChars="0"/>
              <w:contextualSpacing/>
              <w:jc w:val="center"/>
              <w:rPr>
                <w:rFonts w:ascii="宋体" w:hAnsi="宋体" w:eastAsia="宋体" w:cs="仿宋_GB2312"/>
                <w:color w:val="auto"/>
                <w:kern w:val="2"/>
                <w:sz w:val="24"/>
                <w:szCs w:val="24"/>
              </w:rPr>
            </w:pPr>
          </w:p>
        </w:tc>
      </w:tr>
      <w:tr w14:paraId="56B8AD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794D29E5">
            <w:pPr>
              <w:pStyle w:val="21"/>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w:t>
            </w:r>
          </w:p>
        </w:tc>
        <w:tc>
          <w:tcPr>
            <w:tcW w:w="959" w:type="pct"/>
            <w:tcBorders>
              <w:right w:val="single" w:color="auto" w:sz="4" w:space="0"/>
            </w:tcBorders>
            <w:vAlign w:val="center"/>
          </w:tcPr>
          <w:p w14:paraId="0B3C354B">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213" w:type="pct"/>
            <w:tcBorders>
              <w:left w:val="single" w:color="auto" w:sz="4" w:space="0"/>
            </w:tcBorders>
            <w:vAlign w:val="center"/>
          </w:tcPr>
          <w:p w14:paraId="670FA976">
            <w:pPr>
              <w:pStyle w:val="21"/>
              <w:spacing w:line="360" w:lineRule="auto"/>
              <w:ind w:firstLine="0" w:firstLineChars="0"/>
              <w:contextualSpacing/>
              <w:jc w:val="center"/>
              <w:rPr>
                <w:rFonts w:ascii="宋体" w:hAnsi="宋体" w:eastAsia="宋体" w:cs="仿宋_GB2312"/>
                <w:color w:val="auto"/>
                <w:kern w:val="2"/>
                <w:sz w:val="24"/>
                <w:szCs w:val="24"/>
              </w:rPr>
            </w:pPr>
          </w:p>
        </w:tc>
        <w:tc>
          <w:tcPr>
            <w:tcW w:w="1503" w:type="pct"/>
            <w:vAlign w:val="center"/>
          </w:tcPr>
          <w:p w14:paraId="7389CE8A">
            <w:pPr>
              <w:pStyle w:val="21"/>
              <w:spacing w:line="360" w:lineRule="auto"/>
              <w:ind w:firstLine="0" w:firstLineChars="0"/>
              <w:contextualSpacing/>
              <w:jc w:val="center"/>
              <w:rPr>
                <w:rFonts w:ascii="宋体" w:hAnsi="宋体" w:eastAsia="宋体" w:cs="仿宋_GB2312"/>
                <w:color w:val="auto"/>
                <w:kern w:val="2"/>
                <w:sz w:val="24"/>
                <w:szCs w:val="24"/>
              </w:rPr>
            </w:pPr>
          </w:p>
        </w:tc>
        <w:tc>
          <w:tcPr>
            <w:tcW w:w="820" w:type="pct"/>
            <w:tcBorders>
              <w:right w:val="single" w:color="auto" w:sz="4" w:space="0"/>
            </w:tcBorders>
            <w:vAlign w:val="center"/>
          </w:tcPr>
          <w:p w14:paraId="19B9EB94">
            <w:pPr>
              <w:pStyle w:val="21"/>
              <w:spacing w:line="360" w:lineRule="auto"/>
              <w:ind w:firstLine="0" w:firstLineChars="0"/>
              <w:contextualSpacing/>
              <w:jc w:val="center"/>
              <w:rPr>
                <w:rFonts w:ascii="宋体" w:hAnsi="宋体" w:eastAsia="宋体" w:cs="仿宋_GB2312"/>
                <w:color w:val="auto"/>
                <w:kern w:val="2"/>
                <w:sz w:val="24"/>
                <w:szCs w:val="24"/>
              </w:rPr>
            </w:pPr>
          </w:p>
        </w:tc>
      </w:tr>
    </w:tbl>
    <w:p w14:paraId="78177544">
      <w:pPr>
        <w:adjustRightInd w:val="0"/>
        <w:spacing w:line="360" w:lineRule="auto"/>
        <w:contextualSpacing/>
        <w:rPr>
          <w:rFonts w:ascii="宋体" w:hAnsi="宋体" w:cs="仿宋_GB2312"/>
          <w:color w:val="auto"/>
          <w:sz w:val="24"/>
        </w:rPr>
      </w:pPr>
    </w:p>
    <w:p w14:paraId="1D982132">
      <w:pPr>
        <w:pStyle w:val="2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50BF0BB2">
      <w:pPr>
        <w:pStyle w:val="2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说明：应对照磋商文件“第三章 采购需求”中的</w:t>
      </w:r>
      <w:r>
        <w:rPr>
          <w:rFonts w:hint="eastAsia" w:ascii="宋体" w:hAnsi="宋体" w:eastAsia="宋体" w:cs="仿宋_GB2312"/>
          <w:color w:val="auto"/>
          <w:sz w:val="24"/>
          <w:szCs w:val="24"/>
          <w:lang w:val="en-US" w:eastAsia="zh-CN"/>
        </w:rPr>
        <w:t>技术</w:t>
      </w:r>
      <w:r>
        <w:rPr>
          <w:rFonts w:hint="eastAsia" w:ascii="宋体" w:hAnsi="宋体" w:eastAsia="宋体" w:cs="仿宋_GB2312"/>
          <w:color w:val="auto"/>
          <w:sz w:val="24"/>
          <w:szCs w:val="24"/>
        </w:rPr>
        <w:t>要求逐条作出明确响应，并作出偏离说明。</w:t>
      </w:r>
    </w:p>
    <w:p w14:paraId="188DC2FD">
      <w:pPr>
        <w:pStyle w:val="21"/>
        <w:spacing w:line="360" w:lineRule="auto"/>
        <w:ind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2.供应商应根据自身的承诺，对照磋商文件要求，在“偏离说明”中注明“正偏离”、“负偏离”或者“无偏离”。既不属于“正偏离”也不属于“负偏离”即为“无偏离”。</w:t>
      </w:r>
    </w:p>
    <w:p w14:paraId="16D10848">
      <w:pPr>
        <w:spacing w:line="360" w:lineRule="auto"/>
        <w:ind w:right="-817" w:rightChars="-389"/>
        <w:contextualSpacing/>
        <w:rPr>
          <w:rFonts w:ascii="宋体" w:hAnsi="宋体" w:cs="仿宋_GB2312"/>
          <w:color w:val="auto"/>
          <w:sz w:val="24"/>
        </w:rPr>
      </w:pPr>
    </w:p>
    <w:p w14:paraId="7FD170AD">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14:paraId="7EDBE073">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供应商（电子签章）：      </w:t>
      </w:r>
    </w:p>
    <w:p w14:paraId="23AAE03F">
      <w:pPr>
        <w:spacing w:line="360" w:lineRule="auto"/>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日期：   年   月   日</w:t>
      </w:r>
    </w:p>
    <w:p w14:paraId="1308060F">
      <w:pP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br w:type="page"/>
      </w:r>
    </w:p>
    <w:p w14:paraId="26551800">
      <w:pPr>
        <w:jc w:val="center"/>
        <w:outlineLvl w:val="0"/>
        <w:rPr>
          <w:rFonts w:cs="宋体"/>
          <w:b/>
          <w:bCs/>
          <w:color w:val="auto"/>
          <w:sz w:val="28"/>
          <w:szCs w:val="28"/>
        </w:rPr>
      </w:pPr>
      <w:r>
        <w:rPr>
          <w:rFonts w:hint="eastAsia" w:cs="宋体"/>
          <w:b/>
          <w:bCs/>
          <w:color w:val="auto"/>
          <w:sz w:val="28"/>
          <w:szCs w:val="28"/>
        </w:rPr>
        <w:t>建设工程项目管理承诺书</w:t>
      </w:r>
    </w:p>
    <w:p w14:paraId="5AAD65F6">
      <w:pPr>
        <w:spacing w:line="480" w:lineRule="auto"/>
        <w:jc w:val="left"/>
        <w:rPr>
          <w:color w:val="auto"/>
        </w:rPr>
      </w:pPr>
    </w:p>
    <w:p w14:paraId="18E3DAAC">
      <w:pPr>
        <w:spacing w:line="480" w:lineRule="auto"/>
        <w:jc w:val="left"/>
        <w:rPr>
          <w:color w:val="auto"/>
        </w:rPr>
      </w:pPr>
      <w:r>
        <w:rPr>
          <w:rFonts w:hint="eastAsia" w:cs="宋体"/>
          <w:color w:val="auto"/>
        </w:rPr>
        <w:t>致</w:t>
      </w:r>
      <w:r>
        <w:rPr>
          <w:color w:val="auto"/>
          <w:u w:val="single"/>
        </w:rPr>
        <w:t xml:space="preserve">                        </w:t>
      </w:r>
      <w:r>
        <w:rPr>
          <w:rFonts w:hint="eastAsia" w:cs="宋体"/>
          <w:color w:val="auto"/>
        </w:rPr>
        <w:t>（采购人名称）：</w:t>
      </w:r>
    </w:p>
    <w:p w14:paraId="0F1A629C">
      <w:pPr>
        <w:spacing w:line="520" w:lineRule="exact"/>
        <w:ind w:left="-10" w:firstLine="455" w:firstLineChars="217"/>
        <w:jc w:val="left"/>
        <w:rPr>
          <w:color w:val="auto"/>
        </w:rPr>
      </w:pPr>
      <w:r>
        <w:rPr>
          <w:rFonts w:hint="eastAsia" w:cs="宋体"/>
          <w:color w:val="auto"/>
        </w:rPr>
        <w:t>作为参与</w:t>
      </w:r>
      <w:r>
        <w:rPr>
          <w:color w:val="auto"/>
          <w:u w:val="single"/>
        </w:rPr>
        <w:t xml:space="preserve">                  </w:t>
      </w:r>
      <w:r>
        <w:rPr>
          <w:rFonts w:hint="eastAsia" w:cs="宋体"/>
          <w:color w:val="auto"/>
        </w:rPr>
        <w:t>（工程名称）项目的供应商，根据国家、自治区相关文件规定，我方在此向采购人承诺：</w:t>
      </w:r>
    </w:p>
    <w:p w14:paraId="2986A13B">
      <w:pPr>
        <w:spacing w:line="520" w:lineRule="exact"/>
        <w:ind w:left="-10" w:firstLine="455" w:firstLineChars="217"/>
        <w:jc w:val="left"/>
        <w:rPr>
          <w:color w:val="auto"/>
        </w:rPr>
      </w:pPr>
      <w:r>
        <w:rPr>
          <w:color w:val="auto"/>
        </w:rPr>
        <w:t>1、一旦</w:t>
      </w:r>
      <w:r>
        <w:rPr>
          <w:rFonts w:hint="eastAsia"/>
          <w:color w:val="auto"/>
        </w:rPr>
        <w:t>成交</w:t>
      </w:r>
      <w:r>
        <w:rPr>
          <w:color w:val="auto"/>
        </w:rPr>
        <w:t>，我方保证按照政府相关部门的规定，</w:t>
      </w:r>
      <w:r>
        <w:rPr>
          <w:rFonts w:hint="eastAsia" w:ascii="宋体" w:hAnsi="宋体"/>
          <w:color w:val="auto"/>
        </w:rPr>
        <w:t>在成交后7个工作日内，按照《保障农民工工资支付条例》规定及广西壮族自治区有关规定开设农民工工资专用账户，并按要求比例将农民工工资保证金存入账户</w:t>
      </w:r>
      <w:r>
        <w:rPr>
          <w:rFonts w:hint="eastAsia"/>
          <w:color w:val="auto"/>
        </w:rPr>
        <w:t>，专项用于支付本工程提供劳动的农民工被拖欠的工资。</w:t>
      </w:r>
      <w:r>
        <w:rPr>
          <w:color w:val="auto"/>
        </w:rPr>
        <w:t>按照与农民工依法约定的工资支付周期和具体支付日期支付工资</w:t>
      </w:r>
      <w:r>
        <w:rPr>
          <w:rFonts w:hint="eastAsia"/>
          <w:color w:val="auto"/>
        </w:rPr>
        <w:t>，保证</w:t>
      </w:r>
      <w:r>
        <w:rPr>
          <w:color w:val="auto"/>
        </w:rPr>
        <w:t>每月至少向农民工足额支付一次工资。</w:t>
      </w:r>
    </w:p>
    <w:p w14:paraId="6323ABCA">
      <w:pPr>
        <w:spacing w:line="520" w:lineRule="exact"/>
        <w:ind w:left="-10" w:firstLine="455" w:firstLineChars="217"/>
        <w:jc w:val="left"/>
        <w:rPr>
          <w:color w:val="auto"/>
        </w:rPr>
      </w:pPr>
      <w:r>
        <w:rPr>
          <w:color w:val="auto"/>
        </w:rPr>
        <w:t>2、一旦</w:t>
      </w:r>
      <w:r>
        <w:rPr>
          <w:rFonts w:hint="eastAsia"/>
          <w:color w:val="auto"/>
        </w:rPr>
        <w:t>成交</w:t>
      </w:r>
      <w:r>
        <w:rPr>
          <w:color w:val="auto"/>
        </w:rPr>
        <w:t>，我方保证在施工过程中，严格执行《广西壮族自治区建筑工程安全文明施工费使用管理细则》（桂建质〔20</w:t>
      </w:r>
      <w:r>
        <w:rPr>
          <w:rFonts w:hint="eastAsia"/>
          <w:color w:val="auto"/>
        </w:rPr>
        <w:t>15</w:t>
      </w:r>
      <w:r>
        <w:rPr>
          <w:color w:val="auto"/>
        </w:rPr>
        <w:t>〕</w:t>
      </w:r>
      <w:r>
        <w:rPr>
          <w:rFonts w:hint="eastAsia"/>
          <w:color w:val="auto"/>
        </w:rPr>
        <w:t>16</w:t>
      </w:r>
      <w:r>
        <w:rPr>
          <w:color w:val="auto"/>
        </w:rPr>
        <w:t>号）的有关规定，确保建设工程各项安全防护、文明施工措施落实到位。如我方在该项目的承包中出现未按桂建质〔20</w:t>
      </w:r>
      <w:r>
        <w:rPr>
          <w:rFonts w:hint="eastAsia"/>
          <w:color w:val="auto"/>
        </w:rPr>
        <w:t>15</w:t>
      </w:r>
      <w:r>
        <w:rPr>
          <w:color w:val="auto"/>
        </w:rPr>
        <w:t>〕</w:t>
      </w:r>
      <w:r>
        <w:rPr>
          <w:rFonts w:hint="eastAsia"/>
          <w:color w:val="auto"/>
        </w:rPr>
        <w:t>16</w:t>
      </w:r>
      <w:r>
        <w:rPr>
          <w:color w:val="auto"/>
        </w:rPr>
        <w:t>号文附件一规定执行的情形，我方愿意按照相关规定接受建设单位及有关主管部门的处罚。</w:t>
      </w:r>
    </w:p>
    <w:p w14:paraId="1EE241EE">
      <w:pPr>
        <w:spacing w:line="520" w:lineRule="exact"/>
        <w:ind w:left="-2" w:leftChars="-1" w:firstLine="449" w:firstLineChars="214"/>
        <w:jc w:val="left"/>
        <w:rPr>
          <w:color w:val="auto"/>
        </w:rPr>
      </w:pPr>
      <w:r>
        <w:rPr>
          <w:color w:val="auto"/>
        </w:rPr>
        <w:t>3、一旦</w:t>
      </w:r>
      <w:r>
        <w:rPr>
          <w:rFonts w:hint="eastAsia"/>
          <w:color w:val="auto"/>
        </w:rPr>
        <w:t>成交</w:t>
      </w:r>
      <w:r>
        <w:rPr>
          <w:color w:val="auto"/>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4A98944">
      <w:pPr>
        <w:spacing w:line="520" w:lineRule="exact"/>
        <w:ind w:left="-10" w:firstLine="455" w:firstLineChars="217"/>
        <w:jc w:val="left"/>
        <w:rPr>
          <w:color w:val="auto"/>
        </w:rPr>
      </w:pPr>
      <w:r>
        <w:rPr>
          <w:rFonts w:hint="eastAsia"/>
          <w:color w:val="auto"/>
        </w:rPr>
        <w:t>4、一旦成交，我方保证在施工过程中，严格执行《关于禁止使用不符合规范要求的竹脚手架的通知》（</w:t>
      </w:r>
      <w:r>
        <w:rPr>
          <w:color w:val="auto"/>
        </w:rPr>
        <w:t>桂建</w:t>
      </w:r>
      <w:r>
        <w:rPr>
          <w:rFonts w:hint="eastAsia"/>
          <w:color w:val="auto"/>
        </w:rPr>
        <w:t>管字</w:t>
      </w:r>
      <w:r>
        <w:rPr>
          <w:color w:val="auto"/>
        </w:rPr>
        <w:t>〔200</w:t>
      </w:r>
      <w:r>
        <w:rPr>
          <w:rFonts w:hint="eastAsia"/>
          <w:color w:val="auto"/>
        </w:rPr>
        <w:t>3</w:t>
      </w:r>
      <w:r>
        <w:rPr>
          <w:color w:val="auto"/>
        </w:rPr>
        <w:t>〕</w:t>
      </w:r>
      <w:r>
        <w:rPr>
          <w:rFonts w:hint="eastAsia"/>
          <w:color w:val="auto"/>
        </w:rPr>
        <w:t>40</w:t>
      </w:r>
      <w:r>
        <w:rPr>
          <w:color w:val="auto"/>
        </w:rPr>
        <w:t>号</w:t>
      </w:r>
      <w:r>
        <w:rPr>
          <w:rFonts w:hint="eastAsia"/>
          <w:color w:val="auto"/>
        </w:rPr>
        <w:t>）的有关规定，不使用竹脚手架。如我方在该</w:t>
      </w:r>
      <w:r>
        <w:rPr>
          <w:color w:val="auto"/>
        </w:rPr>
        <w:t>项目的承包中出现未按规定执行的情形，我方愿意按照相关规定接受建设单位及有关主管部门的处罚。</w:t>
      </w:r>
    </w:p>
    <w:p w14:paraId="3C2E78E0">
      <w:pPr>
        <w:spacing w:line="520" w:lineRule="exact"/>
        <w:ind w:left="-10" w:firstLine="455" w:firstLineChars="217"/>
        <w:jc w:val="left"/>
        <w:rPr>
          <w:color w:val="auto"/>
        </w:rPr>
      </w:pPr>
      <w:r>
        <w:rPr>
          <w:rFonts w:hint="eastAsia"/>
          <w:color w:val="auto"/>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204DED99">
      <w:pPr>
        <w:spacing w:line="520" w:lineRule="exact"/>
        <w:jc w:val="left"/>
        <w:rPr>
          <w:color w:val="auto"/>
        </w:rPr>
      </w:pPr>
    </w:p>
    <w:p w14:paraId="2CDB6D3C">
      <w:pPr>
        <w:spacing w:line="360" w:lineRule="auto"/>
        <w:ind w:firstLine="4410" w:firstLineChars="2100"/>
        <w:jc w:val="left"/>
        <w:rPr>
          <w:rFonts w:cs="宋体"/>
          <w:color w:val="auto"/>
          <w:u w:val="single"/>
        </w:rPr>
      </w:pPr>
      <w:r>
        <w:rPr>
          <w:rFonts w:hint="eastAsia" w:cs="宋体"/>
          <w:color w:val="auto"/>
        </w:rPr>
        <w:t>供应商：</w:t>
      </w:r>
      <w:r>
        <w:rPr>
          <w:color w:val="auto"/>
          <w:u w:val="single"/>
        </w:rPr>
        <w:t xml:space="preserve">    </w:t>
      </w:r>
      <w:r>
        <w:rPr>
          <w:rFonts w:hint="eastAsia"/>
          <w:color w:val="auto"/>
          <w:u w:val="single"/>
        </w:rPr>
        <w:t xml:space="preserve">   </w:t>
      </w:r>
      <w:r>
        <w:rPr>
          <w:color w:val="auto"/>
          <w:u w:val="single"/>
        </w:rPr>
        <w:t xml:space="preserve">   </w:t>
      </w:r>
      <w:r>
        <w:rPr>
          <w:rFonts w:hint="eastAsia" w:cs="宋体"/>
          <w:color w:val="auto"/>
          <w:u w:val="single"/>
        </w:rPr>
        <w:t>（电子签章）</w:t>
      </w:r>
    </w:p>
    <w:p w14:paraId="08D21D92">
      <w:pPr>
        <w:spacing w:line="360" w:lineRule="auto"/>
        <w:ind w:firstLine="4410" w:firstLineChars="2100"/>
        <w:jc w:val="left"/>
        <w:rPr>
          <w:color w:val="auto"/>
          <w:u w:val="single"/>
        </w:rPr>
      </w:pPr>
    </w:p>
    <w:p w14:paraId="022F745D">
      <w:pPr>
        <w:ind w:firstLine="4410" w:firstLineChars="2100"/>
        <w:rPr>
          <w:rFonts w:cs="宋体"/>
          <w:color w:val="auto"/>
        </w:rPr>
      </w:pPr>
      <w:r>
        <w:rPr>
          <w:rFonts w:hint="eastAsia" w:cs="宋体"/>
          <w:color w:val="auto"/>
        </w:rPr>
        <w:t>日期：</w:t>
      </w:r>
      <w:r>
        <w:rPr>
          <w:color w:val="auto"/>
          <w:u w:val="single"/>
        </w:rPr>
        <w:t xml:space="preserve">         </w:t>
      </w:r>
      <w:r>
        <w:rPr>
          <w:rFonts w:hint="eastAsia" w:cs="宋体"/>
          <w:color w:val="auto"/>
        </w:rPr>
        <w:t>年</w:t>
      </w:r>
      <w:r>
        <w:rPr>
          <w:color w:val="auto"/>
          <w:u w:val="single"/>
        </w:rPr>
        <w:t xml:space="preserve">        </w:t>
      </w:r>
      <w:r>
        <w:rPr>
          <w:rFonts w:hint="eastAsia" w:cs="宋体"/>
          <w:color w:val="auto"/>
        </w:rPr>
        <w:t>月</w:t>
      </w:r>
      <w:r>
        <w:rPr>
          <w:color w:val="auto"/>
          <w:u w:val="single"/>
        </w:rPr>
        <w:t xml:space="preserve">        </w:t>
      </w:r>
      <w:r>
        <w:rPr>
          <w:rFonts w:hint="eastAsia" w:cs="宋体"/>
          <w:color w:val="auto"/>
        </w:rPr>
        <w:t>日</w:t>
      </w:r>
    </w:p>
    <w:p w14:paraId="116C2527">
      <w:pPr>
        <w:rPr>
          <w:rFonts w:cs="宋体"/>
          <w:color w:val="auto"/>
        </w:rPr>
      </w:pPr>
      <w:r>
        <w:rPr>
          <w:rFonts w:hint="eastAsia" w:cs="宋体"/>
          <w:color w:val="auto"/>
        </w:rPr>
        <w:br w:type="page"/>
      </w:r>
    </w:p>
    <w:p w14:paraId="1013A768">
      <w:pPr>
        <w:spacing w:line="360" w:lineRule="auto"/>
        <w:jc w:val="center"/>
        <w:rPr>
          <w:color w:val="auto"/>
        </w:rPr>
      </w:pPr>
      <w:r>
        <w:rPr>
          <w:rFonts w:hint="eastAsia" w:cs="宋体"/>
          <w:b/>
          <w:bCs/>
          <w:color w:val="auto"/>
          <w:sz w:val="28"/>
          <w:szCs w:val="28"/>
        </w:rPr>
        <w:t>广西壮族自治区建筑工程安全文明施工措施项目清单内容</w:t>
      </w:r>
    </w:p>
    <w:p w14:paraId="114643EE">
      <w:pPr>
        <w:spacing w:line="360" w:lineRule="auto"/>
        <w:ind w:firstLine="600" w:firstLineChars="250"/>
        <w:jc w:val="center"/>
        <w:rPr>
          <w:color w:val="auto"/>
          <w:sz w:val="24"/>
        </w:rPr>
      </w:pPr>
      <w:r>
        <w:rPr>
          <w:rFonts w:hint="eastAsia" w:cs="宋体"/>
          <w:color w:val="auto"/>
          <w:sz w:val="24"/>
        </w:rPr>
        <w:t>（桂建质〔</w:t>
      </w:r>
      <w:r>
        <w:rPr>
          <w:color w:val="auto"/>
          <w:sz w:val="24"/>
        </w:rPr>
        <w:t>2015</w:t>
      </w:r>
      <w:r>
        <w:rPr>
          <w:rFonts w:hint="eastAsia" w:cs="宋体"/>
          <w:color w:val="auto"/>
          <w:sz w:val="24"/>
        </w:rPr>
        <w:t>〕</w:t>
      </w:r>
      <w:r>
        <w:rPr>
          <w:color w:val="auto"/>
          <w:sz w:val="24"/>
        </w:rPr>
        <w:t>16</w:t>
      </w:r>
      <w:r>
        <w:rPr>
          <w:rFonts w:hint="eastAsia" w:cs="宋体"/>
          <w:color w:val="auto"/>
          <w:sz w:val="24"/>
        </w:rPr>
        <w:t>号文附件一）</w:t>
      </w:r>
    </w:p>
    <w:p w14:paraId="001A9352">
      <w:pPr>
        <w:pStyle w:val="159"/>
        <w:spacing w:line="240" w:lineRule="atLeast"/>
        <w:jc w:val="center"/>
        <w:rPr>
          <w:rFonts w:ascii="宋体"/>
          <w:b/>
          <w:bCs/>
          <w:color w:val="auto"/>
          <w:sz w:val="24"/>
          <w:szCs w:val="24"/>
        </w:rPr>
      </w:pPr>
      <w:r>
        <w:rPr>
          <w:rFonts w:hint="eastAsia" w:ascii="宋体" w:hAnsi="宋体" w:cs="宋体"/>
          <w:b/>
          <w:bCs/>
          <w:color w:val="auto"/>
          <w:sz w:val="24"/>
          <w:szCs w:val="24"/>
        </w:rPr>
        <w:t>广西壮族自治区</w:t>
      </w:r>
    </w:p>
    <w:p w14:paraId="402E3F99">
      <w:pPr>
        <w:pStyle w:val="159"/>
        <w:spacing w:line="240" w:lineRule="atLeast"/>
        <w:ind w:firstLine="546"/>
        <w:jc w:val="center"/>
        <w:rPr>
          <w:b/>
          <w:bCs/>
          <w:color w:val="auto"/>
          <w:w w:val="90"/>
          <w:sz w:val="24"/>
          <w:szCs w:val="24"/>
        </w:rPr>
      </w:pPr>
      <w:r>
        <w:rPr>
          <w:rFonts w:hint="eastAsia" w:cs="宋体"/>
          <w:b/>
          <w:bCs/>
          <w:color w:val="auto"/>
          <w:w w:val="90"/>
          <w:sz w:val="24"/>
          <w:szCs w:val="24"/>
        </w:rPr>
        <w:t>建设工程安全文明施工措施项目清单内容</w:t>
      </w:r>
    </w:p>
    <w:p w14:paraId="6050AA55">
      <w:pPr>
        <w:pStyle w:val="159"/>
        <w:spacing w:line="240" w:lineRule="atLeast"/>
        <w:ind w:firstLine="546"/>
        <w:jc w:val="center"/>
        <w:rPr>
          <w:b/>
          <w:bCs/>
          <w:color w:val="auto"/>
          <w:w w:val="90"/>
          <w:sz w:val="24"/>
          <w:szCs w:val="24"/>
        </w:rPr>
      </w:pPr>
    </w:p>
    <w:tbl>
      <w:tblPr>
        <w:tblStyle w:val="44"/>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74D3D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vAlign w:val="center"/>
          </w:tcPr>
          <w:p w14:paraId="6C9DDFE5">
            <w:pPr>
              <w:pStyle w:val="159"/>
              <w:spacing w:line="300" w:lineRule="exact"/>
              <w:jc w:val="center"/>
              <w:rPr>
                <w:rFonts w:ascii="方正仿宋_GBK" w:eastAsia="方正仿宋_GBK"/>
                <w:b/>
                <w:bCs/>
                <w:color w:val="auto"/>
              </w:rPr>
            </w:pPr>
            <w:r>
              <w:rPr>
                <w:rFonts w:hint="eastAsia" w:ascii="方正仿宋_GBK" w:eastAsia="方正仿宋_GBK" w:cs="方正仿宋_GBK"/>
                <w:b/>
                <w:bCs/>
                <w:color w:val="auto"/>
              </w:rPr>
              <w:t>类别</w:t>
            </w:r>
          </w:p>
        </w:tc>
        <w:tc>
          <w:tcPr>
            <w:tcW w:w="2070" w:type="dxa"/>
            <w:gridSpan w:val="2"/>
            <w:tcBorders>
              <w:top w:val="single" w:color="auto" w:sz="12" w:space="0"/>
            </w:tcBorders>
            <w:vAlign w:val="center"/>
          </w:tcPr>
          <w:p w14:paraId="75EC36B6">
            <w:pPr>
              <w:pStyle w:val="159"/>
              <w:spacing w:line="300" w:lineRule="exact"/>
              <w:jc w:val="center"/>
              <w:rPr>
                <w:rFonts w:ascii="方正仿宋_GBK" w:eastAsia="方正仿宋_GBK"/>
                <w:b/>
                <w:bCs/>
                <w:color w:val="auto"/>
              </w:rPr>
            </w:pPr>
            <w:r>
              <w:rPr>
                <w:rFonts w:hint="eastAsia" w:ascii="方正仿宋_GBK" w:eastAsia="方正仿宋_GBK" w:cs="方正仿宋_GBK"/>
                <w:b/>
                <w:bCs/>
                <w:color w:val="auto"/>
              </w:rPr>
              <w:t>项目名称</w:t>
            </w:r>
          </w:p>
        </w:tc>
        <w:tc>
          <w:tcPr>
            <w:tcW w:w="6645" w:type="dxa"/>
            <w:tcBorders>
              <w:top w:val="single" w:color="auto" w:sz="12" w:space="0"/>
            </w:tcBorders>
            <w:vAlign w:val="center"/>
          </w:tcPr>
          <w:p w14:paraId="6F5FAF62">
            <w:pPr>
              <w:pStyle w:val="159"/>
              <w:spacing w:line="300" w:lineRule="exact"/>
              <w:jc w:val="center"/>
              <w:rPr>
                <w:rFonts w:ascii="方正仿宋_GBK" w:eastAsia="方正仿宋_GBK"/>
                <w:b/>
                <w:bCs/>
                <w:color w:val="auto"/>
              </w:rPr>
            </w:pPr>
            <w:r>
              <w:rPr>
                <w:rFonts w:hint="eastAsia" w:ascii="方正仿宋_GBK" w:eastAsia="方正仿宋_GBK" w:cs="方正仿宋_GBK"/>
                <w:b/>
                <w:bCs/>
                <w:color w:val="auto"/>
              </w:rPr>
              <w:t>主要内容和要求</w:t>
            </w:r>
          </w:p>
        </w:tc>
      </w:tr>
      <w:tr w14:paraId="20D3C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1FDE9E7B">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文明</w:t>
            </w:r>
          </w:p>
          <w:p w14:paraId="7313011B">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施工</w:t>
            </w:r>
          </w:p>
          <w:p w14:paraId="5753F25E">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与</w:t>
            </w:r>
          </w:p>
          <w:p w14:paraId="46B1D210">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环境</w:t>
            </w:r>
          </w:p>
          <w:p w14:paraId="650AF03E">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保护</w:t>
            </w:r>
          </w:p>
        </w:tc>
        <w:tc>
          <w:tcPr>
            <w:tcW w:w="2070" w:type="dxa"/>
            <w:gridSpan w:val="2"/>
            <w:vAlign w:val="center"/>
          </w:tcPr>
          <w:p w14:paraId="39305E65">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安全警示</w:t>
            </w:r>
          </w:p>
          <w:p w14:paraId="75358E17">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标志牌</w:t>
            </w:r>
          </w:p>
        </w:tc>
        <w:tc>
          <w:tcPr>
            <w:tcW w:w="6645" w:type="dxa"/>
            <w:vAlign w:val="center"/>
          </w:tcPr>
          <w:p w14:paraId="5D6CCA0B">
            <w:pPr>
              <w:pStyle w:val="159"/>
              <w:spacing w:line="300" w:lineRule="exact"/>
              <w:rPr>
                <w:rFonts w:ascii="方正仿宋_GBK" w:eastAsia="方正仿宋_GBK"/>
                <w:color w:val="auto"/>
              </w:rPr>
            </w:pPr>
            <w:r>
              <w:rPr>
                <w:rFonts w:hint="eastAsia" w:ascii="方正仿宋_GBK" w:eastAsia="方正仿宋_GBK" w:cs="方正仿宋_GBK"/>
                <w:color w:val="auto"/>
              </w:rPr>
              <w:t>在易发伤亡事故（或危险）处设置明显的、符合国家标准要求的安全警示标志牌。</w:t>
            </w:r>
          </w:p>
        </w:tc>
      </w:tr>
      <w:tr w14:paraId="72FAF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D94459F">
            <w:pPr>
              <w:pStyle w:val="159"/>
              <w:spacing w:line="300" w:lineRule="exact"/>
              <w:jc w:val="center"/>
              <w:rPr>
                <w:rFonts w:ascii="方正仿宋_GBK" w:eastAsia="方正仿宋_GBK"/>
                <w:color w:val="auto"/>
              </w:rPr>
            </w:pPr>
          </w:p>
        </w:tc>
        <w:tc>
          <w:tcPr>
            <w:tcW w:w="2070" w:type="dxa"/>
            <w:gridSpan w:val="2"/>
            <w:vAlign w:val="center"/>
          </w:tcPr>
          <w:p w14:paraId="25677344">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现场围挡</w:t>
            </w:r>
          </w:p>
        </w:tc>
        <w:tc>
          <w:tcPr>
            <w:tcW w:w="6645" w:type="dxa"/>
            <w:vAlign w:val="center"/>
          </w:tcPr>
          <w:p w14:paraId="791C63A8">
            <w:pPr>
              <w:pStyle w:val="159"/>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现场采用封闭围挡，高度不小于</w:t>
            </w:r>
            <w:r>
              <w:rPr>
                <w:rFonts w:ascii="方正仿宋_GBK" w:eastAsia="方正仿宋_GBK" w:cs="方正仿宋_GBK"/>
                <w:color w:val="auto"/>
              </w:rPr>
              <w:t>1.8m</w:t>
            </w:r>
            <w:r>
              <w:rPr>
                <w:rFonts w:hint="eastAsia" w:ascii="方正仿宋_GBK" w:eastAsia="方正仿宋_GBK" w:cs="方正仿宋_GBK"/>
                <w:color w:val="auto"/>
              </w:rPr>
              <w:t>。</w:t>
            </w:r>
          </w:p>
          <w:p w14:paraId="302F2F07">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围挡材料可用彩色、定型钢板，砌块等墙体。</w:t>
            </w:r>
          </w:p>
        </w:tc>
      </w:tr>
      <w:tr w14:paraId="4170E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3AACD265">
            <w:pPr>
              <w:pStyle w:val="159"/>
              <w:spacing w:line="300" w:lineRule="exact"/>
              <w:jc w:val="center"/>
              <w:rPr>
                <w:rFonts w:ascii="方正仿宋_GBK" w:eastAsia="方正仿宋_GBK"/>
                <w:color w:val="auto"/>
              </w:rPr>
            </w:pPr>
          </w:p>
        </w:tc>
        <w:tc>
          <w:tcPr>
            <w:tcW w:w="2070" w:type="dxa"/>
            <w:gridSpan w:val="2"/>
            <w:vAlign w:val="center"/>
          </w:tcPr>
          <w:p w14:paraId="1CA86690">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七牌二图</w:t>
            </w:r>
          </w:p>
        </w:tc>
        <w:tc>
          <w:tcPr>
            <w:tcW w:w="6645" w:type="dxa"/>
            <w:vAlign w:val="center"/>
          </w:tcPr>
          <w:p w14:paraId="4FAA9B01">
            <w:pPr>
              <w:pStyle w:val="159"/>
              <w:spacing w:line="300" w:lineRule="exact"/>
              <w:rPr>
                <w:rFonts w:ascii="方正仿宋_GBK" w:eastAsia="方正仿宋_GBK"/>
                <w:color w:val="auto"/>
              </w:rPr>
            </w:pPr>
            <w:r>
              <w:rPr>
                <w:rFonts w:hint="eastAsia" w:ascii="方正仿宋_GBK" w:eastAsia="方正仿宋_GBK" w:cs="方正仿宋_GBK"/>
                <w:color w:val="auto"/>
              </w:rPr>
              <w:t>在进门处悬挂工程概况、现场出入制度、管理人员名单及监督电话、安全生产规定、文明施工、消防保卫、节能公示等七牌以及施工现场总平面图、工程效果图。</w:t>
            </w:r>
          </w:p>
        </w:tc>
      </w:tr>
      <w:tr w14:paraId="44804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vAlign w:val="center"/>
          </w:tcPr>
          <w:p w14:paraId="2C14912F">
            <w:pPr>
              <w:pStyle w:val="159"/>
              <w:spacing w:line="300" w:lineRule="exact"/>
              <w:jc w:val="center"/>
              <w:rPr>
                <w:rFonts w:ascii="方正仿宋_GBK" w:eastAsia="方正仿宋_GBK"/>
                <w:color w:val="auto"/>
              </w:rPr>
            </w:pPr>
          </w:p>
        </w:tc>
        <w:tc>
          <w:tcPr>
            <w:tcW w:w="2070" w:type="dxa"/>
            <w:gridSpan w:val="2"/>
            <w:vAlign w:val="center"/>
          </w:tcPr>
          <w:p w14:paraId="2462186F">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企业标志</w:t>
            </w:r>
          </w:p>
        </w:tc>
        <w:tc>
          <w:tcPr>
            <w:tcW w:w="6645" w:type="dxa"/>
            <w:vAlign w:val="center"/>
          </w:tcPr>
          <w:p w14:paraId="670AB4CD">
            <w:pPr>
              <w:pStyle w:val="159"/>
              <w:spacing w:line="300" w:lineRule="exact"/>
              <w:rPr>
                <w:rFonts w:ascii="方正仿宋_GBK" w:eastAsia="方正仿宋_GBK"/>
                <w:color w:val="auto"/>
              </w:rPr>
            </w:pPr>
            <w:r>
              <w:rPr>
                <w:rFonts w:hint="eastAsia" w:ascii="方正仿宋_GBK" w:eastAsia="方正仿宋_GBK" w:cs="方正仿宋_GBK"/>
                <w:color w:val="auto"/>
              </w:rPr>
              <w:t>现场出入的大门应设有本企业标志或企业标识。</w:t>
            </w:r>
          </w:p>
        </w:tc>
      </w:tr>
      <w:tr w14:paraId="5FD36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C5F14D3">
            <w:pPr>
              <w:pStyle w:val="159"/>
              <w:spacing w:line="300" w:lineRule="exact"/>
              <w:jc w:val="center"/>
              <w:rPr>
                <w:rFonts w:ascii="方正仿宋_GBK" w:eastAsia="方正仿宋_GBK"/>
                <w:color w:val="auto"/>
              </w:rPr>
            </w:pPr>
          </w:p>
        </w:tc>
        <w:tc>
          <w:tcPr>
            <w:tcW w:w="2070" w:type="dxa"/>
            <w:gridSpan w:val="2"/>
            <w:vAlign w:val="center"/>
          </w:tcPr>
          <w:p w14:paraId="0E61190D">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场容场貌</w:t>
            </w:r>
          </w:p>
        </w:tc>
        <w:tc>
          <w:tcPr>
            <w:tcW w:w="6645" w:type="dxa"/>
            <w:vAlign w:val="center"/>
          </w:tcPr>
          <w:p w14:paraId="0E8F7A46">
            <w:pPr>
              <w:pStyle w:val="159"/>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道路畅通。</w:t>
            </w:r>
          </w:p>
          <w:p w14:paraId="2D42C33B">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排水设施齐全畅通。</w:t>
            </w:r>
          </w:p>
          <w:p w14:paraId="79F06929">
            <w:pPr>
              <w:pStyle w:val="159"/>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工地地面硬化处理（办公区、生活区、现场道路、材料堆放、混凝土搅拌、砂浆搅拌、钢筋加工等场地和外脚手架基础等）。</w:t>
            </w:r>
          </w:p>
        </w:tc>
      </w:tr>
      <w:tr w14:paraId="2E150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792AF35">
            <w:pPr>
              <w:pStyle w:val="159"/>
              <w:spacing w:line="300" w:lineRule="exact"/>
              <w:jc w:val="center"/>
              <w:rPr>
                <w:rFonts w:ascii="方正仿宋_GBK" w:eastAsia="方正仿宋_GBK"/>
                <w:color w:val="auto"/>
              </w:rPr>
            </w:pPr>
          </w:p>
        </w:tc>
        <w:tc>
          <w:tcPr>
            <w:tcW w:w="2070" w:type="dxa"/>
            <w:gridSpan w:val="2"/>
            <w:vAlign w:val="center"/>
          </w:tcPr>
          <w:p w14:paraId="180E51ED">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材料堆放</w:t>
            </w:r>
          </w:p>
        </w:tc>
        <w:tc>
          <w:tcPr>
            <w:tcW w:w="6645" w:type="dxa"/>
            <w:vAlign w:val="center"/>
          </w:tcPr>
          <w:p w14:paraId="0A86CB2F">
            <w:pPr>
              <w:pStyle w:val="159"/>
              <w:numPr>
                <w:ilvl w:val="0"/>
                <w:numId w:val="3"/>
              </w:numPr>
              <w:spacing w:line="300" w:lineRule="exact"/>
              <w:rPr>
                <w:rFonts w:ascii="方正仿宋_GBK" w:eastAsia="方正仿宋_GBK"/>
                <w:color w:val="auto"/>
              </w:rPr>
            </w:pPr>
            <w:r>
              <w:rPr>
                <w:rFonts w:hint="eastAsia" w:ascii="方正仿宋_GBK" w:eastAsia="方正仿宋_GBK" w:cs="方正仿宋_GBK"/>
                <w:color w:val="auto"/>
              </w:rPr>
              <w:t>材料、构件、料具等堆放时，应有名称、品种、规格等标牌。</w:t>
            </w:r>
          </w:p>
          <w:p w14:paraId="2FBD7679">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水泥和其它易飞扬细颗粒建筑材料应封闭存放或采取覆盖等措施。</w:t>
            </w:r>
          </w:p>
          <w:p w14:paraId="52DDAF54">
            <w:pPr>
              <w:pStyle w:val="159"/>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易燃、易爆和有毒有害物品分类存放。</w:t>
            </w:r>
          </w:p>
        </w:tc>
      </w:tr>
      <w:tr w14:paraId="33C74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3BFD2210">
            <w:pPr>
              <w:pStyle w:val="159"/>
              <w:spacing w:line="300" w:lineRule="exact"/>
              <w:jc w:val="center"/>
              <w:rPr>
                <w:rFonts w:ascii="方正仿宋_GBK" w:eastAsia="方正仿宋_GBK"/>
                <w:color w:val="auto"/>
              </w:rPr>
            </w:pPr>
          </w:p>
        </w:tc>
        <w:tc>
          <w:tcPr>
            <w:tcW w:w="2070" w:type="dxa"/>
            <w:gridSpan w:val="2"/>
            <w:vAlign w:val="center"/>
          </w:tcPr>
          <w:p w14:paraId="6D2E0594">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现场防火</w:t>
            </w:r>
          </w:p>
        </w:tc>
        <w:tc>
          <w:tcPr>
            <w:tcW w:w="6645" w:type="dxa"/>
            <w:vAlign w:val="center"/>
          </w:tcPr>
          <w:p w14:paraId="7BD58AD7">
            <w:pPr>
              <w:pStyle w:val="159"/>
              <w:spacing w:line="300" w:lineRule="exact"/>
              <w:rPr>
                <w:rFonts w:ascii="方正仿宋_GBK" w:eastAsia="方正仿宋_GBK"/>
                <w:color w:val="auto"/>
              </w:rPr>
            </w:pPr>
            <w:r>
              <w:rPr>
                <w:rFonts w:hint="eastAsia" w:ascii="方正仿宋_GBK" w:eastAsia="方正仿宋_GBK" w:cs="方正仿宋_GBK"/>
                <w:color w:val="auto"/>
              </w:rPr>
              <w:t>消防器材配置合理，符合消防要求。</w:t>
            </w:r>
          </w:p>
        </w:tc>
      </w:tr>
      <w:tr w14:paraId="0B5FC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50202ED">
            <w:pPr>
              <w:pStyle w:val="159"/>
              <w:spacing w:line="300" w:lineRule="exact"/>
              <w:jc w:val="center"/>
              <w:rPr>
                <w:rFonts w:ascii="方正仿宋_GBK" w:eastAsia="方正仿宋_GBK"/>
                <w:color w:val="auto"/>
              </w:rPr>
            </w:pPr>
          </w:p>
        </w:tc>
        <w:tc>
          <w:tcPr>
            <w:tcW w:w="2070" w:type="dxa"/>
            <w:gridSpan w:val="2"/>
            <w:vAlign w:val="center"/>
          </w:tcPr>
          <w:p w14:paraId="7CFC69EA">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垃圾清运</w:t>
            </w:r>
          </w:p>
        </w:tc>
        <w:tc>
          <w:tcPr>
            <w:tcW w:w="6645" w:type="dxa"/>
            <w:vAlign w:val="center"/>
          </w:tcPr>
          <w:p w14:paraId="338E0ABC">
            <w:pPr>
              <w:pStyle w:val="159"/>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施工现场应设置密闭式垃圾站，施工垃圾、生活垃圾应分类存放。</w:t>
            </w:r>
          </w:p>
          <w:p w14:paraId="5CBB7D2C">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施工垃圾必须采用相应容器或管道运输。</w:t>
            </w:r>
          </w:p>
        </w:tc>
      </w:tr>
      <w:tr w14:paraId="63F86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F5F3321">
            <w:pPr>
              <w:pStyle w:val="159"/>
              <w:spacing w:line="300" w:lineRule="exact"/>
              <w:jc w:val="center"/>
              <w:rPr>
                <w:rFonts w:ascii="方正仿宋_GBK" w:eastAsia="方正仿宋_GBK"/>
                <w:color w:val="auto"/>
              </w:rPr>
            </w:pPr>
          </w:p>
        </w:tc>
        <w:tc>
          <w:tcPr>
            <w:tcW w:w="2070" w:type="dxa"/>
            <w:gridSpan w:val="2"/>
            <w:vAlign w:val="center"/>
          </w:tcPr>
          <w:p w14:paraId="28E0C9ED">
            <w:pPr>
              <w:pStyle w:val="159"/>
              <w:spacing w:line="300" w:lineRule="exact"/>
              <w:rPr>
                <w:rFonts w:ascii="方正仿宋_GBK" w:eastAsia="方正仿宋_GBK"/>
                <w:color w:val="auto"/>
              </w:rPr>
            </w:pPr>
            <w:r>
              <w:rPr>
                <w:rFonts w:hint="eastAsia" w:ascii="方正仿宋_GBK" w:eastAsia="方正仿宋_GBK" w:cs="方正仿宋_GBK"/>
                <w:color w:val="auto"/>
              </w:rPr>
              <w:t>宣传栏、环保及不扰民措施</w:t>
            </w:r>
          </w:p>
        </w:tc>
        <w:tc>
          <w:tcPr>
            <w:tcW w:w="6645" w:type="dxa"/>
            <w:vAlign w:val="center"/>
          </w:tcPr>
          <w:p w14:paraId="7FFEF0AE">
            <w:pPr>
              <w:pStyle w:val="159"/>
              <w:spacing w:line="300" w:lineRule="exact"/>
              <w:rPr>
                <w:rFonts w:ascii="方正仿宋_GBK" w:eastAsia="方正仿宋_GBK"/>
                <w:color w:val="auto"/>
              </w:rPr>
            </w:pPr>
            <w:r>
              <w:rPr>
                <w:rFonts w:hint="eastAsia" w:ascii="方正仿宋_GBK" w:eastAsia="方正仿宋_GBK" w:cs="方正仿宋_GBK"/>
                <w:color w:val="auto"/>
              </w:rPr>
              <w:t>宣传栏、安全宣传标语等，洗车（防止污染市区道路）、粉尘、噪声控制和排污（污水、废气）措施等。</w:t>
            </w:r>
          </w:p>
        </w:tc>
      </w:tr>
      <w:tr w14:paraId="2C743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0BAE4657">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临时设施</w:t>
            </w:r>
          </w:p>
        </w:tc>
        <w:tc>
          <w:tcPr>
            <w:tcW w:w="2070" w:type="dxa"/>
            <w:gridSpan w:val="2"/>
            <w:vAlign w:val="center"/>
          </w:tcPr>
          <w:p w14:paraId="1755F400">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现场办公</w:t>
            </w:r>
          </w:p>
          <w:p w14:paraId="6BFA95A9">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生活设施</w:t>
            </w:r>
          </w:p>
        </w:tc>
        <w:tc>
          <w:tcPr>
            <w:tcW w:w="6645" w:type="dxa"/>
            <w:vAlign w:val="center"/>
          </w:tcPr>
          <w:p w14:paraId="453B5045">
            <w:pPr>
              <w:pStyle w:val="159"/>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施工现场办公、生活区与作业区分开设置，保持安全距离。</w:t>
            </w:r>
          </w:p>
          <w:p w14:paraId="26DA3EA5">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工地办公室、现场宿舍、食堂、厕所、饮水、沐浴、休息场所等符合卫生、消防安全要求。</w:t>
            </w:r>
          </w:p>
        </w:tc>
      </w:tr>
      <w:tr w14:paraId="20A3D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4032139">
            <w:pPr>
              <w:pStyle w:val="159"/>
              <w:spacing w:line="300" w:lineRule="exact"/>
              <w:jc w:val="center"/>
              <w:rPr>
                <w:rFonts w:ascii="方正仿宋_GBK" w:eastAsia="方正仿宋_GBK"/>
                <w:color w:val="auto"/>
              </w:rPr>
            </w:pPr>
          </w:p>
        </w:tc>
        <w:tc>
          <w:tcPr>
            <w:tcW w:w="525" w:type="dxa"/>
            <w:vMerge w:val="restart"/>
            <w:vAlign w:val="center"/>
          </w:tcPr>
          <w:p w14:paraId="3E7DCB38">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施工现场</w:t>
            </w:r>
          </w:p>
          <w:p w14:paraId="40D7680B">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临时用电</w:t>
            </w:r>
          </w:p>
        </w:tc>
        <w:tc>
          <w:tcPr>
            <w:tcW w:w="1545" w:type="dxa"/>
            <w:vAlign w:val="center"/>
          </w:tcPr>
          <w:p w14:paraId="622C4744">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配电线路</w:t>
            </w:r>
          </w:p>
        </w:tc>
        <w:tc>
          <w:tcPr>
            <w:tcW w:w="6645" w:type="dxa"/>
            <w:vAlign w:val="center"/>
          </w:tcPr>
          <w:p w14:paraId="381F77C8">
            <w:pPr>
              <w:pStyle w:val="159"/>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按照</w:t>
            </w:r>
            <w:r>
              <w:rPr>
                <w:rFonts w:ascii="方正仿宋_GBK" w:eastAsia="方正仿宋_GBK" w:cs="方正仿宋_GBK"/>
                <w:color w:val="auto"/>
              </w:rPr>
              <w:t>TN-S</w:t>
            </w:r>
            <w:r>
              <w:rPr>
                <w:rFonts w:hint="eastAsia" w:ascii="方正仿宋_GBK" w:eastAsia="方正仿宋_GBK" w:cs="方正仿宋_GBK"/>
                <w:color w:val="auto"/>
              </w:rPr>
              <w:t>系统要求配备五芯电缆、四芯电缆和三芯电缆。</w:t>
            </w:r>
          </w:p>
          <w:p w14:paraId="54653B6C">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按要求架设临时用电线路的电杆、横担、瓷夹、瓷瓶等，或电缆埋地的地沟。</w:t>
            </w:r>
          </w:p>
          <w:p w14:paraId="222E34B2">
            <w:pPr>
              <w:pStyle w:val="159"/>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对靠近施工现场的外电线路，设置木质、塑料等绝缘体的防护设施。</w:t>
            </w:r>
          </w:p>
        </w:tc>
      </w:tr>
      <w:tr w14:paraId="04506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1398A627">
            <w:pPr>
              <w:pStyle w:val="159"/>
              <w:spacing w:line="300" w:lineRule="exact"/>
              <w:jc w:val="center"/>
              <w:rPr>
                <w:rFonts w:ascii="方正仿宋_GBK" w:eastAsia="方正仿宋_GBK"/>
                <w:color w:val="auto"/>
              </w:rPr>
            </w:pPr>
          </w:p>
        </w:tc>
        <w:tc>
          <w:tcPr>
            <w:tcW w:w="525" w:type="dxa"/>
            <w:vMerge w:val="continue"/>
            <w:vAlign w:val="center"/>
          </w:tcPr>
          <w:p w14:paraId="1A68AF3E">
            <w:pPr>
              <w:pStyle w:val="159"/>
              <w:spacing w:line="300" w:lineRule="exact"/>
              <w:jc w:val="center"/>
              <w:rPr>
                <w:rFonts w:ascii="方正仿宋_GBK" w:eastAsia="方正仿宋_GBK"/>
                <w:color w:val="auto"/>
              </w:rPr>
            </w:pPr>
          </w:p>
        </w:tc>
        <w:tc>
          <w:tcPr>
            <w:tcW w:w="1545" w:type="dxa"/>
            <w:vAlign w:val="center"/>
          </w:tcPr>
          <w:p w14:paraId="22CD5B1C">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配电箱</w:t>
            </w:r>
          </w:p>
          <w:p w14:paraId="4080B5D2">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开关箱</w:t>
            </w:r>
          </w:p>
        </w:tc>
        <w:tc>
          <w:tcPr>
            <w:tcW w:w="6645" w:type="dxa"/>
            <w:vAlign w:val="center"/>
          </w:tcPr>
          <w:p w14:paraId="710A63CF">
            <w:pPr>
              <w:pStyle w:val="159"/>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按三级配电要求，配备总配电箱、分配电箱、开关箱三类（铁质）标准电箱，开关箱应符合“一机、一箱、一闸、一漏”，三类电箱中的各类电器应是合格品。</w:t>
            </w:r>
          </w:p>
          <w:p w14:paraId="2C359CCE">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按两级保护的要求，选取符合容量要求和质量合格的总配电箱和开关箱中的漏电保护器。</w:t>
            </w:r>
          </w:p>
          <w:p w14:paraId="57D5564D">
            <w:pPr>
              <w:pStyle w:val="159"/>
              <w:spacing w:line="300" w:lineRule="exact"/>
              <w:rPr>
                <w:rFonts w:ascii="方正仿宋_GBK" w:eastAsia="方正仿宋_GBK"/>
                <w:color w:val="auto"/>
              </w:rPr>
            </w:pPr>
            <w:r>
              <w:rPr>
                <w:rFonts w:ascii="方正仿宋_GBK" w:eastAsia="方正仿宋_GBK" w:cs="方正仿宋_GBK"/>
                <w:color w:val="auto"/>
              </w:rPr>
              <w:t xml:space="preserve">3. </w:t>
            </w:r>
            <w:r>
              <w:rPr>
                <w:rFonts w:hint="eastAsia" w:ascii="方正仿宋_GBK" w:eastAsia="方正仿宋_GBK" w:cs="方正仿宋_GBK"/>
                <w:color w:val="auto"/>
              </w:rPr>
              <w:t>对大型、落地式分配电箱、开关箱设置防护棚和通透式围挡。</w:t>
            </w:r>
          </w:p>
        </w:tc>
      </w:tr>
      <w:tr w14:paraId="11C0D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vAlign w:val="center"/>
          </w:tcPr>
          <w:p w14:paraId="5B251BF5">
            <w:pPr>
              <w:pStyle w:val="159"/>
              <w:spacing w:line="300" w:lineRule="exact"/>
              <w:jc w:val="center"/>
              <w:rPr>
                <w:rFonts w:ascii="方正仿宋_GBK" w:eastAsia="方正仿宋_GBK"/>
                <w:color w:val="auto"/>
              </w:rPr>
            </w:pPr>
          </w:p>
        </w:tc>
        <w:tc>
          <w:tcPr>
            <w:tcW w:w="525" w:type="dxa"/>
            <w:vMerge w:val="continue"/>
            <w:vAlign w:val="center"/>
          </w:tcPr>
          <w:p w14:paraId="73D026F4">
            <w:pPr>
              <w:pStyle w:val="159"/>
              <w:spacing w:line="300" w:lineRule="exact"/>
              <w:jc w:val="center"/>
              <w:rPr>
                <w:rFonts w:ascii="方正仿宋_GBK" w:eastAsia="方正仿宋_GBK"/>
                <w:color w:val="auto"/>
              </w:rPr>
            </w:pPr>
          </w:p>
        </w:tc>
        <w:tc>
          <w:tcPr>
            <w:tcW w:w="1545" w:type="dxa"/>
            <w:vAlign w:val="center"/>
          </w:tcPr>
          <w:p w14:paraId="48F5989D">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接地装置</w:t>
            </w:r>
          </w:p>
        </w:tc>
        <w:tc>
          <w:tcPr>
            <w:tcW w:w="6645" w:type="dxa"/>
            <w:vAlign w:val="center"/>
          </w:tcPr>
          <w:p w14:paraId="75D31D6E">
            <w:pPr>
              <w:pStyle w:val="159"/>
              <w:spacing w:line="300" w:lineRule="exact"/>
              <w:rPr>
                <w:rFonts w:ascii="方正仿宋_GBK" w:eastAsia="方正仿宋_GBK"/>
                <w:color w:val="auto"/>
              </w:rPr>
            </w:pPr>
            <w:r>
              <w:rPr>
                <w:rFonts w:hint="eastAsia" w:ascii="方正仿宋_GBK" w:eastAsia="方正仿宋_GBK" w:cs="方正仿宋_GBK"/>
                <w:color w:val="auto"/>
              </w:rPr>
              <w:t>施工现场应设置不少于三处的重复接地装置。</w:t>
            </w:r>
          </w:p>
        </w:tc>
      </w:tr>
      <w:tr w14:paraId="5181C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vAlign w:val="center"/>
          </w:tcPr>
          <w:p w14:paraId="6B3CFFA0">
            <w:pPr>
              <w:pStyle w:val="159"/>
              <w:spacing w:line="300" w:lineRule="exact"/>
              <w:jc w:val="center"/>
              <w:rPr>
                <w:rFonts w:ascii="方正仿宋_GBK" w:eastAsia="方正仿宋_GBK"/>
                <w:color w:val="auto"/>
              </w:rPr>
            </w:pPr>
          </w:p>
        </w:tc>
        <w:tc>
          <w:tcPr>
            <w:tcW w:w="525" w:type="dxa"/>
            <w:vMerge w:val="continue"/>
            <w:vAlign w:val="center"/>
          </w:tcPr>
          <w:p w14:paraId="25210091">
            <w:pPr>
              <w:pStyle w:val="159"/>
              <w:spacing w:line="300" w:lineRule="exact"/>
              <w:jc w:val="center"/>
              <w:rPr>
                <w:rFonts w:ascii="方正仿宋_GBK" w:eastAsia="方正仿宋_GBK"/>
                <w:color w:val="auto"/>
              </w:rPr>
            </w:pPr>
          </w:p>
        </w:tc>
        <w:tc>
          <w:tcPr>
            <w:tcW w:w="1545" w:type="dxa"/>
            <w:vAlign w:val="center"/>
          </w:tcPr>
          <w:p w14:paraId="0F574424">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现场变配电装置</w:t>
            </w:r>
          </w:p>
        </w:tc>
        <w:tc>
          <w:tcPr>
            <w:tcW w:w="6645" w:type="dxa"/>
            <w:vAlign w:val="center"/>
          </w:tcPr>
          <w:p w14:paraId="264595E5">
            <w:pPr>
              <w:pStyle w:val="159"/>
              <w:spacing w:line="300" w:lineRule="exact"/>
              <w:rPr>
                <w:rFonts w:ascii="方正仿宋_GBK" w:eastAsia="方正仿宋_GBK"/>
                <w:color w:val="auto"/>
              </w:rPr>
            </w:pPr>
            <w:r>
              <w:rPr>
                <w:rFonts w:hint="eastAsia" w:ascii="方正仿宋_GBK" w:eastAsia="方正仿宋_GBK" w:cs="方正仿宋_GBK"/>
                <w:color w:val="auto"/>
              </w:rPr>
              <w:t>总配电房建筑材料必须达到消防防火要求，室内做硬地坪、电缆沟。</w:t>
            </w:r>
          </w:p>
        </w:tc>
      </w:tr>
      <w:tr w14:paraId="430DB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vAlign w:val="center"/>
          </w:tcPr>
          <w:p w14:paraId="06E3274D">
            <w:pPr>
              <w:pStyle w:val="159"/>
              <w:spacing w:line="300" w:lineRule="exact"/>
              <w:jc w:val="center"/>
              <w:rPr>
                <w:rFonts w:ascii="方正仿宋_GBK" w:eastAsia="方正仿宋_GBK"/>
                <w:b/>
                <w:bCs/>
                <w:color w:val="auto"/>
              </w:rPr>
            </w:pPr>
            <w:r>
              <w:rPr>
                <w:rFonts w:hint="eastAsia" w:ascii="方正仿宋_GBK" w:eastAsia="方正仿宋_GBK" w:cs="方正仿宋_GBK"/>
                <w:b/>
                <w:bCs/>
                <w:color w:val="auto"/>
              </w:rPr>
              <w:t>类别</w:t>
            </w:r>
          </w:p>
        </w:tc>
        <w:tc>
          <w:tcPr>
            <w:tcW w:w="2070" w:type="dxa"/>
            <w:gridSpan w:val="2"/>
            <w:vAlign w:val="center"/>
          </w:tcPr>
          <w:p w14:paraId="456242E7">
            <w:pPr>
              <w:pStyle w:val="159"/>
              <w:spacing w:line="300" w:lineRule="exact"/>
              <w:jc w:val="center"/>
              <w:rPr>
                <w:rFonts w:ascii="方正仿宋_GBK" w:eastAsia="方正仿宋_GBK"/>
                <w:b/>
                <w:bCs/>
                <w:color w:val="auto"/>
              </w:rPr>
            </w:pPr>
            <w:r>
              <w:rPr>
                <w:rFonts w:hint="eastAsia" w:ascii="方正仿宋_GBK" w:eastAsia="方正仿宋_GBK" w:cs="方正仿宋_GBK"/>
                <w:b/>
                <w:bCs/>
                <w:color w:val="auto"/>
              </w:rPr>
              <w:t>项目名称</w:t>
            </w:r>
          </w:p>
        </w:tc>
        <w:tc>
          <w:tcPr>
            <w:tcW w:w="6645" w:type="dxa"/>
            <w:vAlign w:val="center"/>
          </w:tcPr>
          <w:p w14:paraId="05B24FE2">
            <w:pPr>
              <w:pStyle w:val="159"/>
              <w:spacing w:line="300" w:lineRule="exact"/>
              <w:jc w:val="center"/>
              <w:rPr>
                <w:rFonts w:ascii="方正仿宋_GBK" w:eastAsia="方正仿宋_GBK"/>
                <w:b/>
                <w:bCs/>
                <w:color w:val="auto"/>
              </w:rPr>
            </w:pPr>
            <w:r>
              <w:rPr>
                <w:rFonts w:hint="eastAsia" w:ascii="方正仿宋_GBK" w:eastAsia="方正仿宋_GBK" w:cs="方正仿宋_GBK"/>
                <w:b/>
                <w:bCs/>
                <w:color w:val="auto"/>
              </w:rPr>
              <w:t>主要内容和要求</w:t>
            </w:r>
          </w:p>
        </w:tc>
      </w:tr>
      <w:tr w14:paraId="418FF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vAlign w:val="center"/>
          </w:tcPr>
          <w:p w14:paraId="47317CE9">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安全施工</w:t>
            </w:r>
          </w:p>
        </w:tc>
        <w:tc>
          <w:tcPr>
            <w:tcW w:w="525" w:type="dxa"/>
            <w:vMerge w:val="restart"/>
            <w:vAlign w:val="center"/>
          </w:tcPr>
          <w:p w14:paraId="55182219">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高处作业防护</w:t>
            </w:r>
          </w:p>
        </w:tc>
        <w:tc>
          <w:tcPr>
            <w:tcW w:w="1545" w:type="dxa"/>
            <w:vAlign w:val="center"/>
          </w:tcPr>
          <w:p w14:paraId="296372BB">
            <w:pPr>
              <w:pStyle w:val="159"/>
              <w:spacing w:line="300" w:lineRule="exact"/>
              <w:rPr>
                <w:rFonts w:ascii="方正仿宋_GBK" w:eastAsia="方正仿宋_GBK"/>
                <w:color w:val="auto"/>
              </w:rPr>
            </w:pPr>
            <w:r>
              <w:rPr>
                <w:rFonts w:hint="eastAsia" w:ascii="方正仿宋_GBK" w:eastAsia="方正仿宋_GBK" w:cs="方正仿宋_GBK"/>
                <w:color w:val="auto"/>
              </w:rPr>
              <w:t>楼层、屋面、阳台等临边</w:t>
            </w:r>
          </w:p>
        </w:tc>
        <w:tc>
          <w:tcPr>
            <w:tcW w:w="6645" w:type="dxa"/>
            <w:vAlign w:val="center"/>
          </w:tcPr>
          <w:p w14:paraId="50368F7F">
            <w:pPr>
              <w:pStyle w:val="159"/>
              <w:spacing w:line="300" w:lineRule="exact"/>
              <w:rPr>
                <w:rFonts w:ascii="方正仿宋_GBK" w:eastAsia="方正仿宋_GBK"/>
                <w:color w:val="auto"/>
              </w:rPr>
            </w:pPr>
            <w:r>
              <w:rPr>
                <w:rFonts w:hint="eastAsia" w:ascii="方正仿宋_GBK" w:eastAsia="方正仿宋_GBK" w:cs="方正仿宋_GBK"/>
                <w:color w:val="auto"/>
              </w:rPr>
              <w:t>设两道防护栏杆和</w:t>
            </w:r>
            <w:r>
              <w:rPr>
                <w:rFonts w:ascii="方正仿宋_GBK" w:eastAsia="方正仿宋_GBK" w:cs="方正仿宋_GBK"/>
                <w:color w:val="auto"/>
              </w:rPr>
              <w:t>18cm</w:t>
            </w:r>
            <w:r>
              <w:rPr>
                <w:rFonts w:hint="eastAsia" w:ascii="方正仿宋_GBK" w:eastAsia="方正仿宋_GBK" w:cs="方正仿宋_GBK"/>
                <w:color w:val="auto"/>
              </w:rPr>
              <w:t>高的踢脚板，用密目式安全立网全封闭。</w:t>
            </w:r>
          </w:p>
        </w:tc>
      </w:tr>
      <w:tr w14:paraId="48FB6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D956D8A">
            <w:pPr>
              <w:pStyle w:val="159"/>
              <w:spacing w:line="300" w:lineRule="exact"/>
              <w:jc w:val="center"/>
              <w:rPr>
                <w:rFonts w:ascii="方正仿宋_GBK" w:eastAsia="方正仿宋_GBK"/>
                <w:color w:val="auto"/>
              </w:rPr>
            </w:pPr>
          </w:p>
        </w:tc>
        <w:tc>
          <w:tcPr>
            <w:tcW w:w="525" w:type="dxa"/>
            <w:vMerge w:val="continue"/>
            <w:vAlign w:val="center"/>
          </w:tcPr>
          <w:p w14:paraId="64A6D4F0">
            <w:pPr>
              <w:pStyle w:val="159"/>
              <w:spacing w:line="300" w:lineRule="exact"/>
              <w:jc w:val="center"/>
              <w:rPr>
                <w:rFonts w:ascii="方正仿宋_GBK" w:eastAsia="方正仿宋_GBK"/>
                <w:color w:val="auto"/>
              </w:rPr>
            </w:pPr>
          </w:p>
        </w:tc>
        <w:tc>
          <w:tcPr>
            <w:tcW w:w="1545" w:type="dxa"/>
            <w:vAlign w:val="center"/>
          </w:tcPr>
          <w:p w14:paraId="1F4D35DC">
            <w:pPr>
              <w:pStyle w:val="159"/>
              <w:spacing w:line="300" w:lineRule="exact"/>
              <w:rPr>
                <w:rFonts w:ascii="方正仿宋_GBK" w:eastAsia="方正仿宋_GBK"/>
                <w:color w:val="auto"/>
              </w:rPr>
            </w:pPr>
            <w:r>
              <w:rPr>
                <w:rFonts w:hint="eastAsia" w:ascii="方正仿宋_GBK" w:eastAsia="方正仿宋_GBK" w:cs="方正仿宋_GBK"/>
                <w:color w:val="auto"/>
              </w:rPr>
              <w:t>通道口</w:t>
            </w:r>
          </w:p>
        </w:tc>
        <w:tc>
          <w:tcPr>
            <w:tcW w:w="6645" w:type="dxa"/>
            <w:vAlign w:val="center"/>
          </w:tcPr>
          <w:p w14:paraId="062693A0">
            <w:pPr>
              <w:pStyle w:val="159"/>
              <w:spacing w:line="300" w:lineRule="exact"/>
              <w:rPr>
                <w:rFonts w:ascii="方正仿宋_GBK" w:eastAsia="方正仿宋_GBK"/>
                <w:color w:val="auto"/>
              </w:rPr>
            </w:pPr>
            <w:r>
              <w:rPr>
                <w:rFonts w:hint="eastAsia" w:ascii="方正仿宋_GBK" w:eastAsia="方正仿宋_GBK" w:cs="方正仿宋_GBK"/>
                <w:color w:val="auto"/>
              </w:rPr>
              <w:t>设防护棚，防护棚应为不小于</w:t>
            </w:r>
            <w:r>
              <w:rPr>
                <w:rFonts w:ascii="方正仿宋_GBK" w:eastAsia="方正仿宋_GBK" w:cs="方正仿宋_GBK"/>
                <w:color w:val="auto"/>
              </w:rPr>
              <w:t>5cm</w:t>
            </w:r>
            <w:r>
              <w:rPr>
                <w:rFonts w:hint="eastAsia" w:ascii="方正仿宋_GBK" w:eastAsia="方正仿宋_GBK" w:cs="方正仿宋_GBK"/>
                <w:color w:val="auto"/>
              </w:rPr>
              <w:t>厚的木板或两道相距</w:t>
            </w:r>
            <w:r>
              <w:rPr>
                <w:rFonts w:ascii="方正仿宋_GBK" w:eastAsia="方正仿宋_GBK" w:cs="方正仿宋_GBK"/>
                <w:color w:val="auto"/>
              </w:rPr>
              <w:t>50cm</w:t>
            </w:r>
            <w:r>
              <w:rPr>
                <w:rFonts w:hint="eastAsia" w:ascii="方正仿宋_GBK" w:eastAsia="方正仿宋_GBK" w:cs="方正仿宋_GBK"/>
                <w:color w:val="auto"/>
              </w:rPr>
              <w:t>的竹笆。两侧应沿栏杆架用密目式安全网封闭。</w:t>
            </w:r>
          </w:p>
        </w:tc>
      </w:tr>
      <w:tr w14:paraId="6F871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7486D4F7">
            <w:pPr>
              <w:pStyle w:val="159"/>
              <w:spacing w:line="300" w:lineRule="exact"/>
              <w:jc w:val="center"/>
              <w:rPr>
                <w:rFonts w:ascii="方正仿宋_GBK" w:eastAsia="方正仿宋_GBK"/>
                <w:color w:val="auto"/>
              </w:rPr>
            </w:pPr>
          </w:p>
        </w:tc>
        <w:tc>
          <w:tcPr>
            <w:tcW w:w="525" w:type="dxa"/>
            <w:vMerge w:val="continue"/>
            <w:vAlign w:val="center"/>
          </w:tcPr>
          <w:p w14:paraId="30AD516E">
            <w:pPr>
              <w:pStyle w:val="159"/>
              <w:spacing w:line="300" w:lineRule="exact"/>
              <w:jc w:val="center"/>
              <w:rPr>
                <w:rFonts w:ascii="方正仿宋_GBK" w:eastAsia="方正仿宋_GBK"/>
                <w:color w:val="auto"/>
              </w:rPr>
            </w:pPr>
          </w:p>
        </w:tc>
        <w:tc>
          <w:tcPr>
            <w:tcW w:w="1545" w:type="dxa"/>
            <w:vAlign w:val="center"/>
          </w:tcPr>
          <w:p w14:paraId="07B33C8A">
            <w:pPr>
              <w:pStyle w:val="159"/>
              <w:spacing w:line="300" w:lineRule="exact"/>
              <w:rPr>
                <w:rFonts w:ascii="方正仿宋_GBK" w:eastAsia="方正仿宋_GBK"/>
                <w:color w:val="auto"/>
              </w:rPr>
            </w:pPr>
            <w:r>
              <w:rPr>
                <w:rFonts w:hint="eastAsia" w:ascii="方正仿宋_GBK" w:eastAsia="方正仿宋_GBK" w:cs="方正仿宋_GBK"/>
                <w:color w:val="auto"/>
              </w:rPr>
              <w:t>预留洞口</w:t>
            </w:r>
          </w:p>
        </w:tc>
        <w:tc>
          <w:tcPr>
            <w:tcW w:w="6645" w:type="dxa"/>
            <w:vAlign w:val="center"/>
          </w:tcPr>
          <w:p w14:paraId="0DCD8F49">
            <w:pPr>
              <w:pStyle w:val="159"/>
              <w:spacing w:line="300" w:lineRule="exact"/>
              <w:rPr>
                <w:rFonts w:ascii="方正仿宋_GBK" w:eastAsia="方正仿宋_GBK"/>
                <w:color w:val="auto"/>
              </w:rPr>
            </w:pPr>
            <w:r>
              <w:rPr>
                <w:rFonts w:hint="eastAsia" w:ascii="方正仿宋_GBK" w:eastAsia="方正仿宋_GBK" w:cs="方正仿宋_GBK"/>
                <w:color w:val="auto"/>
              </w:rPr>
              <w:t>用硬质材料全封闭，短边超过</w:t>
            </w:r>
            <w:r>
              <w:rPr>
                <w:rFonts w:ascii="方正仿宋_GBK" w:eastAsia="方正仿宋_GBK" w:cs="方正仿宋_GBK"/>
                <w:color w:val="auto"/>
              </w:rPr>
              <w:t>1.5m</w:t>
            </w:r>
            <w:r>
              <w:rPr>
                <w:rFonts w:hint="eastAsia" w:ascii="方正仿宋_GBK" w:eastAsia="方正仿宋_GBK" w:cs="方正仿宋_GBK"/>
                <w:color w:val="auto"/>
              </w:rPr>
              <w:t>长的洞口，除封闭外四周还应设有防护栏杆。</w:t>
            </w:r>
          </w:p>
        </w:tc>
      </w:tr>
      <w:tr w14:paraId="62CA3D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vAlign w:val="center"/>
          </w:tcPr>
          <w:p w14:paraId="4E1F3317">
            <w:pPr>
              <w:pStyle w:val="159"/>
              <w:spacing w:line="300" w:lineRule="exact"/>
              <w:jc w:val="center"/>
              <w:rPr>
                <w:rFonts w:ascii="方正仿宋_GBK" w:eastAsia="方正仿宋_GBK"/>
                <w:color w:val="auto"/>
              </w:rPr>
            </w:pPr>
          </w:p>
        </w:tc>
        <w:tc>
          <w:tcPr>
            <w:tcW w:w="525" w:type="dxa"/>
            <w:vMerge w:val="continue"/>
            <w:vAlign w:val="center"/>
          </w:tcPr>
          <w:p w14:paraId="020A4F12">
            <w:pPr>
              <w:pStyle w:val="159"/>
              <w:spacing w:line="300" w:lineRule="exact"/>
              <w:jc w:val="center"/>
              <w:rPr>
                <w:rFonts w:ascii="方正仿宋_GBK" w:eastAsia="方正仿宋_GBK"/>
                <w:color w:val="auto"/>
              </w:rPr>
            </w:pPr>
          </w:p>
        </w:tc>
        <w:tc>
          <w:tcPr>
            <w:tcW w:w="1545" w:type="dxa"/>
            <w:vAlign w:val="center"/>
          </w:tcPr>
          <w:p w14:paraId="6B667515">
            <w:pPr>
              <w:pStyle w:val="159"/>
              <w:spacing w:line="300" w:lineRule="exact"/>
              <w:rPr>
                <w:rFonts w:ascii="方正仿宋_GBK" w:eastAsia="方正仿宋_GBK"/>
                <w:color w:val="auto"/>
              </w:rPr>
            </w:pPr>
            <w:r>
              <w:rPr>
                <w:rFonts w:hint="eastAsia" w:ascii="方正仿宋_GBK" w:eastAsia="方正仿宋_GBK" w:cs="方正仿宋_GBK"/>
                <w:color w:val="auto"/>
              </w:rPr>
              <w:t>电梯井口</w:t>
            </w:r>
          </w:p>
        </w:tc>
        <w:tc>
          <w:tcPr>
            <w:tcW w:w="6645" w:type="dxa"/>
            <w:vAlign w:val="center"/>
          </w:tcPr>
          <w:p w14:paraId="5D07EB95">
            <w:pPr>
              <w:pStyle w:val="159"/>
              <w:spacing w:line="300" w:lineRule="exact"/>
              <w:rPr>
                <w:rFonts w:ascii="方正仿宋_GBK" w:eastAsia="方正仿宋_GBK"/>
                <w:color w:val="auto"/>
              </w:rPr>
            </w:pPr>
            <w:r>
              <w:rPr>
                <w:rFonts w:hint="eastAsia" w:ascii="方正仿宋_GBK" w:eastAsia="方正仿宋_GBK" w:cs="方正仿宋_GBK"/>
                <w:color w:val="auto"/>
              </w:rPr>
              <w:t>设置定型化、工具化的防护门，在电梯井内每隔</w:t>
            </w:r>
            <w:r>
              <w:rPr>
                <w:rFonts w:ascii="方正仿宋_GBK" w:eastAsia="方正仿宋_GBK" w:cs="方正仿宋_GBK"/>
                <w:color w:val="auto"/>
              </w:rPr>
              <w:t>2</w:t>
            </w:r>
            <w:r>
              <w:rPr>
                <w:rFonts w:hint="eastAsia" w:ascii="方正仿宋_GBK" w:eastAsia="方正仿宋_GBK" w:cs="方正仿宋_GBK"/>
                <w:color w:val="auto"/>
              </w:rPr>
              <w:t>层（不大于</w:t>
            </w:r>
            <w:r>
              <w:rPr>
                <w:rFonts w:ascii="方正仿宋_GBK" w:eastAsia="方正仿宋_GBK" w:cs="方正仿宋_GBK"/>
                <w:color w:val="auto"/>
              </w:rPr>
              <w:t>10m</w:t>
            </w:r>
            <w:r>
              <w:rPr>
                <w:rFonts w:hint="eastAsia" w:ascii="方正仿宋_GBK" w:eastAsia="方正仿宋_GBK" w:cs="方正仿宋_GBK"/>
                <w:color w:val="auto"/>
              </w:rPr>
              <w:t>）设置一道水平防护。</w:t>
            </w:r>
          </w:p>
        </w:tc>
      </w:tr>
      <w:tr w14:paraId="39799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2C38720">
            <w:pPr>
              <w:pStyle w:val="159"/>
              <w:spacing w:line="300" w:lineRule="exact"/>
              <w:jc w:val="center"/>
              <w:rPr>
                <w:rFonts w:ascii="方正仿宋_GBK" w:eastAsia="方正仿宋_GBK"/>
                <w:color w:val="auto"/>
              </w:rPr>
            </w:pPr>
          </w:p>
        </w:tc>
        <w:tc>
          <w:tcPr>
            <w:tcW w:w="525" w:type="dxa"/>
            <w:vMerge w:val="continue"/>
            <w:vAlign w:val="center"/>
          </w:tcPr>
          <w:p w14:paraId="4A599573">
            <w:pPr>
              <w:pStyle w:val="159"/>
              <w:spacing w:line="300" w:lineRule="exact"/>
              <w:jc w:val="center"/>
              <w:rPr>
                <w:rFonts w:ascii="方正仿宋_GBK" w:eastAsia="方正仿宋_GBK"/>
                <w:color w:val="auto"/>
              </w:rPr>
            </w:pPr>
          </w:p>
        </w:tc>
        <w:tc>
          <w:tcPr>
            <w:tcW w:w="1545" w:type="dxa"/>
            <w:vAlign w:val="center"/>
          </w:tcPr>
          <w:p w14:paraId="4200C746">
            <w:pPr>
              <w:pStyle w:val="159"/>
              <w:spacing w:line="300" w:lineRule="exact"/>
              <w:rPr>
                <w:rFonts w:ascii="方正仿宋_GBK" w:eastAsia="方正仿宋_GBK"/>
                <w:color w:val="auto"/>
              </w:rPr>
            </w:pPr>
            <w:r>
              <w:rPr>
                <w:rFonts w:hint="eastAsia" w:ascii="方正仿宋_GBK" w:eastAsia="方正仿宋_GBK" w:cs="方正仿宋_GBK"/>
                <w:color w:val="auto"/>
              </w:rPr>
              <w:t>楼梯边</w:t>
            </w:r>
          </w:p>
        </w:tc>
        <w:tc>
          <w:tcPr>
            <w:tcW w:w="6645" w:type="dxa"/>
            <w:vAlign w:val="center"/>
          </w:tcPr>
          <w:p w14:paraId="31224963">
            <w:pPr>
              <w:pStyle w:val="159"/>
              <w:spacing w:line="300" w:lineRule="exact"/>
              <w:rPr>
                <w:rFonts w:ascii="方正仿宋_GBK" w:eastAsia="方正仿宋_GBK"/>
                <w:color w:val="auto"/>
              </w:rPr>
            </w:pPr>
            <w:r>
              <w:rPr>
                <w:rFonts w:hint="eastAsia" w:ascii="方正仿宋_GBK" w:eastAsia="方正仿宋_GBK" w:cs="方正仿宋_GBK"/>
                <w:color w:val="auto"/>
              </w:rPr>
              <w:t>设</w:t>
            </w:r>
            <w:r>
              <w:rPr>
                <w:rFonts w:ascii="方正仿宋_GBK" w:eastAsia="方正仿宋_GBK" w:cs="方正仿宋_GBK"/>
                <w:color w:val="auto"/>
              </w:rPr>
              <w:t>1.2m</w:t>
            </w:r>
            <w:r>
              <w:rPr>
                <w:rFonts w:hint="eastAsia" w:ascii="方正仿宋_GBK" w:eastAsia="方正仿宋_GBK" w:cs="方正仿宋_GBK"/>
                <w:color w:val="auto"/>
              </w:rPr>
              <w:t>高的定型化、工具化的防护栏，</w:t>
            </w:r>
            <w:r>
              <w:rPr>
                <w:rFonts w:ascii="方正仿宋_GBK" w:eastAsia="方正仿宋_GBK" w:cs="方正仿宋_GBK"/>
                <w:color w:val="auto"/>
              </w:rPr>
              <w:t>18cm</w:t>
            </w:r>
            <w:r>
              <w:rPr>
                <w:rFonts w:hint="eastAsia" w:ascii="方正仿宋_GBK" w:eastAsia="方正仿宋_GBK" w:cs="方正仿宋_GBK"/>
                <w:color w:val="auto"/>
              </w:rPr>
              <w:t>高的踢脚板。</w:t>
            </w:r>
          </w:p>
        </w:tc>
      </w:tr>
      <w:tr w14:paraId="3D9DB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0A2337C3">
            <w:pPr>
              <w:pStyle w:val="159"/>
              <w:spacing w:line="300" w:lineRule="exact"/>
              <w:jc w:val="center"/>
              <w:rPr>
                <w:rFonts w:ascii="方正仿宋_GBK" w:eastAsia="方正仿宋_GBK"/>
                <w:color w:val="auto"/>
              </w:rPr>
            </w:pPr>
          </w:p>
        </w:tc>
        <w:tc>
          <w:tcPr>
            <w:tcW w:w="525" w:type="dxa"/>
            <w:vMerge w:val="continue"/>
            <w:vAlign w:val="center"/>
          </w:tcPr>
          <w:p w14:paraId="0A3411D7">
            <w:pPr>
              <w:pStyle w:val="159"/>
              <w:spacing w:line="300" w:lineRule="exact"/>
              <w:jc w:val="center"/>
              <w:rPr>
                <w:rFonts w:ascii="方正仿宋_GBK" w:eastAsia="方正仿宋_GBK"/>
                <w:color w:val="auto"/>
              </w:rPr>
            </w:pPr>
          </w:p>
        </w:tc>
        <w:tc>
          <w:tcPr>
            <w:tcW w:w="1545" w:type="dxa"/>
            <w:vAlign w:val="center"/>
          </w:tcPr>
          <w:p w14:paraId="1F4640B1">
            <w:pPr>
              <w:pStyle w:val="159"/>
              <w:spacing w:line="300" w:lineRule="exact"/>
              <w:rPr>
                <w:rFonts w:ascii="方正仿宋_GBK" w:eastAsia="方正仿宋_GBK"/>
                <w:color w:val="auto"/>
              </w:rPr>
            </w:pPr>
            <w:r>
              <w:rPr>
                <w:rFonts w:hint="eastAsia" w:ascii="方正仿宋_GBK" w:eastAsia="方正仿宋_GBK" w:cs="方正仿宋_GBK"/>
                <w:color w:val="auto"/>
              </w:rPr>
              <w:t>垂直方向交叉作业</w:t>
            </w:r>
          </w:p>
        </w:tc>
        <w:tc>
          <w:tcPr>
            <w:tcW w:w="6645" w:type="dxa"/>
            <w:vAlign w:val="center"/>
          </w:tcPr>
          <w:p w14:paraId="741E3C5A">
            <w:pPr>
              <w:pStyle w:val="159"/>
              <w:spacing w:line="300" w:lineRule="exact"/>
              <w:rPr>
                <w:rFonts w:ascii="方正仿宋_GBK" w:eastAsia="方正仿宋_GBK"/>
                <w:color w:val="auto"/>
              </w:rPr>
            </w:pPr>
            <w:r>
              <w:rPr>
                <w:rFonts w:hint="eastAsia" w:ascii="方正仿宋_GBK" w:eastAsia="方正仿宋_GBK" w:cs="方正仿宋_GBK"/>
                <w:color w:val="auto"/>
              </w:rPr>
              <w:t>设置防护隔离棚或其它设施。</w:t>
            </w:r>
          </w:p>
        </w:tc>
      </w:tr>
      <w:tr w14:paraId="0A3481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517AA9DF">
            <w:pPr>
              <w:pStyle w:val="159"/>
              <w:spacing w:line="300" w:lineRule="exact"/>
              <w:jc w:val="center"/>
              <w:rPr>
                <w:rFonts w:ascii="方正仿宋_GBK" w:eastAsia="方正仿宋_GBK"/>
                <w:color w:val="auto"/>
              </w:rPr>
            </w:pPr>
          </w:p>
        </w:tc>
        <w:tc>
          <w:tcPr>
            <w:tcW w:w="525" w:type="dxa"/>
            <w:vMerge w:val="continue"/>
            <w:vAlign w:val="center"/>
          </w:tcPr>
          <w:p w14:paraId="76F70ABB">
            <w:pPr>
              <w:pStyle w:val="159"/>
              <w:spacing w:line="300" w:lineRule="exact"/>
              <w:jc w:val="center"/>
              <w:rPr>
                <w:rFonts w:ascii="方正仿宋_GBK" w:eastAsia="方正仿宋_GBK"/>
                <w:color w:val="auto"/>
              </w:rPr>
            </w:pPr>
          </w:p>
        </w:tc>
        <w:tc>
          <w:tcPr>
            <w:tcW w:w="1545" w:type="dxa"/>
            <w:vAlign w:val="center"/>
          </w:tcPr>
          <w:p w14:paraId="48443EFD">
            <w:pPr>
              <w:pStyle w:val="159"/>
              <w:spacing w:line="300" w:lineRule="exact"/>
              <w:rPr>
                <w:rFonts w:ascii="方正仿宋_GBK" w:eastAsia="方正仿宋_GBK"/>
                <w:color w:val="auto"/>
              </w:rPr>
            </w:pPr>
            <w:r>
              <w:rPr>
                <w:rFonts w:hint="eastAsia" w:ascii="方正仿宋_GBK" w:eastAsia="方正仿宋_GBK" w:cs="方正仿宋_GBK"/>
                <w:color w:val="auto"/>
              </w:rPr>
              <w:t>高处作业</w:t>
            </w:r>
          </w:p>
        </w:tc>
        <w:tc>
          <w:tcPr>
            <w:tcW w:w="6645" w:type="dxa"/>
            <w:vAlign w:val="center"/>
          </w:tcPr>
          <w:p w14:paraId="143E5E94">
            <w:pPr>
              <w:pStyle w:val="159"/>
              <w:spacing w:line="300" w:lineRule="exact"/>
              <w:rPr>
                <w:rFonts w:ascii="方正仿宋_GBK" w:eastAsia="方正仿宋_GBK"/>
                <w:color w:val="auto"/>
              </w:rPr>
            </w:pPr>
            <w:r>
              <w:rPr>
                <w:rFonts w:hint="eastAsia" w:ascii="方正仿宋_GBK" w:eastAsia="方正仿宋_GBK" w:cs="方正仿宋_GBK"/>
                <w:color w:val="auto"/>
              </w:rPr>
              <w:t>有悬挂安全带的悬索或其它设施，有操作平台，有上下的梯子或其它形式的通道。</w:t>
            </w:r>
          </w:p>
        </w:tc>
      </w:tr>
      <w:tr w14:paraId="64B361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7C5ABFF">
            <w:pPr>
              <w:pStyle w:val="159"/>
              <w:spacing w:line="300" w:lineRule="exact"/>
              <w:jc w:val="center"/>
              <w:rPr>
                <w:rFonts w:ascii="方正仿宋_GBK" w:eastAsia="方正仿宋_GBK"/>
                <w:color w:val="auto"/>
              </w:rPr>
            </w:pPr>
          </w:p>
        </w:tc>
        <w:tc>
          <w:tcPr>
            <w:tcW w:w="525" w:type="dxa"/>
            <w:vMerge w:val="continue"/>
            <w:vAlign w:val="center"/>
          </w:tcPr>
          <w:p w14:paraId="01AE5DA2">
            <w:pPr>
              <w:pStyle w:val="159"/>
              <w:spacing w:line="300" w:lineRule="exact"/>
              <w:jc w:val="center"/>
              <w:rPr>
                <w:rFonts w:ascii="方正仿宋_GBK" w:eastAsia="方正仿宋_GBK"/>
                <w:color w:val="auto"/>
              </w:rPr>
            </w:pPr>
          </w:p>
        </w:tc>
        <w:tc>
          <w:tcPr>
            <w:tcW w:w="1545" w:type="dxa"/>
            <w:vAlign w:val="center"/>
          </w:tcPr>
          <w:p w14:paraId="66101D93">
            <w:pPr>
              <w:pStyle w:val="159"/>
              <w:spacing w:line="300" w:lineRule="exact"/>
              <w:rPr>
                <w:rFonts w:ascii="方正仿宋_GBK" w:eastAsia="方正仿宋_GBK"/>
                <w:color w:val="auto"/>
              </w:rPr>
            </w:pPr>
            <w:r>
              <w:rPr>
                <w:rFonts w:hint="eastAsia" w:ascii="方正仿宋_GBK" w:eastAsia="方正仿宋_GBK" w:cs="方正仿宋_GBK"/>
                <w:color w:val="auto"/>
              </w:rPr>
              <w:t>基坑、物料平台</w:t>
            </w:r>
          </w:p>
        </w:tc>
        <w:tc>
          <w:tcPr>
            <w:tcW w:w="6645" w:type="dxa"/>
            <w:vAlign w:val="center"/>
          </w:tcPr>
          <w:p w14:paraId="304325B9">
            <w:pPr>
              <w:pStyle w:val="159"/>
              <w:spacing w:line="300" w:lineRule="exact"/>
              <w:rPr>
                <w:rFonts w:ascii="方正仿宋_GBK" w:eastAsia="方正仿宋_GBK"/>
                <w:color w:val="auto"/>
              </w:rPr>
            </w:pPr>
            <w:r>
              <w:rPr>
                <w:rFonts w:hint="eastAsia" w:ascii="方正仿宋_GBK" w:eastAsia="方正仿宋_GBK" w:cs="方正仿宋_GBK"/>
                <w:color w:val="auto"/>
              </w:rPr>
              <w:t>设</w:t>
            </w:r>
            <w:r>
              <w:rPr>
                <w:rFonts w:ascii="方正仿宋_GBK" w:eastAsia="方正仿宋_GBK" w:cs="方正仿宋_GBK"/>
                <w:color w:val="auto"/>
              </w:rPr>
              <w:t>1.2m</w:t>
            </w:r>
            <w:r>
              <w:rPr>
                <w:rFonts w:hint="eastAsia" w:ascii="方正仿宋_GBK" w:eastAsia="方正仿宋_GBK" w:cs="方正仿宋_GBK"/>
                <w:color w:val="auto"/>
              </w:rPr>
              <w:t>高标准化的防护栏，用密目式安全立网封闭，悬挂标识。</w:t>
            </w:r>
          </w:p>
        </w:tc>
      </w:tr>
      <w:tr w14:paraId="5A3B08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41F03DBF">
            <w:pPr>
              <w:pStyle w:val="159"/>
              <w:spacing w:line="300" w:lineRule="exact"/>
              <w:jc w:val="center"/>
              <w:rPr>
                <w:rFonts w:ascii="方正仿宋_GBK" w:eastAsia="方正仿宋_GBK"/>
                <w:color w:val="auto"/>
              </w:rPr>
            </w:pPr>
          </w:p>
        </w:tc>
        <w:tc>
          <w:tcPr>
            <w:tcW w:w="2070" w:type="dxa"/>
            <w:gridSpan w:val="2"/>
            <w:vAlign w:val="center"/>
          </w:tcPr>
          <w:p w14:paraId="630B1924">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安全防护用品</w:t>
            </w:r>
          </w:p>
        </w:tc>
        <w:tc>
          <w:tcPr>
            <w:tcW w:w="6645" w:type="dxa"/>
            <w:vAlign w:val="center"/>
          </w:tcPr>
          <w:p w14:paraId="081A4DAC">
            <w:pPr>
              <w:pStyle w:val="159"/>
              <w:spacing w:line="300" w:lineRule="exact"/>
              <w:rPr>
                <w:rFonts w:ascii="方正仿宋_GBK" w:eastAsia="方正仿宋_GBK"/>
                <w:color w:val="auto"/>
              </w:rPr>
            </w:pPr>
            <w:r>
              <w:rPr>
                <w:rFonts w:hint="eastAsia" w:ascii="方正仿宋_GBK" w:eastAsia="方正仿宋_GBK" w:cs="方正仿宋_GBK"/>
                <w:color w:val="auto"/>
              </w:rPr>
              <w:t>安全帽、安全带、特种作业人员（电工、焊工、架子工等）防护服装、用品等。</w:t>
            </w:r>
          </w:p>
        </w:tc>
      </w:tr>
      <w:tr w14:paraId="4B2E5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vAlign w:val="center"/>
          </w:tcPr>
          <w:p w14:paraId="5EF0F0DE">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其它</w:t>
            </w:r>
          </w:p>
        </w:tc>
        <w:tc>
          <w:tcPr>
            <w:tcW w:w="525" w:type="dxa"/>
            <w:vMerge w:val="restart"/>
            <w:vAlign w:val="center"/>
          </w:tcPr>
          <w:p w14:paraId="0B8EBB96">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机械设备防护</w:t>
            </w:r>
          </w:p>
        </w:tc>
        <w:tc>
          <w:tcPr>
            <w:tcW w:w="1545" w:type="dxa"/>
            <w:vAlign w:val="center"/>
          </w:tcPr>
          <w:p w14:paraId="7D4B70DD">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中小型机械</w:t>
            </w:r>
          </w:p>
        </w:tc>
        <w:tc>
          <w:tcPr>
            <w:tcW w:w="6645" w:type="dxa"/>
            <w:vAlign w:val="center"/>
          </w:tcPr>
          <w:p w14:paraId="6960F6B0">
            <w:pPr>
              <w:pStyle w:val="159"/>
              <w:spacing w:line="300" w:lineRule="exact"/>
              <w:rPr>
                <w:rFonts w:ascii="方正仿宋_GBK" w:eastAsia="方正仿宋_GBK"/>
                <w:color w:val="auto"/>
              </w:rPr>
            </w:pPr>
            <w:r>
              <w:rPr>
                <w:rFonts w:hint="eastAsia" w:ascii="方正仿宋_GBK" w:eastAsia="方正仿宋_GBK" w:cs="方正仿宋_GBK"/>
                <w:color w:val="auto"/>
              </w:rPr>
              <w:t>设防护棚（同通道口防护并有防雨措施）。</w:t>
            </w:r>
          </w:p>
        </w:tc>
      </w:tr>
      <w:tr w14:paraId="78CCB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vAlign w:val="center"/>
          </w:tcPr>
          <w:p w14:paraId="65B3E57B">
            <w:pPr>
              <w:pStyle w:val="159"/>
              <w:spacing w:line="300" w:lineRule="exact"/>
              <w:jc w:val="center"/>
              <w:rPr>
                <w:rFonts w:ascii="方正仿宋_GBK" w:eastAsia="方正仿宋_GBK"/>
                <w:color w:val="auto"/>
              </w:rPr>
            </w:pPr>
          </w:p>
        </w:tc>
        <w:tc>
          <w:tcPr>
            <w:tcW w:w="525" w:type="dxa"/>
            <w:vMerge w:val="continue"/>
            <w:vAlign w:val="center"/>
          </w:tcPr>
          <w:p w14:paraId="1EC9A9A5">
            <w:pPr>
              <w:pStyle w:val="159"/>
              <w:spacing w:line="300" w:lineRule="exact"/>
              <w:jc w:val="center"/>
              <w:rPr>
                <w:rFonts w:ascii="方正仿宋_GBK" w:eastAsia="方正仿宋_GBK"/>
                <w:color w:val="auto"/>
              </w:rPr>
            </w:pPr>
          </w:p>
        </w:tc>
        <w:tc>
          <w:tcPr>
            <w:tcW w:w="1545" w:type="dxa"/>
            <w:vAlign w:val="center"/>
          </w:tcPr>
          <w:p w14:paraId="70C9E78B">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垂直运输设备</w:t>
            </w:r>
          </w:p>
        </w:tc>
        <w:tc>
          <w:tcPr>
            <w:tcW w:w="6645" w:type="dxa"/>
            <w:vAlign w:val="center"/>
          </w:tcPr>
          <w:p w14:paraId="5DF24E77">
            <w:pPr>
              <w:pStyle w:val="159"/>
              <w:spacing w:line="300" w:lineRule="exact"/>
              <w:rPr>
                <w:rFonts w:ascii="方正仿宋_GBK" w:eastAsia="方正仿宋_GBK"/>
                <w:color w:val="auto"/>
              </w:rPr>
            </w:pPr>
            <w:r>
              <w:rPr>
                <w:rFonts w:ascii="方正仿宋_GBK" w:eastAsia="方正仿宋_GBK" w:cs="方正仿宋_GBK"/>
                <w:color w:val="auto"/>
              </w:rPr>
              <w:t xml:space="preserve">1. </w:t>
            </w:r>
            <w:r>
              <w:rPr>
                <w:rFonts w:hint="eastAsia" w:ascii="方正仿宋_GBK" w:eastAsia="方正仿宋_GBK" w:cs="方正仿宋_GBK"/>
                <w:color w:val="auto"/>
              </w:rPr>
              <w:t>垂直运输设备检测、检验、日常维护、保养等。</w:t>
            </w:r>
          </w:p>
          <w:p w14:paraId="1DAFE870">
            <w:pPr>
              <w:pStyle w:val="159"/>
              <w:spacing w:line="300" w:lineRule="exact"/>
              <w:rPr>
                <w:rFonts w:ascii="方正仿宋_GBK" w:eastAsia="方正仿宋_GBK"/>
                <w:color w:val="auto"/>
              </w:rPr>
            </w:pPr>
            <w:r>
              <w:rPr>
                <w:rFonts w:ascii="方正仿宋_GBK" w:eastAsia="方正仿宋_GBK" w:cs="方正仿宋_GBK"/>
                <w:color w:val="auto"/>
              </w:rPr>
              <w:t xml:space="preserve">2. </w:t>
            </w:r>
            <w:r>
              <w:rPr>
                <w:rFonts w:hint="eastAsia" w:ascii="方正仿宋_GBK" w:eastAsia="方正仿宋_GBK" w:cs="方正仿宋_GBK"/>
                <w:color w:val="auto"/>
              </w:rPr>
              <w:t>物料提升机、施工电梯等物料平台搭设、外侧用密目式安全立网全封闭，有安全通道、安全防护门、防护棚等。</w:t>
            </w:r>
          </w:p>
        </w:tc>
      </w:tr>
      <w:tr w14:paraId="3B908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1A1AA684">
            <w:pPr>
              <w:pStyle w:val="159"/>
              <w:spacing w:line="300" w:lineRule="exact"/>
              <w:jc w:val="center"/>
              <w:rPr>
                <w:rFonts w:ascii="方正仿宋_GBK" w:eastAsia="方正仿宋_GBK"/>
                <w:color w:val="auto"/>
              </w:rPr>
            </w:pPr>
          </w:p>
        </w:tc>
        <w:tc>
          <w:tcPr>
            <w:tcW w:w="2070" w:type="dxa"/>
            <w:gridSpan w:val="2"/>
            <w:vAlign w:val="center"/>
          </w:tcPr>
          <w:p w14:paraId="64076422">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专家论证审查</w:t>
            </w:r>
          </w:p>
        </w:tc>
        <w:tc>
          <w:tcPr>
            <w:tcW w:w="6645" w:type="dxa"/>
            <w:vAlign w:val="center"/>
          </w:tcPr>
          <w:p w14:paraId="635A1095">
            <w:pPr>
              <w:pStyle w:val="159"/>
              <w:spacing w:line="300" w:lineRule="exact"/>
              <w:rPr>
                <w:rFonts w:ascii="方正仿宋_GBK" w:eastAsia="方正仿宋_GBK"/>
                <w:color w:val="auto"/>
              </w:rPr>
            </w:pPr>
            <w:r>
              <w:rPr>
                <w:rFonts w:hint="eastAsia" w:ascii="方正仿宋_GBK" w:eastAsia="方正仿宋_GBK" w:cs="方正仿宋_GBK"/>
                <w:color w:val="auto"/>
              </w:rPr>
              <w:t>超过一定规模的危险性较大分部分项工程专家论证审查。</w:t>
            </w:r>
          </w:p>
        </w:tc>
      </w:tr>
      <w:tr w14:paraId="31F6BF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vAlign w:val="center"/>
          </w:tcPr>
          <w:p w14:paraId="7F33B1F6">
            <w:pPr>
              <w:pStyle w:val="159"/>
              <w:spacing w:line="300" w:lineRule="exact"/>
              <w:jc w:val="center"/>
              <w:rPr>
                <w:rFonts w:ascii="方正仿宋_GBK" w:eastAsia="方正仿宋_GBK"/>
                <w:color w:val="auto"/>
              </w:rPr>
            </w:pPr>
          </w:p>
        </w:tc>
        <w:tc>
          <w:tcPr>
            <w:tcW w:w="2070" w:type="dxa"/>
            <w:gridSpan w:val="2"/>
            <w:vAlign w:val="center"/>
          </w:tcPr>
          <w:p w14:paraId="4E257764">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应急救援预案</w:t>
            </w:r>
          </w:p>
        </w:tc>
        <w:tc>
          <w:tcPr>
            <w:tcW w:w="6645" w:type="dxa"/>
            <w:vAlign w:val="center"/>
          </w:tcPr>
          <w:p w14:paraId="3F4A665B">
            <w:pPr>
              <w:pStyle w:val="159"/>
              <w:spacing w:line="300" w:lineRule="exact"/>
              <w:rPr>
                <w:rFonts w:ascii="方正仿宋_GBK" w:eastAsia="方正仿宋_GBK"/>
                <w:color w:val="auto"/>
              </w:rPr>
            </w:pPr>
            <w:r>
              <w:rPr>
                <w:rFonts w:hint="eastAsia" w:ascii="方正仿宋_GBK" w:eastAsia="方正仿宋_GBK" w:cs="方正仿宋_GBK"/>
                <w:color w:val="auto"/>
              </w:rPr>
              <w:t>救援器材准备及演练等。</w:t>
            </w:r>
          </w:p>
        </w:tc>
      </w:tr>
      <w:tr w14:paraId="61AD0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vAlign w:val="center"/>
          </w:tcPr>
          <w:p w14:paraId="191BF3D4">
            <w:pPr>
              <w:pStyle w:val="159"/>
              <w:spacing w:line="300" w:lineRule="exact"/>
              <w:jc w:val="center"/>
              <w:rPr>
                <w:rFonts w:ascii="方正仿宋_GBK" w:eastAsia="方正仿宋_GBK"/>
                <w:color w:val="auto"/>
              </w:rPr>
            </w:pPr>
          </w:p>
        </w:tc>
        <w:tc>
          <w:tcPr>
            <w:tcW w:w="2070" w:type="dxa"/>
            <w:gridSpan w:val="2"/>
            <w:tcBorders>
              <w:bottom w:val="single" w:color="auto" w:sz="12" w:space="0"/>
            </w:tcBorders>
            <w:vAlign w:val="center"/>
          </w:tcPr>
          <w:p w14:paraId="46347B18">
            <w:pPr>
              <w:pStyle w:val="159"/>
              <w:spacing w:line="300" w:lineRule="exact"/>
              <w:jc w:val="center"/>
              <w:rPr>
                <w:rFonts w:ascii="方正仿宋_GBK" w:eastAsia="方正仿宋_GBK"/>
                <w:color w:val="auto"/>
              </w:rPr>
            </w:pPr>
            <w:r>
              <w:rPr>
                <w:rFonts w:hint="eastAsia" w:ascii="方正仿宋_GBK" w:eastAsia="方正仿宋_GBK" w:cs="方正仿宋_GBK"/>
                <w:color w:val="auto"/>
              </w:rPr>
              <w:t>非正常情况施工</w:t>
            </w:r>
          </w:p>
        </w:tc>
        <w:tc>
          <w:tcPr>
            <w:tcW w:w="6645" w:type="dxa"/>
            <w:tcBorders>
              <w:bottom w:val="single" w:color="auto" w:sz="12" w:space="0"/>
            </w:tcBorders>
            <w:vAlign w:val="center"/>
          </w:tcPr>
          <w:p w14:paraId="34B9225D">
            <w:pPr>
              <w:pStyle w:val="159"/>
              <w:spacing w:line="300" w:lineRule="exact"/>
              <w:rPr>
                <w:rFonts w:ascii="方正仿宋_GBK" w:eastAsia="方正仿宋_GBK"/>
                <w:color w:val="auto"/>
              </w:rPr>
            </w:pPr>
            <w:r>
              <w:rPr>
                <w:rFonts w:hint="eastAsia" w:ascii="方正仿宋_GBK" w:eastAsia="方正仿宋_GBK" w:cs="方正仿宋_GBK"/>
                <w:color w:val="auto"/>
              </w:rPr>
              <w:t>其它特殊情况下的防护费用，如：城市主干道、人流密集、河边等处施工及文物、古建筑、古树保护等。</w:t>
            </w:r>
          </w:p>
        </w:tc>
      </w:tr>
    </w:tbl>
    <w:p w14:paraId="282B5E3F">
      <w:pPr>
        <w:pStyle w:val="159"/>
        <w:spacing w:line="240" w:lineRule="atLeast"/>
        <w:ind w:firstLine="546"/>
        <w:jc w:val="center"/>
        <w:rPr>
          <w:b/>
          <w:bCs/>
          <w:color w:val="auto"/>
          <w:w w:val="90"/>
          <w:sz w:val="24"/>
          <w:szCs w:val="24"/>
        </w:rPr>
      </w:pPr>
    </w:p>
    <w:p w14:paraId="6CDB7194">
      <w:pPr>
        <w:spacing w:before="156" w:beforeLines="50"/>
        <w:ind w:firstLine="420" w:firstLineChars="200"/>
        <w:rPr>
          <w:rFonts w:cs="宋体"/>
          <w:color w:val="auto"/>
        </w:rPr>
      </w:pPr>
      <w:r>
        <w:rPr>
          <w:rFonts w:hint="eastAsia" w:cs="宋体"/>
          <w:color w:val="auto"/>
        </w:rPr>
        <w:t>注：本表所列建筑工程安全文明施工费，是依据现行法律法规及标准规范确定的。如法律法规和标准规范修订，本表所列项目应按照修订后的法律法规和标准规范进行调整。</w:t>
      </w:r>
    </w:p>
    <w:p w14:paraId="6674BC59">
      <w:pPr>
        <w:rPr>
          <w:rFonts w:ascii="方正小标宋简体" w:hAnsi="方正小标宋简体" w:eastAsia="方正小标宋简体" w:cs="方正小标宋简体"/>
          <w:bCs/>
          <w:color w:val="auto"/>
          <w:sz w:val="32"/>
          <w:szCs w:val="32"/>
        </w:rPr>
      </w:pPr>
      <w:r>
        <w:rPr>
          <w:color w:val="auto"/>
        </w:rPr>
        <w:br w:type="page"/>
      </w:r>
    </w:p>
    <w:p w14:paraId="50403484">
      <w:pPr>
        <w:snapToGrid w:val="0"/>
        <w:spacing w:before="156" w:beforeLines="50" w:after="50"/>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代理服务费承诺书</w:t>
      </w:r>
    </w:p>
    <w:p w14:paraId="26F4B19F">
      <w:pPr>
        <w:snapToGrid w:val="0"/>
        <w:spacing w:before="156" w:beforeLines="50" w:after="50"/>
        <w:jc w:val="center"/>
        <w:rPr>
          <w:rFonts w:ascii="宋体" w:hAnsi="宋体"/>
          <w:b/>
          <w:color w:val="auto"/>
          <w:sz w:val="24"/>
        </w:rPr>
      </w:pPr>
    </w:p>
    <w:p w14:paraId="23B34616">
      <w:pPr>
        <w:spacing w:line="360" w:lineRule="auto"/>
        <w:rPr>
          <w:rFonts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采购代理机构名称</w:t>
      </w:r>
    </w:p>
    <w:p w14:paraId="0338EFF0">
      <w:pPr>
        <w:spacing w:line="360" w:lineRule="auto"/>
        <w:ind w:firstLine="480" w:firstLineChars="200"/>
        <w:rPr>
          <w:rFonts w:ascii="宋体" w:hAnsi="宋体"/>
          <w:color w:val="auto"/>
          <w:sz w:val="24"/>
        </w:rPr>
      </w:pPr>
      <w:r>
        <w:rPr>
          <w:rFonts w:hint="eastAsia" w:ascii="宋体" w:hAnsi="宋体"/>
          <w:color w:val="auto"/>
          <w:sz w:val="24"/>
        </w:rPr>
        <w:t>本单位参加了贵方组织的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29F2E8B0">
      <w:pPr>
        <w:spacing w:line="360" w:lineRule="auto"/>
        <w:ind w:firstLine="480" w:firstLineChars="200"/>
        <w:rPr>
          <w:rFonts w:ascii="宋体" w:hAnsi="宋体"/>
          <w:color w:val="auto"/>
          <w:sz w:val="24"/>
        </w:rPr>
      </w:pPr>
      <w:r>
        <w:rPr>
          <w:rFonts w:hint="eastAsia" w:ascii="宋体" w:hAnsi="宋体"/>
          <w:color w:val="auto"/>
          <w:sz w:val="24"/>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740E115B">
      <w:pPr>
        <w:spacing w:line="360" w:lineRule="auto"/>
        <w:ind w:firstLine="480" w:firstLineChars="200"/>
        <w:rPr>
          <w:rFonts w:ascii="宋体" w:hAnsi="宋体"/>
          <w:color w:val="auto"/>
          <w:sz w:val="24"/>
        </w:rPr>
      </w:pPr>
      <w:r>
        <w:rPr>
          <w:rFonts w:hint="eastAsia" w:ascii="宋体" w:hAnsi="宋体"/>
          <w:color w:val="auto"/>
          <w:sz w:val="24"/>
        </w:rPr>
        <w:t>2.本单位选择第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1B1ECC0B">
      <w:pPr>
        <w:spacing w:line="360" w:lineRule="auto"/>
        <w:ind w:firstLine="480" w:firstLineChars="200"/>
        <w:rPr>
          <w:rFonts w:ascii="宋体" w:hAnsi="宋体"/>
          <w:color w:val="auto"/>
          <w:sz w:val="24"/>
        </w:rPr>
      </w:pPr>
      <w:r>
        <w:rPr>
          <w:rFonts w:hint="eastAsia" w:ascii="宋体" w:hAnsi="宋体"/>
          <w:color w:val="auto"/>
          <w:sz w:val="24"/>
        </w:rPr>
        <w:t>第一种方式：开具增值税普通发票。开票信息如下：</w:t>
      </w:r>
    </w:p>
    <w:p w14:paraId="4114EAC6">
      <w:pPr>
        <w:spacing w:line="360" w:lineRule="auto"/>
        <w:ind w:firstLine="480" w:firstLineChars="20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2D3375F6">
      <w:pPr>
        <w:spacing w:line="360" w:lineRule="auto"/>
        <w:ind w:firstLine="480" w:firstLineChars="20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717CD25C">
      <w:pPr>
        <w:spacing w:line="360" w:lineRule="auto"/>
        <w:ind w:firstLine="480" w:firstLineChars="200"/>
        <w:rPr>
          <w:rFonts w:ascii="宋体" w:hAnsi="宋体"/>
          <w:color w:val="auto"/>
          <w:sz w:val="24"/>
        </w:rPr>
      </w:pPr>
      <w:r>
        <w:rPr>
          <w:rFonts w:hint="eastAsia" w:ascii="宋体" w:hAnsi="宋体"/>
          <w:color w:val="auto"/>
          <w:sz w:val="24"/>
        </w:rPr>
        <w:t>第二种方式：开具增值税专用发票，开票信息如下：</w:t>
      </w:r>
    </w:p>
    <w:p w14:paraId="56E98A29">
      <w:pPr>
        <w:spacing w:line="360" w:lineRule="auto"/>
        <w:ind w:firstLine="480" w:firstLineChars="200"/>
        <w:rPr>
          <w:rFonts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_                           </w:t>
      </w:r>
      <w:r>
        <w:rPr>
          <w:rFonts w:hint="eastAsia" w:ascii="宋体" w:hAnsi="宋体"/>
          <w:color w:val="auto"/>
          <w:sz w:val="24"/>
        </w:rPr>
        <w:t>；</w:t>
      </w:r>
    </w:p>
    <w:p w14:paraId="2ED133E7">
      <w:pPr>
        <w:spacing w:line="360" w:lineRule="auto"/>
        <w:ind w:firstLine="480" w:firstLineChars="200"/>
        <w:rPr>
          <w:rFonts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_                       </w:t>
      </w:r>
      <w:r>
        <w:rPr>
          <w:rFonts w:hint="eastAsia" w:ascii="宋体" w:hAnsi="宋体"/>
          <w:color w:val="auto"/>
          <w:sz w:val="24"/>
        </w:rPr>
        <w:t>；</w:t>
      </w:r>
    </w:p>
    <w:p w14:paraId="5C65F6DC">
      <w:pPr>
        <w:spacing w:line="360" w:lineRule="auto"/>
        <w:ind w:firstLine="480" w:firstLineChars="200"/>
        <w:rPr>
          <w:rFonts w:ascii="宋体" w:hAnsi="宋体"/>
          <w:color w:val="auto"/>
          <w:sz w:val="24"/>
        </w:rPr>
      </w:pPr>
      <w:r>
        <w:rPr>
          <w:rFonts w:hint="eastAsia" w:ascii="宋体" w:hAnsi="宋体"/>
          <w:color w:val="auto"/>
          <w:sz w:val="24"/>
        </w:rPr>
        <w:t>（3）在</w:t>
      </w:r>
      <w:r>
        <w:rPr>
          <w:rFonts w:hint="eastAsia" w:ascii="宋体" w:hAnsi="宋体"/>
          <w:color w:val="auto"/>
          <w:sz w:val="24"/>
          <w:lang w:eastAsia="zh-CN"/>
        </w:rPr>
        <w:t>税务局</w:t>
      </w:r>
      <w:r>
        <w:rPr>
          <w:rFonts w:hint="eastAsia" w:ascii="宋体" w:hAnsi="宋体"/>
          <w:color w:val="auto"/>
          <w:sz w:val="24"/>
        </w:rPr>
        <w:t>登记的地址</w:t>
      </w:r>
      <w:r>
        <w:rPr>
          <w:rFonts w:hint="eastAsia" w:ascii="宋体" w:hAnsi="宋体"/>
          <w:color w:val="auto"/>
          <w:sz w:val="24"/>
          <w:u w:val="single"/>
        </w:rPr>
        <w:t xml:space="preserve">_                   </w:t>
      </w:r>
      <w:r>
        <w:rPr>
          <w:rFonts w:hint="eastAsia" w:ascii="宋体" w:hAnsi="宋体"/>
          <w:color w:val="auto"/>
          <w:sz w:val="24"/>
        </w:rPr>
        <w:t>；</w:t>
      </w:r>
    </w:p>
    <w:p w14:paraId="656B85FA">
      <w:pPr>
        <w:spacing w:line="360" w:lineRule="auto"/>
        <w:ind w:firstLine="480" w:firstLineChars="200"/>
        <w:rPr>
          <w:rFonts w:ascii="宋体" w:hAnsi="宋体"/>
          <w:color w:val="auto"/>
          <w:sz w:val="24"/>
        </w:rPr>
      </w:pPr>
      <w:r>
        <w:rPr>
          <w:rFonts w:hint="eastAsia" w:ascii="宋体" w:hAnsi="宋体"/>
          <w:color w:val="auto"/>
          <w:sz w:val="24"/>
        </w:rPr>
        <w:t>（4）在</w:t>
      </w:r>
      <w:r>
        <w:rPr>
          <w:rFonts w:hint="eastAsia" w:ascii="宋体" w:hAnsi="宋体"/>
          <w:color w:val="auto"/>
          <w:sz w:val="24"/>
          <w:lang w:eastAsia="zh-CN"/>
        </w:rPr>
        <w:t>税务局</w:t>
      </w:r>
      <w:r>
        <w:rPr>
          <w:rFonts w:hint="eastAsia" w:ascii="宋体" w:hAnsi="宋体"/>
          <w:color w:val="auto"/>
          <w:sz w:val="24"/>
        </w:rPr>
        <w:t>登记的电话</w:t>
      </w:r>
      <w:r>
        <w:rPr>
          <w:rFonts w:hint="eastAsia" w:ascii="宋体" w:hAnsi="宋体"/>
          <w:color w:val="auto"/>
          <w:sz w:val="24"/>
          <w:u w:val="single"/>
        </w:rPr>
        <w:t xml:space="preserve">_                   </w:t>
      </w:r>
      <w:r>
        <w:rPr>
          <w:rFonts w:hint="eastAsia" w:ascii="宋体" w:hAnsi="宋体"/>
          <w:color w:val="auto"/>
          <w:sz w:val="24"/>
        </w:rPr>
        <w:t>；</w:t>
      </w:r>
    </w:p>
    <w:p w14:paraId="6CA94970">
      <w:pPr>
        <w:spacing w:line="360" w:lineRule="auto"/>
        <w:ind w:firstLine="480" w:firstLineChars="200"/>
        <w:rPr>
          <w:rFonts w:ascii="宋体" w:hAnsi="宋体"/>
          <w:color w:val="auto"/>
          <w:sz w:val="24"/>
        </w:rPr>
      </w:pPr>
      <w:r>
        <w:rPr>
          <w:rFonts w:hint="eastAsia" w:ascii="宋体" w:hAnsi="宋体"/>
          <w:color w:val="auto"/>
          <w:sz w:val="24"/>
        </w:rPr>
        <w:t>（5）开户银行</w:t>
      </w:r>
      <w:r>
        <w:rPr>
          <w:rFonts w:hint="eastAsia" w:ascii="宋体" w:hAnsi="宋体"/>
          <w:color w:val="auto"/>
          <w:sz w:val="24"/>
          <w:u w:val="single"/>
        </w:rPr>
        <w:t xml:space="preserve">_                           </w:t>
      </w:r>
      <w:r>
        <w:rPr>
          <w:rFonts w:hint="eastAsia" w:ascii="宋体" w:hAnsi="宋体"/>
          <w:color w:val="auto"/>
          <w:sz w:val="24"/>
        </w:rPr>
        <w:t>；</w:t>
      </w:r>
    </w:p>
    <w:p w14:paraId="3B0793CA">
      <w:pPr>
        <w:spacing w:line="360" w:lineRule="auto"/>
        <w:ind w:firstLine="480" w:firstLineChars="200"/>
        <w:rPr>
          <w:rFonts w:ascii="宋体" w:hAnsi="宋体"/>
          <w:color w:val="auto"/>
          <w:sz w:val="24"/>
        </w:rPr>
      </w:pPr>
      <w:r>
        <w:rPr>
          <w:rFonts w:hint="eastAsia" w:ascii="宋体" w:hAnsi="宋体"/>
          <w:color w:val="auto"/>
          <w:sz w:val="24"/>
        </w:rPr>
        <w:t>（6）银行账户</w:t>
      </w:r>
      <w:r>
        <w:rPr>
          <w:rFonts w:hint="eastAsia" w:ascii="宋体" w:hAnsi="宋体"/>
          <w:color w:val="auto"/>
          <w:sz w:val="24"/>
          <w:u w:val="single"/>
        </w:rPr>
        <w:t xml:space="preserve">_                           </w:t>
      </w:r>
      <w:r>
        <w:rPr>
          <w:rFonts w:hint="eastAsia" w:ascii="宋体" w:hAnsi="宋体"/>
          <w:color w:val="auto"/>
          <w:sz w:val="24"/>
        </w:rPr>
        <w:t>。</w:t>
      </w:r>
    </w:p>
    <w:p w14:paraId="28654077">
      <w:pPr>
        <w:spacing w:line="440" w:lineRule="exact"/>
        <w:rPr>
          <w:rFonts w:ascii="宋体" w:hAnsi="宋体"/>
          <w:color w:val="auto"/>
          <w:sz w:val="24"/>
        </w:rPr>
      </w:pPr>
    </w:p>
    <w:p w14:paraId="206BDEBE">
      <w:pPr>
        <w:spacing w:line="440" w:lineRule="exact"/>
        <w:rPr>
          <w:rFonts w:ascii="宋体" w:hAnsi="宋体"/>
          <w:color w:val="auto"/>
          <w:sz w:val="24"/>
        </w:rPr>
      </w:pPr>
    </w:p>
    <w:p w14:paraId="2DC388F6">
      <w:pPr>
        <w:spacing w:line="440" w:lineRule="exact"/>
        <w:rPr>
          <w:rFonts w:ascii="宋体" w:hAnsi="宋体"/>
          <w:color w:val="auto"/>
          <w:sz w:val="24"/>
        </w:rPr>
      </w:pPr>
    </w:p>
    <w:p w14:paraId="619C597F">
      <w:pPr>
        <w:snapToGrid w:val="0"/>
        <w:spacing w:line="360" w:lineRule="auto"/>
        <w:ind w:left="-2" w:leftChars="-1" w:right="-817" w:rightChars="-389" w:firstLine="1920" w:firstLineChars="800"/>
        <w:rPr>
          <w:rFonts w:ascii="宋体" w:hAnsi="宋体"/>
          <w:color w:val="auto"/>
          <w:sz w:val="24"/>
        </w:rPr>
      </w:pPr>
      <w:r>
        <w:rPr>
          <w:rFonts w:hint="eastAsia" w:ascii="宋体" w:hAnsi="宋体"/>
          <w:color w:val="auto"/>
          <w:sz w:val="24"/>
        </w:rPr>
        <w:t xml:space="preserve">法定代表人或者委托代理人（签字或者电子签名）： </w:t>
      </w:r>
    </w:p>
    <w:p w14:paraId="3B6366B2">
      <w:pPr>
        <w:snapToGrid w:val="0"/>
        <w:spacing w:line="360" w:lineRule="auto"/>
        <w:ind w:left="-3" w:leftChars="-15" w:right="-817" w:rightChars="-389" w:hanging="28" w:hangingChars="12"/>
        <w:rPr>
          <w:rFonts w:ascii="宋体" w:hAnsi="宋体"/>
          <w:color w:val="auto"/>
          <w:sz w:val="24"/>
        </w:rPr>
      </w:pPr>
      <w:r>
        <w:rPr>
          <w:rFonts w:hint="eastAsia" w:ascii="宋体" w:hAnsi="宋体"/>
          <w:color w:val="auto"/>
          <w:sz w:val="24"/>
        </w:rPr>
        <w:t xml:space="preserve">                                      供应商公章（电子签章）：</w:t>
      </w:r>
    </w:p>
    <w:p w14:paraId="58E39154">
      <w:pPr>
        <w:spacing w:line="360" w:lineRule="auto"/>
        <w:ind w:firstLine="480" w:firstLineChars="200"/>
        <w:jc w:val="center"/>
        <w:rPr>
          <w:rFonts w:ascii="宋体" w:hAnsi="宋体" w:cs="方正小标宋简体"/>
          <w:b/>
          <w:bCs/>
          <w:color w:val="auto"/>
          <w:sz w:val="32"/>
          <w:szCs w:val="32"/>
        </w:rPr>
      </w:pPr>
      <w:r>
        <w:rPr>
          <w:rFonts w:hint="eastAsia" w:ascii="宋体" w:hAnsi="宋体"/>
          <w:color w:val="auto"/>
          <w:sz w:val="24"/>
        </w:rPr>
        <w:t xml:space="preserve">                                    日期：    年   月   日</w:t>
      </w:r>
      <w:r>
        <w:rPr>
          <w:rFonts w:ascii="仿宋_GB2312" w:hAnsi="仿宋_GB2312" w:eastAsia="仿宋_GB2312" w:cs="仿宋_GB2312"/>
          <w:color w:val="auto"/>
          <w:sz w:val="32"/>
          <w:szCs w:val="32"/>
        </w:rPr>
        <w:br w:type="page"/>
      </w:r>
      <w:r>
        <w:rPr>
          <w:rFonts w:hint="eastAsia" w:ascii="宋体" w:hAnsi="宋体" w:cs="方正小标宋简体"/>
          <w:b/>
          <w:bCs/>
          <w:color w:val="auto"/>
          <w:sz w:val="32"/>
          <w:szCs w:val="32"/>
        </w:rPr>
        <w:t>施工组织设计</w:t>
      </w:r>
    </w:p>
    <w:p w14:paraId="7AAF37B1">
      <w:pPr>
        <w:spacing w:line="360" w:lineRule="auto"/>
        <w:ind w:firstLine="420" w:firstLineChars="200"/>
        <w:rPr>
          <w:rFonts w:cs="宋体"/>
          <w:color w:val="auto"/>
        </w:rPr>
      </w:pPr>
      <w:r>
        <w:rPr>
          <w:rFonts w:hint="eastAsia"/>
          <w:color w:val="auto"/>
        </w:rPr>
        <w:t>1.</w:t>
      </w:r>
      <w:r>
        <w:rPr>
          <w:color w:val="auto"/>
        </w:rPr>
        <w:t xml:space="preserve"> 施工组织</w:t>
      </w:r>
      <w:r>
        <w:rPr>
          <w:rFonts w:hint="eastAsia"/>
          <w:color w:val="auto"/>
        </w:rPr>
        <w:t>设计</w:t>
      </w:r>
      <w:r>
        <w:rPr>
          <w:rFonts w:hint="eastAsia" w:ascii="宋体" w:hAnsi="宋体"/>
          <w:color w:val="auto"/>
        </w:rPr>
        <w:t>应</w:t>
      </w:r>
      <w:r>
        <w:rPr>
          <w:rFonts w:hint="eastAsia"/>
          <w:color w:val="auto"/>
        </w:rPr>
        <w:t>以下内容顺序编制，可</w:t>
      </w:r>
      <w:r>
        <w:rPr>
          <w:rFonts w:hint="eastAsia" w:ascii="宋体" w:hAnsi="宋体"/>
          <w:color w:val="auto"/>
        </w:rPr>
        <w:t>采用文字并结合图表形式说明施工方法，</w:t>
      </w:r>
      <w:r>
        <w:rPr>
          <w:color w:val="auto"/>
        </w:rPr>
        <w:t>施工组织</w:t>
      </w:r>
      <w:r>
        <w:rPr>
          <w:rFonts w:hint="eastAsia"/>
          <w:color w:val="auto"/>
        </w:rPr>
        <w:t>设计具体</w:t>
      </w:r>
      <w:r>
        <w:rPr>
          <w:color w:val="auto"/>
        </w:rPr>
        <w:t>内容</w:t>
      </w:r>
      <w:r>
        <w:rPr>
          <w:rFonts w:hint="eastAsia" w:cs="宋体"/>
          <w:color w:val="auto"/>
        </w:rPr>
        <w:t>如下：</w:t>
      </w:r>
    </w:p>
    <w:p w14:paraId="54FF16B5">
      <w:pPr>
        <w:spacing w:line="360" w:lineRule="auto"/>
        <w:ind w:firstLine="420" w:firstLineChars="200"/>
        <w:rPr>
          <w:color w:val="auto"/>
        </w:rPr>
      </w:pPr>
      <w:r>
        <w:rPr>
          <w:rFonts w:hint="eastAsia"/>
          <w:color w:val="auto"/>
        </w:rPr>
        <w:t>（1）概述</w:t>
      </w:r>
    </w:p>
    <w:p w14:paraId="3C77BBB3">
      <w:pPr>
        <w:spacing w:line="360" w:lineRule="auto"/>
        <w:ind w:firstLine="420" w:firstLineChars="200"/>
        <w:rPr>
          <w:color w:val="auto"/>
        </w:rPr>
      </w:pPr>
      <w:r>
        <w:rPr>
          <w:rFonts w:hint="eastAsia"/>
          <w:color w:val="auto"/>
        </w:rPr>
        <w:t>（2）主要施工方法；</w:t>
      </w:r>
    </w:p>
    <w:p w14:paraId="114DD4C0">
      <w:pPr>
        <w:spacing w:line="360" w:lineRule="auto"/>
        <w:ind w:firstLine="420" w:firstLineChars="200"/>
        <w:rPr>
          <w:color w:val="auto"/>
        </w:rPr>
      </w:pPr>
      <w:r>
        <w:rPr>
          <w:rFonts w:hint="eastAsia"/>
          <w:color w:val="auto"/>
        </w:rPr>
        <w:t>（3）拟投入的主要物资计划</w:t>
      </w:r>
    </w:p>
    <w:p w14:paraId="4D383793">
      <w:pPr>
        <w:spacing w:line="360" w:lineRule="auto"/>
        <w:ind w:firstLine="420" w:firstLineChars="200"/>
        <w:rPr>
          <w:color w:val="auto"/>
        </w:rPr>
      </w:pPr>
      <w:r>
        <w:rPr>
          <w:rFonts w:hint="eastAsia"/>
          <w:color w:val="auto"/>
        </w:rPr>
        <w:t>（</w:t>
      </w:r>
      <w:r>
        <w:rPr>
          <w:color w:val="auto"/>
        </w:rPr>
        <w:t>4</w:t>
      </w:r>
      <w:r>
        <w:rPr>
          <w:rFonts w:hint="eastAsia"/>
          <w:color w:val="auto"/>
        </w:rPr>
        <w:t>）拟投入的主要施工机械、设备计划</w:t>
      </w:r>
    </w:p>
    <w:p w14:paraId="72320DBF">
      <w:pPr>
        <w:spacing w:line="360" w:lineRule="auto"/>
        <w:ind w:firstLine="420" w:firstLineChars="200"/>
        <w:rPr>
          <w:color w:val="auto"/>
        </w:rPr>
      </w:pPr>
      <w:r>
        <w:rPr>
          <w:rFonts w:hint="eastAsia"/>
          <w:color w:val="auto"/>
        </w:rPr>
        <w:t>（</w:t>
      </w:r>
      <w:r>
        <w:rPr>
          <w:color w:val="auto"/>
        </w:rPr>
        <w:t>5</w:t>
      </w:r>
      <w:r>
        <w:rPr>
          <w:rFonts w:hint="eastAsia"/>
          <w:color w:val="auto"/>
        </w:rPr>
        <w:t>）</w:t>
      </w:r>
      <w:r>
        <w:rPr>
          <w:rFonts w:hint="eastAsia" w:ascii="宋体" w:hAnsi="宋体" w:cs="宋体"/>
          <w:color w:val="auto"/>
          <w:szCs w:val="21"/>
        </w:rPr>
        <w:t>劳动力安排计划</w:t>
      </w:r>
    </w:p>
    <w:p w14:paraId="402154EB">
      <w:pPr>
        <w:spacing w:line="360" w:lineRule="auto"/>
        <w:ind w:firstLine="420" w:firstLineChars="200"/>
        <w:rPr>
          <w:color w:val="auto"/>
        </w:rPr>
      </w:pPr>
      <w:r>
        <w:rPr>
          <w:rFonts w:hint="eastAsia"/>
          <w:color w:val="auto"/>
        </w:rPr>
        <w:t>（</w:t>
      </w:r>
      <w:r>
        <w:rPr>
          <w:color w:val="auto"/>
        </w:rPr>
        <w:t>6</w:t>
      </w:r>
      <w:r>
        <w:rPr>
          <w:rFonts w:hint="eastAsia"/>
          <w:color w:val="auto"/>
        </w:rPr>
        <w:t>）</w:t>
      </w:r>
      <w:r>
        <w:rPr>
          <w:rFonts w:hint="eastAsia" w:ascii="宋体" w:hAnsi="宋体" w:cs="宋体"/>
          <w:color w:val="auto"/>
          <w:szCs w:val="21"/>
        </w:rPr>
        <w:t>确保工程质量的技术组织措施</w:t>
      </w:r>
    </w:p>
    <w:p w14:paraId="4C1DC69B">
      <w:pPr>
        <w:spacing w:line="360" w:lineRule="auto"/>
        <w:ind w:firstLine="420" w:firstLineChars="200"/>
        <w:rPr>
          <w:color w:val="auto"/>
        </w:rPr>
      </w:pPr>
      <w:r>
        <w:rPr>
          <w:rFonts w:hint="eastAsia"/>
          <w:color w:val="auto"/>
        </w:rPr>
        <w:t>（</w:t>
      </w:r>
      <w:r>
        <w:rPr>
          <w:color w:val="auto"/>
        </w:rPr>
        <w:t>7</w:t>
      </w:r>
      <w:r>
        <w:rPr>
          <w:rFonts w:hint="eastAsia"/>
          <w:color w:val="auto"/>
        </w:rPr>
        <w:t>）</w:t>
      </w:r>
      <w:r>
        <w:rPr>
          <w:rFonts w:hint="eastAsia" w:ascii="宋体" w:hAnsi="宋体" w:cs="宋体"/>
          <w:color w:val="auto"/>
          <w:szCs w:val="21"/>
        </w:rPr>
        <w:t>确保安全生产的技术组织措施</w:t>
      </w:r>
    </w:p>
    <w:p w14:paraId="20B911A7">
      <w:pPr>
        <w:spacing w:line="360" w:lineRule="auto"/>
        <w:ind w:firstLine="420" w:firstLineChars="200"/>
        <w:rPr>
          <w:color w:val="auto"/>
        </w:rPr>
      </w:pPr>
      <w:r>
        <w:rPr>
          <w:rFonts w:hint="eastAsia"/>
          <w:color w:val="auto"/>
        </w:rPr>
        <w:t>（</w:t>
      </w:r>
      <w:r>
        <w:rPr>
          <w:color w:val="auto"/>
        </w:rPr>
        <w:t>8</w:t>
      </w:r>
      <w:r>
        <w:rPr>
          <w:rFonts w:hint="eastAsia"/>
          <w:color w:val="auto"/>
        </w:rPr>
        <w:t>）</w:t>
      </w:r>
      <w:r>
        <w:rPr>
          <w:rFonts w:hint="eastAsia" w:ascii="宋体" w:hAnsi="宋体" w:cs="宋体"/>
          <w:color w:val="auto"/>
          <w:szCs w:val="21"/>
        </w:rPr>
        <w:t>确保工期的技术组织措施</w:t>
      </w:r>
    </w:p>
    <w:p w14:paraId="0654F1DA">
      <w:pPr>
        <w:spacing w:line="360" w:lineRule="auto"/>
        <w:ind w:firstLine="420" w:firstLineChars="200"/>
        <w:rPr>
          <w:color w:val="auto"/>
        </w:rPr>
      </w:pPr>
      <w:r>
        <w:rPr>
          <w:rFonts w:hint="eastAsia"/>
          <w:color w:val="auto"/>
        </w:rPr>
        <w:t>（</w:t>
      </w:r>
      <w:r>
        <w:rPr>
          <w:color w:val="auto"/>
        </w:rPr>
        <w:t>9</w:t>
      </w:r>
      <w:r>
        <w:rPr>
          <w:rFonts w:hint="eastAsia"/>
          <w:color w:val="auto"/>
        </w:rPr>
        <w:t>）</w:t>
      </w:r>
      <w:r>
        <w:rPr>
          <w:rFonts w:hint="eastAsia" w:ascii="宋体" w:hAnsi="宋体" w:cs="宋体"/>
          <w:color w:val="auto"/>
          <w:szCs w:val="21"/>
        </w:rPr>
        <w:t>确保文明施工的技术组织措施</w:t>
      </w:r>
    </w:p>
    <w:p w14:paraId="08EFCF10">
      <w:pPr>
        <w:spacing w:line="360" w:lineRule="auto"/>
        <w:ind w:firstLine="420" w:firstLineChars="200"/>
        <w:rPr>
          <w:color w:val="auto"/>
        </w:rPr>
      </w:pPr>
      <w:r>
        <w:rPr>
          <w:rFonts w:hint="eastAsia"/>
          <w:color w:val="auto"/>
        </w:rPr>
        <w:t>（1</w:t>
      </w:r>
      <w:r>
        <w:rPr>
          <w:color w:val="auto"/>
        </w:rPr>
        <w:t>0</w:t>
      </w:r>
      <w:r>
        <w:rPr>
          <w:rFonts w:hint="eastAsia"/>
          <w:color w:val="auto"/>
        </w:rPr>
        <w:t>）工程施工的重点和难点及保证措施</w:t>
      </w:r>
    </w:p>
    <w:p w14:paraId="19DDF21D">
      <w:pPr>
        <w:spacing w:line="360" w:lineRule="auto"/>
        <w:ind w:firstLine="420" w:firstLineChars="200"/>
        <w:rPr>
          <w:color w:val="auto"/>
        </w:rPr>
      </w:pPr>
      <w:r>
        <w:rPr>
          <w:rFonts w:hint="eastAsia"/>
          <w:color w:val="auto"/>
        </w:rPr>
        <w:t>（1</w:t>
      </w:r>
      <w:r>
        <w:rPr>
          <w:color w:val="auto"/>
        </w:rPr>
        <w:t>1</w:t>
      </w:r>
      <w:r>
        <w:rPr>
          <w:rFonts w:hint="eastAsia"/>
          <w:color w:val="auto"/>
        </w:rPr>
        <w:t>）其他（</w:t>
      </w:r>
      <w:r>
        <w:rPr>
          <w:color w:val="auto"/>
        </w:rPr>
        <w:t>如有）</w:t>
      </w:r>
      <w:r>
        <w:rPr>
          <w:rFonts w:hint="eastAsia"/>
          <w:color w:val="auto"/>
        </w:rPr>
        <w:t>（与第四章“评审程序、评审方法和评审标准”中的评审</w:t>
      </w:r>
      <w:r>
        <w:rPr>
          <w:color w:val="auto"/>
        </w:rPr>
        <w:t>标准一致</w:t>
      </w:r>
      <w:r>
        <w:rPr>
          <w:rFonts w:hint="eastAsia"/>
          <w:color w:val="auto"/>
        </w:rPr>
        <w:t>）</w:t>
      </w:r>
    </w:p>
    <w:p w14:paraId="3FD31481">
      <w:pPr>
        <w:spacing w:line="360" w:lineRule="auto"/>
        <w:ind w:firstLine="420" w:firstLineChars="200"/>
        <w:rPr>
          <w:color w:val="auto"/>
        </w:rPr>
      </w:pPr>
      <w:r>
        <w:rPr>
          <w:rFonts w:hint="eastAsia"/>
          <w:color w:val="auto"/>
        </w:rPr>
        <w:t>2. 技术标</w:t>
      </w:r>
      <w:r>
        <w:rPr>
          <w:color w:val="auto"/>
        </w:rPr>
        <w:t>施工组织</w:t>
      </w:r>
      <w:r>
        <w:rPr>
          <w:rFonts w:hint="eastAsia"/>
          <w:color w:val="auto"/>
        </w:rPr>
        <w:t>设计除采用文字表述外可附下列图表，图表及格式要求附后。</w:t>
      </w:r>
    </w:p>
    <w:p w14:paraId="7C759E29">
      <w:pPr>
        <w:spacing w:line="360" w:lineRule="auto"/>
        <w:ind w:firstLine="420" w:firstLineChars="200"/>
        <w:rPr>
          <w:color w:val="auto"/>
        </w:rPr>
      </w:pPr>
      <w:r>
        <w:rPr>
          <w:rFonts w:hint="eastAsia"/>
          <w:color w:val="auto"/>
        </w:rPr>
        <w:t>附表一</w:t>
      </w:r>
      <w:r>
        <w:rPr>
          <w:color w:val="auto"/>
        </w:rPr>
        <w:t xml:space="preserve">  </w:t>
      </w:r>
      <w:r>
        <w:rPr>
          <w:rFonts w:hint="eastAsia"/>
          <w:color w:val="auto"/>
        </w:rPr>
        <w:t>劳动力计划表</w:t>
      </w:r>
    </w:p>
    <w:p w14:paraId="6FBD6E50">
      <w:pPr>
        <w:spacing w:line="360" w:lineRule="auto"/>
        <w:ind w:firstLine="420" w:firstLineChars="200"/>
        <w:rPr>
          <w:color w:val="auto"/>
        </w:rPr>
      </w:pPr>
      <w:r>
        <w:rPr>
          <w:rFonts w:hint="eastAsia"/>
          <w:color w:val="auto"/>
        </w:rPr>
        <w:t>附表二</w:t>
      </w:r>
      <w:r>
        <w:rPr>
          <w:color w:val="auto"/>
        </w:rPr>
        <w:t xml:space="preserve">  </w:t>
      </w:r>
      <w:r>
        <w:rPr>
          <w:rFonts w:hint="eastAsia"/>
          <w:color w:val="auto"/>
        </w:rPr>
        <w:t>计划开、竣工日期和施工进度计划（网络图或横道图）</w:t>
      </w:r>
    </w:p>
    <w:p w14:paraId="3C969535">
      <w:pPr>
        <w:spacing w:line="360" w:lineRule="auto"/>
        <w:ind w:firstLine="420" w:firstLineChars="200"/>
        <w:rPr>
          <w:color w:val="auto"/>
        </w:rPr>
      </w:pPr>
      <w:r>
        <w:rPr>
          <w:rFonts w:hint="eastAsia"/>
          <w:color w:val="auto"/>
        </w:rPr>
        <w:t>附表三</w:t>
      </w:r>
      <w:r>
        <w:rPr>
          <w:color w:val="auto"/>
        </w:rPr>
        <w:t xml:space="preserve">  </w:t>
      </w:r>
      <w:r>
        <w:rPr>
          <w:rFonts w:hint="eastAsia"/>
          <w:color w:val="auto"/>
        </w:rPr>
        <w:t>施工总平面图</w:t>
      </w:r>
    </w:p>
    <w:p w14:paraId="0AB34B05">
      <w:pPr>
        <w:spacing w:line="360" w:lineRule="auto"/>
        <w:ind w:firstLine="420" w:firstLineChars="200"/>
        <w:rPr>
          <w:color w:val="auto"/>
        </w:rPr>
      </w:pPr>
      <w:r>
        <w:rPr>
          <w:rFonts w:hint="eastAsia"/>
          <w:color w:val="auto"/>
        </w:rPr>
        <w:t>附表四</w:t>
      </w:r>
      <w:r>
        <w:rPr>
          <w:color w:val="auto"/>
        </w:rPr>
        <w:t xml:space="preserve">  </w:t>
      </w:r>
      <w:r>
        <w:rPr>
          <w:rFonts w:hint="eastAsia"/>
          <w:color w:val="auto"/>
        </w:rPr>
        <w:t>临时用地表</w:t>
      </w:r>
    </w:p>
    <w:p w14:paraId="69A291CC">
      <w:pPr>
        <w:spacing w:line="360" w:lineRule="auto"/>
        <w:ind w:firstLine="420" w:firstLineChars="200"/>
        <w:rPr>
          <w:color w:val="auto"/>
        </w:rPr>
      </w:pPr>
    </w:p>
    <w:p w14:paraId="4901B81E">
      <w:pPr>
        <w:rPr>
          <w:color w:val="auto"/>
        </w:rPr>
      </w:pPr>
      <w:r>
        <w:rPr>
          <w:rFonts w:hint="eastAsia" w:cs="宋体"/>
          <w:color w:val="auto"/>
        </w:rPr>
        <w:t>附表一：劳动力计划表</w:t>
      </w:r>
    </w:p>
    <w:p w14:paraId="2C43612B">
      <w:pPr>
        <w:ind w:firstLine="7245" w:firstLineChars="3450"/>
        <w:rPr>
          <w:color w:val="auto"/>
        </w:rPr>
      </w:pPr>
      <w:r>
        <w:rPr>
          <w:color w:val="auto"/>
        </w:rPr>
        <w:t xml:space="preserve">    </w:t>
      </w:r>
      <w:r>
        <w:rPr>
          <w:rFonts w:hint="eastAsia" w:cs="宋体"/>
          <w:color w:val="auto"/>
        </w:rPr>
        <w:t>单位：人</w:t>
      </w:r>
    </w:p>
    <w:tbl>
      <w:tblPr>
        <w:tblStyle w:val="44"/>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5D56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5DEDEEF">
            <w:pPr>
              <w:spacing w:line="360" w:lineRule="auto"/>
              <w:jc w:val="center"/>
              <w:rPr>
                <w:color w:val="auto"/>
              </w:rPr>
            </w:pPr>
            <w:r>
              <w:rPr>
                <w:rFonts w:hint="eastAsia" w:cs="宋体"/>
                <w:color w:val="auto"/>
              </w:rPr>
              <w:t>工种</w:t>
            </w:r>
          </w:p>
        </w:tc>
        <w:tc>
          <w:tcPr>
            <w:tcW w:w="7248" w:type="dxa"/>
            <w:gridSpan w:val="6"/>
            <w:vAlign w:val="center"/>
          </w:tcPr>
          <w:p w14:paraId="759E37FA">
            <w:pPr>
              <w:spacing w:line="360" w:lineRule="auto"/>
              <w:jc w:val="center"/>
              <w:rPr>
                <w:color w:val="auto"/>
              </w:rPr>
            </w:pPr>
            <w:r>
              <w:rPr>
                <w:rFonts w:hint="eastAsia" w:cs="宋体"/>
                <w:color w:val="auto"/>
              </w:rPr>
              <w:t>按工程施工阶段投入劳动力情况</w:t>
            </w:r>
          </w:p>
        </w:tc>
      </w:tr>
      <w:tr w14:paraId="6CB7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CC033E4">
            <w:pPr>
              <w:spacing w:line="360" w:lineRule="auto"/>
              <w:jc w:val="center"/>
              <w:rPr>
                <w:color w:val="auto"/>
              </w:rPr>
            </w:pPr>
          </w:p>
        </w:tc>
        <w:tc>
          <w:tcPr>
            <w:tcW w:w="961" w:type="dxa"/>
            <w:vAlign w:val="center"/>
          </w:tcPr>
          <w:p w14:paraId="46CE62C3">
            <w:pPr>
              <w:spacing w:line="360" w:lineRule="auto"/>
              <w:jc w:val="center"/>
              <w:rPr>
                <w:color w:val="auto"/>
              </w:rPr>
            </w:pPr>
          </w:p>
        </w:tc>
        <w:tc>
          <w:tcPr>
            <w:tcW w:w="1257" w:type="dxa"/>
            <w:vAlign w:val="center"/>
          </w:tcPr>
          <w:p w14:paraId="39ADB163">
            <w:pPr>
              <w:spacing w:line="360" w:lineRule="auto"/>
              <w:jc w:val="center"/>
              <w:rPr>
                <w:color w:val="auto"/>
              </w:rPr>
            </w:pPr>
          </w:p>
        </w:tc>
        <w:tc>
          <w:tcPr>
            <w:tcW w:w="1257" w:type="dxa"/>
            <w:vAlign w:val="center"/>
          </w:tcPr>
          <w:p w14:paraId="3C21781B">
            <w:pPr>
              <w:spacing w:line="360" w:lineRule="auto"/>
              <w:jc w:val="center"/>
              <w:rPr>
                <w:color w:val="auto"/>
              </w:rPr>
            </w:pPr>
          </w:p>
        </w:tc>
        <w:tc>
          <w:tcPr>
            <w:tcW w:w="1258" w:type="dxa"/>
            <w:vAlign w:val="center"/>
          </w:tcPr>
          <w:p w14:paraId="2B376BA8">
            <w:pPr>
              <w:spacing w:line="360" w:lineRule="auto"/>
              <w:jc w:val="center"/>
              <w:rPr>
                <w:color w:val="auto"/>
              </w:rPr>
            </w:pPr>
          </w:p>
        </w:tc>
        <w:tc>
          <w:tcPr>
            <w:tcW w:w="1257" w:type="dxa"/>
            <w:vAlign w:val="center"/>
          </w:tcPr>
          <w:p w14:paraId="4E93FFD0">
            <w:pPr>
              <w:spacing w:line="360" w:lineRule="auto"/>
              <w:jc w:val="center"/>
              <w:rPr>
                <w:color w:val="auto"/>
              </w:rPr>
            </w:pPr>
          </w:p>
        </w:tc>
        <w:tc>
          <w:tcPr>
            <w:tcW w:w="1258" w:type="dxa"/>
            <w:vAlign w:val="center"/>
          </w:tcPr>
          <w:p w14:paraId="0E683A2F">
            <w:pPr>
              <w:spacing w:line="360" w:lineRule="auto"/>
              <w:jc w:val="center"/>
              <w:rPr>
                <w:color w:val="auto"/>
              </w:rPr>
            </w:pPr>
          </w:p>
        </w:tc>
      </w:tr>
      <w:tr w14:paraId="63A9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52D41F5">
            <w:pPr>
              <w:spacing w:line="360" w:lineRule="auto"/>
              <w:jc w:val="center"/>
              <w:rPr>
                <w:color w:val="auto"/>
              </w:rPr>
            </w:pPr>
          </w:p>
        </w:tc>
        <w:tc>
          <w:tcPr>
            <w:tcW w:w="961" w:type="dxa"/>
            <w:vAlign w:val="center"/>
          </w:tcPr>
          <w:p w14:paraId="06DA5A4A">
            <w:pPr>
              <w:spacing w:line="360" w:lineRule="auto"/>
              <w:jc w:val="center"/>
              <w:rPr>
                <w:color w:val="auto"/>
              </w:rPr>
            </w:pPr>
          </w:p>
        </w:tc>
        <w:tc>
          <w:tcPr>
            <w:tcW w:w="1257" w:type="dxa"/>
            <w:vAlign w:val="center"/>
          </w:tcPr>
          <w:p w14:paraId="1FCAB7C7">
            <w:pPr>
              <w:spacing w:line="360" w:lineRule="auto"/>
              <w:jc w:val="center"/>
              <w:rPr>
                <w:color w:val="auto"/>
              </w:rPr>
            </w:pPr>
          </w:p>
        </w:tc>
        <w:tc>
          <w:tcPr>
            <w:tcW w:w="1257" w:type="dxa"/>
            <w:vAlign w:val="center"/>
          </w:tcPr>
          <w:p w14:paraId="26B523EA">
            <w:pPr>
              <w:spacing w:line="360" w:lineRule="auto"/>
              <w:jc w:val="center"/>
              <w:rPr>
                <w:color w:val="auto"/>
              </w:rPr>
            </w:pPr>
          </w:p>
        </w:tc>
        <w:tc>
          <w:tcPr>
            <w:tcW w:w="1258" w:type="dxa"/>
            <w:vAlign w:val="center"/>
          </w:tcPr>
          <w:p w14:paraId="18725BAE">
            <w:pPr>
              <w:spacing w:line="360" w:lineRule="auto"/>
              <w:jc w:val="center"/>
              <w:rPr>
                <w:color w:val="auto"/>
              </w:rPr>
            </w:pPr>
          </w:p>
        </w:tc>
        <w:tc>
          <w:tcPr>
            <w:tcW w:w="1257" w:type="dxa"/>
            <w:vAlign w:val="center"/>
          </w:tcPr>
          <w:p w14:paraId="40C8AF0C">
            <w:pPr>
              <w:spacing w:line="360" w:lineRule="auto"/>
              <w:jc w:val="center"/>
              <w:rPr>
                <w:color w:val="auto"/>
              </w:rPr>
            </w:pPr>
          </w:p>
        </w:tc>
        <w:tc>
          <w:tcPr>
            <w:tcW w:w="1258" w:type="dxa"/>
            <w:vAlign w:val="center"/>
          </w:tcPr>
          <w:p w14:paraId="203A3607">
            <w:pPr>
              <w:spacing w:line="360" w:lineRule="auto"/>
              <w:jc w:val="center"/>
              <w:rPr>
                <w:color w:val="auto"/>
              </w:rPr>
            </w:pPr>
          </w:p>
        </w:tc>
      </w:tr>
      <w:tr w14:paraId="2FF1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73326A0">
            <w:pPr>
              <w:spacing w:line="360" w:lineRule="auto"/>
              <w:jc w:val="center"/>
              <w:rPr>
                <w:color w:val="auto"/>
              </w:rPr>
            </w:pPr>
          </w:p>
        </w:tc>
        <w:tc>
          <w:tcPr>
            <w:tcW w:w="961" w:type="dxa"/>
            <w:vAlign w:val="center"/>
          </w:tcPr>
          <w:p w14:paraId="69EC78A3">
            <w:pPr>
              <w:spacing w:line="360" w:lineRule="auto"/>
              <w:jc w:val="center"/>
              <w:rPr>
                <w:color w:val="auto"/>
              </w:rPr>
            </w:pPr>
          </w:p>
        </w:tc>
        <w:tc>
          <w:tcPr>
            <w:tcW w:w="1257" w:type="dxa"/>
            <w:vAlign w:val="center"/>
          </w:tcPr>
          <w:p w14:paraId="442B3E2C">
            <w:pPr>
              <w:spacing w:line="360" w:lineRule="auto"/>
              <w:jc w:val="center"/>
              <w:rPr>
                <w:color w:val="auto"/>
              </w:rPr>
            </w:pPr>
          </w:p>
        </w:tc>
        <w:tc>
          <w:tcPr>
            <w:tcW w:w="1257" w:type="dxa"/>
            <w:vAlign w:val="center"/>
          </w:tcPr>
          <w:p w14:paraId="0AC71DF4">
            <w:pPr>
              <w:spacing w:line="360" w:lineRule="auto"/>
              <w:jc w:val="center"/>
              <w:rPr>
                <w:color w:val="auto"/>
              </w:rPr>
            </w:pPr>
          </w:p>
        </w:tc>
        <w:tc>
          <w:tcPr>
            <w:tcW w:w="1258" w:type="dxa"/>
            <w:vAlign w:val="center"/>
          </w:tcPr>
          <w:p w14:paraId="6F3DAB8D">
            <w:pPr>
              <w:spacing w:line="360" w:lineRule="auto"/>
              <w:jc w:val="center"/>
              <w:rPr>
                <w:color w:val="auto"/>
              </w:rPr>
            </w:pPr>
          </w:p>
        </w:tc>
        <w:tc>
          <w:tcPr>
            <w:tcW w:w="1257" w:type="dxa"/>
            <w:vAlign w:val="center"/>
          </w:tcPr>
          <w:p w14:paraId="1D3441DB">
            <w:pPr>
              <w:spacing w:line="360" w:lineRule="auto"/>
              <w:jc w:val="center"/>
              <w:rPr>
                <w:color w:val="auto"/>
              </w:rPr>
            </w:pPr>
          </w:p>
        </w:tc>
        <w:tc>
          <w:tcPr>
            <w:tcW w:w="1258" w:type="dxa"/>
            <w:vAlign w:val="center"/>
          </w:tcPr>
          <w:p w14:paraId="74A40BC1">
            <w:pPr>
              <w:spacing w:line="360" w:lineRule="auto"/>
              <w:jc w:val="center"/>
              <w:rPr>
                <w:color w:val="auto"/>
              </w:rPr>
            </w:pPr>
          </w:p>
        </w:tc>
      </w:tr>
      <w:tr w14:paraId="58CC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678FFE3">
            <w:pPr>
              <w:spacing w:line="360" w:lineRule="auto"/>
              <w:jc w:val="center"/>
              <w:rPr>
                <w:color w:val="auto"/>
              </w:rPr>
            </w:pPr>
          </w:p>
        </w:tc>
        <w:tc>
          <w:tcPr>
            <w:tcW w:w="961" w:type="dxa"/>
            <w:vAlign w:val="center"/>
          </w:tcPr>
          <w:p w14:paraId="264F5BD0">
            <w:pPr>
              <w:spacing w:line="360" w:lineRule="auto"/>
              <w:jc w:val="center"/>
              <w:rPr>
                <w:color w:val="auto"/>
              </w:rPr>
            </w:pPr>
          </w:p>
        </w:tc>
        <w:tc>
          <w:tcPr>
            <w:tcW w:w="1257" w:type="dxa"/>
            <w:vAlign w:val="center"/>
          </w:tcPr>
          <w:p w14:paraId="62C7642F">
            <w:pPr>
              <w:spacing w:line="360" w:lineRule="auto"/>
              <w:jc w:val="center"/>
              <w:rPr>
                <w:color w:val="auto"/>
              </w:rPr>
            </w:pPr>
          </w:p>
        </w:tc>
        <w:tc>
          <w:tcPr>
            <w:tcW w:w="1257" w:type="dxa"/>
            <w:vAlign w:val="center"/>
          </w:tcPr>
          <w:p w14:paraId="33244227">
            <w:pPr>
              <w:spacing w:line="360" w:lineRule="auto"/>
              <w:jc w:val="center"/>
              <w:rPr>
                <w:color w:val="auto"/>
              </w:rPr>
            </w:pPr>
          </w:p>
        </w:tc>
        <w:tc>
          <w:tcPr>
            <w:tcW w:w="1258" w:type="dxa"/>
            <w:vAlign w:val="center"/>
          </w:tcPr>
          <w:p w14:paraId="0BBF735A">
            <w:pPr>
              <w:spacing w:line="360" w:lineRule="auto"/>
              <w:jc w:val="center"/>
              <w:rPr>
                <w:color w:val="auto"/>
              </w:rPr>
            </w:pPr>
          </w:p>
        </w:tc>
        <w:tc>
          <w:tcPr>
            <w:tcW w:w="1257" w:type="dxa"/>
            <w:vAlign w:val="center"/>
          </w:tcPr>
          <w:p w14:paraId="43F5E2FF">
            <w:pPr>
              <w:spacing w:line="360" w:lineRule="auto"/>
              <w:jc w:val="center"/>
              <w:rPr>
                <w:color w:val="auto"/>
              </w:rPr>
            </w:pPr>
          </w:p>
        </w:tc>
        <w:tc>
          <w:tcPr>
            <w:tcW w:w="1258" w:type="dxa"/>
            <w:vAlign w:val="center"/>
          </w:tcPr>
          <w:p w14:paraId="6FF1D9A7">
            <w:pPr>
              <w:spacing w:line="360" w:lineRule="auto"/>
              <w:jc w:val="center"/>
              <w:rPr>
                <w:color w:val="auto"/>
              </w:rPr>
            </w:pPr>
          </w:p>
        </w:tc>
      </w:tr>
      <w:tr w14:paraId="2D97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7221CD9C">
            <w:pPr>
              <w:spacing w:line="360" w:lineRule="auto"/>
              <w:jc w:val="center"/>
              <w:rPr>
                <w:color w:val="auto"/>
              </w:rPr>
            </w:pPr>
          </w:p>
        </w:tc>
        <w:tc>
          <w:tcPr>
            <w:tcW w:w="961" w:type="dxa"/>
            <w:vAlign w:val="center"/>
          </w:tcPr>
          <w:p w14:paraId="46682946">
            <w:pPr>
              <w:spacing w:line="360" w:lineRule="auto"/>
              <w:jc w:val="center"/>
              <w:rPr>
                <w:color w:val="auto"/>
              </w:rPr>
            </w:pPr>
          </w:p>
        </w:tc>
        <w:tc>
          <w:tcPr>
            <w:tcW w:w="1257" w:type="dxa"/>
            <w:vAlign w:val="center"/>
          </w:tcPr>
          <w:p w14:paraId="383A8FDB">
            <w:pPr>
              <w:spacing w:line="360" w:lineRule="auto"/>
              <w:jc w:val="center"/>
              <w:rPr>
                <w:color w:val="auto"/>
              </w:rPr>
            </w:pPr>
          </w:p>
        </w:tc>
        <w:tc>
          <w:tcPr>
            <w:tcW w:w="1257" w:type="dxa"/>
            <w:vAlign w:val="center"/>
          </w:tcPr>
          <w:p w14:paraId="7695851B">
            <w:pPr>
              <w:spacing w:line="360" w:lineRule="auto"/>
              <w:jc w:val="center"/>
              <w:rPr>
                <w:color w:val="auto"/>
              </w:rPr>
            </w:pPr>
          </w:p>
        </w:tc>
        <w:tc>
          <w:tcPr>
            <w:tcW w:w="1258" w:type="dxa"/>
            <w:vAlign w:val="center"/>
          </w:tcPr>
          <w:p w14:paraId="273D4855">
            <w:pPr>
              <w:spacing w:line="360" w:lineRule="auto"/>
              <w:jc w:val="center"/>
              <w:rPr>
                <w:color w:val="auto"/>
              </w:rPr>
            </w:pPr>
          </w:p>
        </w:tc>
        <w:tc>
          <w:tcPr>
            <w:tcW w:w="1257" w:type="dxa"/>
            <w:vAlign w:val="center"/>
          </w:tcPr>
          <w:p w14:paraId="43E1DA8A">
            <w:pPr>
              <w:spacing w:line="360" w:lineRule="auto"/>
              <w:jc w:val="center"/>
              <w:rPr>
                <w:color w:val="auto"/>
              </w:rPr>
            </w:pPr>
          </w:p>
        </w:tc>
        <w:tc>
          <w:tcPr>
            <w:tcW w:w="1258" w:type="dxa"/>
            <w:vAlign w:val="center"/>
          </w:tcPr>
          <w:p w14:paraId="54E9F986">
            <w:pPr>
              <w:spacing w:line="360" w:lineRule="auto"/>
              <w:jc w:val="center"/>
              <w:rPr>
                <w:color w:val="auto"/>
              </w:rPr>
            </w:pPr>
          </w:p>
        </w:tc>
      </w:tr>
      <w:tr w14:paraId="6745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0BE18DF">
            <w:pPr>
              <w:spacing w:line="360" w:lineRule="auto"/>
              <w:jc w:val="center"/>
              <w:rPr>
                <w:color w:val="auto"/>
              </w:rPr>
            </w:pPr>
          </w:p>
        </w:tc>
        <w:tc>
          <w:tcPr>
            <w:tcW w:w="961" w:type="dxa"/>
            <w:vAlign w:val="center"/>
          </w:tcPr>
          <w:p w14:paraId="20570662">
            <w:pPr>
              <w:spacing w:line="360" w:lineRule="auto"/>
              <w:jc w:val="center"/>
              <w:rPr>
                <w:color w:val="auto"/>
              </w:rPr>
            </w:pPr>
          </w:p>
        </w:tc>
        <w:tc>
          <w:tcPr>
            <w:tcW w:w="1257" w:type="dxa"/>
            <w:vAlign w:val="center"/>
          </w:tcPr>
          <w:p w14:paraId="3D26E300">
            <w:pPr>
              <w:spacing w:line="360" w:lineRule="auto"/>
              <w:jc w:val="center"/>
              <w:rPr>
                <w:color w:val="auto"/>
              </w:rPr>
            </w:pPr>
          </w:p>
        </w:tc>
        <w:tc>
          <w:tcPr>
            <w:tcW w:w="1257" w:type="dxa"/>
            <w:vAlign w:val="center"/>
          </w:tcPr>
          <w:p w14:paraId="4BCEF6B2">
            <w:pPr>
              <w:spacing w:line="360" w:lineRule="auto"/>
              <w:jc w:val="center"/>
              <w:rPr>
                <w:color w:val="auto"/>
              </w:rPr>
            </w:pPr>
          </w:p>
        </w:tc>
        <w:tc>
          <w:tcPr>
            <w:tcW w:w="1258" w:type="dxa"/>
            <w:vAlign w:val="center"/>
          </w:tcPr>
          <w:p w14:paraId="75544840">
            <w:pPr>
              <w:spacing w:line="360" w:lineRule="auto"/>
              <w:jc w:val="center"/>
              <w:rPr>
                <w:color w:val="auto"/>
              </w:rPr>
            </w:pPr>
          </w:p>
        </w:tc>
        <w:tc>
          <w:tcPr>
            <w:tcW w:w="1257" w:type="dxa"/>
            <w:vAlign w:val="center"/>
          </w:tcPr>
          <w:p w14:paraId="421FF4A5">
            <w:pPr>
              <w:spacing w:line="360" w:lineRule="auto"/>
              <w:jc w:val="center"/>
              <w:rPr>
                <w:color w:val="auto"/>
              </w:rPr>
            </w:pPr>
          </w:p>
        </w:tc>
        <w:tc>
          <w:tcPr>
            <w:tcW w:w="1258" w:type="dxa"/>
            <w:vAlign w:val="center"/>
          </w:tcPr>
          <w:p w14:paraId="15BCADBA">
            <w:pPr>
              <w:spacing w:line="360" w:lineRule="auto"/>
              <w:jc w:val="center"/>
              <w:rPr>
                <w:color w:val="auto"/>
              </w:rPr>
            </w:pPr>
          </w:p>
        </w:tc>
      </w:tr>
    </w:tbl>
    <w:p w14:paraId="1DEB622B">
      <w:pPr>
        <w:rPr>
          <w:color w:val="auto"/>
        </w:rPr>
      </w:pPr>
    </w:p>
    <w:p w14:paraId="7283B351">
      <w:pPr>
        <w:rPr>
          <w:b/>
          <w:bCs/>
          <w:color w:val="auto"/>
        </w:rPr>
      </w:pPr>
    </w:p>
    <w:p w14:paraId="3D413407">
      <w:pPr>
        <w:rPr>
          <w:color w:val="auto"/>
        </w:rPr>
      </w:pPr>
      <w:r>
        <w:rPr>
          <w:rFonts w:hint="eastAsia" w:cs="宋体"/>
          <w:color w:val="auto"/>
        </w:rPr>
        <w:t>附表二：计划开、竣工日期和施工进度计划（网络图或横道图）</w:t>
      </w:r>
    </w:p>
    <w:p w14:paraId="2A77F632">
      <w:pPr>
        <w:spacing w:line="460" w:lineRule="exact"/>
        <w:ind w:left="-6" w:firstLine="420"/>
        <w:rPr>
          <w:color w:val="auto"/>
        </w:rPr>
      </w:pPr>
      <w:r>
        <w:rPr>
          <w:color w:val="auto"/>
        </w:rPr>
        <w:t xml:space="preserve">1. </w:t>
      </w:r>
      <w:r>
        <w:rPr>
          <w:rFonts w:hint="eastAsia" w:cs="宋体"/>
          <w:color w:val="auto"/>
        </w:rPr>
        <w:t>供应商应提交施工进度计划，说明按磋商文件要求的工期进行施工的各个关键日期。成交的供应商还应按合同条件有关条款的要求提交详细的施工进度计划。</w:t>
      </w:r>
    </w:p>
    <w:p w14:paraId="26A6E67C">
      <w:pPr>
        <w:spacing w:line="460" w:lineRule="exact"/>
        <w:ind w:left="-6" w:firstLine="420"/>
        <w:rPr>
          <w:color w:val="auto"/>
        </w:rPr>
      </w:pPr>
      <w:r>
        <w:rPr>
          <w:color w:val="auto"/>
        </w:rPr>
        <w:t xml:space="preserve">2. </w:t>
      </w:r>
      <w:r>
        <w:rPr>
          <w:rFonts w:hint="eastAsia" w:cs="宋体"/>
          <w:color w:val="auto"/>
        </w:rPr>
        <w:t>施工进度计划可采用网络图（或横道图）表示，说明计划开工日期和各分项工程各阶段的完工日期和分包合同签订的日期。</w:t>
      </w:r>
    </w:p>
    <w:p w14:paraId="180633EE">
      <w:pPr>
        <w:spacing w:line="460" w:lineRule="exact"/>
        <w:ind w:left="-6" w:firstLine="420"/>
        <w:rPr>
          <w:color w:val="auto"/>
        </w:rPr>
      </w:pPr>
      <w:r>
        <w:rPr>
          <w:color w:val="auto"/>
        </w:rPr>
        <w:t xml:space="preserve">3. </w:t>
      </w:r>
      <w:r>
        <w:rPr>
          <w:rFonts w:hint="eastAsia" w:cs="宋体"/>
          <w:color w:val="auto"/>
        </w:rPr>
        <w:t>施工进度计划应与施工组织设计相适应。</w:t>
      </w:r>
    </w:p>
    <w:p w14:paraId="0D9C8EFD">
      <w:pPr>
        <w:spacing w:line="360" w:lineRule="auto"/>
        <w:ind w:left="-6" w:firstLine="420"/>
        <w:rPr>
          <w:color w:val="auto"/>
        </w:rPr>
      </w:pPr>
    </w:p>
    <w:p w14:paraId="2EAC84A5">
      <w:pPr>
        <w:rPr>
          <w:color w:val="auto"/>
        </w:rPr>
      </w:pPr>
    </w:p>
    <w:p w14:paraId="16E65292">
      <w:pPr>
        <w:rPr>
          <w:color w:val="auto"/>
        </w:rPr>
      </w:pPr>
      <w:r>
        <w:rPr>
          <w:rFonts w:hint="eastAsia" w:cs="宋体"/>
          <w:color w:val="auto"/>
        </w:rPr>
        <w:t>附表三：施工总平面图</w:t>
      </w:r>
    </w:p>
    <w:p w14:paraId="4EF672D7">
      <w:pPr>
        <w:spacing w:line="460" w:lineRule="exact"/>
        <w:ind w:firstLine="420" w:firstLineChars="200"/>
        <w:rPr>
          <w:color w:val="auto"/>
        </w:rPr>
      </w:pPr>
      <w:r>
        <w:rPr>
          <w:rFonts w:hint="eastAsia" w:cs="宋体"/>
          <w:color w:val="auto"/>
        </w:rPr>
        <w:t>供应商应递交一份施工总平面图，绘出现场临时设施布置图表并附文字说明，说明临时设施、加工车间、现场办公、设备及仓储、供电、供水、卫生、生活、道路、消防等设施的情况和布置。</w:t>
      </w:r>
    </w:p>
    <w:p w14:paraId="67B7C336">
      <w:pPr>
        <w:rPr>
          <w:color w:val="auto"/>
        </w:rPr>
      </w:pPr>
    </w:p>
    <w:p w14:paraId="5B865DB6">
      <w:pPr>
        <w:rPr>
          <w:color w:val="auto"/>
        </w:rPr>
      </w:pPr>
    </w:p>
    <w:p w14:paraId="0037DD8F">
      <w:pPr>
        <w:rPr>
          <w:color w:val="auto"/>
        </w:rPr>
      </w:pPr>
      <w:r>
        <w:rPr>
          <w:rFonts w:hint="eastAsia" w:cs="宋体"/>
          <w:color w:val="auto"/>
        </w:rPr>
        <w:t>附表四：临时用地表</w:t>
      </w:r>
    </w:p>
    <w:tbl>
      <w:tblPr>
        <w:tblStyle w:val="44"/>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7D1B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005FB269">
            <w:pPr>
              <w:jc w:val="center"/>
              <w:rPr>
                <w:color w:val="auto"/>
              </w:rPr>
            </w:pPr>
            <w:r>
              <w:rPr>
                <w:rFonts w:hint="eastAsia" w:cs="宋体"/>
                <w:color w:val="auto"/>
              </w:rPr>
              <w:t>用途</w:t>
            </w:r>
          </w:p>
        </w:tc>
        <w:tc>
          <w:tcPr>
            <w:tcW w:w="2357" w:type="dxa"/>
            <w:vAlign w:val="center"/>
          </w:tcPr>
          <w:p w14:paraId="7BC336C4">
            <w:pPr>
              <w:jc w:val="center"/>
              <w:rPr>
                <w:color w:val="auto"/>
              </w:rPr>
            </w:pPr>
            <w:r>
              <w:rPr>
                <w:rFonts w:hint="eastAsia" w:cs="宋体"/>
                <w:color w:val="auto"/>
              </w:rPr>
              <w:t>面积（平方米）</w:t>
            </w:r>
          </w:p>
        </w:tc>
        <w:tc>
          <w:tcPr>
            <w:tcW w:w="2356" w:type="dxa"/>
            <w:vAlign w:val="center"/>
          </w:tcPr>
          <w:p w14:paraId="647BB080">
            <w:pPr>
              <w:jc w:val="center"/>
              <w:rPr>
                <w:color w:val="auto"/>
              </w:rPr>
            </w:pPr>
            <w:r>
              <w:rPr>
                <w:rFonts w:hint="eastAsia" w:cs="宋体"/>
                <w:color w:val="auto"/>
              </w:rPr>
              <w:t>位置</w:t>
            </w:r>
          </w:p>
        </w:tc>
        <w:tc>
          <w:tcPr>
            <w:tcW w:w="2136" w:type="dxa"/>
            <w:vAlign w:val="center"/>
          </w:tcPr>
          <w:p w14:paraId="75579767">
            <w:pPr>
              <w:jc w:val="center"/>
              <w:rPr>
                <w:color w:val="auto"/>
              </w:rPr>
            </w:pPr>
            <w:r>
              <w:rPr>
                <w:rFonts w:hint="eastAsia" w:cs="宋体"/>
                <w:color w:val="auto"/>
              </w:rPr>
              <w:t>需用时间</w:t>
            </w:r>
          </w:p>
        </w:tc>
      </w:tr>
      <w:tr w14:paraId="2F4D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4BDCF17">
            <w:pPr>
              <w:rPr>
                <w:color w:val="auto"/>
              </w:rPr>
            </w:pPr>
          </w:p>
        </w:tc>
        <w:tc>
          <w:tcPr>
            <w:tcW w:w="2357" w:type="dxa"/>
          </w:tcPr>
          <w:p w14:paraId="6C922D82">
            <w:pPr>
              <w:rPr>
                <w:color w:val="auto"/>
              </w:rPr>
            </w:pPr>
          </w:p>
        </w:tc>
        <w:tc>
          <w:tcPr>
            <w:tcW w:w="2356" w:type="dxa"/>
          </w:tcPr>
          <w:p w14:paraId="4118D15B">
            <w:pPr>
              <w:rPr>
                <w:color w:val="auto"/>
              </w:rPr>
            </w:pPr>
          </w:p>
        </w:tc>
        <w:tc>
          <w:tcPr>
            <w:tcW w:w="2136" w:type="dxa"/>
          </w:tcPr>
          <w:p w14:paraId="17BE176F">
            <w:pPr>
              <w:rPr>
                <w:color w:val="auto"/>
              </w:rPr>
            </w:pPr>
          </w:p>
        </w:tc>
      </w:tr>
      <w:tr w14:paraId="50C8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D1DF6A6">
            <w:pPr>
              <w:rPr>
                <w:color w:val="auto"/>
              </w:rPr>
            </w:pPr>
          </w:p>
        </w:tc>
        <w:tc>
          <w:tcPr>
            <w:tcW w:w="2357" w:type="dxa"/>
          </w:tcPr>
          <w:p w14:paraId="246A42F0">
            <w:pPr>
              <w:rPr>
                <w:color w:val="auto"/>
              </w:rPr>
            </w:pPr>
          </w:p>
        </w:tc>
        <w:tc>
          <w:tcPr>
            <w:tcW w:w="2356" w:type="dxa"/>
          </w:tcPr>
          <w:p w14:paraId="2A7790E0">
            <w:pPr>
              <w:rPr>
                <w:color w:val="auto"/>
              </w:rPr>
            </w:pPr>
          </w:p>
        </w:tc>
        <w:tc>
          <w:tcPr>
            <w:tcW w:w="2136" w:type="dxa"/>
          </w:tcPr>
          <w:p w14:paraId="30639498">
            <w:pPr>
              <w:rPr>
                <w:color w:val="auto"/>
              </w:rPr>
            </w:pPr>
          </w:p>
        </w:tc>
      </w:tr>
      <w:tr w14:paraId="2642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59CCB53B">
            <w:pPr>
              <w:rPr>
                <w:color w:val="auto"/>
              </w:rPr>
            </w:pPr>
          </w:p>
        </w:tc>
        <w:tc>
          <w:tcPr>
            <w:tcW w:w="2357" w:type="dxa"/>
          </w:tcPr>
          <w:p w14:paraId="13985963">
            <w:pPr>
              <w:rPr>
                <w:color w:val="auto"/>
              </w:rPr>
            </w:pPr>
          </w:p>
        </w:tc>
        <w:tc>
          <w:tcPr>
            <w:tcW w:w="2356" w:type="dxa"/>
          </w:tcPr>
          <w:p w14:paraId="5F64685F">
            <w:pPr>
              <w:rPr>
                <w:color w:val="auto"/>
              </w:rPr>
            </w:pPr>
          </w:p>
        </w:tc>
        <w:tc>
          <w:tcPr>
            <w:tcW w:w="2136" w:type="dxa"/>
          </w:tcPr>
          <w:p w14:paraId="76AFDFFF">
            <w:pPr>
              <w:rPr>
                <w:color w:val="auto"/>
              </w:rPr>
            </w:pPr>
          </w:p>
        </w:tc>
      </w:tr>
      <w:tr w14:paraId="0CAE7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3CC725F">
            <w:pPr>
              <w:rPr>
                <w:color w:val="auto"/>
              </w:rPr>
            </w:pPr>
          </w:p>
        </w:tc>
        <w:tc>
          <w:tcPr>
            <w:tcW w:w="2357" w:type="dxa"/>
          </w:tcPr>
          <w:p w14:paraId="783EDDC5">
            <w:pPr>
              <w:rPr>
                <w:color w:val="auto"/>
              </w:rPr>
            </w:pPr>
          </w:p>
        </w:tc>
        <w:tc>
          <w:tcPr>
            <w:tcW w:w="2356" w:type="dxa"/>
          </w:tcPr>
          <w:p w14:paraId="1A182841">
            <w:pPr>
              <w:rPr>
                <w:color w:val="auto"/>
              </w:rPr>
            </w:pPr>
          </w:p>
        </w:tc>
        <w:tc>
          <w:tcPr>
            <w:tcW w:w="2136" w:type="dxa"/>
          </w:tcPr>
          <w:p w14:paraId="30B53F58">
            <w:pPr>
              <w:rPr>
                <w:color w:val="auto"/>
              </w:rPr>
            </w:pPr>
          </w:p>
        </w:tc>
      </w:tr>
    </w:tbl>
    <w:p w14:paraId="5CAEBDA7">
      <w:pPr>
        <w:spacing w:line="360" w:lineRule="auto"/>
        <w:ind w:firstLine="880" w:firstLineChars="200"/>
        <w:rPr>
          <w:rFonts w:ascii="方正小标宋简体" w:hAnsi="方正小标宋简体" w:eastAsia="方正小标宋简体" w:cs="方正小标宋简体"/>
          <w:bCs/>
          <w:color w:val="auto"/>
          <w:sz w:val="44"/>
          <w:szCs w:val="44"/>
        </w:rPr>
      </w:pPr>
    </w:p>
    <w:p w14:paraId="1C27591E">
      <w:pPr>
        <w:spacing w:line="360" w:lineRule="auto"/>
        <w:jc w:val="center"/>
        <w:rPr>
          <w:rFonts w:ascii="方正小标宋简体" w:hAnsi="方正小标宋简体" w:eastAsia="方正小标宋简体" w:cs="方正小标宋简体"/>
          <w:bCs/>
          <w:color w:val="auto"/>
          <w:sz w:val="44"/>
          <w:szCs w:val="44"/>
        </w:rPr>
      </w:pPr>
    </w:p>
    <w:p w14:paraId="5238F82B">
      <w:pPr>
        <w:spacing w:line="360" w:lineRule="auto"/>
        <w:rPr>
          <w:color w:val="auto"/>
          <w:lang w:val="zh-CN"/>
        </w:rPr>
      </w:pPr>
      <w:r>
        <w:rPr>
          <w:rFonts w:hint="eastAsia"/>
          <w:color w:val="auto"/>
          <w:lang w:val="zh-CN"/>
        </w:rPr>
        <w:t xml:space="preserve"> </w:t>
      </w:r>
    </w:p>
    <w:p w14:paraId="67F61EDD">
      <w:pPr>
        <w:spacing w:line="360" w:lineRule="auto"/>
        <w:rPr>
          <w:rFonts w:ascii="宋体" w:hAnsi="宋体" w:cs="仿宋_GB2312"/>
          <w:color w:val="auto"/>
          <w:sz w:val="24"/>
        </w:rPr>
      </w:pPr>
      <w:r>
        <w:rPr>
          <w:rFonts w:ascii="宋体" w:hAnsi="宋体" w:cs="仿宋_GB2312"/>
          <w:color w:val="auto"/>
          <w:sz w:val="24"/>
        </w:rPr>
        <w:t xml:space="preserve"> </w:t>
      </w:r>
    </w:p>
    <w:p w14:paraId="3A60C6D7">
      <w:pPr>
        <w:adjustRightInd w:val="0"/>
        <w:snapToGrid w:val="0"/>
        <w:spacing w:line="360" w:lineRule="auto"/>
        <w:jc w:val="center"/>
        <w:rPr>
          <w:rFonts w:ascii="宋体" w:hAnsi="宋体"/>
          <w:b/>
          <w:color w:val="auto"/>
          <w:sz w:val="32"/>
          <w:szCs w:val="32"/>
        </w:rPr>
      </w:pPr>
      <w:r>
        <w:rPr>
          <w:rFonts w:ascii="宋体" w:hAnsi="宋体" w:cs="仿宋_GB2312"/>
          <w:color w:val="auto"/>
          <w:sz w:val="24"/>
        </w:rPr>
        <w:br w:type="page"/>
      </w:r>
      <w:bookmarkStart w:id="205" w:name="OLE_LINK27"/>
      <w:bookmarkStart w:id="206" w:name="OLE_LINK28"/>
      <w:r>
        <w:rPr>
          <w:rFonts w:hint="eastAsia" w:ascii="宋体" w:hAnsi="宋体" w:cs="方正小标宋简体"/>
          <w:b/>
          <w:bCs/>
          <w:color w:val="auto"/>
          <w:sz w:val="32"/>
          <w:szCs w:val="32"/>
        </w:rPr>
        <w:t>项目管理机构配备情况表及主要人员简历表</w:t>
      </w:r>
      <w:bookmarkEnd w:id="205"/>
      <w:bookmarkEnd w:id="206"/>
    </w:p>
    <w:p w14:paraId="3EAD52E6">
      <w:pPr>
        <w:snapToGrid w:val="0"/>
        <w:spacing w:before="156" w:beforeLines="50" w:after="50" w:line="360" w:lineRule="auto"/>
        <w:jc w:val="center"/>
        <w:rPr>
          <w:rFonts w:ascii="宋体" w:hAnsi="宋体"/>
          <w:b/>
          <w:color w:val="auto"/>
          <w:sz w:val="28"/>
          <w:szCs w:val="28"/>
        </w:rPr>
      </w:pPr>
      <w:r>
        <w:rPr>
          <w:rFonts w:hint="eastAsia" w:ascii="宋体" w:hAnsi="宋体"/>
          <w:b/>
          <w:color w:val="auto"/>
          <w:sz w:val="28"/>
          <w:szCs w:val="28"/>
        </w:rPr>
        <w:t>（一）项目管理机构配备情况表</w:t>
      </w:r>
    </w:p>
    <w:p w14:paraId="271E168F">
      <w:pPr>
        <w:pStyle w:val="26"/>
        <w:spacing w:line="360" w:lineRule="auto"/>
        <w:contextualSpacing/>
        <w:rPr>
          <w:color w:val="auto"/>
          <w:sz w:val="24"/>
          <w:szCs w:val="24"/>
        </w:rPr>
      </w:pPr>
      <w:r>
        <w:rPr>
          <w:rFonts w:hint="eastAsia" w:hAnsi="宋体" w:cs="仿宋_GB2312"/>
          <w:color w:val="auto"/>
          <w:sz w:val="24"/>
        </w:rPr>
        <w:t>分标（如有）</w:t>
      </w:r>
      <w:r>
        <w:rPr>
          <w:rFonts w:hint="eastAsia"/>
          <w:color w:val="auto"/>
          <w:sz w:val="24"/>
          <w:szCs w:val="24"/>
        </w:rPr>
        <w:t>：</w:t>
      </w:r>
      <w:r>
        <w:rPr>
          <w:rFonts w:hint="eastAsia"/>
          <w:color w:val="auto"/>
          <w:sz w:val="24"/>
          <w:szCs w:val="24"/>
          <w:u w:val="single"/>
        </w:rPr>
        <w:t xml:space="preserve">         </w:t>
      </w:r>
    </w:p>
    <w:tbl>
      <w:tblPr>
        <w:tblStyle w:val="44"/>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01C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08CC98A1">
            <w:pPr>
              <w:ind w:left="223" w:hanging="222" w:hangingChars="106"/>
              <w:jc w:val="center"/>
              <w:rPr>
                <w:color w:val="auto"/>
              </w:rPr>
            </w:pPr>
            <w:r>
              <w:rPr>
                <w:color w:val="auto"/>
              </w:rPr>
              <w:t>岗位</w:t>
            </w:r>
          </w:p>
        </w:tc>
        <w:tc>
          <w:tcPr>
            <w:tcW w:w="670" w:type="dxa"/>
            <w:vMerge w:val="restart"/>
            <w:vAlign w:val="center"/>
          </w:tcPr>
          <w:p w14:paraId="205FFAD1">
            <w:pPr>
              <w:ind w:left="223" w:hanging="222" w:hangingChars="106"/>
              <w:jc w:val="center"/>
              <w:rPr>
                <w:color w:val="auto"/>
              </w:rPr>
            </w:pPr>
            <w:r>
              <w:rPr>
                <w:color w:val="auto"/>
              </w:rPr>
              <w:t>姓名</w:t>
            </w:r>
          </w:p>
        </w:tc>
        <w:tc>
          <w:tcPr>
            <w:tcW w:w="829" w:type="dxa"/>
            <w:vMerge w:val="restart"/>
            <w:vAlign w:val="center"/>
          </w:tcPr>
          <w:p w14:paraId="5FCB8272">
            <w:pPr>
              <w:jc w:val="center"/>
              <w:rPr>
                <w:color w:val="auto"/>
              </w:rPr>
            </w:pPr>
            <w:r>
              <w:rPr>
                <w:color w:val="auto"/>
              </w:rPr>
              <w:t>身份证号</w:t>
            </w:r>
          </w:p>
        </w:tc>
        <w:tc>
          <w:tcPr>
            <w:tcW w:w="816" w:type="dxa"/>
            <w:vMerge w:val="restart"/>
            <w:vAlign w:val="center"/>
          </w:tcPr>
          <w:p w14:paraId="69B4EC99">
            <w:pPr>
              <w:ind w:left="223" w:hanging="222" w:hangingChars="106"/>
              <w:jc w:val="center"/>
              <w:rPr>
                <w:color w:val="auto"/>
              </w:rPr>
            </w:pPr>
            <w:r>
              <w:rPr>
                <w:color w:val="auto"/>
              </w:rPr>
              <w:t>职称</w:t>
            </w:r>
          </w:p>
        </w:tc>
        <w:tc>
          <w:tcPr>
            <w:tcW w:w="4188" w:type="dxa"/>
            <w:gridSpan w:val="4"/>
            <w:vAlign w:val="center"/>
          </w:tcPr>
          <w:p w14:paraId="3E6E26FB">
            <w:pPr>
              <w:ind w:left="223" w:hanging="222" w:hangingChars="106"/>
              <w:jc w:val="center"/>
              <w:rPr>
                <w:color w:val="auto"/>
              </w:rPr>
            </w:pPr>
            <w:r>
              <w:rPr>
                <w:color w:val="auto"/>
              </w:rPr>
              <w:t>执业或职业资格</w:t>
            </w:r>
          </w:p>
        </w:tc>
        <w:tc>
          <w:tcPr>
            <w:tcW w:w="2443" w:type="dxa"/>
            <w:gridSpan w:val="2"/>
            <w:vAlign w:val="center"/>
          </w:tcPr>
          <w:p w14:paraId="33D1BD89">
            <w:pPr>
              <w:jc w:val="left"/>
              <w:rPr>
                <w:color w:val="auto"/>
              </w:rPr>
            </w:pPr>
            <w:r>
              <w:rPr>
                <w:color w:val="auto"/>
              </w:rPr>
              <w:t>承担完工</w:t>
            </w:r>
            <w:r>
              <w:rPr>
                <w:rFonts w:hint="eastAsia"/>
                <w:color w:val="auto"/>
              </w:rPr>
              <w:t>、</w:t>
            </w:r>
            <w:r>
              <w:rPr>
                <w:color w:val="auto"/>
              </w:rPr>
              <w:t>在建工程情况</w:t>
            </w:r>
          </w:p>
        </w:tc>
      </w:tr>
      <w:tr w14:paraId="781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41E694B6">
            <w:pPr>
              <w:ind w:left="223" w:hanging="222" w:hangingChars="106"/>
              <w:jc w:val="center"/>
              <w:rPr>
                <w:color w:val="auto"/>
              </w:rPr>
            </w:pPr>
          </w:p>
        </w:tc>
        <w:tc>
          <w:tcPr>
            <w:tcW w:w="670" w:type="dxa"/>
            <w:vMerge w:val="continue"/>
            <w:vAlign w:val="center"/>
          </w:tcPr>
          <w:p w14:paraId="1B7ED9B9">
            <w:pPr>
              <w:ind w:left="223" w:hanging="222" w:hangingChars="106"/>
              <w:jc w:val="center"/>
              <w:rPr>
                <w:color w:val="auto"/>
              </w:rPr>
            </w:pPr>
          </w:p>
        </w:tc>
        <w:tc>
          <w:tcPr>
            <w:tcW w:w="829" w:type="dxa"/>
            <w:vMerge w:val="continue"/>
            <w:vAlign w:val="center"/>
          </w:tcPr>
          <w:p w14:paraId="64026FF8">
            <w:pPr>
              <w:ind w:left="223" w:hanging="222" w:hangingChars="106"/>
              <w:jc w:val="center"/>
              <w:rPr>
                <w:color w:val="auto"/>
              </w:rPr>
            </w:pPr>
          </w:p>
        </w:tc>
        <w:tc>
          <w:tcPr>
            <w:tcW w:w="816" w:type="dxa"/>
            <w:vMerge w:val="continue"/>
            <w:vAlign w:val="center"/>
          </w:tcPr>
          <w:p w14:paraId="5DF4B6A8">
            <w:pPr>
              <w:ind w:left="223" w:hanging="222" w:hangingChars="106"/>
              <w:jc w:val="center"/>
              <w:rPr>
                <w:color w:val="auto"/>
              </w:rPr>
            </w:pPr>
          </w:p>
        </w:tc>
        <w:tc>
          <w:tcPr>
            <w:tcW w:w="1148" w:type="dxa"/>
            <w:vAlign w:val="center"/>
          </w:tcPr>
          <w:p w14:paraId="5618A023">
            <w:pPr>
              <w:ind w:left="223" w:hanging="222" w:hangingChars="106"/>
              <w:jc w:val="center"/>
              <w:rPr>
                <w:color w:val="auto"/>
              </w:rPr>
            </w:pPr>
            <w:r>
              <w:rPr>
                <w:color w:val="auto"/>
              </w:rPr>
              <w:t>证书名称</w:t>
            </w:r>
          </w:p>
        </w:tc>
        <w:tc>
          <w:tcPr>
            <w:tcW w:w="1148" w:type="dxa"/>
            <w:vAlign w:val="center"/>
          </w:tcPr>
          <w:p w14:paraId="7CA94A5F">
            <w:pPr>
              <w:ind w:left="223" w:hanging="222" w:hangingChars="106"/>
              <w:jc w:val="center"/>
              <w:rPr>
                <w:color w:val="auto"/>
              </w:rPr>
            </w:pPr>
            <w:r>
              <w:rPr>
                <w:color w:val="auto"/>
              </w:rPr>
              <w:t>级别</w:t>
            </w:r>
          </w:p>
        </w:tc>
        <w:tc>
          <w:tcPr>
            <w:tcW w:w="1148" w:type="dxa"/>
            <w:vAlign w:val="center"/>
          </w:tcPr>
          <w:p w14:paraId="68E67D65">
            <w:pPr>
              <w:ind w:left="223" w:hanging="222" w:hangingChars="106"/>
              <w:jc w:val="center"/>
              <w:rPr>
                <w:color w:val="auto"/>
              </w:rPr>
            </w:pPr>
            <w:r>
              <w:rPr>
                <w:color w:val="auto"/>
              </w:rPr>
              <w:t>证号</w:t>
            </w:r>
          </w:p>
        </w:tc>
        <w:tc>
          <w:tcPr>
            <w:tcW w:w="744" w:type="dxa"/>
            <w:vAlign w:val="center"/>
          </w:tcPr>
          <w:p w14:paraId="714FCAA9">
            <w:pPr>
              <w:ind w:left="223" w:hanging="222" w:hangingChars="106"/>
              <w:jc w:val="center"/>
              <w:rPr>
                <w:color w:val="auto"/>
              </w:rPr>
            </w:pPr>
            <w:r>
              <w:rPr>
                <w:color w:val="auto"/>
              </w:rPr>
              <w:t>专业</w:t>
            </w:r>
          </w:p>
        </w:tc>
        <w:tc>
          <w:tcPr>
            <w:tcW w:w="1167" w:type="dxa"/>
            <w:vAlign w:val="center"/>
          </w:tcPr>
          <w:p w14:paraId="127221B7">
            <w:pPr>
              <w:jc w:val="center"/>
              <w:rPr>
                <w:color w:val="auto"/>
              </w:rPr>
            </w:pPr>
            <w:r>
              <w:rPr>
                <w:rFonts w:hint="eastAsia"/>
                <w:color w:val="auto"/>
              </w:rPr>
              <w:t>完工/在建</w:t>
            </w:r>
          </w:p>
        </w:tc>
        <w:tc>
          <w:tcPr>
            <w:tcW w:w="1276" w:type="dxa"/>
            <w:vAlign w:val="center"/>
          </w:tcPr>
          <w:p w14:paraId="1646507B">
            <w:pPr>
              <w:jc w:val="center"/>
              <w:rPr>
                <w:color w:val="auto"/>
              </w:rPr>
            </w:pPr>
            <w:r>
              <w:rPr>
                <w:color w:val="auto"/>
              </w:rPr>
              <w:t>主要项目</w:t>
            </w:r>
          </w:p>
          <w:p w14:paraId="4B4FB74F">
            <w:pPr>
              <w:jc w:val="center"/>
              <w:rPr>
                <w:color w:val="auto"/>
              </w:rPr>
            </w:pPr>
            <w:r>
              <w:rPr>
                <w:color w:val="auto"/>
              </w:rPr>
              <w:t>名称</w:t>
            </w:r>
          </w:p>
        </w:tc>
      </w:tr>
      <w:tr w14:paraId="2AB7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0691B4A">
            <w:pPr>
              <w:pStyle w:val="184"/>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1.</w:t>
            </w:r>
            <w:r>
              <w:rPr>
                <w:color w:val="auto"/>
                <w:sz w:val="21"/>
                <w:szCs w:val="21"/>
              </w:rPr>
              <w:t>项目经理</w:t>
            </w:r>
          </w:p>
        </w:tc>
        <w:tc>
          <w:tcPr>
            <w:tcW w:w="670" w:type="dxa"/>
            <w:vAlign w:val="center"/>
          </w:tcPr>
          <w:p w14:paraId="754C35A7">
            <w:pPr>
              <w:ind w:left="223" w:hanging="222" w:hangingChars="106"/>
              <w:jc w:val="center"/>
              <w:rPr>
                <w:color w:val="auto"/>
                <w:szCs w:val="21"/>
              </w:rPr>
            </w:pPr>
          </w:p>
        </w:tc>
        <w:tc>
          <w:tcPr>
            <w:tcW w:w="829" w:type="dxa"/>
            <w:vAlign w:val="center"/>
          </w:tcPr>
          <w:p w14:paraId="16D812AF">
            <w:pPr>
              <w:ind w:left="223" w:hanging="222" w:hangingChars="106"/>
              <w:jc w:val="center"/>
              <w:rPr>
                <w:color w:val="auto"/>
                <w:szCs w:val="21"/>
              </w:rPr>
            </w:pPr>
          </w:p>
        </w:tc>
        <w:tc>
          <w:tcPr>
            <w:tcW w:w="816" w:type="dxa"/>
            <w:vAlign w:val="center"/>
          </w:tcPr>
          <w:p w14:paraId="1D873382">
            <w:pPr>
              <w:ind w:left="223" w:hanging="222" w:hangingChars="106"/>
              <w:jc w:val="center"/>
              <w:rPr>
                <w:color w:val="auto"/>
                <w:szCs w:val="21"/>
              </w:rPr>
            </w:pPr>
          </w:p>
        </w:tc>
        <w:tc>
          <w:tcPr>
            <w:tcW w:w="1148" w:type="dxa"/>
            <w:vAlign w:val="center"/>
          </w:tcPr>
          <w:p w14:paraId="393C8E70">
            <w:pPr>
              <w:ind w:left="223" w:hanging="222" w:hangingChars="106"/>
              <w:jc w:val="center"/>
              <w:rPr>
                <w:color w:val="auto"/>
                <w:szCs w:val="21"/>
              </w:rPr>
            </w:pPr>
          </w:p>
        </w:tc>
        <w:tc>
          <w:tcPr>
            <w:tcW w:w="1148" w:type="dxa"/>
            <w:vAlign w:val="center"/>
          </w:tcPr>
          <w:p w14:paraId="41AFA506">
            <w:pPr>
              <w:ind w:left="223" w:hanging="222" w:hangingChars="106"/>
              <w:jc w:val="center"/>
              <w:rPr>
                <w:color w:val="auto"/>
                <w:szCs w:val="21"/>
              </w:rPr>
            </w:pPr>
          </w:p>
        </w:tc>
        <w:tc>
          <w:tcPr>
            <w:tcW w:w="1148" w:type="dxa"/>
            <w:vAlign w:val="center"/>
          </w:tcPr>
          <w:p w14:paraId="04D3DC42">
            <w:pPr>
              <w:ind w:left="223" w:hanging="222" w:hangingChars="106"/>
              <w:jc w:val="center"/>
              <w:rPr>
                <w:color w:val="auto"/>
                <w:szCs w:val="21"/>
              </w:rPr>
            </w:pPr>
          </w:p>
        </w:tc>
        <w:tc>
          <w:tcPr>
            <w:tcW w:w="744" w:type="dxa"/>
            <w:vAlign w:val="center"/>
          </w:tcPr>
          <w:p w14:paraId="10F58BFD">
            <w:pPr>
              <w:ind w:left="223" w:hanging="222" w:hangingChars="106"/>
              <w:jc w:val="center"/>
              <w:rPr>
                <w:color w:val="auto"/>
                <w:szCs w:val="21"/>
              </w:rPr>
            </w:pPr>
          </w:p>
        </w:tc>
        <w:tc>
          <w:tcPr>
            <w:tcW w:w="1167" w:type="dxa"/>
            <w:vAlign w:val="center"/>
          </w:tcPr>
          <w:p w14:paraId="1F95E374">
            <w:pPr>
              <w:ind w:left="223" w:hanging="222" w:hangingChars="106"/>
              <w:jc w:val="center"/>
              <w:rPr>
                <w:color w:val="auto"/>
                <w:szCs w:val="21"/>
              </w:rPr>
            </w:pPr>
          </w:p>
        </w:tc>
        <w:tc>
          <w:tcPr>
            <w:tcW w:w="1276" w:type="dxa"/>
            <w:vAlign w:val="center"/>
          </w:tcPr>
          <w:p w14:paraId="0BD13BCC">
            <w:pPr>
              <w:ind w:left="223" w:hanging="222" w:hangingChars="106"/>
              <w:jc w:val="center"/>
              <w:rPr>
                <w:color w:val="auto"/>
                <w:szCs w:val="21"/>
              </w:rPr>
            </w:pPr>
          </w:p>
        </w:tc>
      </w:tr>
      <w:tr w14:paraId="41F5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110E77D">
            <w:pPr>
              <w:pStyle w:val="184"/>
              <w:spacing w:line="240" w:lineRule="auto"/>
              <w:ind w:firstLine="0"/>
              <w:rPr>
                <w:color w:val="auto"/>
                <w:sz w:val="21"/>
                <w:szCs w:val="21"/>
              </w:rPr>
            </w:pPr>
            <w:r>
              <w:rPr>
                <w:rFonts w:ascii="Times New Roman" w:hAnsi="Times New Roman" w:eastAsia="Times New Roman" w:cs="Times New Roman"/>
                <w:color w:val="auto"/>
                <w:sz w:val="21"/>
                <w:szCs w:val="21"/>
                <w:lang w:val="en-US" w:bidi="en-US"/>
              </w:rPr>
              <w:t>2.</w:t>
            </w:r>
            <w:r>
              <w:rPr>
                <w:color w:val="auto"/>
                <w:sz w:val="21"/>
                <w:szCs w:val="21"/>
              </w:rPr>
              <w:t>技术负责人</w:t>
            </w:r>
            <w:r>
              <w:rPr>
                <w:rFonts w:hint="eastAsia"/>
                <w:color w:val="auto"/>
                <w:sz w:val="21"/>
                <w:szCs w:val="21"/>
              </w:rPr>
              <w:t>（项目总工）</w:t>
            </w:r>
          </w:p>
        </w:tc>
        <w:tc>
          <w:tcPr>
            <w:tcW w:w="670" w:type="dxa"/>
            <w:vAlign w:val="center"/>
          </w:tcPr>
          <w:p w14:paraId="24D34924">
            <w:pPr>
              <w:ind w:left="223" w:hanging="222" w:hangingChars="106"/>
              <w:jc w:val="center"/>
              <w:rPr>
                <w:color w:val="auto"/>
                <w:szCs w:val="21"/>
              </w:rPr>
            </w:pPr>
          </w:p>
        </w:tc>
        <w:tc>
          <w:tcPr>
            <w:tcW w:w="829" w:type="dxa"/>
            <w:vAlign w:val="center"/>
          </w:tcPr>
          <w:p w14:paraId="60A060B2">
            <w:pPr>
              <w:ind w:left="223" w:hanging="222" w:hangingChars="106"/>
              <w:jc w:val="center"/>
              <w:rPr>
                <w:color w:val="auto"/>
                <w:szCs w:val="21"/>
              </w:rPr>
            </w:pPr>
          </w:p>
        </w:tc>
        <w:tc>
          <w:tcPr>
            <w:tcW w:w="816" w:type="dxa"/>
            <w:vAlign w:val="center"/>
          </w:tcPr>
          <w:p w14:paraId="797632DE">
            <w:pPr>
              <w:ind w:left="223" w:hanging="222" w:hangingChars="106"/>
              <w:jc w:val="center"/>
              <w:rPr>
                <w:color w:val="auto"/>
                <w:szCs w:val="21"/>
              </w:rPr>
            </w:pPr>
          </w:p>
        </w:tc>
        <w:tc>
          <w:tcPr>
            <w:tcW w:w="1148" w:type="dxa"/>
            <w:vAlign w:val="center"/>
          </w:tcPr>
          <w:p w14:paraId="4C3155FF">
            <w:pPr>
              <w:ind w:left="223" w:hanging="222" w:hangingChars="106"/>
              <w:jc w:val="center"/>
              <w:rPr>
                <w:color w:val="auto"/>
                <w:szCs w:val="21"/>
              </w:rPr>
            </w:pPr>
          </w:p>
        </w:tc>
        <w:tc>
          <w:tcPr>
            <w:tcW w:w="1148" w:type="dxa"/>
            <w:vAlign w:val="center"/>
          </w:tcPr>
          <w:p w14:paraId="5474E54C">
            <w:pPr>
              <w:ind w:left="223" w:hanging="222" w:hangingChars="106"/>
              <w:jc w:val="center"/>
              <w:rPr>
                <w:color w:val="auto"/>
                <w:szCs w:val="21"/>
              </w:rPr>
            </w:pPr>
          </w:p>
        </w:tc>
        <w:tc>
          <w:tcPr>
            <w:tcW w:w="1148" w:type="dxa"/>
            <w:vAlign w:val="center"/>
          </w:tcPr>
          <w:p w14:paraId="391098DC">
            <w:pPr>
              <w:ind w:left="223" w:hanging="222" w:hangingChars="106"/>
              <w:jc w:val="center"/>
              <w:rPr>
                <w:color w:val="auto"/>
                <w:szCs w:val="21"/>
              </w:rPr>
            </w:pPr>
          </w:p>
        </w:tc>
        <w:tc>
          <w:tcPr>
            <w:tcW w:w="744" w:type="dxa"/>
            <w:vAlign w:val="center"/>
          </w:tcPr>
          <w:p w14:paraId="0BD48048">
            <w:pPr>
              <w:ind w:left="223" w:hanging="222" w:hangingChars="106"/>
              <w:jc w:val="center"/>
              <w:rPr>
                <w:color w:val="auto"/>
                <w:szCs w:val="21"/>
              </w:rPr>
            </w:pPr>
          </w:p>
        </w:tc>
        <w:tc>
          <w:tcPr>
            <w:tcW w:w="1167" w:type="dxa"/>
            <w:vAlign w:val="center"/>
          </w:tcPr>
          <w:p w14:paraId="66E5AA11">
            <w:pPr>
              <w:ind w:left="223" w:hanging="222" w:hangingChars="106"/>
              <w:jc w:val="center"/>
              <w:rPr>
                <w:color w:val="auto"/>
                <w:szCs w:val="21"/>
              </w:rPr>
            </w:pPr>
          </w:p>
        </w:tc>
        <w:tc>
          <w:tcPr>
            <w:tcW w:w="1276" w:type="dxa"/>
            <w:vAlign w:val="center"/>
          </w:tcPr>
          <w:p w14:paraId="50EB2D05">
            <w:pPr>
              <w:ind w:left="223" w:hanging="222" w:hangingChars="106"/>
              <w:jc w:val="center"/>
              <w:rPr>
                <w:color w:val="auto"/>
                <w:szCs w:val="21"/>
              </w:rPr>
            </w:pPr>
          </w:p>
        </w:tc>
      </w:tr>
      <w:tr w14:paraId="7D94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1FA63F5">
            <w:pPr>
              <w:pStyle w:val="184"/>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3.</w:t>
            </w:r>
            <w:r>
              <w:rPr>
                <w:rFonts w:hint="eastAsia"/>
                <w:color w:val="auto"/>
                <w:sz w:val="21"/>
                <w:szCs w:val="21"/>
              </w:rPr>
              <w:t xml:space="preserve"> 施工员</w:t>
            </w:r>
          </w:p>
        </w:tc>
        <w:tc>
          <w:tcPr>
            <w:tcW w:w="670" w:type="dxa"/>
            <w:vAlign w:val="center"/>
          </w:tcPr>
          <w:p w14:paraId="63A2ACFA">
            <w:pPr>
              <w:ind w:left="223" w:hanging="222" w:hangingChars="106"/>
              <w:jc w:val="center"/>
              <w:rPr>
                <w:color w:val="auto"/>
                <w:szCs w:val="21"/>
              </w:rPr>
            </w:pPr>
          </w:p>
        </w:tc>
        <w:tc>
          <w:tcPr>
            <w:tcW w:w="829" w:type="dxa"/>
            <w:vAlign w:val="center"/>
          </w:tcPr>
          <w:p w14:paraId="63F166F8">
            <w:pPr>
              <w:ind w:left="223" w:hanging="222" w:hangingChars="106"/>
              <w:jc w:val="center"/>
              <w:rPr>
                <w:color w:val="auto"/>
                <w:szCs w:val="21"/>
              </w:rPr>
            </w:pPr>
          </w:p>
        </w:tc>
        <w:tc>
          <w:tcPr>
            <w:tcW w:w="816" w:type="dxa"/>
            <w:vAlign w:val="center"/>
          </w:tcPr>
          <w:p w14:paraId="77C62074">
            <w:pPr>
              <w:ind w:left="223" w:hanging="222" w:hangingChars="106"/>
              <w:jc w:val="center"/>
              <w:rPr>
                <w:color w:val="auto"/>
                <w:szCs w:val="21"/>
              </w:rPr>
            </w:pPr>
          </w:p>
        </w:tc>
        <w:tc>
          <w:tcPr>
            <w:tcW w:w="1148" w:type="dxa"/>
            <w:vAlign w:val="center"/>
          </w:tcPr>
          <w:p w14:paraId="4C349FD2">
            <w:pPr>
              <w:ind w:left="223" w:hanging="222" w:hangingChars="106"/>
              <w:jc w:val="center"/>
              <w:rPr>
                <w:color w:val="auto"/>
                <w:szCs w:val="21"/>
              </w:rPr>
            </w:pPr>
          </w:p>
        </w:tc>
        <w:tc>
          <w:tcPr>
            <w:tcW w:w="1148" w:type="dxa"/>
            <w:vAlign w:val="center"/>
          </w:tcPr>
          <w:p w14:paraId="65B1842E">
            <w:pPr>
              <w:ind w:left="223" w:hanging="222" w:hangingChars="106"/>
              <w:jc w:val="center"/>
              <w:rPr>
                <w:color w:val="auto"/>
                <w:szCs w:val="21"/>
              </w:rPr>
            </w:pPr>
          </w:p>
        </w:tc>
        <w:tc>
          <w:tcPr>
            <w:tcW w:w="1148" w:type="dxa"/>
            <w:vAlign w:val="center"/>
          </w:tcPr>
          <w:p w14:paraId="3660BD6B">
            <w:pPr>
              <w:ind w:left="223" w:hanging="222" w:hangingChars="106"/>
              <w:jc w:val="center"/>
              <w:rPr>
                <w:color w:val="auto"/>
                <w:szCs w:val="21"/>
              </w:rPr>
            </w:pPr>
          </w:p>
        </w:tc>
        <w:tc>
          <w:tcPr>
            <w:tcW w:w="744" w:type="dxa"/>
            <w:vAlign w:val="center"/>
          </w:tcPr>
          <w:p w14:paraId="637E2831">
            <w:pPr>
              <w:ind w:left="223" w:hanging="222" w:hangingChars="106"/>
              <w:jc w:val="center"/>
              <w:rPr>
                <w:color w:val="auto"/>
                <w:szCs w:val="21"/>
              </w:rPr>
            </w:pPr>
          </w:p>
        </w:tc>
        <w:tc>
          <w:tcPr>
            <w:tcW w:w="1167" w:type="dxa"/>
            <w:vAlign w:val="center"/>
          </w:tcPr>
          <w:p w14:paraId="02AD7B8E">
            <w:pPr>
              <w:ind w:left="223" w:hanging="222" w:hangingChars="106"/>
              <w:jc w:val="center"/>
              <w:rPr>
                <w:color w:val="auto"/>
                <w:szCs w:val="21"/>
              </w:rPr>
            </w:pPr>
          </w:p>
        </w:tc>
        <w:tc>
          <w:tcPr>
            <w:tcW w:w="1276" w:type="dxa"/>
            <w:vAlign w:val="center"/>
          </w:tcPr>
          <w:p w14:paraId="7EE55728">
            <w:pPr>
              <w:ind w:left="223" w:hanging="222" w:hangingChars="106"/>
              <w:jc w:val="center"/>
              <w:rPr>
                <w:color w:val="auto"/>
                <w:szCs w:val="21"/>
              </w:rPr>
            </w:pPr>
          </w:p>
        </w:tc>
      </w:tr>
      <w:tr w14:paraId="6ECE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5EBF65B">
            <w:pPr>
              <w:pStyle w:val="184"/>
              <w:spacing w:line="240" w:lineRule="auto"/>
              <w:ind w:firstLine="0"/>
              <w:rPr>
                <w:color w:val="auto"/>
                <w:sz w:val="21"/>
                <w:szCs w:val="21"/>
              </w:rPr>
            </w:pPr>
            <w:r>
              <w:rPr>
                <w:rFonts w:ascii="Times New Roman" w:hAnsi="Times New Roman" w:eastAsia="Times New Roman" w:cs="Times New Roman"/>
                <w:color w:val="auto"/>
                <w:sz w:val="21"/>
                <w:szCs w:val="21"/>
                <w:lang w:val="en-US" w:eastAsia="en-US" w:bidi="en-US"/>
              </w:rPr>
              <w:t>4.</w:t>
            </w:r>
            <w:r>
              <w:rPr>
                <w:rFonts w:hint="eastAsia"/>
                <w:color w:val="auto"/>
                <w:sz w:val="21"/>
                <w:szCs w:val="21"/>
              </w:rPr>
              <w:t>专职安全生产管理人员</w:t>
            </w:r>
          </w:p>
        </w:tc>
        <w:tc>
          <w:tcPr>
            <w:tcW w:w="670" w:type="dxa"/>
            <w:vAlign w:val="center"/>
          </w:tcPr>
          <w:p w14:paraId="7FD5CDB5">
            <w:pPr>
              <w:ind w:left="223" w:hanging="222" w:hangingChars="106"/>
              <w:jc w:val="center"/>
              <w:rPr>
                <w:color w:val="auto"/>
                <w:szCs w:val="21"/>
              </w:rPr>
            </w:pPr>
          </w:p>
        </w:tc>
        <w:tc>
          <w:tcPr>
            <w:tcW w:w="829" w:type="dxa"/>
            <w:vAlign w:val="center"/>
          </w:tcPr>
          <w:p w14:paraId="7CFB60B2">
            <w:pPr>
              <w:ind w:left="223" w:hanging="222" w:hangingChars="106"/>
              <w:jc w:val="center"/>
              <w:rPr>
                <w:color w:val="auto"/>
                <w:szCs w:val="21"/>
              </w:rPr>
            </w:pPr>
          </w:p>
        </w:tc>
        <w:tc>
          <w:tcPr>
            <w:tcW w:w="816" w:type="dxa"/>
            <w:vAlign w:val="center"/>
          </w:tcPr>
          <w:p w14:paraId="6E9396D2">
            <w:pPr>
              <w:ind w:left="223" w:hanging="222" w:hangingChars="106"/>
              <w:jc w:val="center"/>
              <w:rPr>
                <w:color w:val="auto"/>
                <w:szCs w:val="21"/>
              </w:rPr>
            </w:pPr>
          </w:p>
        </w:tc>
        <w:tc>
          <w:tcPr>
            <w:tcW w:w="1148" w:type="dxa"/>
            <w:vAlign w:val="center"/>
          </w:tcPr>
          <w:p w14:paraId="60EFFF44">
            <w:pPr>
              <w:ind w:left="223" w:hanging="222" w:hangingChars="106"/>
              <w:jc w:val="center"/>
              <w:rPr>
                <w:color w:val="auto"/>
                <w:szCs w:val="21"/>
              </w:rPr>
            </w:pPr>
          </w:p>
        </w:tc>
        <w:tc>
          <w:tcPr>
            <w:tcW w:w="1148" w:type="dxa"/>
            <w:vAlign w:val="center"/>
          </w:tcPr>
          <w:p w14:paraId="0A15DFD9">
            <w:pPr>
              <w:ind w:left="223" w:hanging="222" w:hangingChars="106"/>
              <w:jc w:val="center"/>
              <w:rPr>
                <w:color w:val="auto"/>
                <w:szCs w:val="21"/>
              </w:rPr>
            </w:pPr>
          </w:p>
        </w:tc>
        <w:tc>
          <w:tcPr>
            <w:tcW w:w="1148" w:type="dxa"/>
            <w:vAlign w:val="center"/>
          </w:tcPr>
          <w:p w14:paraId="359133DA">
            <w:pPr>
              <w:ind w:left="223" w:hanging="222" w:hangingChars="106"/>
              <w:jc w:val="center"/>
              <w:rPr>
                <w:color w:val="auto"/>
                <w:szCs w:val="21"/>
              </w:rPr>
            </w:pPr>
          </w:p>
        </w:tc>
        <w:tc>
          <w:tcPr>
            <w:tcW w:w="744" w:type="dxa"/>
            <w:vAlign w:val="center"/>
          </w:tcPr>
          <w:p w14:paraId="39A35F04">
            <w:pPr>
              <w:ind w:left="223" w:hanging="222" w:hangingChars="106"/>
              <w:jc w:val="center"/>
              <w:rPr>
                <w:color w:val="auto"/>
                <w:szCs w:val="21"/>
              </w:rPr>
            </w:pPr>
          </w:p>
        </w:tc>
        <w:tc>
          <w:tcPr>
            <w:tcW w:w="1167" w:type="dxa"/>
            <w:vAlign w:val="center"/>
          </w:tcPr>
          <w:p w14:paraId="04948B56">
            <w:pPr>
              <w:ind w:left="223" w:hanging="222" w:hangingChars="106"/>
              <w:jc w:val="center"/>
              <w:rPr>
                <w:color w:val="auto"/>
                <w:szCs w:val="21"/>
              </w:rPr>
            </w:pPr>
          </w:p>
        </w:tc>
        <w:tc>
          <w:tcPr>
            <w:tcW w:w="1276" w:type="dxa"/>
            <w:vAlign w:val="center"/>
          </w:tcPr>
          <w:p w14:paraId="75497B92">
            <w:pPr>
              <w:ind w:left="223" w:hanging="222" w:hangingChars="106"/>
              <w:jc w:val="center"/>
              <w:rPr>
                <w:color w:val="auto"/>
                <w:szCs w:val="21"/>
              </w:rPr>
            </w:pPr>
          </w:p>
        </w:tc>
      </w:tr>
      <w:tr w14:paraId="284A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9074F4E">
            <w:pPr>
              <w:jc w:val="left"/>
              <w:rPr>
                <w:color w:val="auto"/>
                <w:szCs w:val="21"/>
              </w:rPr>
            </w:pPr>
            <w:r>
              <w:rPr>
                <w:rFonts w:hint="eastAsia"/>
                <w:color w:val="auto"/>
                <w:szCs w:val="21"/>
              </w:rPr>
              <w:t>5.</w:t>
            </w:r>
            <w:r>
              <w:rPr>
                <w:color w:val="auto"/>
                <w:szCs w:val="21"/>
              </w:rPr>
              <w:t xml:space="preserve"> 质量员</w:t>
            </w:r>
          </w:p>
        </w:tc>
        <w:tc>
          <w:tcPr>
            <w:tcW w:w="670" w:type="dxa"/>
            <w:vAlign w:val="center"/>
          </w:tcPr>
          <w:p w14:paraId="6F048CCF">
            <w:pPr>
              <w:ind w:left="223" w:hanging="222" w:hangingChars="106"/>
              <w:jc w:val="center"/>
              <w:rPr>
                <w:color w:val="auto"/>
                <w:szCs w:val="21"/>
              </w:rPr>
            </w:pPr>
          </w:p>
        </w:tc>
        <w:tc>
          <w:tcPr>
            <w:tcW w:w="829" w:type="dxa"/>
            <w:vAlign w:val="center"/>
          </w:tcPr>
          <w:p w14:paraId="09A51709">
            <w:pPr>
              <w:ind w:left="223" w:hanging="222" w:hangingChars="106"/>
              <w:jc w:val="center"/>
              <w:rPr>
                <w:color w:val="auto"/>
                <w:szCs w:val="21"/>
              </w:rPr>
            </w:pPr>
          </w:p>
        </w:tc>
        <w:tc>
          <w:tcPr>
            <w:tcW w:w="816" w:type="dxa"/>
            <w:vAlign w:val="center"/>
          </w:tcPr>
          <w:p w14:paraId="4DACD9FE">
            <w:pPr>
              <w:ind w:left="223" w:hanging="222" w:hangingChars="106"/>
              <w:jc w:val="center"/>
              <w:rPr>
                <w:color w:val="auto"/>
                <w:szCs w:val="21"/>
              </w:rPr>
            </w:pPr>
          </w:p>
        </w:tc>
        <w:tc>
          <w:tcPr>
            <w:tcW w:w="1148" w:type="dxa"/>
            <w:vAlign w:val="center"/>
          </w:tcPr>
          <w:p w14:paraId="370A64EA">
            <w:pPr>
              <w:ind w:left="223" w:hanging="222" w:hangingChars="106"/>
              <w:jc w:val="center"/>
              <w:rPr>
                <w:color w:val="auto"/>
                <w:szCs w:val="21"/>
              </w:rPr>
            </w:pPr>
          </w:p>
        </w:tc>
        <w:tc>
          <w:tcPr>
            <w:tcW w:w="1148" w:type="dxa"/>
            <w:vAlign w:val="center"/>
          </w:tcPr>
          <w:p w14:paraId="3219A447">
            <w:pPr>
              <w:ind w:left="223" w:hanging="222" w:hangingChars="106"/>
              <w:jc w:val="center"/>
              <w:rPr>
                <w:color w:val="auto"/>
                <w:szCs w:val="21"/>
              </w:rPr>
            </w:pPr>
          </w:p>
        </w:tc>
        <w:tc>
          <w:tcPr>
            <w:tcW w:w="1148" w:type="dxa"/>
            <w:vAlign w:val="center"/>
          </w:tcPr>
          <w:p w14:paraId="50A8A1DE">
            <w:pPr>
              <w:ind w:left="223" w:hanging="222" w:hangingChars="106"/>
              <w:jc w:val="center"/>
              <w:rPr>
                <w:color w:val="auto"/>
                <w:szCs w:val="21"/>
              </w:rPr>
            </w:pPr>
          </w:p>
        </w:tc>
        <w:tc>
          <w:tcPr>
            <w:tcW w:w="744" w:type="dxa"/>
            <w:vAlign w:val="center"/>
          </w:tcPr>
          <w:p w14:paraId="11456BA2">
            <w:pPr>
              <w:ind w:left="223" w:hanging="222" w:hangingChars="106"/>
              <w:jc w:val="center"/>
              <w:rPr>
                <w:color w:val="auto"/>
                <w:szCs w:val="21"/>
              </w:rPr>
            </w:pPr>
          </w:p>
        </w:tc>
        <w:tc>
          <w:tcPr>
            <w:tcW w:w="1167" w:type="dxa"/>
            <w:vAlign w:val="center"/>
          </w:tcPr>
          <w:p w14:paraId="1B79AED2">
            <w:pPr>
              <w:ind w:left="223" w:hanging="222" w:hangingChars="106"/>
              <w:jc w:val="center"/>
              <w:rPr>
                <w:color w:val="auto"/>
                <w:szCs w:val="21"/>
              </w:rPr>
            </w:pPr>
          </w:p>
        </w:tc>
        <w:tc>
          <w:tcPr>
            <w:tcW w:w="1276" w:type="dxa"/>
            <w:vAlign w:val="center"/>
          </w:tcPr>
          <w:p w14:paraId="215B4ED2">
            <w:pPr>
              <w:ind w:left="223" w:hanging="222" w:hangingChars="106"/>
              <w:jc w:val="center"/>
              <w:rPr>
                <w:color w:val="auto"/>
                <w:szCs w:val="21"/>
              </w:rPr>
            </w:pPr>
          </w:p>
        </w:tc>
      </w:tr>
      <w:tr w14:paraId="6CB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82AC4BD">
            <w:pPr>
              <w:jc w:val="left"/>
              <w:rPr>
                <w:color w:val="auto"/>
                <w:szCs w:val="21"/>
              </w:rPr>
            </w:pPr>
            <w:r>
              <w:rPr>
                <w:rFonts w:hint="eastAsia"/>
                <w:color w:val="auto"/>
                <w:szCs w:val="21"/>
              </w:rPr>
              <w:t>6.材料员</w:t>
            </w:r>
          </w:p>
        </w:tc>
        <w:tc>
          <w:tcPr>
            <w:tcW w:w="670" w:type="dxa"/>
            <w:vAlign w:val="center"/>
          </w:tcPr>
          <w:p w14:paraId="533BF773">
            <w:pPr>
              <w:ind w:left="223" w:hanging="222" w:hangingChars="106"/>
              <w:jc w:val="center"/>
              <w:rPr>
                <w:color w:val="auto"/>
                <w:szCs w:val="21"/>
              </w:rPr>
            </w:pPr>
          </w:p>
        </w:tc>
        <w:tc>
          <w:tcPr>
            <w:tcW w:w="829" w:type="dxa"/>
            <w:vAlign w:val="center"/>
          </w:tcPr>
          <w:p w14:paraId="6C5B59DC">
            <w:pPr>
              <w:ind w:left="223" w:hanging="222" w:hangingChars="106"/>
              <w:jc w:val="center"/>
              <w:rPr>
                <w:color w:val="auto"/>
                <w:szCs w:val="21"/>
              </w:rPr>
            </w:pPr>
          </w:p>
        </w:tc>
        <w:tc>
          <w:tcPr>
            <w:tcW w:w="816" w:type="dxa"/>
            <w:vAlign w:val="center"/>
          </w:tcPr>
          <w:p w14:paraId="03AA2387">
            <w:pPr>
              <w:ind w:left="223" w:hanging="222" w:hangingChars="106"/>
              <w:jc w:val="center"/>
              <w:rPr>
                <w:color w:val="auto"/>
                <w:szCs w:val="21"/>
              </w:rPr>
            </w:pPr>
          </w:p>
        </w:tc>
        <w:tc>
          <w:tcPr>
            <w:tcW w:w="1148" w:type="dxa"/>
            <w:vAlign w:val="center"/>
          </w:tcPr>
          <w:p w14:paraId="08EE7220">
            <w:pPr>
              <w:ind w:left="223" w:hanging="222" w:hangingChars="106"/>
              <w:jc w:val="center"/>
              <w:rPr>
                <w:color w:val="auto"/>
                <w:szCs w:val="21"/>
              </w:rPr>
            </w:pPr>
          </w:p>
        </w:tc>
        <w:tc>
          <w:tcPr>
            <w:tcW w:w="1148" w:type="dxa"/>
            <w:vAlign w:val="center"/>
          </w:tcPr>
          <w:p w14:paraId="08270D46">
            <w:pPr>
              <w:ind w:left="223" w:hanging="222" w:hangingChars="106"/>
              <w:jc w:val="center"/>
              <w:rPr>
                <w:color w:val="auto"/>
                <w:szCs w:val="21"/>
              </w:rPr>
            </w:pPr>
          </w:p>
        </w:tc>
        <w:tc>
          <w:tcPr>
            <w:tcW w:w="1148" w:type="dxa"/>
            <w:vAlign w:val="center"/>
          </w:tcPr>
          <w:p w14:paraId="4B217B61">
            <w:pPr>
              <w:ind w:left="223" w:hanging="222" w:hangingChars="106"/>
              <w:jc w:val="center"/>
              <w:rPr>
                <w:color w:val="auto"/>
                <w:szCs w:val="21"/>
              </w:rPr>
            </w:pPr>
          </w:p>
        </w:tc>
        <w:tc>
          <w:tcPr>
            <w:tcW w:w="744" w:type="dxa"/>
            <w:vAlign w:val="center"/>
          </w:tcPr>
          <w:p w14:paraId="6C1C0283">
            <w:pPr>
              <w:ind w:left="223" w:hanging="222" w:hangingChars="106"/>
              <w:jc w:val="center"/>
              <w:rPr>
                <w:color w:val="auto"/>
                <w:szCs w:val="21"/>
              </w:rPr>
            </w:pPr>
          </w:p>
        </w:tc>
        <w:tc>
          <w:tcPr>
            <w:tcW w:w="1167" w:type="dxa"/>
            <w:vAlign w:val="center"/>
          </w:tcPr>
          <w:p w14:paraId="10245456">
            <w:pPr>
              <w:ind w:left="223" w:hanging="222" w:hangingChars="106"/>
              <w:jc w:val="center"/>
              <w:rPr>
                <w:color w:val="auto"/>
                <w:szCs w:val="21"/>
              </w:rPr>
            </w:pPr>
          </w:p>
        </w:tc>
        <w:tc>
          <w:tcPr>
            <w:tcW w:w="1276" w:type="dxa"/>
            <w:vAlign w:val="center"/>
          </w:tcPr>
          <w:p w14:paraId="421C97B9">
            <w:pPr>
              <w:ind w:left="223" w:hanging="222" w:hangingChars="106"/>
              <w:jc w:val="center"/>
              <w:rPr>
                <w:color w:val="auto"/>
                <w:szCs w:val="21"/>
              </w:rPr>
            </w:pPr>
          </w:p>
        </w:tc>
      </w:tr>
      <w:tr w14:paraId="5E3B0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50F221C">
            <w:pPr>
              <w:ind w:left="223" w:hanging="222" w:hangingChars="106"/>
              <w:jc w:val="center"/>
              <w:rPr>
                <w:color w:val="auto"/>
                <w:szCs w:val="21"/>
              </w:rPr>
            </w:pPr>
          </w:p>
        </w:tc>
        <w:tc>
          <w:tcPr>
            <w:tcW w:w="670" w:type="dxa"/>
            <w:vAlign w:val="center"/>
          </w:tcPr>
          <w:p w14:paraId="026720CB">
            <w:pPr>
              <w:ind w:left="223" w:hanging="222" w:hangingChars="106"/>
              <w:jc w:val="center"/>
              <w:rPr>
                <w:color w:val="auto"/>
                <w:szCs w:val="21"/>
              </w:rPr>
            </w:pPr>
          </w:p>
        </w:tc>
        <w:tc>
          <w:tcPr>
            <w:tcW w:w="829" w:type="dxa"/>
            <w:vAlign w:val="center"/>
          </w:tcPr>
          <w:p w14:paraId="4FDEF8DA">
            <w:pPr>
              <w:ind w:left="223" w:hanging="222" w:hangingChars="106"/>
              <w:jc w:val="center"/>
              <w:rPr>
                <w:color w:val="auto"/>
                <w:szCs w:val="21"/>
              </w:rPr>
            </w:pPr>
          </w:p>
        </w:tc>
        <w:tc>
          <w:tcPr>
            <w:tcW w:w="816" w:type="dxa"/>
            <w:vAlign w:val="center"/>
          </w:tcPr>
          <w:p w14:paraId="5DE0BBC1">
            <w:pPr>
              <w:ind w:left="223" w:hanging="222" w:hangingChars="106"/>
              <w:jc w:val="center"/>
              <w:rPr>
                <w:color w:val="auto"/>
                <w:szCs w:val="21"/>
              </w:rPr>
            </w:pPr>
          </w:p>
        </w:tc>
        <w:tc>
          <w:tcPr>
            <w:tcW w:w="1148" w:type="dxa"/>
            <w:vAlign w:val="center"/>
          </w:tcPr>
          <w:p w14:paraId="661E6257">
            <w:pPr>
              <w:ind w:left="223" w:hanging="222" w:hangingChars="106"/>
              <w:jc w:val="center"/>
              <w:rPr>
                <w:color w:val="auto"/>
                <w:szCs w:val="21"/>
              </w:rPr>
            </w:pPr>
          </w:p>
        </w:tc>
        <w:tc>
          <w:tcPr>
            <w:tcW w:w="1148" w:type="dxa"/>
            <w:vAlign w:val="center"/>
          </w:tcPr>
          <w:p w14:paraId="2AE2BB19">
            <w:pPr>
              <w:ind w:left="223" w:hanging="222" w:hangingChars="106"/>
              <w:jc w:val="center"/>
              <w:rPr>
                <w:color w:val="auto"/>
                <w:szCs w:val="21"/>
              </w:rPr>
            </w:pPr>
          </w:p>
        </w:tc>
        <w:tc>
          <w:tcPr>
            <w:tcW w:w="1148" w:type="dxa"/>
            <w:vAlign w:val="center"/>
          </w:tcPr>
          <w:p w14:paraId="1CDD939E">
            <w:pPr>
              <w:ind w:left="223" w:hanging="222" w:hangingChars="106"/>
              <w:jc w:val="center"/>
              <w:rPr>
                <w:color w:val="auto"/>
                <w:szCs w:val="21"/>
              </w:rPr>
            </w:pPr>
          </w:p>
        </w:tc>
        <w:tc>
          <w:tcPr>
            <w:tcW w:w="744" w:type="dxa"/>
            <w:vAlign w:val="center"/>
          </w:tcPr>
          <w:p w14:paraId="74E07AE5">
            <w:pPr>
              <w:ind w:left="223" w:hanging="222" w:hangingChars="106"/>
              <w:jc w:val="center"/>
              <w:rPr>
                <w:color w:val="auto"/>
                <w:szCs w:val="21"/>
              </w:rPr>
            </w:pPr>
          </w:p>
        </w:tc>
        <w:tc>
          <w:tcPr>
            <w:tcW w:w="1167" w:type="dxa"/>
            <w:vAlign w:val="center"/>
          </w:tcPr>
          <w:p w14:paraId="7BFC64B0">
            <w:pPr>
              <w:ind w:left="223" w:hanging="222" w:hangingChars="106"/>
              <w:jc w:val="center"/>
              <w:rPr>
                <w:color w:val="auto"/>
                <w:szCs w:val="21"/>
              </w:rPr>
            </w:pPr>
          </w:p>
        </w:tc>
        <w:tc>
          <w:tcPr>
            <w:tcW w:w="1276" w:type="dxa"/>
            <w:vAlign w:val="center"/>
          </w:tcPr>
          <w:p w14:paraId="7075B3A0">
            <w:pPr>
              <w:ind w:left="223" w:hanging="222" w:hangingChars="106"/>
              <w:jc w:val="center"/>
              <w:rPr>
                <w:color w:val="auto"/>
                <w:szCs w:val="21"/>
              </w:rPr>
            </w:pPr>
          </w:p>
        </w:tc>
      </w:tr>
      <w:tr w14:paraId="5049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1A65F3A8">
            <w:pPr>
              <w:spacing w:line="360" w:lineRule="auto"/>
              <w:ind w:left="223" w:hanging="222" w:hangingChars="106"/>
              <w:jc w:val="center"/>
              <w:rPr>
                <w:color w:val="auto"/>
              </w:rPr>
            </w:pPr>
            <w:r>
              <w:rPr>
                <w:rFonts w:hint="eastAsia"/>
                <w:color w:val="auto"/>
              </w:rPr>
              <w:t>一旦我单位成交，将实行项目经理负责制，我方保证并配备上述项目管理机构。上述填报内容真实，若不真实，愿按有关规定接受处理。项目管理班子机构设置、职责分工等情况另附资料说明。</w:t>
            </w:r>
          </w:p>
        </w:tc>
      </w:tr>
    </w:tbl>
    <w:p w14:paraId="10C598F8">
      <w:pPr>
        <w:spacing w:line="360" w:lineRule="auto"/>
        <w:contextualSpacing/>
        <w:jc w:val="left"/>
        <w:rPr>
          <w:rFonts w:ascii="宋体" w:hAnsi="宋体"/>
          <w:color w:val="auto"/>
          <w:sz w:val="24"/>
          <w:szCs w:val="20"/>
        </w:rPr>
      </w:pPr>
      <w:r>
        <w:rPr>
          <w:rFonts w:hint="eastAsia" w:ascii="宋体" w:hAnsi="宋体"/>
          <w:color w:val="auto"/>
          <w:sz w:val="24"/>
          <w:szCs w:val="20"/>
        </w:rPr>
        <w:t>备注：</w:t>
      </w:r>
    </w:p>
    <w:p w14:paraId="41868924">
      <w:pPr>
        <w:spacing w:line="360" w:lineRule="auto"/>
        <w:ind w:firstLine="480" w:firstLineChars="200"/>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本表所列岗位的所有管理人员的情况均应如实填写。可按以上格式扩展为多页填写。</w:t>
      </w:r>
    </w:p>
    <w:p w14:paraId="0C0EF890">
      <w:pPr>
        <w:spacing w:line="360" w:lineRule="auto"/>
        <w:ind w:firstLine="480" w:firstLineChars="200"/>
        <w:contextualSpacing/>
        <w:jc w:val="left"/>
        <w:rPr>
          <w:rFonts w:ascii="宋体" w:hAnsi="宋体"/>
          <w:color w:val="auto"/>
          <w:sz w:val="24"/>
          <w:szCs w:val="20"/>
        </w:rPr>
      </w:pPr>
      <w:r>
        <w:rPr>
          <w:rFonts w:hint="eastAsia" w:ascii="宋体" w:hAnsi="宋体"/>
          <w:color w:val="auto"/>
          <w:sz w:val="24"/>
          <w:szCs w:val="20"/>
        </w:rPr>
        <w:t>2</w:t>
      </w:r>
      <w:r>
        <w:rPr>
          <w:rFonts w:ascii="宋体" w:hAnsi="宋体"/>
          <w:color w:val="auto"/>
          <w:sz w:val="24"/>
          <w:szCs w:val="20"/>
        </w:rPr>
        <w:t>.</w:t>
      </w:r>
      <w:r>
        <w:rPr>
          <w:rFonts w:hint="eastAsia" w:ascii="宋体" w:hAnsi="宋体"/>
          <w:color w:val="auto"/>
          <w:sz w:val="24"/>
          <w:szCs w:val="20"/>
        </w:rPr>
        <w:t>供应商应当在本表后附所有管理人员的身份证、职称证、执业或职业资格证书的复印件</w:t>
      </w:r>
      <w:r>
        <w:rPr>
          <w:rFonts w:hint="eastAsia"/>
          <w:color w:val="auto"/>
        </w:rPr>
        <w:t>或打印件</w:t>
      </w:r>
      <w:r>
        <w:rPr>
          <w:rFonts w:hint="eastAsia" w:ascii="宋体" w:hAnsi="宋体"/>
          <w:color w:val="auto"/>
          <w:sz w:val="24"/>
          <w:szCs w:val="20"/>
        </w:rPr>
        <w:t>并加盖供应商电子签章。</w:t>
      </w:r>
    </w:p>
    <w:p w14:paraId="1882DEBD">
      <w:pPr>
        <w:spacing w:line="360" w:lineRule="auto"/>
        <w:ind w:firstLine="480" w:firstLineChars="200"/>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r>
        <w:rPr>
          <w:rFonts w:hint="eastAsia" w:ascii="宋体" w:hAnsi="宋体"/>
          <w:color w:val="auto"/>
          <w:spacing w:val="20"/>
          <w:sz w:val="24"/>
          <w:u w:val="single"/>
        </w:rPr>
        <w:t xml:space="preserve">        </w:t>
      </w:r>
    </w:p>
    <w:p w14:paraId="578AA5AF">
      <w:pPr>
        <w:spacing w:line="360" w:lineRule="auto"/>
        <w:ind w:firstLine="560" w:firstLineChars="200"/>
        <w:contextualSpacing/>
        <w:jc w:val="left"/>
        <w:rPr>
          <w:rFonts w:ascii="宋体" w:hAnsi="宋体"/>
          <w:color w:val="auto"/>
          <w:sz w:val="24"/>
          <w:szCs w:val="20"/>
        </w:rPr>
      </w:pPr>
      <w:r>
        <w:rPr>
          <w:rFonts w:hint="eastAsia" w:ascii="宋体" w:hAnsi="宋体"/>
          <w:color w:val="auto"/>
          <w:spacing w:val="20"/>
          <w:sz w:val="24"/>
        </w:rPr>
        <w:t>供应商（电子签章）：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14:paraId="1C55263E">
      <w:pPr>
        <w:spacing w:line="360" w:lineRule="auto"/>
        <w:jc w:val="center"/>
        <w:rPr>
          <w:rFonts w:ascii="宋体" w:hAnsi="宋体"/>
          <w:b/>
          <w:color w:val="auto"/>
          <w:sz w:val="28"/>
          <w:szCs w:val="28"/>
        </w:rPr>
      </w:pPr>
      <w:r>
        <w:rPr>
          <w:rFonts w:ascii="宋体" w:hAnsi="宋体"/>
          <w:b/>
          <w:color w:val="auto"/>
          <w:sz w:val="32"/>
          <w:szCs w:val="32"/>
        </w:rPr>
        <w:br w:type="page"/>
      </w:r>
      <w:r>
        <w:rPr>
          <w:rFonts w:hint="eastAsia" w:ascii="宋体" w:hAnsi="宋体"/>
          <w:b/>
          <w:color w:val="auto"/>
          <w:sz w:val="28"/>
          <w:szCs w:val="28"/>
        </w:rPr>
        <w:t>（二）拟投入的主要人员简历表</w:t>
      </w:r>
    </w:p>
    <w:p w14:paraId="766C0A79">
      <w:pPr>
        <w:spacing w:line="360" w:lineRule="auto"/>
        <w:ind w:firstLine="562" w:firstLineChars="200"/>
        <w:jc w:val="center"/>
        <w:rPr>
          <w:color w:val="auto"/>
          <w:sz w:val="28"/>
          <w:szCs w:val="28"/>
          <w:u w:val="single"/>
        </w:rPr>
      </w:pPr>
      <w:r>
        <w:rPr>
          <w:rFonts w:hint="eastAsia" w:cs="宋体"/>
          <w:b/>
          <w:color w:val="auto"/>
          <w:sz w:val="28"/>
          <w:szCs w:val="28"/>
        </w:rPr>
        <w:t>项目经理简历表</w:t>
      </w:r>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77E8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1BC5AD1C">
            <w:pPr>
              <w:jc w:val="center"/>
              <w:rPr>
                <w:color w:val="auto"/>
              </w:rPr>
            </w:pPr>
            <w:r>
              <w:rPr>
                <w:rFonts w:hint="eastAsia" w:cs="宋体"/>
                <w:color w:val="auto"/>
              </w:rPr>
              <w:t>姓名</w:t>
            </w:r>
          </w:p>
        </w:tc>
        <w:tc>
          <w:tcPr>
            <w:tcW w:w="2318" w:type="dxa"/>
            <w:gridSpan w:val="5"/>
            <w:vAlign w:val="center"/>
          </w:tcPr>
          <w:p w14:paraId="6FE969D3">
            <w:pPr>
              <w:jc w:val="center"/>
              <w:rPr>
                <w:color w:val="auto"/>
              </w:rPr>
            </w:pPr>
          </w:p>
        </w:tc>
        <w:tc>
          <w:tcPr>
            <w:tcW w:w="1893" w:type="dxa"/>
            <w:gridSpan w:val="5"/>
            <w:vAlign w:val="center"/>
          </w:tcPr>
          <w:p w14:paraId="58056952">
            <w:pPr>
              <w:jc w:val="center"/>
              <w:rPr>
                <w:color w:val="auto"/>
              </w:rPr>
            </w:pPr>
            <w:r>
              <w:rPr>
                <w:rFonts w:hint="eastAsia" w:cs="宋体"/>
                <w:color w:val="auto"/>
              </w:rPr>
              <w:t>性别</w:t>
            </w:r>
          </w:p>
        </w:tc>
        <w:tc>
          <w:tcPr>
            <w:tcW w:w="1585" w:type="dxa"/>
            <w:gridSpan w:val="3"/>
            <w:vAlign w:val="center"/>
          </w:tcPr>
          <w:p w14:paraId="14C10695">
            <w:pPr>
              <w:jc w:val="center"/>
              <w:rPr>
                <w:color w:val="auto"/>
              </w:rPr>
            </w:pPr>
          </w:p>
        </w:tc>
        <w:tc>
          <w:tcPr>
            <w:tcW w:w="1108" w:type="dxa"/>
            <w:vAlign w:val="center"/>
          </w:tcPr>
          <w:p w14:paraId="2B9D0EFE">
            <w:pPr>
              <w:jc w:val="center"/>
              <w:rPr>
                <w:color w:val="auto"/>
              </w:rPr>
            </w:pPr>
            <w:r>
              <w:rPr>
                <w:rFonts w:hint="eastAsia" w:cs="宋体"/>
                <w:color w:val="auto"/>
              </w:rPr>
              <w:t>年龄</w:t>
            </w:r>
          </w:p>
        </w:tc>
        <w:tc>
          <w:tcPr>
            <w:tcW w:w="1531" w:type="dxa"/>
            <w:gridSpan w:val="4"/>
            <w:vAlign w:val="center"/>
          </w:tcPr>
          <w:p w14:paraId="2DF142EB">
            <w:pPr>
              <w:jc w:val="center"/>
              <w:rPr>
                <w:color w:val="auto"/>
              </w:rPr>
            </w:pPr>
          </w:p>
        </w:tc>
      </w:tr>
      <w:tr w14:paraId="7987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20F9F1D2">
            <w:pPr>
              <w:jc w:val="center"/>
              <w:rPr>
                <w:color w:val="auto"/>
              </w:rPr>
            </w:pPr>
            <w:r>
              <w:rPr>
                <w:rFonts w:hint="eastAsia" w:cs="宋体"/>
                <w:color w:val="auto"/>
              </w:rPr>
              <w:t>岗位</w:t>
            </w:r>
          </w:p>
        </w:tc>
        <w:tc>
          <w:tcPr>
            <w:tcW w:w="2318" w:type="dxa"/>
            <w:gridSpan w:val="5"/>
            <w:vAlign w:val="center"/>
          </w:tcPr>
          <w:p w14:paraId="016BE8FE">
            <w:pPr>
              <w:jc w:val="center"/>
              <w:rPr>
                <w:color w:val="auto"/>
              </w:rPr>
            </w:pPr>
            <w:r>
              <w:rPr>
                <w:rFonts w:hint="eastAsia"/>
                <w:color w:val="auto"/>
              </w:rPr>
              <w:t>项目经理</w:t>
            </w:r>
          </w:p>
        </w:tc>
        <w:tc>
          <w:tcPr>
            <w:tcW w:w="1893" w:type="dxa"/>
            <w:gridSpan w:val="5"/>
            <w:vAlign w:val="center"/>
          </w:tcPr>
          <w:p w14:paraId="4F69F1B6">
            <w:pPr>
              <w:jc w:val="center"/>
              <w:rPr>
                <w:color w:val="auto"/>
              </w:rPr>
            </w:pPr>
            <w:r>
              <w:rPr>
                <w:rFonts w:hint="eastAsia" w:cs="宋体"/>
                <w:color w:val="auto"/>
              </w:rPr>
              <w:t>职称</w:t>
            </w:r>
          </w:p>
        </w:tc>
        <w:tc>
          <w:tcPr>
            <w:tcW w:w="1585" w:type="dxa"/>
            <w:gridSpan w:val="3"/>
            <w:vAlign w:val="center"/>
          </w:tcPr>
          <w:p w14:paraId="29DAE8ED">
            <w:pPr>
              <w:jc w:val="center"/>
              <w:rPr>
                <w:color w:val="auto"/>
              </w:rPr>
            </w:pPr>
          </w:p>
        </w:tc>
        <w:tc>
          <w:tcPr>
            <w:tcW w:w="1108" w:type="dxa"/>
            <w:vAlign w:val="center"/>
          </w:tcPr>
          <w:p w14:paraId="5C3407A9">
            <w:pPr>
              <w:jc w:val="center"/>
              <w:rPr>
                <w:color w:val="auto"/>
              </w:rPr>
            </w:pPr>
            <w:r>
              <w:rPr>
                <w:rFonts w:hint="eastAsia" w:cs="宋体"/>
                <w:color w:val="auto"/>
              </w:rPr>
              <w:t>学历</w:t>
            </w:r>
          </w:p>
        </w:tc>
        <w:tc>
          <w:tcPr>
            <w:tcW w:w="1531" w:type="dxa"/>
            <w:gridSpan w:val="4"/>
            <w:vAlign w:val="center"/>
          </w:tcPr>
          <w:p w14:paraId="3F2B8AF8">
            <w:pPr>
              <w:jc w:val="center"/>
              <w:rPr>
                <w:color w:val="auto"/>
              </w:rPr>
            </w:pPr>
          </w:p>
        </w:tc>
      </w:tr>
      <w:tr w14:paraId="34E0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0FED0B2A">
            <w:pPr>
              <w:jc w:val="center"/>
              <w:rPr>
                <w:rFonts w:cs="宋体"/>
                <w:color w:val="auto"/>
              </w:rPr>
            </w:pPr>
            <w:r>
              <w:rPr>
                <w:rFonts w:hint="eastAsia" w:cs="宋体"/>
                <w:color w:val="auto"/>
              </w:rPr>
              <w:t>从业开始时间</w:t>
            </w:r>
          </w:p>
        </w:tc>
        <w:tc>
          <w:tcPr>
            <w:tcW w:w="2318" w:type="dxa"/>
            <w:gridSpan w:val="5"/>
            <w:vAlign w:val="center"/>
          </w:tcPr>
          <w:p w14:paraId="340AA5B9">
            <w:pPr>
              <w:jc w:val="center"/>
              <w:rPr>
                <w:color w:val="auto"/>
              </w:rPr>
            </w:pPr>
          </w:p>
        </w:tc>
        <w:tc>
          <w:tcPr>
            <w:tcW w:w="1893" w:type="dxa"/>
            <w:gridSpan w:val="5"/>
            <w:vAlign w:val="center"/>
          </w:tcPr>
          <w:p w14:paraId="66F07F17">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vAlign w:val="center"/>
          </w:tcPr>
          <w:p w14:paraId="4593DB6E">
            <w:pPr>
              <w:jc w:val="center"/>
              <w:rPr>
                <w:color w:val="auto"/>
              </w:rPr>
            </w:pPr>
          </w:p>
        </w:tc>
        <w:tc>
          <w:tcPr>
            <w:tcW w:w="1108" w:type="dxa"/>
            <w:vAlign w:val="center"/>
          </w:tcPr>
          <w:p w14:paraId="69AA43D8">
            <w:pPr>
              <w:jc w:val="center"/>
              <w:rPr>
                <w:rFonts w:cs="宋体"/>
                <w:color w:val="auto"/>
              </w:rPr>
            </w:pPr>
            <w:r>
              <w:rPr>
                <w:rFonts w:hint="eastAsia" w:cs="宋体"/>
                <w:color w:val="auto"/>
              </w:rPr>
              <w:t>毕业时间</w:t>
            </w:r>
          </w:p>
        </w:tc>
        <w:tc>
          <w:tcPr>
            <w:tcW w:w="1531" w:type="dxa"/>
            <w:gridSpan w:val="4"/>
            <w:vAlign w:val="center"/>
          </w:tcPr>
          <w:p w14:paraId="47C76910">
            <w:pPr>
              <w:jc w:val="center"/>
              <w:rPr>
                <w:color w:val="auto"/>
              </w:rPr>
            </w:pPr>
          </w:p>
        </w:tc>
      </w:tr>
      <w:tr w14:paraId="226B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147EA64B">
            <w:pPr>
              <w:jc w:val="center"/>
              <w:rPr>
                <w:color w:val="auto"/>
              </w:rPr>
            </w:pPr>
            <w:r>
              <w:rPr>
                <w:rFonts w:hint="eastAsia" w:cs="宋体"/>
                <w:color w:val="auto"/>
              </w:rPr>
              <w:t>担任项目经理年限</w:t>
            </w:r>
          </w:p>
        </w:tc>
        <w:tc>
          <w:tcPr>
            <w:tcW w:w="2563" w:type="dxa"/>
            <w:gridSpan w:val="6"/>
            <w:vAlign w:val="center"/>
          </w:tcPr>
          <w:p w14:paraId="006C72C5">
            <w:pPr>
              <w:jc w:val="center"/>
              <w:rPr>
                <w:color w:val="auto"/>
              </w:rPr>
            </w:pPr>
          </w:p>
        </w:tc>
        <w:tc>
          <w:tcPr>
            <w:tcW w:w="1209" w:type="dxa"/>
            <w:vAlign w:val="center"/>
          </w:tcPr>
          <w:p w14:paraId="0B30A808">
            <w:pPr>
              <w:jc w:val="center"/>
              <w:rPr>
                <w:color w:val="auto"/>
              </w:rPr>
            </w:pPr>
            <w:r>
              <w:rPr>
                <w:rFonts w:hint="eastAsia"/>
                <w:color w:val="auto"/>
              </w:rPr>
              <w:t>身份</w:t>
            </w:r>
            <w:r>
              <w:rPr>
                <w:color w:val="auto"/>
              </w:rPr>
              <w:t>证号码</w:t>
            </w:r>
          </w:p>
        </w:tc>
        <w:tc>
          <w:tcPr>
            <w:tcW w:w="4608" w:type="dxa"/>
            <w:gridSpan w:val="10"/>
            <w:vAlign w:val="center"/>
          </w:tcPr>
          <w:p w14:paraId="0D3529D6">
            <w:pPr>
              <w:jc w:val="center"/>
              <w:rPr>
                <w:color w:val="auto"/>
              </w:rPr>
            </w:pPr>
          </w:p>
        </w:tc>
      </w:tr>
      <w:tr w14:paraId="737B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2E2348D">
            <w:pPr>
              <w:jc w:val="center"/>
              <w:rPr>
                <w:color w:val="auto"/>
              </w:rPr>
            </w:pPr>
            <w:r>
              <w:rPr>
                <w:rFonts w:hint="eastAsia"/>
                <w:color w:val="auto"/>
              </w:rPr>
              <w:t>证书名称</w:t>
            </w:r>
          </w:p>
        </w:tc>
        <w:tc>
          <w:tcPr>
            <w:tcW w:w="1275" w:type="dxa"/>
            <w:gridSpan w:val="2"/>
            <w:vAlign w:val="center"/>
          </w:tcPr>
          <w:p w14:paraId="2044743D">
            <w:pPr>
              <w:jc w:val="center"/>
              <w:rPr>
                <w:color w:val="auto"/>
              </w:rPr>
            </w:pPr>
            <w:r>
              <w:rPr>
                <w:rFonts w:hint="eastAsia"/>
                <w:color w:val="auto"/>
              </w:rPr>
              <w:t>注册专业</w:t>
            </w:r>
          </w:p>
        </w:tc>
        <w:tc>
          <w:tcPr>
            <w:tcW w:w="1222" w:type="dxa"/>
            <w:gridSpan w:val="3"/>
            <w:vAlign w:val="center"/>
          </w:tcPr>
          <w:p w14:paraId="3F7D0871">
            <w:pPr>
              <w:jc w:val="center"/>
              <w:rPr>
                <w:color w:val="auto"/>
              </w:rPr>
            </w:pPr>
            <w:r>
              <w:rPr>
                <w:color w:val="auto"/>
              </w:rPr>
              <w:t>级别</w:t>
            </w:r>
          </w:p>
        </w:tc>
        <w:tc>
          <w:tcPr>
            <w:tcW w:w="1417" w:type="dxa"/>
            <w:gridSpan w:val="3"/>
            <w:vAlign w:val="center"/>
          </w:tcPr>
          <w:p w14:paraId="7515C6DC">
            <w:pPr>
              <w:jc w:val="center"/>
              <w:rPr>
                <w:color w:val="auto"/>
              </w:rPr>
            </w:pPr>
            <w:r>
              <w:rPr>
                <w:rFonts w:hint="eastAsia" w:cs="宋体"/>
                <w:color w:val="auto"/>
              </w:rPr>
              <w:t>证书编号</w:t>
            </w:r>
          </w:p>
        </w:tc>
        <w:tc>
          <w:tcPr>
            <w:tcW w:w="1418" w:type="dxa"/>
            <w:gridSpan w:val="3"/>
            <w:vAlign w:val="center"/>
          </w:tcPr>
          <w:p w14:paraId="486AAFA0">
            <w:pPr>
              <w:jc w:val="center"/>
              <w:rPr>
                <w:color w:val="auto"/>
              </w:rPr>
            </w:pPr>
            <w:r>
              <w:rPr>
                <w:rFonts w:hint="eastAsia"/>
                <w:color w:val="auto"/>
              </w:rPr>
              <w:t>注册时间</w:t>
            </w:r>
          </w:p>
        </w:tc>
        <w:tc>
          <w:tcPr>
            <w:tcW w:w="1632" w:type="dxa"/>
            <w:gridSpan w:val="4"/>
            <w:vAlign w:val="center"/>
          </w:tcPr>
          <w:p w14:paraId="1806B3C8">
            <w:pPr>
              <w:jc w:val="center"/>
              <w:rPr>
                <w:color w:val="auto"/>
              </w:rPr>
            </w:pPr>
            <w:r>
              <w:rPr>
                <w:rFonts w:hint="eastAsia"/>
                <w:color w:val="auto"/>
              </w:rPr>
              <w:t>注册单位</w:t>
            </w:r>
          </w:p>
        </w:tc>
        <w:tc>
          <w:tcPr>
            <w:tcW w:w="1416" w:type="dxa"/>
            <w:gridSpan w:val="2"/>
            <w:vAlign w:val="center"/>
          </w:tcPr>
          <w:p w14:paraId="79DE3751">
            <w:pPr>
              <w:jc w:val="center"/>
              <w:rPr>
                <w:color w:val="auto"/>
              </w:rPr>
            </w:pPr>
            <w:r>
              <w:rPr>
                <w:rFonts w:hint="eastAsia"/>
                <w:color w:val="auto"/>
              </w:rPr>
              <w:t>注册有效期</w:t>
            </w:r>
          </w:p>
        </w:tc>
      </w:tr>
      <w:tr w14:paraId="3D9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34B2A0AF">
            <w:pPr>
              <w:jc w:val="center"/>
              <w:rPr>
                <w:color w:val="auto"/>
              </w:rPr>
            </w:pPr>
          </w:p>
        </w:tc>
        <w:tc>
          <w:tcPr>
            <w:tcW w:w="1275" w:type="dxa"/>
            <w:gridSpan w:val="2"/>
            <w:vAlign w:val="center"/>
          </w:tcPr>
          <w:p w14:paraId="0922A92A">
            <w:pPr>
              <w:jc w:val="center"/>
              <w:rPr>
                <w:color w:val="auto"/>
              </w:rPr>
            </w:pPr>
          </w:p>
        </w:tc>
        <w:tc>
          <w:tcPr>
            <w:tcW w:w="1222" w:type="dxa"/>
            <w:gridSpan w:val="3"/>
            <w:vAlign w:val="center"/>
          </w:tcPr>
          <w:p w14:paraId="3DA76979">
            <w:pPr>
              <w:jc w:val="center"/>
              <w:rPr>
                <w:rFonts w:cs="宋体"/>
                <w:color w:val="auto"/>
              </w:rPr>
            </w:pPr>
          </w:p>
        </w:tc>
        <w:tc>
          <w:tcPr>
            <w:tcW w:w="1417" w:type="dxa"/>
            <w:gridSpan w:val="3"/>
            <w:vAlign w:val="center"/>
          </w:tcPr>
          <w:p w14:paraId="749618E4">
            <w:pPr>
              <w:jc w:val="center"/>
              <w:rPr>
                <w:color w:val="auto"/>
              </w:rPr>
            </w:pPr>
          </w:p>
        </w:tc>
        <w:tc>
          <w:tcPr>
            <w:tcW w:w="1418" w:type="dxa"/>
            <w:gridSpan w:val="3"/>
            <w:vAlign w:val="center"/>
          </w:tcPr>
          <w:p w14:paraId="0B166E56">
            <w:pPr>
              <w:jc w:val="center"/>
              <w:rPr>
                <w:color w:val="auto"/>
              </w:rPr>
            </w:pPr>
          </w:p>
        </w:tc>
        <w:tc>
          <w:tcPr>
            <w:tcW w:w="1632" w:type="dxa"/>
            <w:gridSpan w:val="4"/>
            <w:vAlign w:val="center"/>
          </w:tcPr>
          <w:p w14:paraId="237FDCEE">
            <w:pPr>
              <w:jc w:val="center"/>
              <w:rPr>
                <w:color w:val="auto"/>
              </w:rPr>
            </w:pPr>
          </w:p>
        </w:tc>
        <w:tc>
          <w:tcPr>
            <w:tcW w:w="1416" w:type="dxa"/>
            <w:gridSpan w:val="2"/>
            <w:vAlign w:val="center"/>
          </w:tcPr>
          <w:p w14:paraId="119CB40E">
            <w:pPr>
              <w:jc w:val="center"/>
              <w:rPr>
                <w:color w:val="auto"/>
              </w:rPr>
            </w:pPr>
          </w:p>
        </w:tc>
      </w:tr>
      <w:tr w14:paraId="1AF2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3B6AD74">
            <w:pPr>
              <w:jc w:val="center"/>
              <w:rPr>
                <w:color w:val="auto"/>
              </w:rPr>
            </w:pPr>
            <w:r>
              <w:rPr>
                <w:rFonts w:hint="eastAsia"/>
                <w:color w:val="auto"/>
              </w:rPr>
              <w:t>安全生产考核合格证书</w:t>
            </w:r>
          </w:p>
        </w:tc>
        <w:tc>
          <w:tcPr>
            <w:tcW w:w="1275" w:type="dxa"/>
            <w:gridSpan w:val="2"/>
            <w:vAlign w:val="center"/>
          </w:tcPr>
          <w:p w14:paraId="0468AF77">
            <w:pPr>
              <w:jc w:val="center"/>
              <w:rPr>
                <w:color w:val="auto"/>
              </w:rPr>
            </w:pPr>
          </w:p>
        </w:tc>
        <w:tc>
          <w:tcPr>
            <w:tcW w:w="1222" w:type="dxa"/>
            <w:gridSpan w:val="3"/>
            <w:vAlign w:val="center"/>
          </w:tcPr>
          <w:p w14:paraId="49DF8D60">
            <w:pPr>
              <w:jc w:val="center"/>
              <w:rPr>
                <w:rFonts w:cs="宋体"/>
                <w:color w:val="auto"/>
              </w:rPr>
            </w:pPr>
            <w:r>
              <w:rPr>
                <w:rFonts w:hint="eastAsia"/>
                <w:color w:val="auto"/>
              </w:rPr>
              <w:t>B类</w:t>
            </w:r>
          </w:p>
        </w:tc>
        <w:tc>
          <w:tcPr>
            <w:tcW w:w="1417" w:type="dxa"/>
            <w:gridSpan w:val="3"/>
            <w:vAlign w:val="center"/>
          </w:tcPr>
          <w:p w14:paraId="5AA52788">
            <w:pPr>
              <w:jc w:val="center"/>
              <w:rPr>
                <w:color w:val="auto"/>
              </w:rPr>
            </w:pPr>
          </w:p>
        </w:tc>
        <w:tc>
          <w:tcPr>
            <w:tcW w:w="1418" w:type="dxa"/>
            <w:gridSpan w:val="3"/>
            <w:vAlign w:val="center"/>
          </w:tcPr>
          <w:p w14:paraId="68D1AF6D">
            <w:pPr>
              <w:jc w:val="center"/>
              <w:rPr>
                <w:color w:val="auto"/>
              </w:rPr>
            </w:pPr>
          </w:p>
        </w:tc>
        <w:tc>
          <w:tcPr>
            <w:tcW w:w="1632" w:type="dxa"/>
            <w:gridSpan w:val="4"/>
            <w:vAlign w:val="center"/>
          </w:tcPr>
          <w:p w14:paraId="7C26372E">
            <w:pPr>
              <w:jc w:val="center"/>
              <w:rPr>
                <w:color w:val="auto"/>
              </w:rPr>
            </w:pPr>
          </w:p>
        </w:tc>
        <w:tc>
          <w:tcPr>
            <w:tcW w:w="1416" w:type="dxa"/>
            <w:gridSpan w:val="2"/>
            <w:vAlign w:val="center"/>
          </w:tcPr>
          <w:p w14:paraId="5B5F66F6">
            <w:pPr>
              <w:jc w:val="center"/>
              <w:rPr>
                <w:color w:val="auto"/>
              </w:rPr>
            </w:pPr>
          </w:p>
        </w:tc>
      </w:tr>
      <w:tr w14:paraId="5CF8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58232389">
            <w:pPr>
              <w:jc w:val="center"/>
              <w:rPr>
                <w:color w:val="auto"/>
              </w:rPr>
            </w:pPr>
            <w:r>
              <w:rPr>
                <w:rFonts w:hint="eastAsia" w:cs="宋体"/>
                <w:color w:val="auto"/>
              </w:rPr>
              <w:t>在建和已完工程项目情况</w:t>
            </w:r>
          </w:p>
        </w:tc>
      </w:tr>
      <w:tr w14:paraId="036F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3C3CBB7A">
            <w:pPr>
              <w:jc w:val="center"/>
              <w:rPr>
                <w:color w:val="auto"/>
              </w:rPr>
            </w:pPr>
          </w:p>
        </w:tc>
        <w:tc>
          <w:tcPr>
            <w:tcW w:w="1548" w:type="dxa"/>
            <w:gridSpan w:val="2"/>
            <w:vAlign w:val="center"/>
          </w:tcPr>
          <w:p w14:paraId="19EE7113">
            <w:pPr>
              <w:jc w:val="center"/>
              <w:rPr>
                <w:color w:val="auto"/>
              </w:rPr>
            </w:pPr>
            <w:r>
              <w:rPr>
                <w:rFonts w:hint="eastAsia"/>
                <w:color w:val="auto"/>
              </w:rPr>
              <w:t>项目1</w:t>
            </w:r>
          </w:p>
        </w:tc>
        <w:tc>
          <w:tcPr>
            <w:tcW w:w="1837" w:type="dxa"/>
            <w:gridSpan w:val="4"/>
            <w:vAlign w:val="center"/>
          </w:tcPr>
          <w:p w14:paraId="633CA303">
            <w:pPr>
              <w:jc w:val="center"/>
              <w:rPr>
                <w:color w:val="auto"/>
              </w:rPr>
            </w:pPr>
            <w:r>
              <w:rPr>
                <w:rFonts w:hint="eastAsia"/>
                <w:color w:val="auto"/>
              </w:rPr>
              <w:t>项目2</w:t>
            </w:r>
          </w:p>
        </w:tc>
        <w:tc>
          <w:tcPr>
            <w:tcW w:w="1472" w:type="dxa"/>
            <w:gridSpan w:val="3"/>
            <w:vAlign w:val="center"/>
          </w:tcPr>
          <w:p w14:paraId="77F076CE">
            <w:pPr>
              <w:jc w:val="center"/>
              <w:rPr>
                <w:color w:val="auto"/>
              </w:rPr>
            </w:pPr>
            <w:r>
              <w:rPr>
                <w:rFonts w:hint="eastAsia"/>
                <w:color w:val="auto"/>
              </w:rPr>
              <w:t>项目3</w:t>
            </w:r>
          </w:p>
        </w:tc>
        <w:tc>
          <w:tcPr>
            <w:tcW w:w="1641" w:type="dxa"/>
            <w:gridSpan w:val="4"/>
            <w:vAlign w:val="center"/>
          </w:tcPr>
          <w:p w14:paraId="7D2FFE3B">
            <w:pPr>
              <w:jc w:val="center"/>
              <w:rPr>
                <w:color w:val="auto"/>
              </w:rPr>
            </w:pPr>
            <w:r>
              <w:rPr>
                <w:rFonts w:hint="eastAsia"/>
                <w:color w:val="auto"/>
              </w:rPr>
              <w:t>项目4</w:t>
            </w:r>
          </w:p>
        </w:tc>
        <w:tc>
          <w:tcPr>
            <w:tcW w:w="1484" w:type="dxa"/>
            <w:gridSpan w:val="2"/>
            <w:vAlign w:val="center"/>
          </w:tcPr>
          <w:p w14:paraId="09EAC88C">
            <w:pPr>
              <w:jc w:val="center"/>
              <w:rPr>
                <w:color w:val="auto"/>
              </w:rPr>
            </w:pPr>
            <w:r>
              <w:rPr>
                <w:rFonts w:hint="eastAsia"/>
                <w:color w:val="auto"/>
              </w:rPr>
              <w:t>……</w:t>
            </w:r>
          </w:p>
        </w:tc>
      </w:tr>
      <w:tr w14:paraId="4241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327C914">
            <w:pPr>
              <w:jc w:val="center"/>
              <w:rPr>
                <w:color w:val="auto"/>
              </w:rPr>
            </w:pPr>
            <w:r>
              <w:rPr>
                <w:rFonts w:hint="eastAsia"/>
                <w:color w:val="auto"/>
              </w:rPr>
              <w:t>项目名称</w:t>
            </w:r>
          </w:p>
        </w:tc>
        <w:tc>
          <w:tcPr>
            <w:tcW w:w="1548" w:type="dxa"/>
            <w:gridSpan w:val="2"/>
            <w:vAlign w:val="center"/>
          </w:tcPr>
          <w:p w14:paraId="47AC6A73">
            <w:pPr>
              <w:jc w:val="center"/>
              <w:rPr>
                <w:color w:val="auto"/>
              </w:rPr>
            </w:pPr>
          </w:p>
        </w:tc>
        <w:tc>
          <w:tcPr>
            <w:tcW w:w="1837" w:type="dxa"/>
            <w:gridSpan w:val="4"/>
            <w:vAlign w:val="center"/>
          </w:tcPr>
          <w:p w14:paraId="1C529313">
            <w:pPr>
              <w:jc w:val="center"/>
              <w:rPr>
                <w:color w:val="auto"/>
              </w:rPr>
            </w:pPr>
          </w:p>
        </w:tc>
        <w:tc>
          <w:tcPr>
            <w:tcW w:w="1472" w:type="dxa"/>
            <w:gridSpan w:val="3"/>
            <w:vAlign w:val="center"/>
          </w:tcPr>
          <w:p w14:paraId="04057B91">
            <w:pPr>
              <w:jc w:val="center"/>
              <w:rPr>
                <w:color w:val="auto"/>
              </w:rPr>
            </w:pPr>
          </w:p>
        </w:tc>
        <w:tc>
          <w:tcPr>
            <w:tcW w:w="1641" w:type="dxa"/>
            <w:gridSpan w:val="4"/>
            <w:vAlign w:val="center"/>
          </w:tcPr>
          <w:p w14:paraId="27F5ACD7">
            <w:pPr>
              <w:jc w:val="center"/>
              <w:rPr>
                <w:color w:val="auto"/>
              </w:rPr>
            </w:pPr>
          </w:p>
        </w:tc>
        <w:tc>
          <w:tcPr>
            <w:tcW w:w="1484" w:type="dxa"/>
            <w:gridSpan w:val="2"/>
            <w:vAlign w:val="center"/>
          </w:tcPr>
          <w:p w14:paraId="74D26E3B">
            <w:pPr>
              <w:jc w:val="center"/>
              <w:rPr>
                <w:color w:val="auto"/>
              </w:rPr>
            </w:pPr>
          </w:p>
        </w:tc>
      </w:tr>
      <w:tr w14:paraId="594A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77E7D35">
            <w:pPr>
              <w:jc w:val="center"/>
              <w:rPr>
                <w:color w:val="auto"/>
              </w:rPr>
            </w:pPr>
            <w:r>
              <w:rPr>
                <w:rFonts w:hint="eastAsia" w:cs="宋体"/>
                <w:color w:val="auto"/>
              </w:rPr>
              <w:t>建设单位</w:t>
            </w:r>
          </w:p>
        </w:tc>
        <w:tc>
          <w:tcPr>
            <w:tcW w:w="1548" w:type="dxa"/>
            <w:gridSpan w:val="2"/>
            <w:vAlign w:val="center"/>
          </w:tcPr>
          <w:p w14:paraId="15CEFE31">
            <w:pPr>
              <w:jc w:val="center"/>
              <w:rPr>
                <w:color w:val="auto"/>
              </w:rPr>
            </w:pPr>
          </w:p>
        </w:tc>
        <w:tc>
          <w:tcPr>
            <w:tcW w:w="1837" w:type="dxa"/>
            <w:gridSpan w:val="4"/>
            <w:vAlign w:val="center"/>
          </w:tcPr>
          <w:p w14:paraId="203322BD">
            <w:pPr>
              <w:jc w:val="center"/>
              <w:rPr>
                <w:color w:val="auto"/>
              </w:rPr>
            </w:pPr>
          </w:p>
        </w:tc>
        <w:tc>
          <w:tcPr>
            <w:tcW w:w="1472" w:type="dxa"/>
            <w:gridSpan w:val="3"/>
            <w:vAlign w:val="center"/>
          </w:tcPr>
          <w:p w14:paraId="36705D84">
            <w:pPr>
              <w:jc w:val="center"/>
              <w:rPr>
                <w:color w:val="auto"/>
              </w:rPr>
            </w:pPr>
          </w:p>
        </w:tc>
        <w:tc>
          <w:tcPr>
            <w:tcW w:w="1641" w:type="dxa"/>
            <w:gridSpan w:val="4"/>
            <w:vAlign w:val="center"/>
          </w:tcPr>
          <w:p w14:paraId="176BAE0E">
            <w:pPr>
              <w:jc w:val="center"/>
              <w:rPr>
                <w:color w:val="auto"/>
              </w:rPr>
            </w:pPr>
          </w:p>
        </w:tc>
        <w:tc>
          <w:tcPr>
            <w:tcW w:w="1484" w:type="dxa"/>
            <w:gridSpan w:val="2"/>
            <w:vAlign w:val="center"/>
          </w:tcPr>
          <w:p w14:paraId="16792571">
            <w:pPr>
              <w:jc w:val="center"/>
              <w:rPr>
                <w:color w:val="auto"/>
              </w:rPr>
            </w:pPr>
          </w:p>
        </w:tc>
      </w:tr>
      <w:tr w14:paraId="5EA1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CD0715B">
            <w:pPr>
              <w:jc w:val="center"/>
              <w:rPr>
                <w:color w:val="auto"/>
              </w:rPr>
            </w:pPr>
            <w:r>
              <w:rPr>
                <w:rFonts w:hint="eastAsia" w:cs="宋体"/>
                <w:color w:val="auto"/>
              </w:rPr>
              <w:t>建设规模</w:t>
            </w:r>
          </w:p>
        </w:tc>
        <w:tc>
          <w:tcPr>
            <w:tcW w:w="1548" w:type="dxa"/>
            <w:gridSpan w:val="2"/>
            <w:vAlign w:val="center"/>
          </w:tcPr>
          <w:p w14:paraId="2C520080">
            <w:pPr>
              <w:jc w:val="center"/>
              <w:rPr>
                <w:color w:val="auto"/>
              </w:rPr>
            </w:pPr>
          </w:p>
        </w:tc>
        <w:tc>
          <w:tcPr>
            <w:tcW w:w="1837" w:type="dxa"/>
            <w:gridSpan w:val="4"/>
            <w:vAlign w:val="center"/>
          </w:tcPr>
          <w:p w14:paraId="5E8BD492">
            <w:pPr>
              <w:jc w:val="center"/>
              <w:rPr>
                <w:color w:val="auto"/>
              </w:rPr>
            </w:pPr>
          </w:p>
        </w:tc>
        <w:tc>
          <w:tcPr>
            <w:tcW w:w="1472" w:type="dxa"/>
            <w:gridSpan w:val="3"/>
            <w:vAlign w:val="center"/>
          </w:tcPr>
          <w:p w14:paraId="308E3213">
            <w:pPr>
              <w:jc w:val="center"/>
              <w:rPr>
                <w:color w:val="auto"/>
              </w:rPr>
            </w:pPr>
          </w:p>
        </w:tc>
        <w:tc>
          <w:tcPr>
            <w:tcW w:w="1641" w:type="dxa"/>
            <w:gridSpan w:val="4"/>
            <w:vAlign w:val="center"/>
          </w:tcPr>
          <w:p w14:paraId="515E6CD6">
            <w:pPr>
              <w:jc w:val="center"/>
              <w:rPr>
                <w:color w:val="auto"/>
              </w:rPr>
            </w:pPr>
          </w:p>
        </w:tc>
        <w:tc>
          <w:tcPr>
            <w:tcW w:w="1484" w:type="dxa"/>
            <w:gridSpan w:val="2"/>
            <w:vAlign w:val="center"/>
          </w:tcPr>
          <w:p w14:paraId="64D76A20">
            <w:pPr>
              <w:jc w:val="center"/>
              <w:rPr>
                <w:color w:val="auto"/>
              </w:rPr>
            </w:pPr>
          </w:p>
        </w:tc>
      </w:tr>
      <w:tr w14:paraId="12FD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D33F08B">
            <w:pPr>
              <w:jc w:val="center"/>
              <w:rPr>
                <w:rFonts w:ascii="宋体" w:hAnsi="宋体" w:cs="宋体"/>
                <w:color w:val="auto"/>
                <w:sz w:val="27"/>
                <w:szCs w:val="27"/>
              </w:rPr>
            </w:pPr>
            <w:r>
              <w:rPr>
                <w:rFonts w:hint="eastAsia" w:cs="宋体"/>
                <w:color w:val="auto"/>
              </w:rPr>
              <w:t>开工日期</w:t>
            </w:r>
          </w:p>
        </w:tc>
        <w:tc>
          <w:tcPr>
            <w:tcW w:w="1548" w:type="dxa"/>
            <w:gridSpan w:val="2"/>
            <w:vAlign w:val="center"/>
          </w:tcPr>
          <w:p w14:paraId="7780D1D7">
            <w:pPr>
              <w:jc w:val="center"/>
              <w:rPr>
                <w:color w:val="auto"/>
              </w:rPr>
            </w:pPr>
          </w:p>
        </w:tc>
        <w:tc>
          <w:tcPr>
            <w:tcW w:w="1837" w:type="dxa"/>
            <w:gridSpan w:val="4"/>
            <w:vAlign w:val="center"/>
          </w:tcPr>
          <w:p w14:paraId="01B04ACF">
            <w:pPr>
              <w:jc w:val="center"/>
              <w:rPr>
                <w:color w:val="auto"/>
              </w:rPr>
            </w:pPr>
          </w:p>
        </w:tc>
        <w:tc>
          <w:tcPr>
            <w:tcW w:w="1472" w:type="dxa"/>
            <w:gridSpan w:val="3"/>
            <w:vAlign w:val="center"/>
          </w:tcPr>
          <w:p w14:paraId="45052FEF">
            <w:pPr>
              <w:jc w:val="center"/>
              <w:rPr>
                <w:color w:val="auto"/>
              </w:rPr>
            </w:pPr>
          </w:p>
        </w:tc>
        <w:tc>
          <w:tcPr>
            <w:tcW w:w="1641" w:type="dxa"/>
            <w:gridSpan w:val="4"/>
            <w:vAlign w:val="center"/>
          </w:tcPr>
          <w:p w14:paraId="5CBD869A">
            <w:pPr>
              <w:jc w:val="center"/>
              <w:rPr>
                <w:color w:val="auto"/>
              </w:rPr>
            </w:pPr>
          </w:p>
        </w:tc>
        <w:tc>
          <w:tcPr>
            <w:tcW w:w="1484" w:type="dxa"/>
            <w:gridSpan w:val="2"/>
            <w:vAlign w:val="center"/>
          </w:tcPr>
          <w:p w14:paraId="010180C1">
            <w:pPr>
              <w:jc w:val="center"/>
              <w:rPr>
                <w:color w:val="auto"/>
              </w:rPr>
            </w:pPr>
          </w:p>
        </w:tc>
      </w:tr>
      <w:tr w14:paraId="7EE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BFD6DF0">
            <w:pPr>
              <w:jc w:val="center"/>
              <w:rPr>
                <w:color w:val="auto"/>
              </w:rPr>
            </w:pPr>
            <w:r>
              <w:rPr>
                <w:rFonts w:hint="eastAsia" w:cs="宋体"/>
                <w:color w:val="auto"/>
              </w:rPr>
              <w:t>竣工日期</w:t>
            </w:r>
          </w:p>
        </w:tc>
        <w:tc>
          <w:tcPr>
            <w:tcW w:w="1548" w:type="dxa"/>
            <w:gridSpan w:val="2"/>
            <w:vAlign w:val="center"/>
          </w:tcPr>
          <w:p w14:paraId="1EDCD06C">
            <w:pPr>
              <w:jc w:val="center"/>
              <w:rPr>
                <w:color w:val="auto"/>
              </w:rPr>
            </w:pPr>
          </w:p>
        </w:tc>
        <w:tc>
          <w:tcPr>
            <w:tcW w:w="1837" w:type="dxa"/>
            <w:gridSpan w:val="4"/>
            <w:vAlign w:val="center"/>
          </w:tcPr>
          <w:p w14:paraId="5792E5BA">
            <w:pPr>
              <w:jc w:val="center"/>
              <w:rPr>
                <w:color w:val="auto"/>
              </w:rPr>
            </w:pPr>
          </w:p>
        </w:tc>
        <w:tc>
          <w:tcPr>
            <w:tcW w:w="1472" w:type="dxa"/>
            <w:gridSpan w:val="3"/>
            <w:vAlign w:val="center"/>
          </w:tcPr>
          <w:p w14:paraId="4AEC2E3F">
            <w:pPr>
              <w:jc w:val="center"/>
              <w:rPr>
                <w:color w:val="auto"/>
              </w:rPr>
            </w:pPr>
          </w:p>
        </w:tc>
        <w:tc>
          <w:tcPr>
            <w:tcW w:w="1641" w:type="dxa"/>
            <w:gridSpan w:val="4"/>
            <w:vAlign w:val="center"/>
          </w:tcPr>
          <w:p w14:paraId="0F37A9E6">
            <w:pPr>
              <w:jc w:val="center"/>
              <w:rPr>
                <w:color w:val="auto"/>
              </w:rPr>
            </w:pPr>
          </w:p>
        </w:tc>
        <w:tc>
          <w:tcPr>
            <w:tcW w:w="1484" w:type="dxa"/>
            <w:gridSpan w:val="2"/>
            <w:vAlign w:val="center"/>
          </w:tcPr>
          <w:p w14:paraId="5C3D0CD4">
            <w:pPr>
              <w:jc w:val="center"/>
              <w:rPr>
                <w:color w:val="auto"/>
              </w:rPr>
            </w:pPr>
          </w:p>
        </w:tc>
      </w:tr>
      <w:tr w14:paraId="764C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98BB454">
            <w:pPr>
              <w:jc w:val="center"/>
              <w:rPr>
                <w:rFonts w:cs="宋体"/>
                <w:color w:val="auto"/>
              </w:rPr>
            </w:pPr>
            <w:r>
              <w:rPr>
                <w:rFonts w:hint="eastAsia" w:cs="宋体"/>
                <w:color w:val="auto"/>
              </w:rPr>
              <w:t>人员角色</w:t>
            </w:r>
          </w:p>
        </w:tc>
        <w:tc>
          <w:tcPr>
            <w:tcW w:w="1548" w:type="dxa"/>
            <w:gridSpan w:val="2"/>
            <w:vAlign w:val="center"/>
          </w:tcPr>
          <w:p w14:paraId="785EE758">
            <w:pPr>
              <w:jc w:val="center"/>
              <w:rPr>
                <w:color w:val="auto"/>
              </w:rPr>
            </w:pPr>
          </w:p>
        </w:tc>
        <w:tc>
          <w:tcPr>
            <w:tcW w:w="1837" w:type="dxa"/>
            <w:gridSpan w:val="4"/>
            <w:vAlign w:val="center"/>
          </w:tcPr>
          <w:p w14:paraId="757C5E1C">
            <w:pPr>
              <w:jc w:val="center"/>
              <w:rPr>
                <w:color w:val="auto"/>
              </w:rPr>
            </w:pPr>
          </w:p>
        </w:tc>
        <w:tc>
          <w:tcPr>
            <w:tcW w:w="1472" w:type="dxa"/>
            <w:gridSpan w:val="3"/>
            <w:vAlign w:val="center"/>
          </w:tcPr>
          <w:p w14:paraId="3E958607">
            <w:pPr>
              <w:jc w:val="center"/>
              <w:rPr>
                <w:color w:val="auto"/>
              </w:rPr>
            </w:pPr>
          </w:p>
        </w:tc>
        <w:tc>
          <w:tcPr>
            <w:tcW w:w="1641" w:type="dxa"/>
            <w:gridSpan w:val="4"/>
            <w:vAlign w:val="center"/>
          </w:tcPr>
          <w:p w14:paraId="1004F752">
            <w:pPr>
              <w:jc w:val="center"/>
              <w:rPr>
                <w:color w:val="auto"/>
              </w:rPr>
            </w:pPr>
          </w:p>
        </w:tc>
        <w:tc>
          <w:tcPr>
            <w:tcW w:w="1484" w:type="dxa"/>
            <w:gridSpan w:val="2"/>
            <w:vAlign w:val="center"/>
          </w:tcPr>
          <w:p w14:paraId="5877BAEF">
            <w:pPr>
              <w:jc w:val="center"/>
              <w:rPr>
                <w:color w:val="auto"/>
              </w:rPr>
            </w:pPr>
          </w:p>
        </w:tc>
      </w:tr>
      <w:tr w14:paraId="3832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2CA4BA8">
            <w:pPr>
              <w:jc w:val="center"/>
              <w:rPr>
                <w:rFonts w:cs="宋体"/>
                <w:color w:val="auto"/>
              </w:rPr>
            </w:pPr>
            <w:r>
              <w:rPr>
                <w:rFonts w:hint="eastAsia" w:cs="宋体"/>
                <w:color w:val="auto"/>
              </w:rPr>
              <w:t>在建或已完</w:t>
            </w:r>
          </w:p>
        </w:tc>
        <w:tc>
          <w:tcPr>
            <w:tcW w:w="1548" w:type="dxa"/>
            <w:gridSpan w:val="2"/>
            <w:vAlign w:val="center"/>
          </w:tcPr>
          <w:p w14:paraId="79AEE2DD">
            <w:pPr>
              <w:jc w:val="center"/>
              <w:rPr>
                <w:color w:val="auto"/>
              </w:rPr>
            </w:pPr>
          </w:p>
        </w:tc>
        <w:tc>
          <w:tcPr>
            <w:tcW w:w="1837" w:type="dxa"/>
            <w:gridSpan w:val="4"/>
            <w:vAlign w:val="center"/>
          </w:tcPr>
          <w:p w14:paraId="132DD4B3">
            <w:pPr>
              <w:jc w:val="center"/>
              <w:rPr>
                <w:color w:val="auto"/>
              </w:rPr>
            </w:pPr>
          </w:p>
        </w:tc>
        <w:tc>
          <w:tcPr>
            <w:tcW w:w="1472" w:type="dxa"/>
            <w:gridSpan w:val="3"/>
            <w:vAlign w:val="center"/>
          </w:tcPr>
          <w:p w14:paraId="6989F946">
            <w:pPr>
              <w:jc w:val="center"/>
              <w:rPr>
                <w:color w:val="auto"/>
              </w:rPr>
            </w:pPr>
          </w:p>
        </w:tc>
        <w:tc>
          <w:tcPr>
            <w:tcW w:w="1641" w:type="dxa"/>
            <w:gridSpan w:val="4"/>
            <w:vAlign w:val="center"/>
          </w:tcPr>
          <w:p w14:paraId="0E5D1516">
            <w:pPr>
              <w:jc w:val="center"/>
              <w:rPr>
                <w:color w:val="auto"/>
              </w:rPr>
            </w:pPr>
          </w:p>
        </w:tc>
        <w:tc>
          <w:tcPr>
            <w:tcW w:w="1484" w:type="dxa"/>
            <w:gridSpan w:val="2"/>
            <w:vAlign w:val="center"/>
          </w:tcPr>
          <w:p w14:paraId="3066D145">
            <w:pPr>
              <w:jc w:val="center"/>
              <w:rPr>
                <w:color w:val="auto"/>
              </w:rPr>
            </w:pPr>
          </w:p>
        </w:tc>
      </w:tr>
      <w:tr w14:paraId="502F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EC8A61C">
            <w:pPr>
              <w:jc w:val="center"/>
              <w:rPr>
                <w:rFonts w:cs="宋体"/>
                <w:color w:val="auto"/>
              </w:rPr>
            </w:pPr>
            <w:r>
              <w:rPr>
                <w:rFonts w:hint="eastAsia" w:cs="宋体"/>
                <w:color w:val="auto"/>
              </w:rPr>
              <w:t>工程质量</w:t>
            </w:r>
          </w:p>
        </w:tc>
        <w:tc>
          <w:tcPr>
            <w:tcW w:w="1548" w:type="dxa"/>
            <w:gridSpan w:val="2"/>
            <w:vAlign w:val="center"/>
          </w:tcPr>
          <w:p w14:paraId="1A29BCD9">
            <w:pPr>
              <w:jc w:val="center"/>
              <w:rPr>
                <w:color w:val="auto"/>
              </w:rPr>
            </w:pPr>
          </w:p>
        </w:tc>
        <w:tc>
          <w:tcPr>
            <w:tcW w:w="1837" w:type="dxa"/>
            <w:gridSpan w:val="4"/>
            <w:vAlign w:val="center"/>
          </w:tcPr>
          <w:p w14:paraId="7C7DCA22">
            <w:pPr>
              <w:jc w:val="center"/>
              <w:rPr>
                <w:color w:val="auto"/>
              </w:rPr>
            </w:pPr>
          </w:p>
        </w:tc>
        <w:tc>
          <w:tcPr>
            <w:tcW w:w="1472" w:type="dxa"/>
            <w:gridSpan w:val="3"/>
            <w:vAlign w:val="center"/>
          </w:tcPr>
          <w:p w14:paraId="769F474C">
            <w:pPr>
              <w:jc w:val="center"/>
              <w:rPr>
                <w:color w:val="auto"/>
              </w:rPr>
            </w:pPr>
          </w:p>
        </w:tc>
        <w:tc>
          <w:tcPr>
            <w:tcW w:w="1641" w:type="dxa"/>
            <w:gridSpan w:val="4"/>
            <w:vAlign w:val="center"/>
          </w:tcPr>
          <w:p w14:paraId="0994792A">
            <w:pPr>
              <w:jc w:val="center"/>
              <w:rPr>
                <w:color w:val="auto"/>
              </w:rPr>
            </w:pPr>
          </w:p>
        </w:tc>
        <w:tc>
          <w:tcPr>
            <w:tcW w:w="1484" w:type="dxa"/>
            <w:gridSpan w:val="2"/>
            <w:vAlign w:val="center"/>
          </w:tcPr>
          <w:p w14:paraId="5FF5CFCE">
            <w:pPr>
              <w:jc w:val="center"/>
              <w:rPr>
                <w:color w:val="auto"/>
              </w:rPr>
            </w:pPr>
          </w:p>
        </w:tc>
      </w:tr>
      <w:tr w14:paraId="39E2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3903267">
            <w:pPr>
              <w:jc w:val="center"/>
              <w:rPr>
                <w:rFonts w:cs="宋体"/>
                <w:color w:val="auto"/>
              </w:rPr>
            </w:pPr>
            <w:r>
              <w:rPr>
                <w:rFonts w:hint="eastAsia" w:cs="宋体"/>
                <w:color w:val="auto"/>
              </w:rPr>
              <w:t>受奖情况</w:t>
            </w:r>
          </w:p>
        </w:tc>
        <w:tc>
          <w:tcPr>
            <w:tcW w:w="1548" w:type="dxa"/>
            <w:gridSpan w:val="2"/>
            <w:vAlign w:val="center"/>
          </w:tcPr>
          <w:p w14:paraId="45DB46CB">
            <w:pPr>
              <w:jc w:val="center"/>
              <w:rPr>
                <w:color w:val="auto"/>
              </w:rPr>
            </w:pPr>
          </w:p>
        </w:tc>
        <w:tc>
          <w:tcPr>
            <w:tcW w:w="1837" w:type="dxa"/>
            <w:gridSpan w:val="4"/>
            <w:vAlign w:val="center"/>
          </w:tcPr>
          <w:p w14:paraId="2D784141">
            <w:pPr>
              <w:jc w:val="center"/>
              <w:rPr>
                <w:color w:val="auto"/>
              </w:rPr>
            </w:pPr>
          </w:p>
        </w:tc>
        <w:tc>
          <w:tcPr>
            <w:tcW w:w="1472" w:type="dxa"/>
            <w:gridSpan w:val="3"/>
            <w:vAlign w:val="center"/>
          </w:tcPr>
          <w:p w14:paraId="10E7B160">
            <w:pPr>
              <w:jc w:val="center"/>
              <w:rPr>
                <w:color w:val="auto"/>
              </w:rPr>
            </w:pPr>
          </w:p>
        </w:tc>
        <w:tc>
          <w:tcPr>
            <w:tcW w:w="1641" w:type="dxa"/>
            <w:gridSpan w:val="4"/>
            <w:vAlign w:val="center"/>
          </w:tcPr>
          <w:p w14:paraId="0B539A89">
            <w:pPr>
              <w:jc w:val="center"/>
              <w:rPr>
                <w:color w:val="auto"/>
              </w:rPr>
            </w:pPr>
          </w:p>
        </w:tc>
        <w:tc>
          <w:tcPr>
            <w:tcW w:w="1484" w:type="dxa"/>
            <w:gridSpan w:val="2"/>
            <w:vAlign w:val="center"/>
          </w:tcPr>
          <w:p w14:paraId="526C3AAC">
            <w:pPr>
              <w:jc w:val="center"/>
              <w:rPr>
                <w:color w:val="auto"/>
              </w:rPr>
            </w:pPr>
          </w:p>
        </w:tc>
      </w:tr>
    </w:tbl>
    <w:p w14:paraId="292C6992">
      <w:pPr>
        <w:rPr>
          <w:rFonts w:ascii="宋体" w:hAnsi="宋体"/>
          <w:color w:val="auto"/>
          <w:szCs w:val="21"/>
        </w:rPr>
      </w:pPr>
      <w:r>
        <w:rPr>
          <w:rFonts w:hint="eastAsia" w:ascii="宋体" w:hAnsi="宋体" w:cs="楷体_GB2312"/>
          <w:color w:val="auto"/>
          <w:szCs w:val="21"/>
        </w:rPr>
        <w:t>备注：</w:t>
      </w:r>
    </w:p>
    <w:p w14:paraId="1BF6E984">
      <w:pPr>
        <w:spacing w:line="360" w:lineRule="auto"/>
        <w:ind w:firstLine="420" w:firstLineChars="200"/>
        <w:rPr>
          <w:rFonts w:ascii="宋体" w:hAnsi="宋体"/>
          <w:color w:val="auto"/>
          <w:szCs w:val="21"/>
        </w:rPr>
      </w:pPr>
      <w:r>
        <w:rPr>
          <w:rFonts w:hint="eastAsia" w:ascii="宋体" w:hAnsi="宋体"/>
          <w:color w:val="auto"/>
          <w:szCs w:val="21"/>
        </w:rPr>
        <w:t>1.项目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r>
        <w:rPr>
          <w:rFonts w:hint="eastAsia" w:ascii="宋体" w:hAnsi="宋体"/>
          <w:color w:val="auto"/>
          <w:szCs w:val="21"/>
        </w:rPr>
        <w:t>。</w:t>
      </w:r>
    </w:p>
    <w:p w14:paraId="16101CC6">
      <w:pPr>
        <w:pStyle w:val="18"/>
        <w:ind w:firstLine="420" w:firstLineChars="200"/>
        <w:rPr>
          <w:color w:val="auto"/>
        </w:rPr>
      </w:pPr>
      <w:r>
        <w:rPr>
          <w:rFonts w:hint="eastAsia" w:ascii="宋体" w:hAnsi="宋体"/>
          <w:color w:val="auto"/>
          <w:szCs w:val="21"/>
        </w:rPr>
        <w:t>2.本表后附项目经理的</w:t>
      </w:r>
      <w:r>
        <w:rPr>
          <w:color w:val="auto"/>
        </w:rPr>
        <w:t>执业资格证书复印件（或打印件）、职称证书复印件（或打印件）</w:t>
      </w:r>
      <w:r>
        <w:rPr>
          <w:rFonts w:hint="eastAsia" w:ascii="宋体" w:hAnsi="宋体"/>
          <w:color w:val="auto"/>
          <w:szCs w:val="21"/>
        </w:rPr>
        <w:t>、安全生产考核合格证（B类）</w:t>
      </w:r>
      <w:r>
        <w:rPr>
          <w:color w:val="auto"/>
        </w:rPr>
        <w:t>复印件（或打印件）</w:t>
      </w:r>
      <w:r>
        <w:rPr>
          <w:rFonts w:hint="eastAsia" w:ascii="宋体" w:hAnsi="宋体"/>
          <w:color w:val="auto"/>
          <w:szCs w:val="21"/>
        </w:rPr>
        <w:t>，本表所列证书材料并加盖供应商电子签章。</w:t>
      </w:r>
    </w:p>
    <w:p w14:paraId="20B6D78F">
      <w:pPr>
        <w:spacing w:before="156" w:beforeLines="50"/>
        <w:ind w:firstLine="643" w:firstLineChars="200"/>
        <w:jc w:val="center"/>
        <w:rPr>
          <w:color w:val="auto"/>
          <w:sz w:val="28"/>
          <w:szCs w:val="28"/>
          <w:u w:val="single"/>
        </w:rPr>
      </w:pPr>
      <w:r>
        <w:rPr>
          <w:rFonts w:cs="宋体"/>
          <w:b/>
          <w:color w:val="auto"/>
          <w:sz w:val="32"/>
          <w:szCs w:val="32"/>
        </w:rPr>
        <w:br w:type="page"/>
      </w:r>
      <w:r>
        <w:rPr>
          <w:rFonts w:hint="eastAsia" w:cs="宋体"/>
          <w:b/>
          <w:color w:val="auto"/>
          <w:sz w:val="28"/>
          <w:szCs w:val="28"/>
        </w:rPr>
        <w:t>项目技术负责人（项目总工）简历表</w:t>
      </w:r>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2B9C5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7B4CAD59">
            <w:pPr>
              <w:jc w:val="center"/>
              <w:rPr>
                <w:color w:val="auto"/>
              </w:rPr>
            </w:pPr>
            <w:r>
              <w:rPr>
                <w:rFonts w:hint="eastAsia" w:cs="宋体"/>
                <w:color w:val="auto"/>
              </w:rPr>
              <w:t>姓名</w:t>
            </w:r>
          </w:p>
        </w:tc>
        <w:tc>
          <w:tcPr>
            <w:tcW w:w="2340" w:type="dxa"/>
            <w:gridSpan w:val="5"/>
            <w:vAlign w:val="center"/>
          </w:tcPr>
          <w:p w14:paraId="241931AF">
            <w:pPr>
              <w:jc w:val="center"/>
              <w:rPr>
                <w:color w:val="auto"/>
              </w:rPr>
            </w:pPr>
          </w:p>
        </w:tc>
        <w:tc>
          <w:tcPr>
            <w:tcW w:w="1893" w:type="dxa"/>
            <w:gridSpan w:val="5"/>
            <w:vAlign w:val="center"/>
          </w:tcPr>
          <w:p w14:paraId="0C00EE8D">
            <w:pPr>
              <w:jc w:val="center"/>
              <w:rPr>
                <w:color w:val="auto"/>
              </w:rPr>
            </w:pPr>
            <w:r>
              <w:rPr>
                <w:rFonts w:hint="eastAsia" w:cs="宋体"/>
                <w:color w:val="auto"/>
              </w:rPr>
              <w:t>性别</w:t>
            </w:r>
          </w:p>
        </w:tc>
        <w:tc>
          <w:tcPr>
            <w:tcW w:w="1585" w:type="dxa"/>
            <w:gridSpan w:val="3"/>
            <w:vAlign w:val="center"/>
          </w:tcPr>
          <w:p w14:paraId="7AD4792E">
            <w:pPr>
              <w:jc w:val="center"/>
              <w:rPr>
                <w:color w:val="auto"/>
              </w:rPr>
            </w:pPr>
          </w:p>
        </w:tc>
        <w:tc>
          <w:tcPr>
            <w:tcW w:w="1108" w:type="dxa"/>
            <w:vAlign w:val="center"/>
          </w:tcPr>
          <w:p w14:paraId="5A5218AF">
            <w:pPr>
              <w:jc w:val="center"/>
              <w:rPr>
                <w:color w:val="auto"/>
              </w:rPr>
            </w:pPr>
            <w:r>
              <w:rPr>
                <w:rFonts w:hint="eastAsia" w:cs="宋体"/>
                <w:color w:val="auto"/>
              </w:rPr>
              <w:t>年龄</w:t>
            </w:r>
          </w:p>
        </w:tc>
        <w:tc>
          <w:tcPr>
            <w:tcW w:w="1531" w:type="dxa"/>
            <w:gridSpan w:val="4"/>
            <w:vAlign w:val="center"/>
          </w:tcPr>
          <w:p w14:paraId="12E7767A">
            <w:pPr>
              <w:jc w:val="center"/>
              <w:rPr>
                <w:color w:val="auto"/>
              </w:rPr>
            </w:pPr>
          </w:p>
        </w:tc>
      </w:tr>
      <w:tr w14:paraId="53B1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9F2B95E">
            <w:pPr>
              <w:jc w:val="center"/>
              <w:rPr>
                <w:color w:val="auto"/>
              </w:rPr>
            </w:pPr>
            <w:r>
              <w:rPr>
                <w:rFonts w:hint="eastAsia" w:cs="宋体"/>
                <w:color w:val="auto"/>
              </w:rPr>
              <w:t>岗位</w:t>
            </w:r>
          </w:p>
        </w:tc>
        <w:tc>
          <w:tcPr>
            <w:tcW w:w="2340" w:type="dxa"/>
            <w:gridSpan w:val="5"/>
            <w:vAlign w:val="center"/>
          </w:tcPr>
          <w:p w14:paraId="515AABDC">
            <w:pPr>
              <w:jc w:val="center"/>
              <w:rPr>
                <w:color w:val="auto"/>
              </w:rPr>
            </w:pPr>
            <w:r>
              <w:rPr>
                <w:rFonts w:hint="eastAsia"/>
                <w:color w:val="auto"/>
              </w:rPr>
              <w:t>项目技术负责人（项目总工）</w:t>
            </w:r>
          </w:p>
        </w:tc>
        <w:tc>
          <w:tcPr>
            <w:tcW w:w="1893" w:type="dxa"/>
            <w:gridSpan w:val="5"/>
            <w:vAlign w:val="center"/>
          </w:tcPr>
          <w:p w14:paraId="084515C8">
            <w:pPr>
              <w:jc w:val="center"/>
              <w:rPr>
                <w:color w:val="auto"/>
              </w:rPr>
            </w:pPr>
            <w:r>
              <w:rPr>
                <w:rFonts w:hint="eastAsia" w:cs="宋体"/>
                <w:color w:val="auto"/>
              </w:rPr>
              <w:t>职称</w:t>
            </w:r>
          </w:p>
        </w:tc>
        <w:tc>
          <w:tcPr>
            <w:tcW w:w="1585" w:type="dxa"/>
            <w:gridSpan w:val="3"/>
            <w:vAlign w:val="center"/>
          </w:tcPr>
          <w:p w14:paraId="44C173AD">
            <w:pPr>
              <w:jc w:val="center"/>
              <w:rPr>
                <w:color w:val="auto"/>
              </w:rPr>
            </w:pPr>
          </w:p>
        </w:tc>
        <w:tc>
          <w:tcPr>
            <w:tcW w:w="1108" w:type="dxa"/>
            <w:vAlign w:val="center"/>
          </w:tcPr>
          <w:p w14:paraId="3AD6410F">
            <w:pPr>
              <w:jc w:val="center"/>
              <w:rPr>
                <w:color w:val="auto"/>
              </w:rPr>
            </w:pPr>
            <w:r>
              <w:rPr>
                <w:rFonts w:hint="eastAsia" w:cs="宋体"/>
                <w:color w:val="auto"/>
              </w:rPr>
              <w:t>学历</w:t>
            </w:r>
          </w:p>
        </w:tc>
        <w:tc>
          <w:tcPr>
            <w:tcW w:w="1531" w:type="dxa"/>
            <w:gridSpan w:val="4"/>
            <w:vAlign w:val="center"/>
          </w:tcPr>
          <w:p w14:paraId="57326671">
            <w:pPr>
              <w:jc w:val="center"/>
              <w:rPr>
                <w:color w:val="auto"/>
              </w:rPr>
            </w:pPr>
          </w:p>
        </w:tc>
      </w:tr>
      <w:tr w14:paraId="38C0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76DC0C63">
            <w:pPr>
              <w:jc w:val="center"/>
              <w:rPr>
                <w:rFonts w:cs="宋体"/>
                <w:color w:val="auto"/>
              </w:rPr>
            </w:pPr>
            <w:r>
              <w:rPr>
                <w:rFonts w:hint="eastAsia" w:cs="宋体"/>
                <w:color w:val="auto"/>
              </w:rPr>
              <w:t>从业开始时间</w:t>
            </w:r>
          </w:p>
        </w:tc>
        <w:tc>
          <w:tcPr>
            <w:tcW w:w="2340" w:type="dxa"/>
            <w:gridSpan w:val="5"/>
            <w:vAlign w:val="center"/>
          </w:tcPr>
          <w:p w14:paraId="7CA73450">
            <w:pPr>
              <w:jc w:val="center"/>
              <w:rPr>
                <w:color w:val="auto"/>
              </w:rPr>
            </w:pPr>
          </w:p>
        </w:tc>
        <w:tc>
          <w:tcPr>
            <w:tcW w:w="1893" w:type="dxa"/>
            <w:gridSpan w:val="5"/>
            <w:vAlign w:val="center"/>
          </w:tcPr>
          <w:p w14:paraId="2B5B1584">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vAlign w:val="center"/>
          </w:tcPr>
          <w:p w14:paraId="2A6F7950">
            <w:pPr>
              <w:jc w:val="center"/>
              <w:rPr>
                <w:color w:val="auto"/>
              </w:rPr>
            </w:pPr>
          </w:p>
        </w:tc>
        <w:tc>
          <w:tcPr>
            <w:tcW w:w="1108" w:type="dxa"/>
            <w:vAlign w:val="center"/>
          </w:tcPr>
          <w:p w14:paraId="44EF968C">
            <w:pPr>
              <w:jc w:val="center"/>
              <w:rPr>
                <w:rFonts w:cs="宋体"/>
                <w:color w:val="auto"/>
              </w:rPr>
            </w:pPr>
            <w:r>
              <w:rPr>
                <w:rFonts w:hint="eastAsia" w:cs="宋体"/>
                <w:color w:val="auto"/>
              </w:rPr>
              <w:t>毕业时间</w:t>
            </w:r>
          </w:p>
        </w:tc>
        <w:tc>
          <w:tcPr>
            <w:tcW w:w="1531" w:type="dxa"/>
            <w:gridSpan w:val="4"/>
            <w:vAlign w:val="center"/>
          </w:tcPr>
          <w:p w14:paraId="2F04D1B7">
            <w:pPr>
              <w:jc w:val="center"/>
              <w:rPr>
                <w:color w:val="auto"/>
              </w:rPr>
            </w:pPr>
          </w:p>
        </w:tc>
      </w:tr>
      <w:tr w14:paraId="2A2E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5CFB222D">
            <w:pPr>
              <w:jc w:val="center"/>
              <w:rPr>
                <w:color w:val="auto"/>
              </w:rPr>
            </w:pPr>
            <w:r>
              <w:rPr>
                <w:rFonts w:hint="eastAsia" w:cs="宋体"/>
                <w:color w:val="auto"/>
              </w:rPr>
              <w:t>担任</w:t>
            </w:r>
            <w:r>
              <w:rPr>
                <w:rFonts w:hint="eastAsia"/>
                <w:color w:val="auto"/>
              </w:rPr>
              <w:t>……</w:t>
            </w:r>
            <w:r>
              <w:rPr>
                <w:rFonts w:hint="eastAsia" w:cs="宋体"/>
                <w:color w:val="auto"/>
              </w:rPr>
              <w:t>年限</w:t>
            </w:r>
          </w:p>
        </w:tc>
        <w:tc>
          <w:tcPr>
            <w:tcW w:w="2476" w:type="dxa"/>
            <w:gridSpan w:val="6"/>
            <w:vAlign w:val="center"/>
          </w:tcPr>
          <w:p w14:paraId="196E7491">
            <w:pPr>
              <w:jc w:val="center"/>
              <w:rPr>
                <w:color w:val="auto"/>
              </w:rPr>
            </w:pPr>
          </w:p>
        </w:tc>
        <w:tc>
          <w:tcPr>
            <w:tcW w:w="1209" w:type="dxa"/>
            <w:vAlign w:val="center"/>
          </w:tcPr>
          <w:p w14:paraId="58BD772F">
            <w:pPr>
              <w:jc w:val="center"/>
              <w:rPr>
                <w:color w:val="auto"/>
              </w:rPr>
            </w:pPr>
            <w:r>
              <w:rPr>
                <w:rFonts w:hint="eastAsia"/>
                <w:color w:val="auto"/>
              </w:rPr>
              <w:t>身份</w:t>
            </w:r>
            <w:r>
              <w:rPr>
                <w:color w:val="auto"/>
              </w:rPr>
              <w:t>证号码</w:t>
            </w:r>
          </w:p>
        </w:tc>
        <w:tc>
          <w:tcPr>
            <w:tcW w:w="4608" w:type="dxa"/>
            <w:gridSpan w:val="10"/>
            <w:vAlign w:val="center"/>
          </w:tcPr>
          <w:p w14:paraId="64B24514">
            <w:pPr>
              <w:jc w:val="center"/>
              <w:rPr>
                <w:color w:val="auto"/>
              </w:rPr>
            </w:pPr>
          </w:p>
        </w:tc>
      </w:tr>
      <w:tr w14:paraId="5196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B516AFB">
            <w:pPr>
              <w:jc w:val="center"/>
              <w:rPr>
                <w:color w:val="auto"/>
              </w:rPr>
            </w:pPr>
            <w:r>
              <w:rPr>
                <w:rFonts w:hint="eastAsia"/>
                <w:color w:val="auto"/>
              </w:rPr>
              <w:t>证书名称</w:t>
            </w:r>
          </w:p>
        </w:tc>
        <w:tc>
          <w:tcPr>
            <w:tcW w:w="1188" w:type="dxa"/>
            <w:gridSpan w:val="2"/>
            <w:vAlign w:val="center"/>
          </w:tcPr>
          <w:p w14:paraId="44D496BE">
            <w:pPr>
              <w:jc w:val="center"/>
              <w:rPr>
                <w:color w:val="auto"/>
              </w:rPr>
            </w:pPr>
            <w:r>
              <w:rPr>
                <w:rFonts w:hint="eastAsia"/>
                <w:color w:val="auto"/>
              </w:rPr>
              <w:t>注册专业</w:t>
            </w:r>
          </w:p>
        </w:tc>
        <w:tc>
          <w:tcPr>
            <w:tcW w:w="1222" w:type="dxa"/>
            <w:gridSpan w:val="3"/>
            <w:vAlign w:val="center"/>
          </w:tcPr>
          <w:p w14:paraId="64CCEF74">
            <w:pPr>
              <w:jc w:val="center"/>
              <w:rPr>
                <w:color w:val="auto"/>
              </w:rPr>
            </w:pPr>
            <w:r>
              <w:rPr>
                <w:color w:val="auto"/>
              </w:rPr>
              <w:t>级别</w:t>
            </w:r>
          </w:p>
        </w:tc>
        <w:tc>
          <w:tcPr>
            <w:tcW w:w="1417" w:type="dxa"/>
            <w:gridSpan w:val="3"/>
            <w:vAlign w:val="center"/>
          </w:tcPr>
          <w:p w14:paraId="55041E13">
            <w:pPr>
              <w:jc w:val="center"/>
              <w:rPr>
                <w:color w:val="auto"/>
              </w:rPr>
            </w:pPr>
            <w:r>
              <w:rPr>
                <w:rFonts w:hint="eastAsia" w:cs="宋体"/>
                <w:color w:val="auto"/>
              </w:rPr>
              <w:t>证书编号</w:t>
            </w:r>
          </w:p>
        </w:tc>
        <w:tc>
          <w:tcPr>
            <w:tcW w:w="1418" w:type="dxa"/>
            <w:gridSpan w:val="3"/>
            <w:vAlign w:val="center"/>
          </w:tcPr>
          <w:p w14:paraId="363C97C8">
            <w:pPr>
              <w:jc w:val="center"/>
              <w:rPr>
                <w:color w:val="auto"/>
              </w:rPr>
            </w:pPr>
            <w:r>
              <w:rPr>
                <w:rFonts w:hint="eastAsia"/>
                <w:color w:val="auto"/>
              </w:rPr>
              <w:t>注册时间</w:t>
            </w:r>
          </w:p>
        </w:tc>
        <w:tc>
          <w:tcPr>
            <w:tcW w:w="1632" w:type="dxa"/>
            <w:gridSpan w:val="4"/>
            <w:vAlign w:val="center"/>
          </w:tcPr>
          <w:p w14:paraId="5BA212FD">
            <w:pPr>
              <w:jc w:val="center"/>
              <w:rPr>
                <w:color w:val="auto"/>
              </w:rPr>
            </w:pPr>
            <w:r>
              <w:rPr>
                <w:rFonts w:hint="eastAsia"/>
                <w:color w:val="auto"/>
              </w:rPr>
              <w:t>注册单位</w:t>
            </w:r>
          </w:p>
        </w:tc>
        <w:tc>
          <w:tcPr>
            <w:tcW w:w="1416" w:type="dxa"/>
            <w:gridSpan w:val="2"/>
            <w:vAlign w:val="center"/>
          </w:tcPr>
          <w:p w14:paraId="6F606411">
            <w:pPr>
              <w:jc w:val="center"/>
              <w:rPr>
                <w:color w:val="auto"/>
              </w:rPr>
            </w:pPr>
            <w:r>
              <w:rPr>
                <w:rFonts w:hint="eastAsia"/>
                <w:color w:val="auto"/>
              </w:rPr>
              <w:t>注册有效期</w:t>
            </w:r>
          </w:p>
        </w:tc>
      </w:tr>
      <w:tr w14:paraId="67CC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1BDAC7C3">
            <w:pPr>
              <w:jc w:val="center"/>
              <w:rPr>
                <w:color w:val="auto"/>
              </w:rPr>
            </w:pPr>
          </w:p>
        </w:tc>
        <w:tc>
          <w:tcPr>
            <w:tcW w:w="1188" w:type="dxa"/>
            <w:gridSpan w:val="2"/>
            <w:vAlign w:val="center"/>
          </w:tcPr>
          <w:p w14:paraId="6F739B6B">
            <w:pPr>
              <w:jc w:val="center"/>
              <w:rPr>
                <w:color w:val="auto"/>
              </w:rPr>
            </w:pPr>
          </w:p>
        </w:tc>
        <w:tc>
          <w:tcPr>
            <w:tcW w:w="1222" w:type="dxa"/>
            <w:gridSpan w:val="3"/>
            <w:vAlign w:val="center"/>
          </w:tcPr>
          <w:p w14:paraId="08C408CA">
            <w:pPr>
              <w:jc w:val="center"/>
              <w:rPr>
                <w:rFonts w:cs="宋体"/>
                <w:color w:val="auto"/>
              </w:rPr>
            </w:pPr>
          </w:p>
        </w:tc>
        <w:tc>
          <w:tcPr>
            <w:tcW w:w="1417" w:type="dxa"/>
            <w:gridSpan w:val="3"/>
            <w:vAlign w:val="center"/>
          </w:tcPr>
          <w:p w14:paraId="4B912B84">
            <w:pPr>
              <w:jc w:val="center"/>
              <w:rPr>
                <w:color w:val="auto"/>
              </w:rPr>
            </w:pPr>
          </w:p>
        </w:tc>
        <w:tc>
          <w:tcPr>
            <w:tcW w:w="1418" w:type="dxa"/>
            <w:gridSpan w:val="3"/>
            <w:vAlign w:val="center"/>
          </w:tcPr>
          <w:p w14:paraId="2F308296">
            <w:pPr>
              <w:jc w:val="center"/>
              <w:rPr>
                <w:color w:val="auto"/>
              </w:rPr>
            </w:pPr>
          </w:p>
        </w:tc>
        <w:tc>
          <w:tcPr>
            <w:tcW w:w="1632" w:type="dxa"/>
            <w:gridSpan w:val="4"/>
            <w:vAlign w:val="center"/>
          </w:tcPr>
          <w:p w14:paraId="7B6AE6E4">
            <w:pPr>
              <w:jc w:val="center"/>
              <w:rPr>
                <w:color w:val="auto"/>
              </w:rPr>
            </w:pPr>
          </w:p>
        </w:tc>
        <w:tc>
          <w:tcPr>
            <w:tcW w:w="1416" w:type="dxa"/>
            <w:gridSpan w:val="2"/>
            <w:vAlign w:val="center"/>
          </w:tcPr>
          <w:p w14:paraId="2C30CF6A">
            <w:pPr>
              <w:jc w:val="center"/>
              <w:rPr>
                <w:color w:val="auto"/>
              </w:rPr>
            </w:pPr>
          </w:p>
        </w:tc>
      </w:tr>
      <w:tr w14:paraId="3AD1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FEA5CCA">
            <w:pPr>
              <w:jc w:val="center"/>
              <w:rPr>
                <w:color w:val="auto"/>
              </w:rPr>
            </w:pPr>
          </w:p>
        </w:tc>
        <w:tc>
          <w:tcPr>
            <w:tcW w:w="1188" w:type="dxa"/>
            <w:gridSpan w:val="2"/>
            <w:vAlign w:val="center"/>
          </w:tcPr>
          <w:p w14:paraId="24200D66">
            <w:pPr>
              <w:jc w:val="center"/>
              <w:rPr>
                <w:color w:val="auto"/>
              </w:rPr>
            </w:pPr>
          </w:p>
        </w:tc>
        <w:tc>
          <w:tcPr>
            <w:tcW w:w="1222" w:type="dxa"/>
            <w:gridSpan w:val="3"/>
            <w:vAlign w:val="center"/>
          </w:tcPr>
          <w:p w14:paraId="40D97BC0">
            <w:pPr>
              <w:jc w:val="center"/>
              <w:rPr>
                <w:rFonts w:cs="宋体"/>
                <w:color w:val="auto"/>
              </w:rPr>
            </w:pPr>
          </w:p>
        </w:tc>
        <w:tc>
          <w:tcPr>
            <w:tcW w:w="1417" w:type="dxa"/>
            <w:gridSpan w:val="3"/>
            <w:vAlign w:val="center"/>
          </w:tcPr>
          <w:p w14:paraId="6FB6952A">
            <w:pPr>
              <w:jc w:val="center"/>
              <w:rPr>
                <w:color w:val="auto"/>
              </w:rPr>
            </w:pPr>
          </w:p>
        </w:tc>
        <w:tc>
          <w:tcPr>
            <w:tcW w:w="1418" w:type="dxa"/>
            <w:gridSpan w:val="3"/>
            <w:vAlign w:val="center"/>
          </w:tcPr>
          <w:p w14:paraId="16244953">
            <w:pPr>
              <w:jc w:val="center"/>
              <w:rPr>
                <w:color w:val="auto"/>
              </w:rPr>
            </w:pPr>
          </w:p>
        </w:tc>
        <w:tc>
          <w:tcPr>
            <w:tcW w:w="1632" w:type="dxa"/>
            <w:gridSpan w:val="4"/>
            <w:vAlign w:val="center"/>
          </w:tcPr>
          <w:p w14:paraId="43068910">
            <w:pPr>
              <w:jc w:val="center"/>
              <w:rPr>
                <w:color w:val="auto"/>
              </w:rPr>
            </w:pPr>
          </w:p>
        </w:tc>
        <w:tc>
          <w:tcPr>
            <w:tcW w:w="1416" w:type="dxa"/>
            <w:gridSpan w:val="2"/>
            <w:vAlign w:val="center"/>
          </w:tcPr>
          <w:p w14:paraId="6B5C8881">
            <w:pPr>
              <w:jc w:val="center"/>
              <w:rPr>
                <w:color w:val="auto"/>
              </w:rPr>
            </w:pPr>
          </w:p>
        </w:tc>
      </w:tr>
      <w:tr w14:paraId="5B94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02AFB9B9">
            <w:pPr>
              <w:jc w:val="center"/>
              <w:rPr>
                <w:color w:val="auto"/>
              </w:rPr>
            </w:pPr>
            <w:r>
              <w:rPr>
                <w:rFonts w:hint="eastAsia" w:cs="宋体"/>
                <w:color w:val="auto"/>
              </w:rPr>
              <w:t>在建和已完工程项目情况</w:t>
            </w:r>
          </w:p>
        </w:tc>
      </w:tr>
      <w:tr w14:paraId="6C45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101D77F1">
            <w:pPr>
              <w:jc w:val="center"/>
              <w:rPr>
                <w:color w:val="auto"/>
              </w:rPr>
            </w:pPr>
          </w:p>
        </w:tc>
        <w:tc>
          <w:tcPr>
            <w:tcW w:w="1548" w:type="dxa"/>
            <w:gridSpan w:val="2"/>
            <w:vAlign w:val="center"/>
          </w:tcPr>
          <w:p w14:paraId="7211E4F6">
            <w:pPr>
              <w:jc w:val="center"/>
              <w:rPr>
                <w:color w:val="auto"/>
              </w:rPr>
            </w:pPr>
            <w:r>
              <w:rPr>
                <w:rFonts w:hint="eastAsia"/>
                <w:color w:val="auto"/>
              </w:rPr>
              <w:t>项目1</w:t>
            </w:r>
          </w:p>
        </w:tc>
        <w:tc>
          <w:tcPr>
            <w:tcW w:w="1837" w:type="dxa"/>
            <w:gridSpan w:val="4"/>
            <w:vAlign w:val="center"/>
          </w:tcPr>
          <w:p w14:paraId="2B2C02FF">
            <w:pPr>
              <w:jc w:val="center"/>
              <w:rPr>
                <w:color w:val="auto"/>
              </w:rPr>
            </w:pPr>
            <w:r>
              <w:rPr>
                <w:rFonts w:hint="eastAsia"/>
                <w:color w:val="auto"/>
              </w:rPr>
              <w:t>项目2</w:t>
            </w:r>
          </w:p>
        </w:tc>
        <w:tc>
          <w:tcPr>
            <w:tcW w:w="1472" w:type="dxa"/>
            <w:gridSpan w:val="3"/>
            <w:vAlign w:val="center"/>
          </w:tcPr>
          <w:p w14:paraId="756BBD82">
            <w:pPr>
              <w:jc w:val="center"/>
              <w:rPr>
                <w:color w:val="auto"/>
              </w:rPr>
            </w:pPr>
            <w:r>
              <w:rPr>
                <w:rFonts w:hint="eastAsia"/>
                <w:color w:val="auto"/>
              </w:rPr>
              <w:t>项目3</w:t>
            </w:r>
          </w:p>
        </w:tc>
        <w:tc>
          <w:tcPr>
            <w:tcW w:w="1641" w:type="dxa"/>
            <w:gridSpan w:val="4"/>
            <w:vAlign w:val="center"/>
          </w:tcPr>
          <w:p w14:paraId="68588138">
            <w:pPr>
              <w:jc w:val="center"/>
              <w:rPr>
                <w:color w:val="auto"/>
              </w:rPr>
            </w:pPr>
            <w:r>
              <w:rPr>
                <w:rFonts w:hint="eastAsia"/>
                <w:color w:val="auto"/>
              </w:rPr>
              <w:t>项目4</w:t>
            </w:r>
          </w:p>
        </w:tc>
        <w:tc>
          <w:tcPr>
            <w:tcW w:w="1484" w:type="dxa"/>
            <w:gridSpan w:val="2"/>
            <w:vAlign w:val="center"/>
          </w:tcPr>
          <w:p w14:paraId="14688220">
            <w:pPr>
              <w:jc w:val="center"/>
              <w:rPr>
                <w:color w:val="auto"/>
              </w:rPr>
            </w:pPr>
            <w:r>
              <w:rPr>
                <w:rFonts w:hint="eastAsia"/>
                <w:color w:val="auto"/>
              </w:rPr>
              <w:t>……</w:t>
            </w:r>
          </w:p>
        </w:tc>
      </w:tr>
      <w:tr w14:paraId="591C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5FEC3CE">
            <w:pPr>
              <w:jc w:val="center"/>
              <w:rPr>
                <w:color w:val="auto"/>
              </w:rPr>
            </w:pPr>
            <w:r>
              <w:rPr>
                <w:rFonts w:hint="eastAsia"/>
                <w:color w:val="auto"/>
              </w:rPr>
              <w:t>项目名称</w:t>
            </w:r>
          </w:p>
        </w:tc>
        <w:tc>
          <w:tcPr>
            <w:tcW w:w="1548" w:type="dxa"/>
            <w:gridSpan w:val="2"/>
            <w:vAlign w:val="center"/>
          </w:tcPr>
          <w:p w14:paraId="364F37D3">
            <w:pPr>
              <w:jc w:val="center"/>
              <w:rPr>
                <w:color w:val="auto"/>
              </w:rPr>
            </w:pPr>
          </w:p>
        </w:tc>
        <w:tc>
          <w:tcPr>
            <w:tcW w:w="1837" w:type="dxa"/>
            <w:gridSpan w:val="4"/>
            <w:vAlign w:val="center"/>
          </w:tcPr>
          <w:p w14:paraId="7510DC68">
            <w:pPr>
              <w:jc w:val="center"/>
              <w:rPr>
                <w:color w:val="auto"/>
              </w:rPr>
            </w:pPr>
          </w:p>
        </w:tc>
        <w:tc>
          <w:tcPr>
            <w:tcW w:w="1472" w:type="dxa"/>
            <w:gridSpan w:val="3"/>
            <w:vAlign w:val="center"/>
          </w:tcPr>
          <w:p w14:paraId="04DD2CE7">
            <w:pPr>
              <w:jc w:val="center"/>
              <w:rPr>
                <w:color w:val="auto"/>
              </w:rPr>
            </w:pPr>
          </w:p>
        </w:tc>
        <w:tc>
          <w:tcPr>
            <w:tcW w:w="1641" w:type="dxa"/>
            <w:gridSpan w:val="4"/>
            <w:vAlign w:val="center"/>
          </w:tcPr>
          <w:p w14:paraId="48295AD3">
            <w:pPr>
              <w:jc w:val="center"/>
              <w:rPr>
                <w:color w:val="auto"/>
              </w:rPr>
            </w:pPr>
          </w:p>
        </w:tc>
        <w:tc>
          <w:tcPr>
            <w:tcW w:w="1484" w:type="dxa"/>
            <w:gridSpan w:val="2"/>
            <w:vAlign w:val="center"/>
          </w:tcPr>
          <w:p w14:paraId="2E3BA6F2">
            <w:pPr>
              <w:jc w:val="center"/>
              <w:rPr>
                <w:color w:val="auto"/>
              </w:rPr>
            </w:pPr>
          </w:p>
        </w:tc>
      </w:tr>
      <w:tr w14:paraId="790DF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176AFD79">
            <w:pPr>
              <w:jc w:val="center"/>
              <w:rPr>
                <w:color w:val="auto"/>
              </w:rPr>
            </w:pPr>
            <w:r>
              <w:rPr>
                <w:rFonts w:hint="eastAsia" w:cs="宋体"/>
                <w:color w:val="auto"/>
              </w:rPr>
              <w:t>建设单位</w:t>
            </w:r>
          </w:p>
        </w:tc>
        <w:tc>
          <w:tcPr>
            <w:tcW w:w="1548" w:type="dxa"/>
            <w:gridSpan w:val="2"/>
            <w:vAlign w:val="center"/>
          </w:tcPr>
          <w:p w14:paraId="45B910C1">
            <w:pPr>
              <w:jc w:val="center"/>
              <w:rPr>
                <w:color w:val="auto"/>
              </w:rPr>
            </w:pPr>
          </w:p>
        </w:tc>
        <w:tc>
          <w:tcPr>
            <w:tcW w:w="1837" w:type="dxa"/>
            <w:gridSpan w:val="4"/>
            <w:vAlign w:val="center"/>
          </w:tcPr>
          <w:p w14:paraId="0C401A9E">
            <w:pPr>
              <w:jc w:val="center"/>
              <w:rPr>
                <w:color w:val="auto"/>
              </w:rPr>
            </w:pPr>
          </w:p>
        </w:tc>
        <w:tc>
          <w:tcPr>
            <w:tcW w:w="1472" w:type="dxa"/>
            <w:gridSpan w:val="3"/>
            <w:vAlign w:val="center"/>
          </w:tcPr>
          <w:p w14:paraId="5CB1E380">
            <w:pPr>
              <w:jc w:val="center"/>
              <w:rPr>
                <w:color w:val="auto"/>
              </w:rPr>
            </w:pPr>
          </w:p>
        </w:tc>
        <w:tc>
          <w:tcPr>
            <w:tcW w:w="1641" w:type="dxa"/>
            <w:gridSpan w:val="4"/>
            <w:vAlign w:val="center"/>
          </w:tcPr>
          <w:p w14:paraId="137035AE">
            <w:pPr>
              <w:jc w:val="center"/>
              <w:rPr>
                <w:color w:val="auto"/>
              </w:rPr>
            </w:pPr>
          </w:p>
        </w:tc>
        <w:tc>
          <w:tcPr>
            <w:tcW w:w="1484" w:type="dxa"/>
            <w:gridSpan w:val="2"/>
            <w:vAlign w:val="center"/>
          </w:tcPr>
          <w:p w14:paraId="226E4890">
            <w:pPr>
              <w:jc w:val="center"/>
              <w:rPr>
                <w:color w:val="auto"/>
              </w:rPr>
            </w:pPr>
          </w:p>
        </w:tc>
      </w:tr>
      <w:tr w14:paraId="3F5D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A153A88">
            <w:pPr>
              <w:jc w:val="center"/>
              <w:rPr>
                <w:color w:val="auto"/>
              </w:rPr>
            </w:pPr>
            <w:r>
              <w:rPr>
                <w:rFonts w:hint="eastAsia" w:cs="宋体"/>
                <w:color w:val="auto"/>
              </w:rPr>
              <w:t>建设规模</w:t>
            </w:r>
          </w:p>
        </w:tc>
        <w:tc>
          <w:tcPr>
            <w:tcW w:w="1548" w:type="dxa"/>
            <w:gridSpan w:val="2"/>
            <w:vAlign w:val="center"/>
          </w:tcPr>
          <w:p w14:paraId="46AC0BD7">
            <w:pPr>
              <w:jc w:val="center"/>
              <w:rPr>
                <w:color w:val="auto"/>
              </w:rPr>
            </w:pPr>
          </w:p>
        </w:tc>
        <w:tc>
          <w:tcPr>
            <w:tcW w:w="1837" w:type="dxa"/>
            <w:gridSpan w:val="4"/>
            <w:vAlign w:val="center"/>
          </w:tcPr>
          <w:p w14:paraId="10068E7C">
            <w:pPr>
              <w:jc w:val="center"/>
              <w:rPr>
                <w:color w:val="auto"/>
              </w:rPr>
            </w:pPr>
          </w:p>
        </w:tc>
        <w:tc>
          <w:tcPr>
            <w:tcW w:w="1472" w:type="dxa"/>
            <w:gridSpan w:val="3"/>
            <w:vAlign w:val="center"/>
          </w:tcPr>
          <w:p w14:paraId="20E1D9C3">
            <w:pPr>
              <w:jc w:val="center"/>
              <w:rPr>
                <w:color w:val="auto"/>
              </w:rPr>
            </w:pPr>
          </w:p>
        </w:tc>
        <w:tc>
          <w:tcPr>
            <w:tcW w:w="1641" w:type="dxa"/>
            <w:gridSpan w:val="4"/>
            <w:vAlign w:val="center"/>
          </w:tcPr>
          <w:p w14:paraId="6FDF7A8F">
            <w:pPr>
              <w:jc w:val="center"/>
              <w:rPr>
                <w:color w:val="auto"/>
              </w:rPr>
            </w:pPr>
          </w:p>
        </w:tc>
        <w:tc>
          <w:tcPr>
            <w:tcW w:w="1484" w:type="dxa"/>
            <w:gridSpan w:val="2"/>
            <w:vAlign w:val="center"/>
          </w:tcPr>
          <w:p w14:paraId="340EB24F">
            <w:pPr>
              <w:jc w:val="center"/>
              <w:rPr>
                <w:color w:val="auto"/>
              </w:rPr>
            </w:pPr>
          </w:p>
        </w:tc>
      </w:tr>
      <w:tr w14:paraId="0AD9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2737604">
            <w:pPr>
              <w:jc w:val="center"/>
              <w:rPr>
                <w:rFonts w:ascii="宋体" w:hAnsi="宋体" w:cs="宋体"/>
                <w:color w:val="auto"/>
                <w:sz w:val="27"/>
                <w:szCs w:val="27"/>
              </w:rPr>
            </w:pPr>
            <w:r>
              <w:rPr>
                <w:rFonts w:hint="eastAsia" w:cs="宋体"/>
                <w:color w:val="auto"/>
              </w:rPr>
              <w:t>开工日期</w:t>
            </w:r>
          </w:p>
        </w:tc>
        <w:tc>
          <w:tcPr>
            <w:tcW w:w="1548" w:type="dxa"/>
            <w:gridSpan w:val="2"/>
            <w:vAlign w:val="center"/>
          </w:tcPr>
          <w:p w14:paraId="55FFAB64">
            <w:pPr>
              <w:jc w:val="center"/>
              <w:rPr>
                <w:color w:val="auto"/>
              </w:rPr>
            </w:pPr>
          </w:p>
        </w:tc>
        <w:tc>
          <w:tcPr>
            <w:tcW w:w="1837" w:type="dxa"/>
            <w:gridSpan w:val="4"/>
            <w:vAlign w:val="center"/>
          </w:tcPr>
          <w:p w14:paraId="2F1317D1">
            <w:pPr>
              <w:jc w:val="center"/>
              <w:rPr>
                <w:color w:val="auto"/>
              </w:rPr>
            </w:pPr>
          </w:p>
        </w:tc>
        <w:tc>
          <w:tcPr>
            <w:tcW w:w="1472" w:type="dxa"/>
            <w:gridSpan w:val="3"/>
            <w:vAlign w:val="center"/>
          </w:tcPr>
          <w:p w14:paraId="5075CAA9">
            <w:pPr>
              <w:jc w:val="center"/>
              <w:rPr>
                <w:color w:val="auto"/>
              </w:rPr>
            </w:pPr>
          </w:p>
        </w:tc>
        <w:tc>
          <w:tcPr>
            <w:tcW w:w="1641" w:type="dxa"/>
            <w:gridSpan w:val="4"/>
            <w:vAlign w:val="center"/>
          </w:tcPr>
          <w:p w14:paraId="67534498">
            <w:pPr>
              <w:jc w:val="center"/>
              <w:rPr>
                <w:color w:val="auto"/>
              </w:rPr>
            </w:pPr>
          </w:p>
        </w:tc>
        <w:tc>
          <w:tcPr>
            <w:tcW w:w="1484" w:type="dxa"/>
            <w:gridSpan w:val="2"/>
            <w:vAlign w:val="center"/>
          </w:tcPr>
          <w:p w14:paraId="4E74D014">
            <w:pPr>
              <w:jc w:val="center"/>
              <w:rPr>
                <w:color w:val="auto"/>
              </w:rPr>
            </w:pPr>
          </w:p>
        </w:tc>
      </w:tr>
      <w:tr w14:paraId="74E4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06D35CE">
            <w:pPr>
              <w:jc w:val="center"/>
              <w:rPr>
                <w:color w:val="auto"/>
              </w:rPr>
            </w:pPr>
            <w:r>
              <w:rPr>
                <w:rFonts w:hint="eastAsia" w:cs="宋体"/>
                <w:color w:val="auto"/>
              </w:rPr>
              <w:t>竣工日期</w:t>
            </w:r>
          </w:p>
        </w:tc>
        <w:tc>
          <w:tcPr>
            <w:tcW w:w="1548" w:type="dxa"/>
            <w:gridSpan w:val="2"/>
            <w:vAlign w:val="center"/>
          </w:tcPr>
          <w:p w14:paraId="3DA36231">
            <w:pPr>
              <w:jc w:val="center"/>
              <w:rPr>
                <w:color w:val="auto"/>
              </w:rPr>
            </w:pPr>
          </w:p>
        </w:tc>
        <w:tc>
          <w:tcPr>
            <w:tcW w:w="1837" w:type="dxa"/>
            <w:gridSpan w:val="4"/>
            <w:vAlign w:val="center"/>
          </w:tcPr>
          <w:p w14:paraId="748466C0">
            <w:pPr>
              <w:jc w:val="center"/>
              <w:rPr>
                <w:color w:val="auto"/>
              </w:rPr>
            </w:pPr>
          </w:p>
        </w:tc>
        <w:tc>
          <w:tcPr>
            <w:tcW w:w="1472" w:type="dxa"/>
            <w:gridSpan w:val="3"/>
            <w:vAlign w:val="center"/>
          </w:tcPr>
          <w:p w14:paraId="50C45081">
            <w:pPr>
              <w:jc w:val="center"/>
              <w:rPr>
                <w:color w:val="auto"/>
              </w:rPr>
            </w:pPr>
          </w:p>
        </w:tc>
        <w:tc>
          <w:tcPr>
            <w:tcW w:w="1641" w:type="dxa"/>
            <w:gridSpan w:val="4"/>
            <w:vAlign w:val="center"/>
          </w:tcPr>
          <w:p w14:paraId="09868DAF">
            <w:pPr>
              <w:jc w:val="center"/>
              <w:rPr>
                <w:color w:val="auto"/>
              </w:rPr>
            </w:pPr>
          </w:p>
        </w:tc>
        <w:tc>
          <w:tcPr>
            <w:tcW w:w="1484" w:type="dxa"/>
            <w:gridSpan w:val="2"/>
            <w:vAlign w:val="center"/>
          </w:tcPr>
          <w:p w14:paraId="2CB05325">
            <w:pPr>
              <w:jc w:val="center"/>
              <w:rPr>
                <w:color w:val="auto"/>
              </w:rPr>
            </w:pPr>
          </w:p>
        </w:tc>
      </w:tr>
      <w:tr w14:paraId="30CA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157977B">
            <w:pPr>
              <w:jc w:val="center"/>
              <w:rPr>
                <w:rFonts w:cs="宋体"/>
                <w:color w:val="auto"/>
              </w:rPr>
            </w:pPr>
            <w:r>
              <w:rPr>
                <w:rFonts w:hint="eastAsia" w:cs="宋体"/>
                <w:color w:val="auto"/>
              </w:rPr>
              <w:t>人员角色</w:t>
            </w:r>
          </w:p>
        </w:tc>
        <w:tc>
          <w:tcPr>
            <w:tcW w:w="1548" w:type="dxa"/>
            <w:gridSpan w:val="2"/>
            <w:vAlign w:val="center"/>
          </w:tcPr>
          <w:p w14:paraId="76CABA60">
            <w:pPr>
              <w:jc w:val="center"/>
              <w:rPr>
                <w:color w:val="auto"/>
              </w:rPr>
            </w:pPr>
          </w:p>
        </w:tc>
        <w:tc>
          <w:tcPr>
            <w:tcW w:w="1837" w:type="dxa"/>
            <w:gridSpan w:val="4"/>
            <w:vAlign w:val="center"/>
          </w:tcPr>
          <w:p w14:paraId="4A69BBC9">
            <w:pPr>
              <w:jc w:val="center"/>
              <w:rPr>
                <w:color w:val="auto"/>
              </w:rPr>
            </w:pPr>
          </w:p>
        </w:tc>
        <w:tc>
          <w:tcPr>
            <w:tcW w:w="1472" w:type="dxa"/>
            <w:gridSpan w:val="3"/>
            <w:vAlign w:val="center"/>
          </w:tcPr>
          <w:p w14:paraId="50108417">
            <w:pPr>
              <w:jc w:val="center"/>
              <w:rPr>
                <w:color w:val="auto"/>
              </w:rPr>
            </w:pPr>
          </w:p>
        </w:tc>
        <w:tc>
          <w:tcPr>
            <w:tcW w:w="1641" w:type="dxa"/>
            <w:gridSpan w:val="4"/>
            <w:vAlign w:val="center"/>
          </w:tcPr>
          <w:p w14:paraId="53B1C25C">
            <w:pPr>
              <w:jc w:val="center"/>
              <w:rPr>
                <w:color w:val="auto"/>
              </w:rPr>
            </w:pPr>
          </w:p>
        </w:tc>
        <w:tc>
          <w:tcPr>
            <w:tcW w:w="1484" w:type="dxa"/>
            <w:gridSpan w:val="2"/>
            <w:vAlign w:val="center"/>
          </w:tcPr>
          <w:p w14:paraId="77C21FFF">
            <w:pPr>
              <w:jc w:val="center"/>
              <w:rPr>
                <w:color w:val="auto"/>
              </w:rPr>
            </w:pPr>
          </w:p>
        </w:tc>
      </w:tr>
      <w:tr w14:paraId="2B1C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167B86E">
            <w:pPr>
              <w:jc w:val="center"/>
              <w:rPr>
                <w:rFonts w:cs="宋体"/>
                <w:color w:val="auto"/>
              </w:rPr>
            </w:pPr>
            <w:r>
              <w:rPr>
                <w:rFonts w:hint="eastAsia" w:cs="宋体"/>
                <w:color w:val="auto"/>
              </w:rPr>
              <w:t>在建或已完</w:t>
            </w:r>
          </w:p>
        </w:tc>
        <w:tc>
          <w:tcPr>
            <w:tcW w:w="1548" w:type="dxa"/>
            <w:gridSpan w:val="2"/>
            <w:vAlign w:val="center"/>
          </w:tcPr>
          <w:p w14:paraId="1D9A8FD5">
            <w:pPr>
              <w:jc w:val="center"/>
              <w:rPr>
                <w:color w:val="auto"/>
              </w:rPr>
            </w:pPr>
          </w:p>
        </w:tc>
        <w:tc>
          <w:tcPr>
            <w:tcW w:w="1837" w:type="dxa"/>
            <w:gridSpan w:val="4"/>
            <w:vAlign w:val="center"/>
          </w:tcPr>
          <w:p w14:paraId="7EE105D6">
            <w:pPr>
              <w:jc w:val="center"/>
              <w:rPr>
                <w:color w:val="auto"/>
              </w:rPr>
            </w:pPr>
          </w:p>
        </w:tc>
        <w:tc>
          <w:tcPr>
            <w:tcW w:w="1472" w:type="dxa"/>
            <w:gridSpan w:val="3"/>
            <w:vAlign w:val="center"/>
          </w:tcPr>
          <w:p w14:paraId="12936CE9">
            <w:pPr>
              <w:jc w:val="center"/>
              <w:rPr>
                <w:color w:val="auto"/>
              </w:rPr>
            </w:pPr>
          </w:p>
        </w:tc>
        <w:tc>
          <w:tcPr>
            <w:tcW w:w="1641" w:type="dxa"/>
            <w:gridSpan w:val="4"/>
            <w:vAlign w:val="center"/>
          </w:tcPr>
          <w:p w14:paraId="2720D9F1">
            <w:pPr>
              <w:jc w:val="center"/>
              <w:rPr>
                <w:color w:val="auto"/>
              </w:rPr>
            </w:pPr>
          </w:p>
        </w:tc>
        <w:tc>
          <w:tcPr>
            <w:tcW w:w="1484" w:type="dxa"/>
            <w:gridSpan w:val="2"/>
            <w:vAlign w:val="center"/>
          </w:tcPr>
          <w:p w14:paraId="6F0F9513">
            <w:pPr>
              <w:jc w:val="center"/>
              <w:rPr>
                <w:color w:val="auto"/>
              </w:rPr>
            </w:pPr>
          </w:p>
        </w:tc>
      </w:tr>
      <w:tr w14:paraId="0027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6A35975">
            <w:pPr>
              <w:jc w:val="center"/>
              <w:rPr>
                <w:rFonts w:cs="宋体"/>
                <w:color w:val="auto"/>
              </w:rPr>
            </w:pPr>
            <w:r>
              <w:rPr>
                <w:rFonts w:hint="eastAsia" w:cs="宋体"/>
                <w:color w:val="auto"/>
              </w:rPr>
              <w:t>工程质量</w:t>
            </w:r>
          </w:p>
        </w:tc>
        <w:tc>
          <w:tcPr>
            <w:tcW w:w="1548" w:type="dxa"/>
            <w:gridSpan w:val="2"/>
            <w:vAlign w:val="center"/>
          </w:tcPr>
          <w:p w14:paraId="701BF11A">
            <w:pPr>
              <w:jc w:val="center"/>
              <w:rPr>
                <w:color w:val="auto"/>
              </w:rPr>
            </w:pPr>
          </w:p>
        </w:tc>
        <w:tc>
          <w:tcPr>
            <w:tcW w:w="1837" w:type="dxa"/>
            <w:gridSpan w:val="4"/>
            <w:vAlign w:val="center"/>
          </w:tcPr>
          <w:p w14:paraId="742B58E4">
            <w:pPr>
              <w:jc w:val="center"/>
              <w:rPr>
                <w:color w:val="auto"/>
              </w:rPr>
            </w:pPr>
          </w:p>
        </w:tc>
        <w:tc>
          <w:tcPr>
            <w:tcW w:w="1472" w:type="dxa"/>
            <w:gridSpan w:val="3"/>
            <w:vAlign w:val="center"/>
          </w:tcPr>
          <w:p w14:paraId="1D965A64">
            <w:pPr>
              <w:jc w:val="center"/>
              <w:rPr>
                <w:color w:val="auto"/>
              </w:rPr>
            </w:pPr>
          </w:p>
        </w:tc>
        <w:tc>
          <w:tcPr>
            <w:tcW w:w="1641" w:type="dxa"/>
            <w:gridSpan w:val="4"/>
            <w:vAlign w:val="center"/>
          </w:tcPr>
          <w:p w14:paraId="7A326433">
            <w:pPr>
              <w:jc w:val="center"/>
              <w:rPr>
                <w:color w:val="auto"/>
              </w:rPr>
            </w:pPr>
          </w:p>
        </w:tc>
        <w:tc>
          <w:tcPr>
            <w:tcW w:w="1484" w:type="dxa"/>
            <w:gridSpan w:val="2"/>
            <w:vAlign w:val="center"/>
          </w:tcPr>
          <w:p w14:paraId="59D03695">
            <w:pPr>
              <w:jc w:val="center"/>
              <w:rPr>
                <w:color w:val="auto"/>
              </w:rPr>
            </w:pPr>
          </w:p>
        </w:tc>
      </w:tr>
      <w:tr w14:paraId="3CF3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E9E663D">
            <w:pPr>
              <w:jc w:val="center"/>
              <w:rPr>
                <w:rFonts w:cs="宋体"/>
                <w:color w:val="auto"/>
              </w:rPr>
            </w:pPr>
            <w:r>
              <w:rPr>
                <w:rFonts w:hint="eastAsia" w:cs="宋体"/>
                <w:color w:val="auto"/>
              </w:rPr>
              <w:t>受奖情况</w:t>
            </w:r>
          </w:p>
        </w:tc>
        <w:tc>
          <w:tcPr>
            <w:tcW w:w="1548" w:type="dxa"/>
            <w:gridSpan w:val="2"/>
            <w:vAlign w:val="center"/>
          </w:tcPr>
          <w:p w14:paraId="275D909C">
            <w:pPr>
              <w:jc w:val="center"/>
              <w:rPr>
                <w:color w:val="auto"/>
              </w:rPr>
            </w:pPr>
          </w:p>
        </w:tc>
        <w:tc>
          <w:tcPr>
            <w:tcW w:w="1837" w:type="dxa"/>
            <w:gridSpan w:val="4"/>
            <w:vAlign w:val="center"/>
          </w:tcPr>
          <w:p w14:paraId="56443C9B">
            <w:pPr>
              <w:jc w:val="center"/>
              <w:rPr>
                <w:color w:val="auto"/>
              </w:rPr>
            </w:pPr>
          </w:p>
        </w:tc>
        <w:tc>
          <w:tcPr>
            <w:tcW w:w="1472" w:type="dxa"/>
            <w:gridSpan w:val="3"/>
            <w:vAlign w:val="center"/>
          </w:tcPr>
          <w:p w14:paraId="3FF3A9DE">
            <w:pPr>
              <w:jc w:val="center"/>
              <w:rPr>
                <w:color w:val="auto"/>
              </w:rPr>
            </w:pPr>
          </w:p>
        </w:tc>
        <w:tc>
          <w:tcPr>
            <w:tcW w:w="1641" w:type="dxa"/>
            <w:gridSpan w:val="4"/>
            <w:vAlign w:val="center"/>
          </w:tcPr>
          <w:p w14:paraId="7BA8E16D">
            <w:pPr>
              <w:jc w:val="center"/>
              <w:rPr>
                <w:color w:val="auto"/>
              </w:rPr>
            </w:pPr>
          </w:p>
        </w:tc>
        <w:tc>
          <w:tcPr>
            <w:tcW w:w="1484" w:type="dxa"/>
            <w:gridSpan w:val="2"/>
            <w:vAlign w:val="center"/>
          </w:tcPr>
          <w:p w14:paraId="42C98AC1">
            <w:pPr>
              <w:jc w:val="center"/>
              <w:rPr>
                <w:color w:val="auto"/>
              </w:rPr>
            </w:pPr>
          </w:p>
        </w:tc>
      </w:tr>
    </w:tbl>
    <w:p w14:paraId="1F009090">
      <w:pPr>
        <w:spacing w:line="360" w:lineRule="auto"/>
        <w:rPr>
          <w:rFonts w:ascii="宋体" w:hAnsi="宋体"/>
          <w:color w:val="auto"/>
          <w:szCs w:val="21"/>
        </w:rPr>
      </w:pPr>
      <w:r>
        <w:rPr>
          <w:rFonts w:hint="eastAsia" w:ascii="宋体" w:hAnsi="宋体" w:cs="楷体_GB2312"/>
          <w:color w:val="auto"/>
          <w:szCs w:val="21"/>
        </w:rPr>
        <w:t>备注：</w:t>
      </w:r>
    </w:p>
    <w:p w14:paraId="2F9A0EC0">
      <w:pPr>
        <w:spacing w:line="360" w:lineRule="auto"/>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.项目</w:t>
      </w:r>
      <w:r>
        <w:rPr>
          <w:rFonts w:ascii="宋体" w:hAnsi="宋体"/>
          <w:color w:val="auto"/>
          <w:szCs w:val="21"/>
        </w:rPr>
        <w:t>数</w:t>
      </w:r>
      <w:r>
        <w:rPr>
          <w:rFonts w:hint="eastAsia" w:ascii="宋体" w:hAnsi="宋体"/>
          <w:color w:val="auto"/>
          <w:szCs w:val="21"/>
        </w:rPr>
        <w:t>可</w:t>
      </w:r>
      <w:r>
        <w:rPr>
          <w:rFonts w:ascii="宋体" w:hAnsi="宋体"/>
          <w:color w:val="auto"/>
          <w:szCs w:val="21"/>
        </w:rPr>
        <w:t>以根据需要增加。</w:t>
      </w:r>
    </w:p>
    <w:p w14:paraId="2F2E9528">
      <w:pPr>
        <w:spacing w:line="360" w:lineRule="auto"/>
        <w:ind w:firstLine="420" w:firstLineChars="200"/>
        <w:rPr>
          <w:rFonts w:ascii="宋体" w:hAnsi="宋体"/>
          <w:color w:val="auto"/>
          <w:szCs w:val="21"/>
        </w:rPr>
      </w:pPr>
      <w:r>
        <w:rPr>
          <w:rFonts w:hint="eastAsia" w:ascii="宋体" w:hAnsi="宋体"/>
          <w:color w:val="auto"/>
          <w:szCs w:val="21"/>
        </w:rPr>
        <w:t>2.本表后附项目技术负责人（项目总工）的</w:t>
      </w:r>
      <w:r>
        <w:rPr>
          <w:color w:val="auto"/>
        </w:rPr>
        <w:t>职称证书复印件（或打印件）</w:t>
      </w:r>
      <w:r>
        <w:rPr>
          <w:rFonts w:hint="eastAsia" w:ascii="宋体" w:hAnsi="宋体"/>
          <w:color w:val="auto"/>
          <w:szCs w:val="21"/>
        </w:rPr>
        <w:t>，本表所列证书复印件并加盖供应商电子签章。</w:t>
      </w:r>
    </w:p>
    <w:p w14:paraId="38DCBB77">
      <w:pPr>
        <w:spacing w:line="360" w:lineRule="auto"/>
        <w:rPr>
          <w:rFonts w:eastAsia="楷体_GB2312"/>
          <w:color w:val="auto"/>
        </w:rPr>
      </w:pPr>
    </w:p>
    <w:p w14:paraId="04256FF8">
      <w:pPr>
        <w:pStyle w:val="158"/>
        <w:spacing w:line="360" w:lineRule="auto"/>
        <w:jc w:val="center"/>
        <w:outlineLvl w:val="0"/>
        <w:rPr>
          <w:color w:val="auto"/>
          <w:sz w:val="28"/>
          <w:szCs w:val="28"/>
          <w:u w:val="single"/>
        </w:rPr>
      </w:pPr>
      <w:r>
        <w:rPr>
          <w:rFonts w:cs="宋体"/>
          <w:b/>
          <w:bCs/>
          <w:color w:val="auto"/>
          <w:sz w:val="28"/>
          <w:szCs w:val="28"/>
        </w:rPr>
        <w:br w:type="page"/>
      </w:r>
      <w:bookmarkStart w:id="207" w:name="_Toc122424017"/>
      <w:bookmarkStart w:id="208" w:name="_Toc122424266"/>
      <w:r>
        <w:rPr>
          <w:rFonts w:hint="eastAsia" w:cs="宋体"/>
          <w:b/>
          <w:color w:val="auto"/>
          <w:sz w:val="28"/>
          <w:szCs w:val="28"/>
        </w:rPr>
        <w:t>专职安全生产管理人员</w:t>
      </w:r>
      <w:bookmarkEnd w:id="207"/>
      <w:bookmarkEnd w:id="208"/>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1D09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69E418DE">
            <w:pPr>
              <w:jc w:val="center"/>
              <w:rPr>
                <w:color w:val="auto"/>
              </w:rPr>
            </w:pPr>
            <w:r>
              <w:rPr>
                <w:rFonts w:hint="eastAsia" w:cs="宋体"/>
                <w:color w:val="auto"/>
              </w:rPr>
              <w:t>姓名</w:t>
            </w:r>
          </w:p>
        </w:tc>
        <w:tc>
          <w:tcPr>
            <w:tcW w:w="2340" w:type="dxa"/>
            <w:gridSpan w:val="5"/>
            <w:vAlign w:val="center"/>
          </w:tcPr>
          <w:p w14:paraId="7E3783E2">
            <w:pPr>
              <w:jc w:val="center"/>
              <w:rPr>
                <w:color w:val="auto"/>
              </w:rPr>
            </w:pPr>
          </w:p>
        </w:tc>
        <w:tc>
          <w:tcPr>
            <w:tcW w:w="1893" w:type="dxa"/>
            <w:gridSpan w:val="5"/>
            <w:vAlign w:val="center"/>
          </w:tcPr>
          <w:p w14:paraId="6B7FB34D">
            <w:pPr>
              <w:jc w:val="center"/>
              <w:rPr>
                <w:color w:val="auto"/>
              </w:rPr>
            </w:pPr>
            <w:r>
              <w:rPr>
                <w:rFonts w:hint="eastAsia" w:cs="宋体"/>
                <w:color w:val="auto"/>
              </w:rPr>
              <w:t>性别</w:t>
            </w:r>
          </w:p>
        </w:tc>
        <w:tc>
          <w:tcPr>
            <w:tcW w:w="1585" w:type="dxa"/>
            <w:gridSpan w:val="3"/>
            <w:vAlign w:val="center"/>
          </w:tcPr>
          <w:p w14:paraId="7A0047E7">
            <w:pPr>
              <w:jc w:val="center"/>
              <w:rPr>
                <w:color w:val="auto"/>
              </w:rPr>
            </w:pPr>
          </w:p>
        </w:tc>
        <w:tc>
          <w:tcPr>
            <w:tcW w:w="1108" w:type="dxa"/>
            <w:vAlign w:val="center"/>
          </w:tcPr>
          <w:p w14:paraId="1A55F0FA">
            <w:pPr>
              <w:jc w:val="center"/>
              <w:rPr>
                <w:color w:val="auto"/>
              </w:rPr>
            </w:pPr>
            <w:r>
              <w:rPr>
                <w:rFonts w:hint="eastAsia" w:cs="宋体"/>
                <w:color w:val="auto"/>
              </w:rPr>
              <w:t>年龄</w:t>
            </w:r>
          </w:p>
        </w:tc>
        <w:tc>
          <w:tcPr>
            <w:tcW w:w="1531" w:type="dxa"/>
            <w:gridSpan w:val="4"/>
            <w:vAlign w:val="center"/>
          </w:tcPr>
          <w:p w14:paraId="7B5C90DA">
            <w:pPr>
              <w:jc w:val="center"/>
              <w:rPr>
                <w:color w:val="auto"/>
              </w:rPr>
            </w:pPr>
          </w:p>
        </w:tc>
      </w:tr>
      <w:tr w14:paraId="1396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1D672544">
            <w:pPr>
              <w:jc w:val="center"/>
              <w:rPr>
                <w:color w:val="auto"/>
              </w:rPr>
            </w:pPr>
            <w:r>
              <w:rPr>
                <w:rFonts w:hint="eastAsia" w:cs="宋体"/>
                <w:color w:val="auto"/>
              </w:rPr>
              <w:t>岗位</w:t>
            </w:r>
          </w:p>
        </w:tc>
        <w:tc>
          <w:tcPr>
            <w:tcW w:w="2340" w:type="dxa"/>
            <w:gridSpan w:val="5"/>
            <w:vAlign w:val="center"/>
          </w:tcPr>
          <w:p w14:paraId="48DEFFE6">
            <w:pPr>
              <w:jc w:val="center"/>
              <w:rPr>
                <w:color w:val="auto"/>
              </w:rPr>
            </w:pPr>
            <w:r>
              <w:rPr>
                <w:rFonts w:hint="eastAsia"/>
                <w:color w:val="auto"/>
              </w:rPr>
              <w:t>专职安全生产管理人员</w:t>
            </w:r>
          </w:p>
        </w:tc>
        <w:tc>
          <w:tcPr>
            <w:tcW w:w="1893" w:type="dxa"/>
            <w:gridSpan w:val="5"/>
            <w:vAlign w:val="center"/>
          </w:tcPr>
          <w:p w14:paraId="2749964E">
            <w:pPr>
              <w:jc w:val="center"/>
              <w:rPr>
                <w:color w:val="auto"/>
              </w:rPr>
            </w:pPr>
            <w:r>
              <w:rPr>
                <w:rFonts w:hint="eastAsia" w:cs="宋体"/>
                <w:color w:val="auto"/>
              </w:rPr>
              <w:t>职称</w:t>
            </w:r>
          </w:p>
        </w:tc>
        <w:tc>
          <w:tcPr>
            <w:tcW w:w="1585" w:type="dxa"/>
            <w:gridSpan w:val="3"/>
            <w:vAlign w:val="center"/>
          </w:tcPr>
          <w:p w14:paraId="6C2C610B">
            <w:pPr>
              <w:jc w:val="center"/>
              <w:rPr>
                <w:color w:val="auto"/>
              </w:rPr>
            </w:pPr>
          </w:p>
        </w:tc>
        <w:tc>
          <w:tcPr>
            <w:tcW w:w="1108" w:type="dxa"/>
            <w:vAlign w:val="center"/>
          </w:tcPr>
          <w:p w14:paraId="4FD1EA3E">
            <w:pPr>
              <w:jc w:val="center"/>
              <w:rPr>
                <w:color w:val="auto"/>
              </w:rPr>
            </w:pPr>
            <w:r>
              <w:rPr>
                <w:rFonts w:hint="eastAsia" w:cs="宋体"/>
                <w:color w:val="auto"/>
              </w:rPr>
              <w:t>学历</w:t>
            </w:r>
          </w:p>
        </w:tc>
        <w:tc>
          <w:tcPr>
            <w:tcW w:w="1531" w:type="dxa"/>
            <w:gridSpan w:val="4"/>
            <w:vAlign w:val="center"/>
          </w:tcPr>
          <w:p w14:paraId="1D363D91">
            <w:pPr>
              <w:jc w:val="center"/>
              <w:rPr>
                <w:color w:val="auto"/>
              </w:rPr>
            </w:pPr>
          </w:p>
        </w:tc>
      </w:tr>
      <w:tr w14:paraId="1840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212217F4">
            <w:pPr>
              <w:jc w:val="center"/>
              <w:rPr>
                <w:rFonts w:cs="宋体"/>
                <w:color w:val="auto"/>
              </w:rPr>
            </w:pPr>
            <w:r>
              <w:rPr>
                <w:rFonts w:hint="eastAsia" w:cs="宋体"/>
                <w:color w:val="auto"/>
              </w:rPr>
              <w:t>从业开始时间</w:t>
            </w:r>
          </w:p>
        </w:tc>
        <w:tc>
          <w:tcPr>
            <w:tcW w:w="2340" w:type="dxa"/>
            <w:gridSpan w:val="5"/>
            <w:vAlign w:val="center"/>
          </w:tcPr>
          <w:p w14:paraId="6E65709E">
            <w:pPr>
              <w:jc w:val="center"/>
              <w:rPr>
                <w:color w:val="auto"/>
              </w:rPr>
            </w:pPr>
          </w:p>
        </w:tc>
        <w:tc>
          <w:tcPr>
            <w:tcW w:w="1893" w:type="dxa"/>
            <w:gridSpan w:val="5"/>
            <w:vAlign w:val="center"/>
          </w:tcPr>
          <w:p w14:paraId="2E0D9908">
            <w:pPr>
              <w:jc w:val="center"/>
              <w:rPr>
                <w:rFonts w:cs="宋体"/>
                <w:color w:val="auto"/>
              </w:rPr>
            </w:pPr>
            <w:r>
              <w:rPr>
                <w:rFonts w:hint="eastAsia" w:cs="宋体"/>
                <w:color w:val="auto"/>
              </w:rPr>
              <w:t>职称</w:t>
            </w:r>
            <w:r>
              <w:rPr>
                <w:rFonts w:cs="宋体"/>
                <w:color w:val="auto"/>
              </w:rPr>
              <w:t>获</w:t>
            </w:r>
            <w:r>
              <w:rPr>
                <w:rFonts w:hint="eastAsia" w:cs="宋体"/>
                <w:color w:val="auto"/>
              </w:rPr>
              <w:t>得</w:t>
            </w:r>
            <w:r>
              <w:rPr>
                <w:rFonts w:cs="宋体"/>
                <w:color w:val="auto"/>
              </w:rPr>
              <w:t>时间</w:t>
            </w:r>
          </w:p>
        </w:tc>
        <w:tc>
          <w:tcPr>
            <w:tcW w:w="1585" w:type="dxa"/>
            <w:gridSpan w:val="3"/>
            <w:vAlign w:val="center"/>
          </w:tcPr>
          <w:p w14:paraId="241EFDEB">
            <w:pPr>
              <w:jc w:val="center"/>
              <w:rPr>
                <w:color w:val="auto"/>
              </w:rPr>
            </w:pPr>
          </w:p>
        </w:tc>
        <w:tc>
          <w:tcPr>
            <w:tcW w:w="1108" w:type="dxa"/>
            <w:vAlign w:val="center"/>
          </w:tcPr>
          <w:p w14:paraId="76D78681">
            <w:pPr>
              <w:jc w:val="center"/>
              <w:rPr>
                <w:rFonts w:cs="宋体"/>
                <w:color w:val="auto"/>
              </w:rPr>
            </w:pPr>
            <w:r>
              <w:rPr>
                <w:rFonts w:hint="eastAsia" w:cs="宋体"/>
                <w:color w:val="auto"/>
              </w:rPr>
              <w:t>毕业时间</w:t>
            </w:r>
          </w:p>
        </w:tc>
        <w:tc>
          <w:tcPr>
            <w:tcW w:w="1531" w:type="dxa"/>
            <w:gridSpan w:val="4"/>
            <w:vAlign w:val="center"/>
          </w:tcPr>
          <w:p w14:paraId="5FB10CC3">
            <w:pPr>
              <w:jc w:val="center"/>
              <w:rPr>
                <w:color w:val="auto"/>
              </w:rPr>
            </w:pPr>
          </w:p>
        </w:tc>
      </w:tr>
      <w:tr w14:paraId="5C80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389D6655">
            <w:pPr>
              <w:jc w:val="center"/>
              <w:rPr>
                <w:color w:val="auto"/>
              </w:rPr>
            </w:pPr>
            <w:r>
              <w:rPr>
                <w:rFonts w:hint="eastAsia" w:cs="宋体"/>
                <w:color w:val="auto"/>
              </w:rPr>
              <w:t>担任……年限</w:t>
            </w:r>
          </w:p>
        </w:tc>
        <w:tc>
          <w:tcPr>
            <w:tcW w:w="2563" w:type="dxa"/>
            <w:gridSpan w:val="6"/>
            <w:vAlign w:val="center"/>
          </w:tcPr>
          <w:p w14:paraId="73B39168">
            <w:pPr>
              <w:jc w:val="center"/>
              <w:rPr>
                <w:color w:val="auto"/>
              </w:rPr>
            </w:pPr>
          </w:p>
        </w:tc>
        <w:tc>
          <w:tcPr>
            <w:tcW w:w="1209" w:type="dxa"/>
            <w:vAlign w:val="center"/>
          </w:tcPr>
          <w:p w14:paraId="4B641346">
            <w:pPr>
              <w:jc w:val="center"/>
              <w:rPr>
                <w:color w:val="auto"/>
              </w:rPr>
            </w:pPr>
            <w:r>
              <w:rPr>
                <w:rFonts w:hint="eastAsia"/>
                <w:color w:val="auto"/>
              </w:rPr>
              <w:t>身份</w:t>
            </w:r>
            <w:r>
              <w:rPr>
                <w:color w:val="auto"/>
              </w:rPr>
              <w:t>证号码</w:t>
            </w:r>
          </w:p>
        </w:tc>
        <w:tc>
          <w:tcPr>
            <w:tcW w:w="4608" w:type="dxa"/>
            <w:gridSpan w:val="10"/>
            <w:vAlign w:val="center"/>
          </w:tcPr>
          <w:p w14:paraId="0DC3D159">
            <w:pPr>
              <w:jc w:val="center"/>
              <w:rPr>
                <w:color w:val="auto"/>
              </w:rPr>
            </w:pPr>
          </w:p>
        </w:tc>
      </w:tr>
      <w:tr w14:paraId="149A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1F50F4B3">
            <w:pPr>
              <w:jc w:val="center"/>
              <w:rPr>
                <w:color w:val="auto"/>
              </w:rPr>
            </w:pPr>
            <w:r>
              <w:rPr>
                <w:rFonts w:hint="eastAsia"/>
                <w:color w:val="auto"/>
              </w:rPr>
              <w:t>证书名称</w:t>
            </w:r>
          </w:p>
        </w:tc>
        <w:tc>
          <w:tcPr>
            <w:tcW w:w="1275" w:type="dxa"/>
            <w:gridSpan w:val="2"/>
            <w:vAlign w:val="center"/>
          </w:tcPr>
          <w:p w14:paraId="2CD537AB">
            <w:pPr>
              <w:jc w:val="center"/>
              <w:rPr>
                <w:color w:val="auto"/>
              </w:rPr>
            </w:pPr>
            <w:r>
              <w:rPr>
                <w:rFonts w:hint="eastAsia"/>
                <w:color w:val="auto"/>
              </w:rPr>
              <w:t>注册专业</w:t>
            </w:r>
          </w:p>
        </w:tc>
        <w:tc>
          <w:tcPr>
            <w:tcW w:w="1222" w:type="dxa"/>
            <w:gridSpan w:val="3"/>
            <w:vAlign w:val="center"/>
          </w:tcPr>
          <w:p w14:paraId="6731C17A">
            <w:pPr>
              <w:jc w:val="center"/>
              <w:rPr>
                <w:color w:val="auto"/>
              </w:rPr>
            </w:pPr>
            <w:r>
              <w:rPr>
                <w:color w:val="auto"/>
              </w:rPr>
              <w:t>级别</w:t>
            </w:r>
          </w:p>
        </w:tc>
        <w:tc>
          <w:tcPr>
            <w:tcW w:w="1417" w:type="dxa"/>
            <w:gridSpan w:val="3"/>
            <w:vAlign w:val="center"/>
          </w:tcPr>
          <w:p w14:paraId="2BA6DF9D">
            <w:pPr>
              <w:jc w:val="center"/>
              <w:rPr>
                <w:color w:val="auto"/>
              </w:rPr>
            </w:pPr>
            <w:r>
              <w:rPr>
                <w:rFonts w:hint="eastAsia" w:cs="宋体"/>
                <w:color w:val="auto"/>
              </w:rPr>
              <w:t>证书编号</w:t>
            </w:r>
          </w:p>
        </w:tc>
        <w:tc>
          <w:tcPr>
            <w:tcW w:w="1418" w:type="dxa"/>
            <w:gridSpan w:val="3"/>
            <w:vAlign w:val="center"/>
          </w:tcPr>
          <w:p w14:paraId="69E1AEBE">
            <w:pPr>
              <w:jc w:val="center"/>
              <w:rPr>
                <w:color w:val="auto"/>
              </w:rPr>
            </w:pPr>
            <w:r>
              <w:rPr>
                <w:rFonts w:hint="eastAsia"/>
                <w:color w:val="auto"/>
              </w:rPr>
              <w:t>注册时间</w:t>
            </w:r>
          </w:p>
        </w:tc>
        <w:tc>
          <w:tcPr>
            <w:tcW w:w="1632" w:type="dxa"/>
            <w:gridSpan w:val="4"/>
            <w:vAlign w:val="center"/>
          </w:tcPr>
          <w:p w14:paraId="04B10414">
            <w:pPr>
              <w:jc w:val="center"/>
              <w:rPr>
                <w:color w:val="auto"/>
              </w:rPr>
            </w:pPr>
            <w:r>
              <w:rPr>
                <w:rFonts w:hint="eastAsia"/>
                <w:color w:val="auto"/>
              </w:rPr>
              <w:t>注册单位</w:t>
            </w:r>
          </w:p>
        </w:tc>
        <w:tc>
          <w:tcPr>
            <w:tcW w:w="1416" w:type="dxa"/>
            <w:gridSpan w:val="2"/>
            <w:vAlign w:val="center"/>
          </w:tcPr>
          <w:p w14:paraId="426EB3A1">
            <w:pPr>
              <w:jc w:val="center"/>
              <w:rPr>
                <w:color w:val="auto"/>
              </w:rPr>
            </w:pPr>
            <w:r>
              <w:rPr>
                <w:rFonts w:hint="eastAsia"/>
                <w:color w:val="auto"/>
              </w:rPr>
              <w:t>注册有效期</w:t>
            </w:r>
          </w:p>
        </w:tc>
      </w:tr>
      <w:tr w14:paraId="5029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7D8E0BD1">
            <w:pPr>
              <w:jc w:val="center"/>
              <w:rPr>
                <w:color w:val="auto"/>
              </w:rPr>
            </w:pPr>
            <w:r>
              <w:rPr>
                <w:rFonts w:hint="eastAsia"/>
                <w:color w:val="auto"/>
              </w:rPr>
              <w:t>安全生产考核合格证书</w:t>
            </w:r>
          </w:p>
        </w:tc>
        <w:tc>
          <w:tcPr>
            <w:tcW w:w="1275" w:type="dxa"/>
            <w:gridSpan w:val="2"/>
            <w:vAlign w:val="center"/>
          </w:tcPr>
          <w:p w14:paraId="2C449A69">
            <w:pPr>
              <w:jc w:val="center"/>
              <w:rPr>
                <w:color w:val="auto"/>
              </w:rPr>
            </w:pPr>
          </w:p>
        </w:tc>
        <w:tc>
          <w:tcPr>
            <w:tcW w:w="1222" w:type="dxa"/>
            <w:gridSpan w:val="3"/>
            <w:vAlign w:val="center"/>
          </w:tcPr>
          <w:p w14:paraId="46599812">
            <w:pPr>
              <w:jc w:val="center"/>
              <w:rPr>
                <w:rFonts w:cs="宋体"/>
                <w:color w:val="auto"/>
              </w:rPr>
            </w:pPr>
            <w:r>
              <w:rPr>
                <w:rFonts w:hint="eastAsia" w:cs="宋体"/>
                <w:color w:val="auto"/>
              </w:rPr>
              <w:t>C类</w:t>
            </w:r>
          </w:p>
        </w:tc>
        <w:tc>
          <w:tcPr>
            <w:tcW w:w="1417" w:type="dxa"/>
            <w:gridSpan w:val="3"/>
            <w:vAlign w:val="center"/>
          </w:tcPr>
          <w:p w14:paraId="357F781D">
            <w:pPr>
              <w:jc w:val="center"/>
              <w:rPr>
                <w:color w:val="auto"/>
              </w:rPr>
            </w:pPr>
          </w:p>
        </w:tc>
        <w:tc>
          <w:tcPr>
            <w:tcW w:w="1418" w:type="dxa"/>
            <w:gridSpan w:val="3"/>
            <w:vAlign w:val="center"/>
          </w:tcPr>
          <w:p w14:paraId="3991EB1B">
            <w:pPr>
              <w:jc w:val="center"/>
              <w:rPr>
                <w:color w:val="auto"/>
              </w:rPr>
            </w:pPr>
          </w:p>
        </w:tc>
        <w:tc>
          <w:tcPr>
            <w:tcW w:w="1632" w:type="dxa"/>
            <w:gridSpan w:val="4"/>
            <w:vAlign w:val="center"/>
          </w:tcPr>
          <w:p w14:paraId="289B2194">
            <w:pPr>
              <w:jc w:val="center"/>
              <w:rPr>
                <w:color w:val="auto"/>
              </w:rPr>
            </w:pPr>
          </w:p>
        </w:tc>
        <w:tc>
          <w:tcPr>
            <w:tcW w:w="1416" w:type="dxa"/>
            <w:gridSpan w:val="2"/>
            <w:vAlign w:val="center"/>
          </w:tcPr>
          <w:p w14:paraId="2813A3CF">
            <w:pPr>
              <w:jc w:val="center"/>
              <w:rPr>
                <w:color w:val="auto"/>
              </w:rPr>
            </w:pPr>
          </w:p>
        </w:tc>
      </w:tr>
      <w:tr w14:paraId="4D7E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92066A0">
            <w:pPr>
              <w:jc w:val="center"/>
              <w:rPr>
                <w:color w:val="auto"/>
              </w:rPr>
            </w:pPr>
          </w:p>
        </w:tc>
        <w:tc>
          <w:tcPr>
            <w:tcW w:w="1275" w:type="dxa"/>
            <w:gridSpan w:val="2"/>
            <w:vAlign w:val="center"/>
          </w:tcPr>
          <w:p w14:paraId="0AF9C926">
            <w:pPr>
              <w:jc w:val="center"/>
              <w:rPr>
                <w:color w:val="auto"/>
              </w:rPr>
            </w:pPr>
          </w:p>
        </w:tc>
        <w:tc>
          <w:tcPr>
            <w:tcW w:w="1222" w:type="dxa"/>
            <w:gridSpan w:val="3"/>
            <w:vAlign w:val="center"/>
          </w:tcPr>
          <w:p w14:paraId="0FBAF359">
            <w:pPr>
              <w:jc w:val="center"/>
              <w:rPr>
                <w:rFonts w:cs="宋体"/>
                <w:color w:val="auto"/>
              </w:rPr>
            </w:pPr>
          </w:p>
        </w:tc>
        <w:tc>
          <w:tcPr>
            <w:tcW w:w="1417" w:type="dxa"/>
            <w:gridSpan w:val="3"/>
            <w:vAlign w:val="center"/>
          </w:tcPr>
          <w:p w14:paraId="7B2DCC88">
            <w:pPr>
              <w:jc w:val="center"/>
              <w:rPr>
                <w:color w:val="auto"/>
              </w:rPr>
            </w:pPr>
          </w:p>
        </w:tc>
        <w:tc>
          <w:tcPr>
            <w:tcW w:w="1418" w:type="dxa"/>
            <w:gridSpan w:val="3"/>
            <w:vAlign w:val="center"/>
          </w:tcPr>
          <w:p w14:paraId="0B1F8081">
            <w:pPr>
              <w:jc w:val="center"/>
              <w:rPr>
                <w:color w:val="auto"/>
              </w:rPr>
            </w:pPr>
          </w:p>
        </w:tc>
        <w:tc>
          <w:tcPr>
            <w:tcW w:w="1632" w:type="dxa"/>
            <w:gridSpan w:val="4"/>
            <w:vAlign w:val="center"/>
          </w:tcPr>
          <w:p w14:paraId="24F9C7DA">
            <w:pPr>
              <w:jc w:val="center"/>
              <w:rPr>
                <w:color w:val="auto"/>
              </w:rPr>
            </w:pPr>
          </w:p>
        </w:tc>
        <w:tc>
          <w:tcPr>
            <w:tcW w:w="1416" w:type="dxa"/>
            <w:gridSpan w:val="2"/>
            <w:vAlign w:val="center"/>
          </w:tcPr>
          <w:p w14:paraId="1C1CE4C0">
            <w:pPr>
              <w:jc w:val="center"/>
              <w:rPr>
                <w:color w:val="auto"/>
              </w:rPr>
            </w:pPr>
          </w:p>
        </w:tc>
      </w:tr>
      <w:tr w14:paraId="0B2B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3C048A55">
            <w:pPr>
              <w:jc w:val="center"/>
              <w:rPr>
                <w:color w:val="auto"/>
              </w:rPr>
            </w:pPr>
            <w:r>
              <w:rPr>
                <w:rFonts w:hint="eastAsia" w:cs="宋体"/>
                <w:color w:val="auto"/>
              </w:rPr>
              <w:t>在建和已完工程项目情况</w:t>
            </w:r>
          </w:p>
        </w:tc>
      </w:tr>
      <w:tr w14:paraId="7811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1EB2D413">
            <w:pPr>
              <w:jc w:val="center"/>
              <w:rPr>
                <w:color w:val="auto"/>
              </w:rPr>
            </w:pPr>
          </w:p>
        </w:tc>
        <w:tc>
          <w:tcPr>
            <w:tcW w:w="1548" w:type="dxa"/>
            <w:gridSpan w:val="2"/>
            <w:vAlign w:val="center"/>
          </w:tcPr>
          <w:p w14:paraId="236D0EE0">
            <w:pPr>
              <w:jc w:val="center"/>
              <w:rPr>
                <w:color w:val="auto"/>
              </w:rPr>
            </w:pPr>
            <w:r>
              <w:rPr>
                <w:rFonts w:hint="eastAsia"/>
                <w:color w:val="auto"/>
              </w:rPr>
              <w:t>项目1</w:t>
            </w:r>
          </w:p>
        </w:tc>
        <w:tc>
          <w:tcPr>
            <w:tcW w:w="1837" w:type="dxa"/>
            <w:gridSpan w:val="4"/>
            <w:vAlign w:val="center"/>
          </w:tcPr>
          <w:p w14:paraId="76F8375C">
            <w:pPr>
              <w:jc w:val="center"/>
              <w:rPr>
                <w:color w:val="auto"/>
              </w:rPr>
            </w:pPr>
            <w:r>
              <w:rPr>
                <w:rFonts w:hint="eastAsia"/>
                <w:color w:val="auto"/>
              </w:rPr>
              <w:t>项目2</w:t>
            </w:r>
          </w:p>
        </w:tc>
        <w:tc>
          <w:tcPr>
            <w:tcW w:w="1472" w:type="dxa"/>
            <w:gridSpan w:val="3"/>
            <w:vAlign w:val="center"/>
          </w:tcPr>
          <w:p w14:paraId="25626CDA">
            <w:pPr>
              <w:jc w:val="center"/>
              <w:rPr>
                <w:color w:val="auto"/>
              </w:rPr>
            </w:pPr>
            <w:r>
              <w:rPr>
                <w:rFonts w:hint="eastAsia"/>
                <w:color w:val="auto"/>
              </w:rPr>
              <w:t>项目3</w:t>
            </w:r>
          </w:p>
        </w:tc>
        <w:tc>
          <w:tcPr>
            <w:tcW w:w="1641" w:type="dxa"/>
            <w:gridSpan w:val="4"/>
            <w:vAlign w:val="center"/>
          </w:tcPr>
          <w:p w14:paraId="01D4A449">
            <w:pPr>
              <w:jc w:val="center"/>
              <w:rPr>
                <w:color w:val="auto"/>
              </w:rPr>
            </w:pPr>
            <w:r>
              <w:rPr>
                <w:rFonts w:hint="eastAsia"/>
                <w:color w:val="auto"/>
              </w:rPr>
              <w:t>项目4</w:t>
            </w:r>
          </w:p>
        </w:tc>
        <w:tc>
          <w:tcPr>
            <w:tcW w:w="1484" w:type="dxa"/>
            <w:gridSpan w:val="2"/>
            <w:vAlign w:val="center"/>
          </w:tcPr>
          <w:p w14:paraId="0AAC810F">
            <w:pPr>
              <w:jc w:val="center"/>
              <w:rPr>
                <w:color w:val="auto"/>
              </w:rPr>
            </w:pPr>
            <w:r>
              <w:rPr>
                <w:rFonts w:hint="eastAsia"/>
                <w:color w:val="auto"/>
              </w:rPr>
              <w:t>……</w:t>
            </w:r>
          </w:p>
        </w:tc>
      </w:tr>
      <w:tr w14:paraId="2323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0D462570">
            <w:pPr>
              <w:jc w:val="center"/>
              <w:rPr>
                <w:color w:val="auto"/>
              </w:rPr>
            </w:pPr>
            <w:r>
              <w:rPr>
                <w:rFonts w:hint="eastAsia"/>
                <w:color w:val="auto"/>
              </w:rPr>
              <w:t>项目名称</w:t>
            </w:r>
          </w:p>
        </w:tc>
        <w:tc>
          <w:tcPr>
            <w:tcW w:w="1548" w:type="dxa"/>
            <w:gridSpan w:val="2"/>
            <w:vAlign w:val="center"/>
          </w:tcPr>
          <w:p w14:paraId="26670190">
            <w:pPr>
              <w:jc w:val="center"/>
              <w:rPr>
                <w:color w:val="auto"/>
              </w:rPr>
            </w:pPr>
          </w:p>
        </w:tc>
        <w:tc>
          <w:tcPr>
            <w:tcW w:w="1837" w:type="dxa"/>
            <w:gridSpan w:val="4"/>
            <w:vAlign w:val="center"/>
          </w:tcPr>
          <w:p w14:paraId="531F5DBA">
            <w:pPr>
              <w:jc w:val="center"/>
              <w:rPr>
                <w:color w:val="auto"/>
              </w:rPr>
            </w:pPr>
          </w:p>
        </w:tc>
        <w:tc>
          <w:tcPr>
            <w:tcW w:w="1472" w:type="dxa"/>
            <w:gridSpan w:val="3"/>
            <w:vAlign w:val="center"/>
          </w:tcPr>
          <w:p w14:paraId="6F51F288">
            <w:pPr>
              <w:jc w:val="center"/>
              <w:rPr>
                <w:color w:val="auto"/>
              </w:rPr>
            </w:pPr>
          </w:p>
        </w:tc>
        <w:tc>
          <w:tcPr>
            <w:tcW w:w="1641" w:type="dxa"/>
            <w:gridSpan w:val="4"/>
            <w:vAlign w:val="center"/>
          </w:tcPr>
          <w:p w14:paraId="7476D3CA">
            <w:pPr>
              <w:jc w:val="center"/>
              <w:rPr>
                <w:color w:val="auto"/>
              </w:rPr>
            </w:pPr>
          </w:p>
        </w:tc>
        <w:tc>
          <w:tcPr>
            <w:tcW w:w="1484" w:type="dxa"/>
            <w:gridSpan w:val="2"/>
            <w:vAlign w:val="center"/>
          </w:tcPr>
          <w:p w14:paraId="399D8A5D">
            <w:pPr>
              <w:jc w:val="center"/>
              <w:rPr>
                <w:color w:val="auto"/>
              </w:rPr>
            </w:pPr>
          </w:p>
        </w:tc>
      </w:tr>
      <w:tr w14:paraId="20B5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B3FEF78">
            <w:pPr>
              <w:jc w:val="center"/>
              <w:rPr>
                <w:color w:val="auto"/>
              </w:rPr>
            </w:pPr>
            <w:r>
              <w:rPr>
                <w:rFonts w:hint="eastAsia" w:cs="宋体"/>
                <w:color w:val="auto"/>
              </w:rPr>
              <w:t>建设单位</w:t>
            </w:r>
          </w:p>
        </w:tc>
        <w:tc>
          <w:tcPr>
            <w:tcW w:w="1548" w:type="dxa"/>
            <w:gridSpan w:val="2"/>
            <w:vAlign w:val="center"/>
          </w:tcPr>
          <w:p w14:paraId="77F78981">
            <w:pPr>
              <w:jc w:val="center"/>
              <w:rPr>
                <w:color w:val="auto"/>
              </w:rPr>
            </w:pPr>
          </w:p>
        </w:tc>
        <w:tc>
          <w:tcPr>
            <w:tcW w:w="1837" w:type="dxa"/>
            <w:gridSpan w:val="4"/>
            <w:vAlign w:val="center"/>
          </w:tcPr>
          <w:p w14:paraId="72E8DD56">
            <w:pPr>
              <w:jc w:val="center"/>
              <w:rPr>
                <w:color w:val="auto"/>
              </w:rPr>
            </w:pPr>
          </w:p>
        </w:tc>
        <w:tc>
          <w:tcPr>
            <w:tcW w:w="1472" w:type="dxa"/>
            <w:gridSpan w:val="3"/>
            <w:vAlign w:val="center"/>
          </w:tcPr>
          <w:p w14:paraId="41364C3E">
            <w:pPr>
              <w:jc w:val="center"/>
              <w:rPr>
                <w:color w:val="auto"/>
              </w:rPr>
            </w:pPr>
          </w:p>
        </w:tc>
        <w:tc>
          <w:tcPr>
            <w:tcW w:w="1641" w:type="dxa"/>
            <w:gridSpan w:val="4"/>
            <w:vAlign w:val="center"/>
          </w:tcPr>
          <w:p w14:paraId="763421D9">
            <w:pPr>
              <w:jc w:val="center"/>
              <w:rPr>
                <w:color w:val="auto"/>
              </w:rPr>
            </w:pPr>
          </w:p>
        </w:tc>
        <w:tc>
          <w:tcPr>
            <w:tcW w:w="1484" w:type="dxa"/>
            <w:gridSpan w:val="2"/>
            <w:vAlign w:val="center"/>
          </w:tcPr>
          <w:p w14:paraId="0C5DB3EA">
            <w:pPr>
              <w:jc w:val="center"/>
              <w:rPr>
                <w:color w:val="auto"/>
              </w:rPr>
            </w:pPr>
          </w:p>
        </w:tc>
      </w:tr>
      <w:tr w14:paraId="43C2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69B4D72C">
            <w:pPr>
              <w:jc w:val="center"/>
              <w:rPr>
                <w:color w:val="auto"/>
              </w:rPr>
            </w:pPr>
            <w:r>
              <w:rPr>
                <w:rFonts w:hint="eastAsia" w:cs="宋体"/>
                <w:color w:val="auto"/>
              </w:rPr>
              <w:t>建设规模</w:t>
            </w:r>
          </w:p>
        </w:tc>
        <w:tc>
          <w:tcPr>
            <w:tcW w:w="1548" w:type="dxa"/>
            <w:gridSpan w:val="2"/>
            <w:vAlign w:val="center"/>
          </w:tcPr>
          <w:p w14:paraId="46405D7F">
            <w:pPr>
              <w:jc w:val="center"/>
              <w:rPr>
                <w:color w:val="auto"/>
              </w:rPr>
            </w:pPr>
          </w:p>
        </w:tc>
        <w:tc>
          <w:tcPr>
            <w:tcW w:w="1837" w:type="dxa"/>
            <w:gridSpan w:val="4"/>
            <w:vAlign w:val="center"/>
          </w:tcPr>
          <w:p w14:paraId="18C10EB0">
            <w:pPr>
              <w:jc w:val="center"/>
              <w:rPr>
                <w:color w:val="auto"/>
              </w:rPr>
            </w:pPr>
          </w:p>
        </w:tc>
        <w:tc>
          <w:tcPr>
            <w:tcW w:w="1472" w:type="dxa"/>
            <w:gridSpan w:val="3"/>
            <w:vAlign w:val="center"/>
          </w:tcPr>
          <w:p w14:paraId="417639CC">
            <w:pPr>
              <w:jc w:val="center"/>
              <w:rPr>
                <w:color w:val="auto"/>
              </w:rPr>
            </w:pPr>
          </w:p>
        </w:tc>
        <w:tc>
          <w:tcPr>
            <w:tcW w:w="1641" w:type="dxa"/>
            <w:gridSpan w:val="4"/>
            <w:vAlign w:val="center"/>
          </w:tcPr>
          <w:p w14:paraId="654A4C00">
            <w:pPr>
              <w:jc w:val="center"/>
              <w:rPr>
                <w:color w:val="auto"/>
              </w:rPr>
            </w:pPr>
          </w:p>
        </w:tc>
        <w:tc>
          <w:tcPr>
            <w:tcW w:w="1484" w:type="dxa"/>
            <w:gridSpan w:val="2"/>
            <w:vAlign w:val="center"/>
          </w:tcPr>
          <w:p w14:paraId="11036E62">
            <w:pPr>
              <w:jc w:val="center"/>
              <w:rPr>
                <w:color w:val="auto"/>
              </w:rPr>
            </w:pPr>
          </w:p>
        </w:tc>
      </w:tr>
      <w:tr w14:paraId="29B9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DEA829F">
            <w:pPr>
              <w:jc w:val="center"/>
              <w:rPr>
                <w:rFonts w:ascii="宋体" w:hAnsi="宋体" w:cs="宋体"/>
                <w:color w:val="auto"/>
                <w:sz w:val="27"/>
                <w:szCs w:val="27"/>
              </w:rPr>
            </w:pPr>
            <w:r>
              <w:rPr>
                <w:rFonts w:hint="eastAsia" w:cs="宋体"/>
                <w:color w:val="auto"/>
              </w:rPr>
              <w:t>开工日期</w:t>
            </w:r>
          </w:p>
        </w:tc>
        <w:tc>
          <w:tcPr>
            <w:tcW w:w="1548" w:type="dxa"/>
            <w:gridSpan w:val="2"/>
            <w:vAlign w:val="center"/>
          </w:tcPr>
          <w:p w14:paraId="36991FFF">
            <w:pPr>
              <w:jc w:val="center"/>
              <w:rPr>
                <w:color w:val="auto"/>
              </w:rPr>
            </w:pPr>
          </w:p>
        </w:tc>
        <w:tc>
          <w:tcPr>
            <w:tcW w:w="1837" w:type="dxa"/>
            <w:gridSpan w:val="4"/>
            <w:vAlign w:val="center"/>
          </w:tcPr>
          <w:p w14:paraId="3386648B">
            <w:pPr>
              <w:jc w:val="center"/>
              <w:rPr>
                <w:color w:val="auto"/>
              </w:rPr>
            </w:pPr>
          </w:p>
        </w:tc>
        <w:tc>
          <w:tcPr>
            <w:tcW w:w="1472" w:type="dxa"/>
            <w:gridSpan w:val="3"/>
            <w:vAlign w:val="center"/>
          </w:tcPr>
          <w:p w14:paraId="56663709">
            <w:pPr>
              <w:jc w:val="center"/>
              <w:rPr>
                <w:color w:val="auto"/>
              </w:rPr>
            </w:pPr>
          </w:p>
        </w:tc>
        <w:tc>
          <w:tcPr>
            <w:tcW w:w="1641" w:type="dxa"/>
            <w:gridSpan w:val="4"/>
            <w:vAlign w:val="center"/>
          </w:tcPr>
          <w:p w14:paraId="7F36080B">
            <w:pPr>
              <w:jc w:val="center"/>
              <w:rPr>
                <w:color w:val="auto"/>
              </w:rPr>
            </w:pPr>
          </w:p>
        </w:tc>
        <w:tc>
          <w:tcPr>
            <w:tcW w:w="1484" w:type="dxa"/>
            <w:gridSpan w:val="2"/>
            <w:vAlign w:val="center"/>
          </w:tcPr>
          <w:p w14:paraId="11AEB7B0">
            <w:pPr>
              <w:jc w:val="center"/>
              <w:rPr>
                <w:color w:val="auto"/>
              </w:rPr>
            </w:pPr>
          </w:p>
        </w:tc>
      </w:tr>
      <w:tr w14:paraId="37A9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C1F562C">
            <w:pPr>
              <w:jc w:val="center"/>
              <w:rPr>
                <w:color w:val="auto"/>
              </w:rPr>
            </w:pPr>
            <w:r>
              <w:rPr>
                <w:rFonts w:hint="eastAsia" w:cs="宋体"/>
                <w:color w:val="auto"/>
              </w:rPr>
              <w:t>竣工日期</w:t>
            </w:r>
          </w:p>
        </w:tc>
        <w:tc>
          <w:tcPr>
            <w:tcW w:w="1548" w:type="dxa"/>
            <w:gridSpan w:val="2"/>
            <w:vAlign w:val="center"/>
          </w:tcPr>
          <w:p w14:paraId="7878DEB6">
            <w:pPr>
              <w:jc w:val="center"/>
              <w:rPr>
                <w:color w:val="auto"/>
              </w:rPr>
            </w:pPr>
          </w:p>
        </w:tc>
        <w:tc>
          <w:tcPr>
            <w:tcW w:w="1837" w:type="dxa"/>
            <w:gridSpan w:val="4"/>
            <w:vAlign w:val="center"/>
          </w:tcPr>
          <w:p w14:paraId="5F5639C2">
            <w:pPr>
              <w:jc w:val="center"/>
              <w:rPr>
                <w:color w:val="auto"/>
              </w:rPr>
            </w:pPr>
          </w:p>
        </w:tc>
        <w:tc>
          <w:tcPr>
            <w:tcW w:w="1472" w:type="dxa"/>
            <w:gridSpan w:val="3"/>
            <w:vAlign w:val="center"/>
          </w:tcPr>
          <w:p w14:paraId="2DB67AF6">
            <w:pPr>
              <w:jc w:val="center"/>
              <w:rPr>
                <w:color w:val="auto"/>
              </w:rPr>
            </w:pPr>
          </w:p>
        </w:tc>
        <w:tc>
          <w:tcPr>
            <w:tcW w:w="1641" w:type="dxa"/>
            <w:gridSpan w:val="4"/>
            <w:vAlign w:val="center"/>
          </w:tcPr>
          <w:p w14:paraId="70639EDC">
            <w:pPr>
              <w:jc w:val="center"/>
              <w:rPr>
                <w:color w:val="auto"/>
              </w:rPr>
            </w:pPr>
          </w:p>
        </w:tc>
        <w:tc>
          <w:tcPr>
            <w:tcW w:w="1484" w:type="dxa"/>
            <w:gridSpan w:val="2"/>
            <w:vAlign w:val="center"/>
          </w:tcPr>
          <w:p w14:paraId="4D50581A">
            <w:pPr>
              <w:jc w:val="center"/>
              <w:rPr>
                <w:color w:val="auto"/>
              </w:rPr>
            </w:pPr>
          </w:p>
        </w:tc>
      </w:tr>
      <w:tr w14:paraId="2CD3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864F846">
            <w:pPr>
              <w:jc w:val="center"/>
              <w:rPr>
                <w:rFonts w:cs="宋体"/>
                <w:color w:val="auto"/>
              </w:rPr>
            </w:pPr>
            <w:r>
              <w:rPr>
                <w:rFonts w:hint="eastAsia" w:cs="宋体"/>
                <w:color w:val="auto"/>
              </w:rPr>
              <w:t>人员角色</w:t>
            </w:r>
          </w:p>
        </w:tc>
        <w:tc>
          <w:tcPr>
            <w:tcW w:w="1548" w:type="dxa"/>
            <w:gridSpan w:val="2"/>
            <w:vAlign w:val="center"/>
          </w:tcPr>
          <w:p w14:paraId="14F6B200">
            <w:pPr>
              <w:jc w:val="center"/>
              <w:rPr>
                <w:color w:val="auto"/>
              </w:rPr>
            </w:pPr>
          </w:p>
        </w:tc>
        <w:tc>
          <w:tcPr>
            <w:tcW w:w="1837" w:type="dxa"/>
            <w:gridSpan w:val="4"/>
            <w:vAlign w:val="center"/>
          </w:tcPr>
          <w:p w14:paraId="5E2E09E6">
            <w:pPr>
              <w:jc w:val="center"/>
              <w:rPr>
                <w:color w:val="auto"/>
              </w:rPr>
            </w:pPr>
          </w:p>
        </w:tc>
        <w:tc>
          <w:tcPr>
            <w:tcW w:w="1472" w:type="dxa"/>
            <w:gridSpan w:val="3"/>
            <w:vAlign w:val="center"/>
          </w:tcPr>
          <w:p w14:paraId="40FC9F27">
            <w:pPr>
              <w:jc w:val="center"/>
              <w:rPr>
                <w:color w:val="auto"/>
              </w:rPr>
            </w:pPr>
          </w:p>
        </w:tc>
        <w:tc>
          <w:tcPr>
            <w:tcW w:w="1641" w:type="dxa"/>
            <w:gridSpan w:val="4"/>
            <w:vAlign w:val="center"/>
          </w:tcPr>
          <w:p w14:paraId="6D764A93">
            <w:pPr>
              <w:jc w:val="center"/>
              <w:rPr>
                <w:color w:val="auto"/>
              </w:rPr>
            </w:pPr>
          </w:p>
        </w:tc>
        <w:tc>
          <w:tcPr>
            <w:tcW w:w="1484" w:type="dxa"/>
            <w:gridSpan w:val="2"/>
            <w:vAlign w:val="center"/>
          </w:tcPr>
          <w:p w14:paraId="0D4EE484">
            <w:pPr>
              <w:jc w:val="center"/>
              <w:rPr>
                <w:color w:val="auto"/>
              </w:rPr>
            </w:pPr>
          </w:p>
        </w:tc>
      </w:tr>
      <w:tr w14:paraId="0FDF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E07B705">
            <w:pPr>
              <w:jc w:val="center"/>
              <w:rPr>
                <w:rFonts w:cs="宋体"/>
                <w:color w:val="auto"/>
              </w:rPr>
            </w:pPr>
            <w:r>
              <w:rPr>
                <w:rFonts w:hint="eastAsia" w:cs="宋体"/>
                <w:color w:val="auto"/>
              </w:rPr>
              <w:t>在建或已完</w:t>
            </w:r>
          </w:p>
        </w:tc>
        <w:tc>
          <w:tcPr>
            <w:tcW w:w="1548" w:type="dxa"/>
            <w:gridSpan w:val="2"/>
            <w:vAlign w:val="center"/>
          </w:tcPr>
          <w:p w14:paraId="199740E7">
            <w:pPr>
              <w:jc w:val="center"/>
              <w:rPr>
                <w:color w:val="auto"/>
              </w:rPr>
            </w:pPr>
          </w:p>
        </w:tc>
        <w:tc>
          <w:tcPr>
            <w:tcW w:w="1837" w:type="dxa"/>
            <w:gridSpan w:val="4"/>
            <w:vAlign w:val="center"/>
          </w:tcPr>
          <w:p w14:paraId="05BCC8E0">
            <w:pPr>
              <w:jc w:val="center"/>
              <w:rPr>
                <w:color w:val="auto"/>
              </w:rPr>
            </w:pPr>
          </w:p>
        </w:tc>
        <w:tc>
          <w:tcPr>
            <w:tcW w:w="1472" w:type="dxa"/>
            <w:gridSpan w:val="3"/>
            <w:vAlign w:val="center"/>
          </w:tcPr>
          <w:p w14:paraId="7877F809">
            <w:pPr>
              <w:jc w:val="center"/>
              <w:rPr>
                <w:color w:val="auto"/>
              </w:rPr>
            </w:pPr>
          </w:p>
        </w:tc>
        <w:tc>
          <w:tcPr>
            <w:tcW w:w="1641" w:type="dxa"/>
            <w:gridSpan w:val="4"/>
            <w:vAlign w:val="center"/>
          </w:tcPr>
          <w:p w14:paraId="667A7E51">
            <w:pPr>
              <w:jc w:val="center"/>
              <w:rPr>
                <w:color w:val="auto"/>
              </w:rPr>
            </w:pPr>
          </w:p>
        </w:tc>
        <w:tc>
          <w:tcPr>
            <w:tcW w:w="1484" w:type="dxa"/>
            <w:gridSpan w:val="2"/>
            <w:vAlign w:val="center"/>
          </w:tcPr>
          <w:p w14:paraId="72492B1A">
            <w:pPr>
              <w:jc w:val="center"/>
              <w:rPr>
                <w:color w:val="auto"/>
              </w:rPr>
            </w:pPr>
          </w:p>
        </w:tc>
      </w:tr>
      <w:tr w14:paraId="4E62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C662605">
            <w:pPr>
              <w:jc w:val="center"/>
              <w:rPr>
                <w:rFonts w:cs="宋体"/>
                <w:color w:val="auto"/>
              </w:rPr>
            </w:pPr>
            <w:r>
              <w:rPr>
                <w:rFonts w:hint="eastAsia" w:cs="宋体"/>
                <w:color w:val="auto"/>
              </w:rPr>
              <w:t>工程质量</w:t>
            </w:r>
          </w:p>
        </w:tc>
        <w:tc>
          <w:tcPr>
            <w:tcW w:w="1548" w:type="dxa"/>
            <w:gridSpan w:val="2"/>
            <w:vAlign w:val="center"/>
          </w:tcPr>
          <w:p w14:paraId="20700278">
            <w:pPr>
              <w:jc w:val="center"/>
              <w:rPr>
                <w:color w:val="auto"/>
              </w:rPr>
            </w:pPr>
          </w:p>
        </w:tc>
        <w:tc>
          <w:tcPr>
            <w:tcW w:w="1837" w:type="dxa"/>
            <w:gridSpan w:val="4"/>
            <w:vAlign w:val="center"/>
          </w:tcPr>
          <w:p w14:paraId="4CAE83E1">
            <w:pPr>
              <w:jc w:val="center"/>
              <w:rPr>
                <w:color w:val="auto"/>
              </w:rPr>
            </w:pPr>
          </w:p>
        </w:tc>
        <w:tc>
          <w:tcPr>
            <w:tcW w:w="1472" w:type="dxa"/>
            <w:gridSpan w:val="3"/>
            <w:vAlign w:val="center"/>
          </w:tcPr>
          <w:p w14:paraId="23B1A17C">
            <w:pPr>
              <w:jc w:val="center"/>
              <w:rPr>
                <w:color w:val="auto"/>
              </w:rPr>
            </w:pPr>
          </w:p>
        </w:tc>
        <w:tc>
          <w:tcPr>
            <w:tcW w:w="1641" w:type="dxa"/>
            <w:gridSpan w:val="4"/>
            <w:vAlign w:val="center"/>
          </w:tcPr>
          <w:p w14:paraId="212EFB3E">
            <w:pPr>
              <w:jc w:val="center"/>
              <w:rPr>
                <w:color w:val="auto"/>
              </w:rPr>
            </w:pPr>
          </w:p>
        </w:tc>
        <w:tc>
          <w:tcPr>
            <w:tcW w:w="1484" w:type="dxa"/>
            <w:gridSpan w:val="2"/>
            <w:vAlign w:val="center"/>
          </w:tcPr>
          <w:p w14:paraId="5B14673D">
            <w:pPr>
              <w:jc w:val="center"/>
              <w:rPr>
                <w:color w:val="auto"/>
              </w:rPr>
            </w:pPr>
          </w:p>
        </w:tc>
      </w:tr>
      <w:tr w14:paraId="4AEE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84F33BA">
            <w:pPr>
              <w:jc w:val="center"/>
              <w:rPr>
                <w:rFonts w:cs="宋体"/>
                <w:color w:val="auto"/>
              </w:rPr>
            </w:pPr>
            <w:r>
              <w:rPr>
                <w:rFonts w:hint="eastAsia" w:cs="宋体"/>
                <w:color w:val="auto"/>
              </w:rPr>
              <w:t>受奖情况</w:t>
            </w:r>
          </w:p>
        </w:tc>
        <w:tc>
          <w:tcPr>
            <w:tcW w:w="1548" w:type="dxa"/>
            <w:gridSpan w:val="2"/>
            <w:vAlign w:val="center"/>
          </w:tcPr>
          <w:p w14:paraId="4AB50D77">
            <w:pPr>
              <w:jc w:val="center"/>
              <w:rPr>
                <w:color w:val="auto"/>
              </w:rPr>
            </w:pPr>
          </w:p>
        </w:tc>
        <w:tc>
          <w:tcPr>
            <w:tcW w:w="1837" w:type="dxa"/>
            <w:gridSpan w:val="4"/>
            <w:vAlign w:val="center"/>
          </w:tcPr>
          <w:p w14:paraId="6F70D4A0">
            <w:pPr>
              <w:jc w:val="center"/>
              <w:rPr>
                <w:color w:val="auto"/>
              </w:rPr>
            </w:pPr>
          </w:p>
        </w:tc>
        <w:tc>
          <w:tcPr>
            <w:tcW w:w="1472" w:type="dxa"/>
            <w:gridSpan w:val="3"/>
            <w:vAlign w:val="center"/>
          </w:tcPr>
          <w:p w14:paraId="4E1971E9">
            <w:pPr>
              <w:jc w:val="center"/>
              <w:rPr>
                <w:color w:val="auto"/>
              </w:rPr>
            </w:pPr>
          </w:p>
        </w:tc>
        <w:tc>
          <w:tcPr>
            <w:tcW w:w="1641" w:type="dxa"/>
            <w:gridSpan w:val="4"/>
            <w:vAlign w:val="center"/>
          </w:tcPr>
          <w:p w14:paraId="7667DE7C">
            <w:pPr>
              <w:jc w:val="center"/>
              <w:rPr>
                <w:color w:val="auto"/>
              </w:rPr>
            </w:pPr>
          </w:p>
        </w:tc>
        <w:tc>
          <w:tcPr>
            <w:tcW w:w="1484" w:type="dxa"/>
            <w:gridSpan w:val="2"/>
            <w:vAlign w:val="center"/>
          </w:tcPr>
          <w:p w14:paraId="24E6222B">
            <w:pPr>
              <w:jc w:val="center"/>
              <w:rPr>
                <w:color w:val="auto"/>
              </w:rPr>
            </w:pPr>
          </w:p>
        </w:tc>
      </w:tr>
    </w:tbl>
    <w:p w14:paraId="33EF1E44">
      <w:pPr>
        <w:spacing w:line="360" w:lineRule="auto"/>
        <w:rPr>
          <w:rFonts w:ascii="宋体" w:hAnsi="宋体"/>
          <w:color w:val="auto"/>
        </w:rPr>
      </w:pPr>
      <w:r>
        <w:rPr>
          <w:rFonts w:hint="eastAsia" w:ascii="宋体" w:hAnsi="宋体" w:cs="楷体_GB2312"/>
          <w:color w:val="auto"/>
        </w:rPr>
        <w:t>备注：</w:t>
      </w:r>
    </w:p>
    <w:p w14:paraId="738CA59F">
      <w:pPr>
        <w:spacing w:line="360" w:lineRule="auto"/>
        <w:ind w:firstLine="420" w:firstLineChars="200"/>
        <w:rPr>
          <w:rFonts w:ascii="宋体" w:hAnsi="宋体"/>
          <w:color w:val="auto"/>
        </w:rPr>
      </w:pPr>
      <w:r>
        <w:rPr>
          <w:rFonts w:hint="eastAsia" w:ascii="宋体" w:hAnsi="宋体"/>
          <w:color w:val="auto"/>
        </w:rPr>
        <w:t>1.供应商可以根据项目情况增减表格内容，项目数可以根据需要增加。</w:t>
      </w:r>
    </w:p>
    <w:p w14:paraId="4A14BEC7">
      <w:pPr>
        <w:spacing w:line="360" w:lineRule="auto"/>
        <w:ind w:firstLine="420" w:firstLineChars="200"/>
        <w:rPr>
          <w:rFonts w:ascii="宋体" w:hAnsi="宋体"/>
          <w:color w:val="auto"/>
          <w:szCs w:val="21"/>
        </w:rPr>
      </w:pPr>
      <w:r>
        <w:rPr>
          <w:rFonts w:hint="eastAsia" w:ascii="宋体" w:hAnsi="宋体"/>
          <w:color w:val="auto"/>
        </w:rPr>
        <w:t>2.</w:t>
      </w:r>
      <w:r>
        <w:rPr>
          <w:rFonts w:hint="eastAsia" w:ascii="宋体" w:hAnsi="宋体"/>
          <w:color w:val="auto"/>
          <w:szCs w:val="21"/>
        </w:rPr>
        <w:t>本表后附专职安全生产管理人员的安全生产考核合格证（C类）、本表所列证书复印件或打印件并加盖供应商电子签章。</w:t>
      </w:r>
    </w:p>
    <w:p w14:paraId="3C791B58">
      <w:pPr>
        <w:spacing w:line="360" w:lineRule="auto"/>
        <w:rPr>
          <w:rFonts w:ascii="宋体" w:hAnsi="宋体"/>
          <w:b/>
          <w:bCs/>
          <w:color w:val="auto"/>
          <w:sz w:val="24"/>
        </w:rPr>
      </w:pPr>
      <w:r>
        <w:rPr>
          <w:rFonts w:ascii="宋体" w:hAnsi="宋体"/>
          <w:b/>
          <w:bCs/>
          <w:color w:val="auto"/>
          <w:sz w:val="24"/>
        </w:rPr>
        <w:br w:type="page"/>
      </w:r>
      <w:r>
        <w:rPr>
          <w:rFonts w:hint="eastAsia" w:ascii="宋体" w:hAnsi="宋体"/>
          <w:b/>
          <w:bCs/>
          <w:color w:val="auto"/>
          <w:sz w:val="24"/>
        </w:rPr>
        <w:t>其他文书、文件格式</w:t>
      </w:r>
    </w:p>
    <w:p w14:paraId="69B45319">
      <w:pPr>
        <w:spacing w:line="360" w:lineRule="auto"/>
        <w:rPr>
          <w:rFonts w:ascii="宋体" w:hAnsi="宋体"/>
          <w:color w:val="auto"/>
          <w:szCs w:val="21"/>
        </w:rPr>
      </w:pPr>
    </w:p>
    <w:p w14:paraId="122565F3">
      <w:pPr>
        <w:jc w:val="center"/>
        <w:rPr>
          <w:rFonts w:ascii="宋体" w:hAnsi="宋体" w:cs="方正小标宋简体"/>
          <w:b/>
          <w:color w:val="auto"/>
          <w:sz w:val="32"/>
          <w:szCs w:val="32"/>
        </w:rPr>
      </w:pPr>
      <w:bookmarkStart w:id="209" w:name="_Toc71365926"/>
      <w:r>
        <w:rPr>
          <w:rFonts w:hint="eastAsia" w:ascii="宋体" w:hAnsi="宋体" w:cs="方正小标宋简体"/>
          <w:b/>
          <w:color w:val="auto"/>
          <w:sz w:val="32"/>
          <w:szCs w:val="32"/>
        </w:rPr>
        <w:t>中小企业声明函（工程）</w:t>
      </w:r>
      <w:bookmarkEnd w:id="209"/>
    </w:p>
    <w:p w14:paraId="7ECF5276">
      <w:pPr>
        <w:pStyle w:val="20"/>
        <w:spacing w:line="500" w:lineRule="exact"/>
        <w:ind w:right="142" w:firstLine="705" w:firstLineChars="294"/>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工程的施工单位全部为符合政策要求的中小企业。相关企业（含联合体中的中小企业、签订分包意向协议的中小企业）的具体情况如下：</w:t>
      </w:r>
    </w:p>
    <w:p w14:paraId="480CF0AC">
      <w:pPr>
        <w:tabs>
          <w:tab w:val="left" w:pos="1384"/>
          <w:tab w:val="left" w:pos="4562"/>
          <w:tab w:val="left" w:pos="6803"/>
        </w:tabs>
        <w:spacing w:before="13" w:line="500" w:lineRule="exact"/>
        <w:ind w:right="142" w:firstLine="772" w:firstLineChars="322"/>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7C7183F8">
      <w:pPr>
        <w:tabs>
          <w:tab w:val="left" w:pos="1065"/>
          <w:tab w:val="left" w:pos="4262"/>
          <w:tab w:val="left" w:pos="6477"/>
        </w:tabs>
        <w:spacing w:before="20" w:line="500" w:lineRule="exact"/>
        <w:ind w:right="84" w:firstLine="772" w:firstLineChars="322"/>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hint="eastAsia" w:ascii="宋体" w:hAnsi="宋体"/>
          <w:color w:val="auto"/>
          <w:sz w:val="24"/>
        </w:rPr>
        <w:t>；承建企业为</w:t>
      </w:r>
      <w:r>
        <w:rPr>
          <w:rFonts w:hint="eastAsia" w:ascii="宋体" w:hAnsi="宋体"/>
          <w:color w:val="auto"/>
          <w:sz w:val="24"/>
          <w:u w:val="single"/>
        </w:rPr>
        <w:t>（企业名称）</w:t>
      </w:r>
      <w:r>
        <w:rPr>
          <w:rFonts w:hint="eastAsia"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14:paraId="60F2F300">
      <w:pPr>
        <w:pStyle w:val="20"/>
        <w:spacing w:before="34" w:line="500" w:lineRule="exact"/>
        <w:ind w:right="142" w:firstLine="705" w:firstLineChars="294"/>
        <w:rPr>
          <w:rFonts w:ascii="宋体" w:hAnsi="宋体"/>
          <w:color w:val="auto"/>
          <w:sz w:val="24"/>
        </w:rPr>
      </w:pPr>
      <w:r>
        <w:rPr>
          <w:rFonts w:ascii="宋体" w:hAnsi="宋体"/>
          <w:color w:val="auto"/>
          <w:sz w:val="24"/>
        </w:rPr>
        <w:t xml:space="preserve">…… </w:t>
      </w:r>
    </w:p>
    <w:p w14:paraId="3E49C9E0">
      <w:pPr>
        <w:pStyle w:val="20"/>
        <w:spacing w:before="34" w:line="500" w:lineRule="exact"/>
        <w:ind w:right="142" w:firstLine="705" w:firstLineChars="294"/>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7993BDA0">
      <w:pPr>
        <w:pStyle w:val="20"/>
        <w:spacing w:before="25" w:line="500" w:lineRule="exact"/>
        <w:ind w:right="142" w:firstLine="705" w:firstLineChars="294"/>
        <w:rPr>
          <w:rFonts w:ascii="宋体" w:hAnsi="宋体"/>
          <w:color w:val="auto"/>
          <w:sz w:val="24"/>
        </w:rPr>
      </w:pPr>
      <w:r>
        <w:rPr>
          <w:rFonts w:ascii="宋体" w:hAnsi="宋体"/>
          <w:color w:val="auto"/>
          <w:sz w:val="24"/>
        </w:rPr>
        <w:t>本企业对上述声明内容的真实性负责。如有虚假，将依法承担相应责任。</w:t>
      </w:r>
    </w:p>
    <w:p w14:paraId="4FBDF533">
      <w:pPr>
        <w:pStyle w:val="20"/>
        <w:spacing w:before="56" w:line="500" w:lineRule="exact"/>
        <w:ind w:right="650" w:firstLine="5625" w:firstLineChars="2344"/>
        <w:rPr>
          <w:rFonts w:ascii="宋体" w:hAnsi="宋体"/>
          <w:color w:val="auto"/>
          <w:sz w:val="24"/>
        </w:rPr>
      </w:pPr>
      <w:r>
        <w:rPr>
          <w:rFonts w:ascii="宋体" w:hAnsi="宋体"/>
          <w:color w:val="auto"/>
          <w:sz w:val="24"/>
        </w:rPr>
        <w:t xml:space="preserve">企业名称（章）： </w:t>
      </w:r>
    </w:p>
    <w:p w14:paraId="58769548">
      <w:pPr>
        <w:pStyle w:val="20"/>
        <w:spacing w:before="56" w:line="500" w:lineRule="exact"/>
        <w:ind w:right="1808" w:firstLine="5625" w:firstLineChars="2344"/>
        <w:rPr>
          <w:rFonts w:ascii="宋体" w:hAnsi="宋体"/>
          <w:color w:val="auto"/>
          <w:sz w:val="24"/>
        </w:rPr>
      </w:pPr>
      <w:r>
        <w:rPr>
          <w:rFonts w:ascii="宋体" w:hAnsi="宋体"/>
          <w:color w:val="auto"/>
          <w:sz w:val="24"/>
        </w:rPr>
        <w:t>日 期：</w:t>
      </w:r>
    </w:p>
    <w:p w14:paraId="131485D8">
      <w:pPr>
        <w:spacing w:line="520" w:lineRule="exact"/>
        <w:ind w:firstLine="420" w:firstLineChars="200"/>
        <w:jc w:val="left"/>
        <w:rPr>
          <w:rFonts w:ascii="宋体" w:hAnsi="宋体" w:cs="仿宋_GB2312"/>
          <w:color w:val="auto"/>
          <w:szCs w:val="21"/>
        </w:rPr>
      </w:pPr>
      <w:r>
        <w:rPr>
          <w:rFonts w:hint="eastAsia" w:ascii="宋体" w:hAnsi="宋体" w:cs="仿宋_GB2312"/>
          <w:color w:val="auto"/>
          <w:szCs w:val="21"/>
        </w:rPr>
        <w:t>注：1.对于联合体中由中小企业承担的部分，或者分包给中小企业的部分，供应商应当在声明函“项目名称”部分标明联合体中中小企业承担的具体内容或者中小企业的具体分包内容。</w:t>
      </w:r>
    </w:p>
    <w:p w14:paraId="7E4C31FF">
      <w:pPr>
        <w:spacing w:line="520" w:lineRule="exact"/>
        <w:ind w:firstLine="420" w:firstLineChars="200"/>
        <w:jc w:val="left"/>
        <w:rPr>
          <w:rFonts w:ascii="宋体" w:hAnsi="宋体" w:cs="仿宋_GB2312"/>
          <w:color w:val="auto"/>
          <w:szCs w:val="21"/>
        </w:rPr>
      </w:pPr>
      <w:r>
        <w:rPr>
          <w:rFonts w:hint="eastAsia" w:ascii="宋体" w:hAnsi="宋体" w:cs="仿宋_GB2312"/>
          <w:color w:val="auto"/>
          <w:szCs w:val="21"/>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9432C63">
      <w:pPr>
        <w:spacing w:line="520" w:lineRule="exact"/>
        <w:jc w:val="center"/>
        <w:rPr>
          <w:rFonts w:ascii="宋体" w:hAnsi="宋体" w:cs="仿宋_GB2312"/>
          <w:b/>
          <w:color w:val="auto"/>
          <w:sz w:val="32"/>
          <w:szCs w:val="32"/>
        </w:rPr>
      </w:pPr>
      <w:r>
        <w:rPr>
          <w:rFonts w:ascii="宋体" w:hAnsi="宋体"/>
          <w:color w:val="auto"/>
          <w:sz w:val="24"/>
        </w:rPr>
        <w:br w:type="page"/>
      </w:r>
      <w:r>
        <w:rPr>
          <w:rFonts w:hint="eastAsia" w:ascii="宋体" w:hAnsi="宋体" w:cs="方正小标宋简体"/>
          <w:b/>
          <w:color w:val="auto"/>
          <w:sz w:val="32"/>
          <w:szCs w:val="32"/>
        </w:rPr>
        <w:t>残疾人福利性单位声明函</w:t>
      </w:r>
    </w:p>
    <w:p w14:paraId="38464B51">
      <w:pPr>
        <w:spacing w:line="360" w:lineRule="auto"/>
        <w:contextualSpacing/>
        <w:rPr>
          <w:rFonts w:ascii="仿宋_GB2312" w:hAnsi="仿宋_GB2312" w:eastAsia="仿宋_GB2312" w:cs="仿宋_GB2312"/>
          <w:color w:val="auto"/>
          <w:sz w:val="32"/>
          <w:szCs w:val="32"/>
        </w:rPr>
      </w:pPr>
    </w:p>
    <w:p w14:paraId="76881719">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37D24FA3">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004EBEF8">
      <w:pPr>
        <w:spacing w:line="360" w:lineRule="auto"/>
        <w:contextualSpacing/>
        <w:rPr>
          <w:rFonts w:ascii="宋体" w:hAnsi="宋体" w:cs="仿宋_GB2312"/>
          <w:color w:val="auto"/>
          <w:sz w:val="24"/>
        </w:rPr>
      </w:pPr>
    </w:p>
    <w:p w14:paraId="074C42B9">
      <w:pPr>
        <w:spacing w:line="360" w:lineRule="auto"/>
        <w:contextualSpacing/>
        <w:rPr>
          <w:rFonts w:ascii="宋体" w:hAnsi="宋体" w:cs="仿宋_GB2312"/>
          <w:color w:val="auto"/>
          <w:sz w:val="24"/>
        </w:rPr>
      </w:pPr>
    </w:p>
    <w:p w14:paraId="18F5C397">
      <w:pPr>
        <w:spacing w:line="360" w:lineRule="auto"/>
        <w:contextualSpacing/>
        <w:rPr>
          <w:rFonts w:ascii="宋体" w:hAnsi="宋体" w:cs="仿宋_GB2312"/>
          <w:color w:val="auto"/>
          <w:sz w:val="24"/>
        </w:rPr>
      </w:pPr>
    </w:p>
    <w:p w14:paraId="70136B55">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14:paraId="4DEEBC8F">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14:paraId="5A19295B">
      <w:pPr>
        <w:spacing w:line="360" w:lineRule="auto"/>
        <w:contextualSpacing/>
        <w:rPr>
          <w:rFonts w:ascii="宋体" w:hAnsi="宋体" w:cs="仿宋_GB2312"/>
          <w:color w:val="auto"/>
          <w:sz w:val="24"/>
        </w:rPr>
      </w:pPr>
    </w:p>
    <w:p w14:paraId="4AE3AAAF">
      <w:pPr>
        <w:spacing w:line="360" w:lineRule="auto"/>
        <w:contextualSpacing/>
        <w:rPr>
          <w:rFonts w:ascii="宋体" w:hAnsi="宋体" w:cs="仿宋_GB2312"/>
          <w:color w:val="auto"/>
          <w:sz w:val="24"/>
        </w:rPr>
      </w:pPr>
    </w:p>
    <w:p w14:paraId="52B301C8">
      <w:pPr>
        <w:spacing w:line="360" w:lineRule="auto"/>
        <w:contextualSpacing/>
        <w:rPr>
          <w:rFonts w:ascii="宋体" w:hAnsi="宋体" w:cs="仿宋_GB2312"/>
          <w:color w:val="auto"/>
          <w:sz w:val="24"/>
        </w:rPr>
      </w:pPr>
    </w:p>
    <w:p w14:paraId="4BEE74E3">
      <w:pPr>
        <w:spacing w:line="360" w:lineRule="auto"/>
        <w:ind w:firstLine="420" w:firstLineChars="200"/>
        <w:contextualSpacing/>
        <w:rPr>
          <w:rFonts w:ascii="宋体" w:hAnsi="宋体" w:cs="仿宋_GB2312"/>
          <w:color w:val="auto"/>
          <w:szCs w:val="21"/>
        </w:rPr>
      </w:pPr>
      <w:r>
        <w:rPr>
          <w:rFonts w:hint="eastAsia" w:ascii="宋体" w:hAnsi="宋体" w:cs="仿宋_GB2312"/>
          <w:color w:val="auto"/>
          <w:szCs w:val="21"/>
        </w:rPr>
        <w:t>注：请根据自己的真实情况出具《残疾人福利性单位声明函》。依法享受中小企业优惠政策的，采购人或者采购代理机构在公告成交结果时，同时公告其《残疾人福利性单位声明函》，接受社会监督。</w:t>
      </w:r>
    </w:p>
    <w:p w14:paraId="603EE13A">
      <w:pPr>
        <w:spacing w:line="360" w:lineRule="auto"/>
        <w:jc w:val="center"/>
        <w:rPr>
          <w:rFonts w:ascii="宋体" w:hAnsi="宋体"/>
          <w:b/>
          <w:bCs/>
          <w:color w:val="auto"/>
          <w:sz w:val="32"/>
          <w:szCs w:val="32"/>
        </w:rPr>
      </w:pPr>
      <w:r>
        <w:rPr>
          <w:rFonts w:ascii="宋体" w:hAnsi="宋体" w:cs="仿宋_GB2312"/>
          <w:color w:val="auto"/>
          <w:sz w:val="24"/>
        </w:rPr>
        <w:br w:type="page"/>
      </w:r>
      <w:r>
        <w:rPr>
          <w:rFonts w:hint="eastAsia" w:ascii="方正小标宋简体" w:hAnsi="方正小标宋简体" w:eastAsia="方正小标宋简体" w:cs="方正小标宋简体"/>
          <w:color w:val="auto"/>
          <w:sz w:val="44"/>
          <w:szCs w:val="44"/>
        </w:rPr>
        <w:t>质疑函（格式）</w:t>
      </w:r>
    </w:p>
    <w:p w14:paraId="3D9962B1">
      <w:pPr>
        <w:pStyle w:val="26"/>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63F671AF">
      <w:pPr>
        <w:pStyle w:val="26"/>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6CC1D834">
      <w:pPr>
        <w:pStyle w:val="26"/>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CD93B8D">
      <w:pPr>
        <w:pStyle w:val="26"/>
        <w:spacing w:line="360" w:lineRule="auto"/>
        <w:ind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6DDB9F30">
      <w:pPr>
        <w:pStyle w:val="26"/>
        <w:spacing w:line="360" w:lineRule="auto"/>
        <w:ind w:firstLine="480" w:firstLineChars="200"/>
        <w:contextualSpacing/>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2507CF7C">
      <w:pPr>
        <w:pStyle w:val="26"/>
        <w:spacing w:line="360" w:lineRule="auto"/>
        <w:ind w:firstLine="480" w:firstLineChars="20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425A1F2">
      <w:pPr>
        <w:pStyle w:val="26"/>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BFEBBC4">
      <w:pPr>
        <w:pStyle w:val="26"/>
        <w:spacing w:line="360" w:lineRule="auto"/>
        <w:ind w:firstLine="482" w:firstLineChars="200"/>
        <w:contextualSpacing/>
        <w:rPr>
          <w:rFonts w:hAnsi="宋体"/>
          <w:b/>
          <w:bCs/>
          <w:color w:val="auto"/>
          <w:sz w:val="24"/>
          <w:szCs w:val="24"/>
        </w:rPr>
      </w:pPr>
      <w:r>
        <w:rPr>
          <w:rFonts w:hint="eastAsia" w:hAnsi="宋体"/>
          <w:b/>
          <w:bCs/>
          <w:color w:val="auto"/>
          <w:sz w:val="24"/>
          <w:szCs w:val="24"/>
        </w:rPr>
        <w:t>二、质疑项目基本情况：</w:t>
      </w:r>
    </w:p>
    <w:p w14:paraId="6504EC66">
      <w:pPr>
        <w:pStyle w:val="26"/>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3BB899FE">
      <w:pPr>
        <w:pStyle w:val="26"/>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5AFB8321">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357467E7">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14:paraId="78FFD977">
      <w:pPr>
        <w:pStyle w:val="26"/>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30BE5EF7">
      <w:pPr>
        <w:pStyle w:val="26"/>
        <w:spacing w:line="360" w:lineRule="auto"/>
        <w:ind w:left="25" w:leftChars="12" w:firstLine="352" w:firstLineChars="147"/>
        <w:contextualSpacing/>
        <w:rPr>
          <w:rFonts w:hAnsi="宋体"/>
          <w:color w:val="auto"/>
          <w:sz w:val="24"/>
          <w:szCs w:val="24"/>
        </w:rPr>
      </w:pPr>
      <w:r>
        <w:rPr>
          <w:rFonts w:hint="eastAsia" w:hAnsi="宋体"/>
          <w:color w:val="auto"/>
          <w:sz w:val="24"/>
          <w:szCs w:val="24"/>
        </w:rPr>
        <w:t xml:space="preserve">□采购过程   </w:t>
      </w:r>
    </w:p>
    <w:p w14:paraId="515660CF">
      <w:pPr>
        <w:pStyle w:val="26"/>
        <w:spacing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 xml:space="preserve">□成交结果   </w:t>
      </w:r>
    </w:p>
    <w:p w14:paraId="1F0CD227">
      <w:pPr>
        <w:pStyle w:val="26"/>
        <w:spacing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14:paraId="53037376">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5E190D54">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4032F729">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4F7D1192">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质疑事项2</w:t>
      </w:r>
    </w:p>
    <w:p w14:paraId="449E2CD7">
      <w:pPr>
        <w:pStyle w:val="26"/>
        <w:spacing w:line="360" w:lineRule="auto"/>
        <w:ind w:left="25" w:leftChars="12" w:firstLine="472" w:firstLineChars="197"/>
        <w:contextualSpacing/>
        <w:rPr>
          <w:rFonts w:hAnsi="宋体"/>
          <w:color w:val="auto"/>
          <w:sz w:val="24"/>
          <w:szCs w:val="24"/>
        </w:rPr>
      </w:pPr>
      <w:r>
        <w:rPr>
          <w:rFonts w:hAnsi="宋体"/>
          <w:color w:val="auto"/>
          <w:sz w:val="24"/>
          <w:szCs w:val="24"/>
        </w:rPr>
        <w:t>……</w:t>
      </w:r>
    </w:p>
    <w:p w14:paraId="463DD084">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14:paraId="122A5BB7">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2C2B673E">
      <w:pPr>
        <w:pStyle w:val="26"/>
        <w:spacing w:line="360" w:lineRule="auto"/>
        <w:ind w:left="25" w:leftChars="12" w:firstLine="352" w:firstLineChars="147"/>
        <w:contextualSpacing/>
        <w:rPr>
          <w:rFonts w:hAnsi="宋体"/>
          <w:color w:val="auto"/>
          <w:sz w:val="24"/>
          <w:szCs w:val="24"/>
        </w:rPr>
      </w:pPr>
    </w:p>
    <w:p w14:paraId="15F05BF2">
      <w:pPr>
        <w:pStyle w:val="26"/>
        <w:spacing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                                       公章：</w:t>
      </w:r>
    </w:p>
    <w:p w14:paraId="5F2968EA">
      <w:pPr>
        <w:pStyle w:val="26"/>
        <w:spacing w:line="360" w:lineRule="auto"/>
        <w:ind w:firstLine="480" w:firstLineChars="200"/>
        <w:contextualSpacing/>
        <w:rPr>
          <w:rFonts w:hAnsi="宋体"/>
          <w:b/>
          <w:color w:val="auto"/>
          <w:sz w:val="24"/>
          <w:szCs w:val="24"/>
        </w:rPr>
      </w:pPr>
      <w:r>
        <w:rPr>
          <w:rFonts w:hint="eastAsia" w:hAnsi="宋体"/>
          <w:color w:val="auto"/>
          <w:sz w:val="24"/>
          <w:szCs w:val="24"/>
        </w:rPr>
        <w:t>日期：</w:t>
      </w:r>
    </w:p>
    <w:p w14:paraId="2C71ECD1">
      <w:pPr>
        <w:pStyle w:val="26"/>
        <w:spacing w:line="360" w:lineRule="auto"/>
        <w:contextualSpacing/>
        <w:rPr>
          <w:rFonts w:hAnsi="宋体"/>
          <w:b/>
          <w:color w:val="auto"/>
          <w:sz w:val="24"/>
          <w:szCs w:val="24"/>
        </w:rPr>
      </w:pPr>
      <w:r>
        <w:rPr>
          <w:rFonts w:hint="eastAsia" w:hAnsi="宋体"/>
          <w:b/>
          <w:color w:val="auto"/>
          <w:sz w:val="24"/>
          <w:szCs w:val="24"/>
        </w:rPr>
        <w:t>说明：</w:t>
      </w:r>
    </w:p>
    <w:p w14:paraId="65BEC3A3">
      <w:pPr>
        <w:pStyle w:val="26"/>
        <w:spacing w:line="360" w:lineRule="auto"/>
        <w:ind w:left="25" w:leftChars="12" w:firstLine="354" w:firstLineChars="147"/>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1303B14A">
      <w:pPr>
        <w:pStyle w:val="26"/>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2E1614">
      <w:pPr>
        <w:pStyle w:val="26"/>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14:paraId="7DF0EDDE">
      <w:pPr>
        <w:pStyle w:val="26"/>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4.质疑函的质疑请求应与质疑事项相关。</w:t>
      </w:r>
    </w:p>
    <w:p w14:paraId="10E07EA5">
      <w:pPr>
        <w:pStyle w:val="26"/>
        <w:spacing w:line="360" w:lineRule="auto"/>
        <w:ind w:left="25" w:leftChars="12" w:firstLine="354" w:firstLineChars="147"/>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238EE77E">
      <w:pPr>
        <w:pStyle w:val="26"/>
        <w:snapToGrid w:val="0"/>
        <w:rPr>
          <w:b/>
          <w:color w:val="auto"/>
          <w:sz w:val="24"/>
          <w:szCs w:val="24"/>
        </w:rPr>
      </w:pPr>
    </w:p>
    <w:p w14:paraId="7A87B2B6">
      <w:pPr>
        <w:rPr>
          <w:color w:val="auto"/>
          <w:sz w:val="32"/>
          <w:szCs w:val="40"/>
        </w:rPr>
      </w:pPr>
    </w:p>
    <w:p w14:paraId="486FEE9D">
      <w:pPr>
        <w:rPr>
          <w:color w:val="auto"/>
          <w:sz w:val="32"/>
          <w:szCs w:val="40"/>
        </w:rPr>
      </w:pPr>
    </w:p>
    <w:p w14:paraId="06CDE71B">
      <w:pPr>
        <w:rPr>
          <w:color w:val="auto"/>
          <w:sz w:val="32"/>
          <w:szCs w:val="40"/>
        </w:rPr>
      </w:pPr>
    </w:p>
    <w:p w14:paraId="1A75CE1B">
      <w:pPr>
        <w:rPr>
          <w:color w:val="auto"/>
          <w:sz w:val="32"/>
          <w:szCs w:val="40"/>
        </w:rPr>
      </w:pPr>
    </w:p>
    <w:p w14:paraId="426972C5">
      <w:pPr>
        <w:rPr>
          <w:color w:val="auto"/>
          <w:sz w:val="32"/>
          <w:szCs w:val="40"/>
        </w:rPr>
      </w:pPr>
    </w:p>
    <w:p w14:paraId="4D25B094">
      <w:pPr>
        <w:rPr>
          <w:color w:val="auto"/>
          <w:sz w:val="32"/>
          <w:szCs w:val="40"/>
        </w:rPr>
      </w:pPr>
    </w:p>
    <w:p w14:paraId="51D12816">
      <w:pPr>
        <w:rPr>
          <w:color w:val="auto"/>
          <w:sz w:val="32"/>
          <w:szCs w:val="40"/>
        </w:rPr>
      </w:pPr>
    </w:p>
    <w:p w14:paraId="1647BE70">
      <w:pPr>
        <w:rPr>
          <w:color w:val="auto"/>
          <w:sz w:val="32"/>
          <w:szCs w:val="40"/>
        </w:rPr>
      </w:pPr>
    </w:p>
    <w:p w14:paraId="7DE1C72D">
      <w:pPr>
        <w:rPr>
          <w:color w:val="auto"/>
          <w:sz w:val="32"/>
          <w:szCs w:val="40"/>
        </w:rPr>
      </w:pPr>
    </w:p>
    <w:p w14:paraId="123697BE">
      <w:pPr>
        <w:rPr>
          <w:color w:val="auto"/>
          <w:sz w:val="32"/>
          <w:szCs w:val="40"/>
        </w:rPr>
      </w:pPr>
    </w:p>
    <w:p w14:paraId="4F036F31">
      <w:pPr>
        <w:rPr>
          <w:color w:val="auto"/>
          <w:sz w:val="32"/>
          <w:szCs w:val="40"/>
        </w:rPr>
      </w:pPr>
    </w:p>
    <w:p w14:paraId="55BC341B">
      <w:pPr>
        <w:rPr>
          <w:color w:val="auto"/>
          <w:sz w:val="32"/>
          <w:szCs w:val="40"/>
        </w:rPr>
      </w:pPr>
    </w:p>
    <w:p w14:paraId="7F8DF309">
      <w:pPr>
        <w:rPr>
          <w:color w:val="auto"/>
          <w:sz w:val="32"/>
          <w:szCs w:val="40"/>
        </w:rPr>
      </w:pPr>
    </w:p>
    <w:p w14:paraId="4C8856F5">
      <w:pPr>
        <w:rPr>
          <w:color w:val="auto"/>
          <w:sz w:val="32"/>
          <w:szCs w:val="40"/>
        </w:rPr>
      </w:pPr>
    </w:p>
    <w:p w14:paraId="7DB7BD2A">
      <w:pPr>
        <w:spacing w:line="360" w:lineRule="auto"/>
        <w:jc w:val="center"/>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投诉书（格式）</w:t>
      </w:r>
    </w:p>
    <w:p w14:paraId="38BFDA15">
      <w:pPr>
        <w:pStyle w:val="26"/>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14:paraId="78E75393">
      <w:pPr>
        <w:pStyle w:val="2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2E3285F1">
      <w:pPr>
        <w:pStyle w:val="26"/>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E7D5FCC">
      <w:pPr>
        <w:pStyle w:val="2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427AB569">
      <w:pPr>
        <w:pStyle w:val="26"/>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61F54CA2">
      <w:pPr>
        <w:pStyle w:val="2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DF2CF0D">
      <w:pPr>
        <w:pStyle w:val="26"/>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00E1ABE8">
      <w:pPr>
        <w:pStyle w:val="26"/>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16AF7653">
      <w:pPr>
        <w:pStyle w:val="26"/>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14:paraId="1C0441C5">
      <w:pPr>
        <w:pStyle w:val="2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26A17B4C">
      <w:pPr>
        <w:pStyle w:val="26"/>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2ED939E">
      <w:pPr>
        <w:pStyle w:val="2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76634121">
      <w:pPr>
        <w:pStyle w:val="26"/>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14:paraId="55FAFED0">
      <w:pPr>
        <w:pStyle w:val="26"/>
        <w:snapToGrid w:val="0"/>
        <w:spacing w:line="360" w:lineRule="auto"/>
        <w:ind w:firstLine="480" w:firstLineChars="200"/>
        <w:rPr>
          <w:rFonts w:hAnsi="宋体"/>
          <w:bCs/>
          <w:color w:val="auto"/>
          <w:sz w:val="24"/>
          <w:szCs w:val="24"/>
        </w:rPr>
      </w:pPr>
      <w:r>
        <w:rPr>
          <w:rFonts w:hAnsi="宋体"/>
          <w:bCs/>
          <w:color w:val="auto"/>
          <w:sz w:val="24"/>
          <w:szCs w:val="24"/>
        </w:rPr>
        <w:t>……</w:t>
      </w:r>
    </w:p>
    <w:p w14:paraId="16FF840F">
      <w:pPr>
        <w:pStyle w:val="26"/>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60F750BA">
      <w:pPr>
        <w:pStyle w:val="26"/>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50B36233">
      <w:pPr>
        <w:pStyle w:val="26"/>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47A2A258">
      <w:pPr>
        <w:pStyle w:val="26"/>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14:paraId="3F759196">
      <w:pPr>
        <w:pStyle w:val="26"/>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47D96560">
      <w:pPr>
        <w:pStyle w:val="26"/>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11397983">
      <w:pPr>
        <w:pStyle w:val="26"/>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55C90D6E">
      <w:pPr>
        <w:pStyle w:val="26"/>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42F8EBD1">
      <w:pPr>
        <w:pStyle w:val="26"/>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59BD5AE">
      <w:pPr>
        <w:pStyle w:val="26"/>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3289E2E6">
      <w:pPr>
        <w:pStyle w:val="26"/>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115E61F7">
      <w:pPr>
        <w:pStyle w:val="26"/>
        <w:spacing w:line="360" w:lineRule="auto"/>
        <w:ind w:firstLine="480" w:firstLineChars="200"/>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32511D05">
      <w:pPr>
        <w:pStyle w:val="26"/>
        <w:spacing w:line="360" w:lineRule="auto"/>
        <w:ind w:firstLine="241"/>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7631A0EE">
      <w:pPr>
        <w:pStyle w:val="26"/>
        <w:spacing w:line="360" w:lineRule="auto"/>
        <w:ind w:firstLine="241"/>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201425F1">
      <w:pPr>
        <w:pStyle w:val="26"/>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3691D2ED">
      <w:pPr>
        <w:pStyle w:val="26"/>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6809722E">
      <w:pPr>
        <w:pStyle w:val="26"/>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4271C037">
      <w:pPr>
        <w:pStyle w:val="26"/>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015B3384">
      <w:pPr>
        <w:pStyle w:val="26"/>
        <w:spacing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23277293">
      <w:pPr>
        <w:pStyle w:val="26"/>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48EDD65F">
      <w:pPr>
        <w:pStyle w:val="26"/>
        <w:spacing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1C1F45E9">
      <w:pPr>
        <w:pStyle w:val="26"/>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2CEFD8BE">
      <w:pPr>
        <w:pStyle w:val="26"/>
        <w:spacing w:line="360" w:lineRule="auto"/>
        <w:ind w:left="25" w:leftChars="12" w:firstLine="472" w:firstLineChars="197"/>
        <w:rPr>
          <w:rFonts w:hAnsi="宋体"/>
          <w:bCs/>
          <w:color w:val="auto"/>
          <w:sz w:val="24"/>
          <w:szCs w:val="24"/>
        </w:rPr>
      </w:pPr>
      <w:r>
        <w:rPr>
          <w:rFonts w:hAnsi="宋体"/>
          <w:bCs/>
          <w:color w:val="auto"/>
          <w:sz w:val="24"/>
          <w:szCs w:val="24"/>
        </w:rPr>
        <w:t>……</w:t>
      </w:r>
    </w:p>
    <w:p w14:paraId="33551AAF">
      <w:pPr>
        <w:pStyle w:val="26"/>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00B5F13A">
      <w:pPr>
        <w:pStyle w:val="26"/>
        <w:spacing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02AD7704">
      <w:pPr>
        <w:pStyle w:val="26"/>
        <w:spacing w:line="360" w:lineRule="auto"/>
        <w:ind w:left="25" w:leftChars="12" w:firstLine="352" w:firstLineChars="147"/>
        <w:rPr>
          <w:rFonts w:hAnsi="宋体"/>
          <w:color w:val="auto"/>
          <w:sz w:val="24"/>
          <w:szCs w:val="24"/>
        </w:rPr>
      </w:pPr>
    </w:p>
    <w:p w14:paraId="30648FB8">
      <w:pPr>
        <w:pStyle w:val="26"/>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763B46F8">
      <w:pPr>
        <w:pStyle w:val="26"/>
        <w:spacing w:line="360" w:lineRule="auto"/>
        <w:ind w:left="25" w:leftChars="12" w:firstLine="352" w:firstLineChars="147"/>
        <w:rPr>
          <w:rFonts w:hAnsi="宋体"/>
          <w:color w:val="auto"/>
          <w:sz w:val="24"/>
          <w:szCs w:val="24"/>
        </w:rPr>
      </w:pPr>
    </w:p>
    <w:p w14:paraId="47F12896">
      <w:pPr>
        <w:pStyle w:val="26"/>
        <w:spacing w:line="360" w:lineRule="auto"/>
        <w:ind w:left="25" w:leftChars="12" w:firstLine="472" w:firstLineChars="197"/>
        <w:rPr>
          <w:rFonts w:hAnsi="宋体"/>
          <w:color w:val="auto"/>
          <w:sz w:val="24"/>
          <w:szCs w:val="24"/>
        </w:rPr>
      </w:pPr>
      <w:r>
        <w:rPr>
          <w:rFonts w:hint="eastAsia" w:hAnsi="宋体"/>
          <w:color w:val="auto"/>
          <w:sz w:val="24"/>
          <w:szCs w:val="24"/>
        </w:rPr>
        <w:t>日期：</w:t>
      </w:r>
    </w:p>
    <w:p w14:paraId="4136871C">
      <w:pPr>
        <w:pStyle w:val="26"/>
        <w:spacing w:line="360" w:lineRule="auto"/>
        <w:ind w:left="25" w:leftChars="12" w:firstLine="472" w:firstLineChars="197"/>
        <w:rPr>
          <w:rFonts w:hAnsi="宋体"/>
          <w:b/>
          <w:color w:val="auto"/>
          <w:sz w:val="24"/>
          <w:szCs w:val="24"/>
        </w:rPr>
      </w:pPr>
      <w:r>
        <w:rPr>
          <w:rFonts w:hint="eastAsia" w:hAnsi="宋体"/>
          <w:bCs/>
          <w:color w:val="auto"/>
          <w:sz w:val="24"/>
          <w:szCs w:val="24"/>
        </w:rPr>
        <w:t xml:space="preserve">                                                                                 </w:t>
      </w:r>
    </w:p>
    <w:p w14:paraId="19D08B72">
      <w:pPr>
        <w:pStyle w:val="26"/>
        <w:snapToGrid w:val="0"/>
        <w:spacing w:line="360" w:lineRule="auto"/>
        <w:rPr>
          <w:rFonts w:hAnsi="宋体"/>
          <w:b/>
          <w:color w:val="auto"/>
          <w:sz w:val="24"/>
          <w:szCs w:val="24"/>
        </w:rPr>
      </w:pPr>
      <w:r>
        <w:rPr>
          <w:rFonts w:hint="eastAsia" w:hAnsi="宋体"/>
          <w:b/>
          <w:color w:val="auto"/>
          <w:sz w:val="24"/>
          <w:szCs w:val="24"/>
        </w:rPr>
        <w:t>说明：</w:t>
      </w:r>
    </w:p>
    <w:p w14:paraId="65CC30B5">
      <w:pPr>
        <w:pStyle w:val="26"/>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1CFD31FD">
      <w:pPr>
        <w:pStyle w:val="26"/>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8D76FAE">
      <w:pPr>
        <w:pStyle w:val="26"/>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6FB259DE">
      <w:pPr>
        <w:pStyle w:val="26"/>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687913F6">
      <w:pPr>
        <w:pStyle w:val="26"/>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1083C13B">
      <w:pPr>
        <w:pStyle w:val="26"/>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14:paraId="78132C12">
      <w:pPr>
        <w:pStyle w:val="3"/>
        <w:jc w:val="center"/>
        <w:rPr>
          <w:color w:val="auto"/>
        </w:rPr>
      </w:pPr>
      <w:bookmarkStart w:id="210" w:name="_Toc122424267"/>
      <w:r>
        <w:rPr>
          <w:rFonts w:hint="eastAsia"/>
          <w:color w:val="auto"/>
        </w:rPr>
        <w:t>第七章 合同文本</w:t>
      </w:r>
      <w:bookmarkEnd w:id="210"/>
    </w:p>
    <w:p w14:paraId="12799FF9">
      <w:pPr>
        <w:pStyle w:val="3"/>
        <w:jc w:val="center"/>
        <w:rPr>
          <w:color w:val="auto"/>
        </w:rPr>
      </w:pPr>
      <w:bookmarkStart w:id="211" w:name="_Toc373478199"/>
      <w:bookmarkStart w:id="212" w:name="_Toc122424268"/>
      <w:bookmarkStart w:id="213" w:name="_Toc1756478213"/>
      <w:bookmarkStart w:id="214" w:name="_Toc373227552"/>
      <w:bookmarkStart w:id="215" w:name="_Toc296890982"/>
      <w:bookmarkStart w:id="216" w:name="_Toc407135191"/>
      <w:bookmarkStart w:id="217" w:name="_Toc78449777"/>
      <w:bookmarkStart w:id="218" w:name="_Toc351203480"/>
      <w:bookmarkStart w:id="219" w:name="_Toc296503025"/>
      <w:bookmarkStart w:id="220" w:name="_Toc122424019"/>
      <w:bookmarkStart w:id="221" w:name="_Toc389065255"/>
      <w:bookmarkStart w:id="222" w:name="_Toc724920571"/>
      <w:r>
        <w:rPr>
          <w:rFonts w:hint="eastAsia" w:cs="黑体"/>
          <w:color w:val="auto"/>
        </w:rPr>
        <w:t>第一部分</w:t>
      </w:r>
      <w:r>
        <w:rPr>
          <w:color w:val="auto"/>
        </w:rPr>
        <w:t xml:space="preserve"> </w:t>
      </w:r>
      <w:r>
        <w:rPr>
          <w:rFonts w:hint="eastAsia" w:cs="黑体"/>
          <w:color w:val="auto"/>
        </w:rPr>
        <w:t>合同协议书</w:t>
      </w:r>
      <w:bookmarkEnd w:id="211"/>
      <w:bookmarkEnd w:id="212"/>
      <w:bookmarkEnd w:id="213"/>
      <w:bookmarkEnd w:id="214"/>
      <w:bookmarkEnd w:id="215"/>
      <w:bookmarkEnd w:id="216"/>
      <w:bookmarkEnd w:id="217"/>
      <w:bookmarkEnd w:id="218"/>
      <w:bookmarkEnd w:id="219"/>
      <w:bookmarkEnd w:id="220"/>
      <w:bookmarkEnd w:id="221"/>
      <w:bookmarkEnd w:id="222"/>
    </w:p>
    <w:p w14:paraId="407990BD">
      <w:pPr>
        <w:spacing w:line="360" w:lineRule="auto"/>
        <w:rPr>
          <w:color w:val="auto"/>
          <w:u w:val="single"/>
        </w:rPr>
      </w:pPr>
      <w:r>
        <w:rPr>
          <w:rFonts w:hint="eastAsia" w:hAnsi="宋体" w:cs="宋体"/>
          <w:color w:val="auto"/>
        </w:rPr>
        <w:t>发包人（全称）：</w:t>
      </w:r>
      <w:r>
        <w:rPr>
          <w:rFonts w:hAnsi="宋体"/>
          <w:color w:val="auto"/>
          <w:u w:val="single"/>
        </w:rPr>
        <w:t xml:space="preserve">  </w:t>
      </w:r>
      <w:r>
        <w:rPr>
          <w:rFonts w:hint="eastAsia"/>
          <w:color w:val="auto"/>
          <w:u w:val="single"/>
        </w:rPr>
        <w:t>钦州市公安局</w:t>
      </w:r>
      <w:r>
        <w:rPr>
          <w:rFonts w:hAnsi="宋体"/>
          <w:color w:val="auto"/>
          <w:u w:val="single"/>
        </w:rPr>
        <w:t xml:space="preserve">    </w:t>
      </w:r>
    </w:p>
    <w:p w14:paraId="41B5FDE9">
      <w:pPr>
        <w:spacing w:line="360" w:lineRule="auto"/>
        <w:rPr>
          <w:color w:val="auto"/>
          <w:u w:val="single"/>
        </w:rPr>
      </w:pPr>
      <w:r>
        <w:rPr>
          <w:rFonts w:hint="eastAsia" w:hAnsi="宋体" w:cs="宋体"/>
          <w:color w:val="auto"/>
        </w:rPr>
        <w:t>承包人（全称）：</w:t>
      </w:r>
      <w:r>
        <w:rPr>
          <w:rFonts w:hAnsi="宋体"/>
          <w:color w:val="auto"/>
          <w:u w:val="single"/>
        </w:rPr>
        <w:t xml:space="preserve">                              </w:t>
      </w:r>
    </w:p>
    <w:p w14:paraId="0062B544">
      <w:pPr>
        <w:spacing w:line="360" w:lineRule="auto"/>
        <w:ind w:firstLine="420" w:firstLineChars="200"/>
        <w:rPr>
          <w:rFonts w:hAnsi="宋体"/>
          <w:color w:val="auto"/>
        </w:rPr>
      </w:pPr>
      <w:r>
        <w:rPr>
          <w:rFonts w:hint="eastAsia" w:hAnsi="宋体" w:cs="宋体"/>
          <w:color w:val="auto"/>
        </w:rPr>
        <w:t>根据《中华人民共和国民法典》、《中华人民共和国建筑法》及有关法律规定，遵循平等、自愿、公平和诚实信用的原则，双方就</w:t>
      </w:r>
      <w:r>
        <w:rPr>
          <w:color w:val="auto"/>
          <w:u w:val="single"/>
        </w:rPr>
        <w:t xml:space="preserve">   </w:t>
      </w:r>
      <w:r>
        <w:rPr>
          <w:rFonts w:hint="eastAsia"/>
          <w:color w:val="auto"/>
          <w:u w:val="single"/>
          <w:lang w:eastAsia="zh-CN"/>
        </w:rPr>
        <w:t>钦州市公安局反恐怖和特巡警支队营房改造修缮项目</w:t>
      </w:r>
      <w:r>
        <w:rPr>
          <w:color w:val="auto"/>
          <w:u w:val="single"/>
        </w:rPr>
        <w:t xml:space="preserve">  </w:t>
      </w:r>
      <w:r>
        <w:rPr>
          <w:rFonts w:hint="eastAsia" w:hAnsi="宋体" w:cs="宋体"/>
          <w:color w:val="auto"/>
        </w:rPr>
        <w:t>工程施工及有关事项协商一致，共同达成如下协议：</w:t>
      </w:r>
      <w:bookmarkStart w:id="223" w:name="_Toc351203481"/>
    </w:p>
    <w:p w14:paraId="095EDD43">
      <w:pPr>
        <w:spacing w:line="360" w:lineRule="auto"/>
        <w:ind w:firstLine="422" w:firstLineChars="200"/>
        <w:outlineLvl w:val="0"/>
        <w:rPr>
          <w:b/>
          <w:bCs/>
          <w:color w:val="auto"/>
        </w:rPr>
      </w:pPr>
      <w:bookmarkStart w:id="224" w:name="_Toc122424020"/>
      <w:bookmarkStart w:id="225" w:name="_Toc122424269"/>
      <w:r>
        <w:rPr>
          <w:rFonts w:hint="eastAsia" w:hAnsi="宋体" w:cs="宋体"/>
          <w:b/>
          <w:bCs/>
          <w:color w:val="auto"/>
        </w:rPr>
        <w:t>一、工程概况</w:t>
      </w:r>
      <w:bookmarkEnd w:id="223"/>
      <w:bookmarkEnd w:id="224"/>
      <w:bookmarkEnd w:id="225"/>
    </w:p>
    <w:p w14:paraId="23C7EA24">
      <w:pPr>
        <w:spacing w:line="360" w:lineRule="auto"/>
        <w:ind w:firstLine="411" w:firstLineChars="196"/>
        <w:rPr>
          <w:color w:val="auto"/>
          <w:u w:val="single"/>
        </w:rPr>
      </w:pPr>
      <w:r>
        <w:rPr>
          <w:color w:val="auto"/>
        </w:rPr>
        <w:t xml:space="preserve">1. </w:t>
      </w:r>
      <w:r>
        <w:rPr>
          <w:rFonts w:hint="eastAsia" w:hAnsi="宋体" w:cs="宋体"/>
          <w:color w:val="auto"/>
        </w:rPr>
        <w:t>工程名称：</w:t>
      </w:r>
      <w:r>
        <w:rPr>
          <w:color w:val="auto"/>
          <w:u w:val="single"/>
        </w:rPr>
        <w:t xml:space="preserve">    </w:t>
      </w:r>
      <w:r>
        <w:rPr>
          <w:rFonts w:hint="eastAsia"/>
          <w:color w:val="auto"/>
          <w:u w:val="single"/>
          <w:lang w:eastAsia="zh-CN"/>
        </w:rPr>
        <w:t>钦州市公安局反恐怖和特巡警支队营房改造修缮项目</w:t>
      </w:r>
      <w:r>
        <w:rPr>
          <w:color w:val="auto"/>
          <w:u w:val="single"/>
        </w:rPr>
        <w:t xml:space="preserve">  </w:t>
      </w:r>
      <w:r>
        <w:rPr>
          <w:rFonts w:hint="eastAsia" w:hAnsi="宋体" w:cs="宋体"/>
          <w:color w:val="auto"/>
        </w:rPr>
        <w:t>。</w:t>
      </w:r>
    </w:p>
    <w:p w14:paraId="7EF6B731">
      <w:pPr>
        <w:spacing w:line="360" w:lineRule="auto"/>
        <w:ind w:firstLine="411" w:firstLineChars="196"/>
        <w:rPr>
          <w:color w:val="auto"/>
        </w:rPr>
      </w:pPr>
      <w:r>
        <w:rPr>
          <w:color w:val="auto"/>
        </w:rPr>
        <w:t xml:space="preserve">2. </w:t>
      </w:r>
      <w:r>
        <w:rPr>
          <w:rFonts w:hint="eastAsia" w:hAnsi="宋体" w:cs="宋体"/>
          <w:color w:val="auto"/>
        </w:rPr>
        <w:t>工程地点：</w:t>
      </w:r>
      <w:r>
        <w:rPr>
          <w:color w:val="auto"/>
          <w:u w:val="single"/>
        </w:rPr>
        <w:t xml:space="preserve"> </w:t>
      </w:r>
      <w:r>
        <w:rPr>
          <w:rFonts w:hint="eastAsia"/>
          <w:color w:val="auto"/>
          <w:u w:val="single"/>
        </w:rPr>
        <w:t xml:space="preserve">                                                。</w:t>
      </w:r>
      <w:r>
        <w:rPr>
          <w:color w:val="auto"/>
          <w:u w:val="single"/>
        </w:rPr>
        <w:t xml:space="preserve"> </w:t>
      </w:r>
    </w:p>
    <w:p w14:paraId="559EBF3F">
      <w:pPr>
        <w:spacing w:line="360" w:lineRule="auto"/>
        <w:ind w:firstLine="411" w:firstLineChars="196"/>
        <w:rPr>
          <w:color w:val="auto"/>
        </w:rPr>
      </w:pPr>
      <w:r>
        <w:rPr>
          <w:color w:val="auto"/>
        </w:rPr>
        <w:t xml:space="preserve">3. </w:t>
      </w:r>
      <w:r>
        <w:rPr>
          <w:rFonts w:hint="eastAsia" w:hAnsi="宋体" w:cs="宋体"/>
          <w:color w:val="auto"/>
        </w:rPr>
        <w:t>工程立项批准文号：</w:t>
      </w:r>
      <w:r>
        <w:rPr>
          <w:color w:val="auto"/>
          <w:u w:val="single"/>
        </w:rPr>
        <w:t xml:space="preserve"> </w:t>
      </w:r>
      <w:r>
        <w:rPr>
          <w:rFonts w:hint="eastAsia"/>
          <w:color w:val="auto"/>
          <w:u w:val="single"/>
        </w:rPr>
        <w:t xml:space="preserve">                                       </w:t>
      </w:r>
      <w:r>
        <w:rPr>
          <w:color w:val="auto"/>
          <w:u w:val="single"/>
        </w:rPr>
        <w:t xml:space="preserve">  </w:t>
      </w:r>
      <w:r>
        <w:rPr>
          <w:rFonts w:hint="eastAsia" w:hAnsi="宋体" w:cs="宋体"/>
          <w:color w:val="auto"/>
        </w:rPr>
        <w:t>。</w:t>
      </w:r>
    </w:p>
    <w:p w14:paraId="47E68BBB">
      <w:pPr>
        <w:spacing w:line="360" w:lineRule="auto"/>
        <w:ind w:firstLine="411" w:firstLineChars="196"/>
        <w:rPr>
          <w:color w:val="auto"/>
        </w:rPr>
      </w:pPr>
      <w:r>
        <w:rPr>
          <w:color w:val="auto"/>
        </w:rPr>
        <w:t xml:space="preserve">4. </w:t>
      </w:r>
      <w:r>
        <w:rPr>
          <w:rFonts w:hint="eastAsia" w:hAnsi="宋体" w:cs="宋体"/>
          <w:color w:val="auto"/>
        </w:rPr>
        <w:t>资金来源：</w:t>
      </w:r>
      <w:r>
        <w:rPr>
          <w:color w:val="auto"/>
          <w:u w:val="single"/>
        </w:rPr>
        <w:t xml:space="preserve"> </w:t>
      </w:r>
      <w:r>
        <w:rPr>
          <w:rFonts w:hint="eastAsia"/>
          <w:color w:val="auto"/>
          <w:u w:val="single"/>
        </w:rPr>
        <w:t xml:space="preserve">财政资金     </w:t>
      </w:r>
      <w:r>
        <w:rPr>
          <w:color w:val="auto"/>
          <w:u w:val="single"/>
        </w:rPr>
        <w:t xml:space="preserve">   </w:t>
      </w:r>
      <w:r>
        <w:rPr>
          <w:rFonts w:hint="eastAsia" w:hAnsi="宋体" w:cs="宋体"/>
          <w:color w:val="auto"/>
        </w:rPr>
        <w:t>。</w:t>
      </w:r>
    </w:p>
    <w:p w14:paraId="66536F25">
      <w:pPr>
        <w:spacing w:line="360" w:lineRule="auto"/>
        <w:ind w:firstLine="411" w:firstLineChars="196"/>
        <w:rPr>
          <w:color w:val="auto"/>
        </w:rPr>
      </w:pPr>
      <w:bookmarkStart w:id="226" w:name="_Toc122424270"/>
      <w:bookmarkStart w:id="227" w:name="_Toc122424021"/>
      <w:bookmarkStart w:id="228" w:name="_Toc351203482"/>
      <w:r>
        <w:rPr>
          <w:color w:val="auto"/>
        </w:rPr>
        <w:t xml:space="preserve">5. </w:t>
      </w:r>
      <w:r>
        <w:rPr>
          <w:rFonts w:hint="eastAsia" w:hAnsi="宋体" w:cs="宋体"/>
          <w:color w:val="auto"/>
        </w:rPr>
        <w:t>工程内容：</w:t>
      </w:r>
      <w:r>
        <w:rPr>
          <w:rFonts w:hint="eastAsia" w:hAnsi="宋体" w:cs="宋体"/>
          <w:color w:val="auto"/>
          <w:u w:val="single"/>
        </w:rPr>
        <w:t>详见工程量清单</w:t>
      </w:r>
      <w:r>
        <w:rPr>
          <w:rFonts w:hint="eastAsia"/>
          <w:color w:val="auto"/>
          <w:u w:val="single"/>
        </w:rPr>
        <w:t xml:space="preserve">  </w:t>
      </w:r>
      <w:r>
        <w:rPr>
          <w:color w:val="auto"/>
          <w:u w:val="single"/>
        </w:rPr>
        <w:t xml:space="preserve">    </w:t>
      </w:r>
      <w:r>
        <w:rPr>
          <w:rFonts w:hint="eastAsia" w:hAnsi="宋体" w:cs="宋体"/>
          <w:color w:val="auto"/>
        </w:rPr>
        <w:t>。</w:t>
      </w:r>
    </w:p>
    <w:p w14:paraId="4DCAF925">
      <w:pPr>
        <w:spacing w:line="360" w:lineRule="auto"/>
        <w:ind w:firstLine="411" w:firstLineChars="196"/>
        <w:rPr>
          <w:color w:val="auto"/>
        </w:rPr>
      </w:pPr>
      <w:r>
        <w:rPr>
          <w:color w:val="auto"/>
        </w:rPr>
        <w:t xml:space="preserve">6. </w:t>
      </w:r>
      <w:r>
        <w:rPr>
          <w:rFonts w:hint="eastAsia" w:hAnsi="宋体" w:cs="宋体"/>
          <w:color w:val="auto"/>
        </w:rPr>
        <w:t>工程承包范围：</w:t>
      </w:r>
      <w:r>
        <w:rPr>
          <w:rFonts w:hint="eastAsia" w:hAnsi="宋体" w:cs="宋体"/>
          <w:color w:val="auto"/>
          <w:u w:val="single"/>
        </w:rPr>
        <w:t>详见施工图纸、工程量清单，以及经发包人基建管理部门同意变更的事项。</w:t>
      </w:r>
    </w:p>
    <w:p w14:paraId="41533DEF">
      <w:pPr>
        <w:spacing w:line="360" w:lineRule="auto"/>
        <w:ind w:firstLine="407" w:firstLineChars="193"/>
        <w:outlineLvl w:val="0"/>
        <w:rPr>
          <w:b/>
          <w:bCs/>
          <w:color w:val="auto"/>
        </w:rPr>
      </w:pPr>
      <w:r>
        <w:rPr>
          <w:rFonts w:hint="eastAsia" w:hAnsi="宋体" w:cs="宋体"/>
          <w:b/>
          <w:bCs/>
          <w:color w:val="auto"/>
        </w:rPr>
        <w:t>二、合同工期</w:t>
      </w:r>
      <w:bookmarkEnd w:id="226"/>
      <w:bookmarkEnd w:id="227"/>
      <w:bookmarkEnd w:id="228"/>
    </w:p>
    <w:p w14:paraId="0112F9F1">
      <w:pPr>
        <w:spacing w:line="360" w:lineRule="auto"/>
        <w:ind w:firstLine="459"/>
        <w:rPr>
          <w:color w:val="auto"/>
        </w:rPr>
      </w:pPr>
      <w:r>
        <w:rPr>
          <w:rFonts w:hint="eastAsia" w:hAnsi="宋体" w:cs="宋体"/>
          <w:color w:val="auto"/>
        </w:rPr>
        <w:t>计划开工日期：</w:t>
      </w:r>
      <w:r>
        <w:rPr>
          <w:rFonts w:hAnsi="宋体"/>
          <w:color w:val="auto"/>
          <w:u w:val="single"/>
        </w:rPr>
        <w:t></w:t>
      </w:r>
      <w:r>
        <w:rPr>
          <w:rFonts w:hAnsi="宋体"/>
          <w:color w:val="auto"/>
        </w:rPr>
        <w:t>年</w:t>
      </w:r>
      <w:r>
        <w:rPr>
          <w:rFonts w:hAnsi="宋体"/>
          <w:color w:val="auto"/>
          <w:u w:val="single"/>
        </w:rPr>
        <w:t></w:t>
      </w:r>
      <w:r>
        <w:rPr>
          <w:rFonts w:hAnsi="宋体"/>
          <w:color w:val="auto"/>
        </w:rPr>
        <w:t>月</w:t>
      </w:r>
      <w:r>
        <w:rPr>
          <w:rFonts w:hAnsi="宋体"/>
          <w:color w:val="auto"/>
          <w:u w:val="single"/>
        </w:rPr>
        <w:t></w:t>
      </w:r>
      <w:r>
        <w:rPr>
          <w:rFonts w:hAnsi="宋体"/>
          <w:color w:val="auto"/>
        </w:rPr>
        <w:t>日。</w:t>
      </w:r>
      <w:r>
        <w:rPr>
          <w:rFonts w:hint="eastAsia" w:hAnsi="宋体" w:cs="宋体"/>
          <w:color w:val="auto"/>
        </w:rPr>
        <w:t>（具体以发包人书面通知为准）</w:t>
      </w:r>
    </w:p>
    <w:p w14:paraId="0839462A">
      <w:pPr>
        <w:spacing w:line="360" w:lineRule="auto"/>
        <w:ind w:firstLine="459"/>
        <w:rPr>
          <w:color w:val="auto"/>
        </w:rPr>
      </w:pPr>
      <w:r>
        <w:rPr>
          <w:rFonts w:hint="eastAsia" w:hAnsi="宋体" w:cs="宋体"/>
          <w:color w:val="auto"/>
        </w:rPr>
        <w:t>计划竣工日期：</w:t>
      </w:r>
      <w:r>
        <w:rPr>
          <w:rFonts w:hAnsi="宋体"/>
          <w:color w:val="auto"/>
          <w:u w:val="single"/>
        </w:rPr>
        <w:t></w:t>
      </w:r>
      <w:r>
        <w:rPr>
          <w:rFonts w:hAnsi="宋体"/>
          <w:color w:val="auto"/>
        </w:rPr>
        <w:t>年</w:t>
      </w:r>
      <w:r>
        <w:rPr>
          <w:rFonts w:hAnsi="宋体"/>
          <w:color w:val="auto"/>
          <w:u w:val="single"/>
        </w:rPr>
        <w:t></w:t>
      </w:r>
      <w:r>
        <w:rPr>
          <w:rFonts w:hAnsi="宋体"/>
          <w:color w:val="auto"/>
        </w:rPr>
        <w:t>月</w:t>
      </w:r>
      <w:r>
        <w:rPr>
          <w:rFonts w:hAnsi="宋体"/>
          <w:color w:val="auto"/>
          <w:u w:val="single"/>
        </w:rPr>
        <w:t></w:t>
      </w:r>
      <w:r>
        <w:rPr>
          <w:rFonts w:hAnsi="宋体"/>
          <w:color w:val="auto"/>
        </w:rPr>
        <w:t>日</w:t>
      </w:r>
      <w:r>
        <w:rPr>
          <w:rFonts w:hint="eastAsia" w:hAnsi="宋体" w:cs="宋体"/>
          <w:color w:val="auto"/>
        </w:rPr>
        <w:t>。</w:t>
      </w:r>
    </w:p>
    <w:p w14:paraId="74EF9B14">
      <w:pPr>
        <w:spacing w:line="360" w:lineRule="auto"/>
        <w:ind w:firstLine="459"/>
        <w:rPr>
          <w:rFonts w:hAnsi="宋体"/>
          <w:color w:val="auto"/>
        </w:rPr>
      </w:pPr>
      <w:r>
        <w:rPr>
          <w:rFonts w:hint="eastAsia" w:hAnsi="宋体" w:cs="宋体"/>
          <w:color w:val="auto"/>
        </w:rPr>
        <w:t>工期总日历天数：</w:t>
      </w:r>
      <w:r>
        <w:rPr>
          <w:rFonts w:hint="eastAsia" w:hAnsi="宋体" w:cs="宋体"/>
          <w:color w:val="auto"/>
          <w:u w:val="single"/>
        </w:rPr>
        <w:t xml:space="preserve">   天</w:t>
      </w:r>
      <w:r>
        <w:rPr>
          <w:rFonts w:hint="eastAsia" w:hAnsi="宋体" w:cs="宋体"/>
          <w:color w:val="auto"/>
        </w:rPr>
        <w:t>工期总日历天数与根据前述计划开竣工日期计算的工期天数不一致的，以工期总日历天数为准。</w:t>
      </w:r>
    </w:p>
    <w:p w14:paraId="4007BF87">
      <w:pPr>
        <w:spacing w:line="360" w:lineRule="auto"/>
        <w:ind w:firstLine="459"/>
        <w:outlineLvl w:val="0"/>
        <w:rPr>
          <w:b/>
          <w:bCs/>
          <w:color w:val="auto"/>
        </w:rPr>
      </w:pPr>
      <w:bookmarkStart w:id="229" w:name="_Toc122424271"/>
      <w:bookmarkStart w:id="230" w:name="_Toc351203483"/>
      <w:bookmarkStart w:id="231" w:name="_Toc122424022"/>
      <w:r>
        <w:rPr>
          <w:rFonts w:hint="eastAsia" w:hAnsi="宋体" w:cs="宋体"/>
          <w:b/>
          <w:bCs/>
          <w:color w:val="auto"/>
        </w:rPr>
        <w:t>三、质量标准</w:t>
      </w:r>
      <w:bookmarkEnd w:id="229"/>
      <w:bookmarkEnd w:id="230"/>
      <w:bookmarkEnd w:id="231"/>
    </w:p>
    <w:p w14:paraId="79A0960F">
      <w:pPr>
        <w:spacing w:line="360" w:lineRule="auto"/>
        <w:ind w:firstLine="459"/>
        <w:rPr>
          <w:rFonts w:hAnsi="宋体"/>
          <w:color w:val="auto"/>
        </w:rPr>
      </w:pPr>
      <w:r>
        <w:rPr>
          <w:rFonts w:hint="eastAsia" w:hAnsi="宋体" w:cs="宋体"/>
          <w:color w:val="auto"/>
        </w:rPr>
        <w:t>工程质量符合</w:t>
      </w:r>
      <w:r>
        <w:rPr>
          <w:rFonts w:eastAsia="仿宋_GB2312"/>
          <w:color w:val="auto"/>
          <w:u w:val="single"/>
        </w:rPr>
        <w:t></w:t>
      </w:r>
      <w:r>
        <w:rPr>
          <w:rFonts w:hint="eastAsia" w:ascii="宋体" w:hAnsi="宋体" w:cs="宋体"/>
          <w:color w:val="auto"/>
          <w:u w:val="single"/>
        </w:rPr>
        <w:t>达到国家施工验收规范合格</w:t>
      </w:r>
      <w:r>
        <w:rPr>
          <w:rFonts w:eastAsia="仿宋_GB2312"/>
          <w:color w:val="auto"/>
          <w:u w:val="single"/>
        </w:rPr>
        <w:t></w:t>
      </w:r>
      <w:r>
        <w:rPr>
          <w:rFonts w:hint="eastAsia" w:hAnsi="宋体" w:cs="宋体"/>
          <w:color w:val="auto"/>
        </w:rPr>
        <w:t>标准。</w:t>
      </w:r>
    </w:p>
    <w:p w14:paraId="2B9EF20B">
      <w:pPr>
        <w:spacing w:line="360" w:lineRule="auto"/>
        <w:ind w:firstLine="459"/>
        <w:outlineLvl w:val="0"/>
        <w:rPr>
          <w:rFonts w:hAnsi="宋体"/>
          <w:b/>
          <w:bCs/>
          <w:color w:val="auto"/>
        </w:rPr>
      </w:pPr>
      <w:bookmarkStart w:id="232" w:name="_Toc122424023"/>
      <w:bookmarkStart w:id="233" w:name="_Toc122424272"/>
      <w:bookmarkStart w:id="234" w:name="_Toc351203484"/>
      <w:r>
        <w:rPr>
          <w:rFonts w:hint="eastAsia" w:hAnsi="宋体" w:cs="宋体"/>
          <w:b/>
          <w:bCs/>
          <w:color w:val="auto"/>
        </w:rPr>
        <w:t>四、签约合同价与合同价格形式</w:t>
      </w:r>
      <w:bookmarkEnd w:id="232"/>
      <w:bookmarkEnd w:id="233"/>
      <w:bookmarkEnd w:id="234"/>
    </w:p>
    <w:p w14:paraId="2F06323C">
      <w:pPr>
        <w:spacing w:line="360" w:lineRule="auto"/>
        <w:ind w:firstLine="459"/>
        <w:rPr>
          <w:color w:val="auto"/>
        </w:rPr>
      </w:pPr>
      <w:r>
        <w:rPr>
          <w:color w:val="auto"/>
        </w:rPr>
        <w:t xml:space="preserve">1. </w:t>
      </w:r>
      <w:r>
        <w:rPr>
          <w:rFonts w:hint="eastAsia" w:hAnsi="宋体" w:cs="宋体"/>
          <w:color w:val="auto"/>
        </w:rPr>
        <w:t>签约合同价为：</w:t>
      </w:r>
    </w:p>
    <w:p w14:paraId="2084DE46">
      <w:pPr>
        <w:spacing w:line="360" w:lineRule="auto"/>
        <w:ind w:firstLine="525" w:firstLineChars="250"/>
        <w:rPr>
          <w:rFonts w:hAnsi="宋体"/>
          <w:color w:val="auto"/>
        </w:rPr>
      </w:pPr>
      <w:r>
        <w:rPr>
          <w:rFonts w:hint="eastAsia" w:hAnsi="宋体" w:cs="宋体"/>
          <w:color w:val="auto"/>
        </w:rPr>
        <w:t>人民币（大写）</w:t>
      </w:r>
      <w:r>
        <w:rPr>
          <w:color w:val="auto"/>
          <w:u w:val="single"/>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545990F0">
      <w:pPr>
        <w:spacing w:line="360" w:lineRule="auto"/>
        <w:ind w:firstLine="525" w:firstLineChars="250"/>
        <w:rPr>
          <w:rFonts w:hAnsi="宋体"/>
          <w:color w:val="auto"/>
        </w:rPr>
      </w:pPr>
      <w:r>
        <w:rPr>
          <w:rFonts w:hint="eastAsia" w:hAnsi="宋体" w:cs="宋体"/>
          <w:color w:val="auto"/>
        </w:rPr>
        <w:t>其中：</w:t>
      </w:r>
    </w:p>
    <w:p w14:paraId="04EFF461">
      <w:pPr>
        <w:spacing w:line="360" w:lineRule="auto"/>
        <w:ind w:firstLine="420" w:firstLineChars="200"/>
        <w:rPr>
          <w:color w:val="auto"/>
        </w:rPr>
      </w:pPr>
      <w:r>
        <w:rPr>
          <w:rFonts w:hint="eastAsia" w:hAnsi="宋体" w:cs="宋体"/>
          <w:color w:val="auto"/>
        </w:rPr>
        <w:t>（</w:t>
      </w:r>
      <w:r>
        <w:rPr>
          <w:rFonts w:hAnsi="宋体"/>
          <w:color w:val="auto"/>
        </w:rPr>
        <w:t>1</w:t>
      </w:r>
      <w:r>
        <w:rPr>
          <w:rFonts w:hint="eastAsia" w:hAnsi="宋体" w:cs="宋体"/>
          <w:color w:val="auto"/>
        </w:rPr>
        <w:t>）安全文明施工费：</w:t>
      </w:r>
    </w:p>
    <w:p w14:paraId="0FCA724D">
      <w:pPr>
        <w:spacing w:line="360" w:lineRule="auto"/>
        <w:ind w:left="420" w:leftChars="200" w:firstLine="525" w:firstLineChars="250"/>
        <w:rPr>
          <w:rFonts w:hAnsi="宋体"/>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1B43C7AE">
      <w:pPr>
        <w:spacing w:line="360" w:lineRule="auto"/>
        <w:ind w:firstLine="420" w:firstLineChars="200"/>
        <w:rPr>
          <w:color w:val="auto"/>
        </w:rPr>
      </w:pPr>
      <w:r>
        <w:rPr>
          <w:rFonts w:hint="eastAsia" w:hAnsi="宋体" w:cs="宋体"/>
          <w:color w:val="auto"/>
        </w:rPr>
        <w:t>（</w:t>
      </w:r>
      <w:r>
        <w:rPr>
          <w:color w:val="auto"/>
        </w:rPr>
        <w:t>2</w:t>
      </w:r>
      <w:r>
        <w:rPr>
          <w:rFonts w:hint="eastAsia" w:hAnsi="宋体" w:cs="宋体"/>
          <w:color w:val="auto"/>
        </w:rPr>
        <w:t>）材料和工程设备暂估价金额：</w:t>
      </w:r>
    </w:p>
    <w:p w14:paraId="2749A8FA">
      <w:pPr>
        <w:spacing w:line="360" w:lineRule="auto"/>
        <w:ind w:firstLine="945" w:firstLineChars="450"/>
        <w:rPr>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6195D080">
      <w:pPr>
        <w:spacing w:line="360" w:lineRule="auto"/>
        <w:ind w:firstLine="420" w:firstLineChars="200"/>
        <w:rPr>
          <w:color w:val="auto"/>
        </w:rPr>
      </w:pPr>
      <w:r>
        <w:rPr>
          <w:rFonts w:hint="eastAsia" w:hAnsi="宋体" w:cs="宋体"/>
          <w:color w:val="auto"/>
        </w:rPr>
        <w:t>（</w:t>
      </w:r>
      <w:r>
        <w:rPr>
          <w:color w:val="auto"/>
        </w:rPr>
        <w:t>3</w:t>
      </w:r>
      <w:r>
        <w:rPr>
          <w:rFonts w:hint="eastAsia" w:hAnsi="宋体" w:cs="宋体"/>
          <w:color w:val="auto"/>
        </w:rPr>
        <w:t>）专业工程暂估价金额：</w:t>
      </w:r>
    </w:p>
    <w:p w14:paraId="15E63C9E">
      <w:pPr>
        <w:spacing w:line="360" w:lineRule="auto"/>
        <w:ind w:firstLine="945" w:firstLineChars="450"/>
        <w:rPr>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5323CCF1">
      <w:pPr>
        <w:spacing w:line="360" w:lineRule="auto"/>
        <w:ind w:firstLine="420" w:firstLineChars="200"/>
        <w:rPr>
          <w:color w:val="auto"/>
        </w:rPr>
      </w:pPr>
      <w:r>
        <w:rPr>
          <w:rFonts w:hint="eastAsia" w:hAnsi="宋体" w:cs="宋体"/>
          <w:color w:val="auto"/>
        </w:rPr>
        <w:t>（</w:t>
      </w:r>
      <w:r>
        <w:rPr>
          <w:color w:val="auto"/>
        </w:rPr>
        <w:t>4</w:t>
      </w:r>
      <w:r>
        <w:rPr>
          <w:rFonts w:hint="eastAsia" w:hAnsi="宋体" w:cs="宋体"/>
          <w:color w:val="auto"/>
        </w:rPr>
        <w:t>）暂列金额：</w:t>
      </w:r>
    </w:p>
    <w:p w14:paraId="6ADFF8F6">
      <w:pPr>
        <w:spacing w:line="360" w:lineRule="auto"/>
        <w:ind w:firstLine="945" w:firstLineChars="450"/>
        <w:rPr>
          <w:rFonts w:hAnsi="宋体"/>
          <w:color w:val="auto"/>
        </w:rPr>
      </w:pPr>
      <w:r>
        <w:rPr>
          <w:rFonts w:hint="eastAsia" w:hAnsi="宋体" w:cs="宋体"/>
          <w:color w:val="auto"/>
        </w:rPr>
        <w:t>人民币（大写）</w:t>
      </w:r>
      <w:r>
        <w:rPr>
          <w:color w:val="auto"/>
          <w:u w:val="single"/>
        </w:rPr>
        <w:t xml:space="preserve">              </w:t>
      </w:r>
      <w:r>
        <w:rPr>
          <w:color w:val="auto"/>
        </w:rPr>
        <w:t xml:space="preserve"> </w:t>
      </w:r>
      <w:r>
        <w:rPr>
          <w:rFonts w:hint="eastAsia" w:cs="宋体"/>
          <w:color w:val="auto"/>
        </w:rPr>
        <w:t>（</w:t>
      </w:r>
      <w:r>
        <w:rPr>
          <w:color w:val="auto"/>
        </w:rPr>
        <w:t>¥</w:t>
      </w:r>
      <w:r>
        <w:rPr>
          <w:color w:val="auto"/>
          <w:u w:val="single"/>
        </w:rPr>
        <w:t xml:space="preserve">          </w:t>
      </w:r>
      <w:r>
        <w:rPr>
          <w:rFonts w:hint="eastAsia" w:hAnsi="宋体" w:cs="宋体"/>
          <w:color w:val="auto"/>
        </w:rPr>
        <w:t>元</w:t>
      </w:r>
      <w:r>
        <w:rPr>
          <w:rFonts w:hint="eastAsia" w:cs="宋体"/>
          <w:color w:val="auto"/>
        </w:rPr>
        <w:t>）</w:t>
      </w:r>
      <w:r>
        <w:rPr>
          <w:rFonts w:hint="eastAsia" w:hAnsi="宋体" w:cs="宋体"/>
          <w:color w:val="auto"/>
        </w:rPr>
        <w:t>。</w:t>
      </w:r>
    </w:p>
    <w:p w14:paraId="51BBE757">
      <w:pPr>
        <w:spacing w:line="360" w:lineRule="auto"/>
        <w:ind w:firstLine="420" w:firstLineChars="200"/>
        <w:rPr>
          <w:rFonts w:hAnsi="宋体"/>
          <w:color w:val="auto"/>
        </w:rPr>
      </w:pPr>
      <w:r>
        <w:rPr>
          <w:color w:val="auto"/>
        </w:rPr>
        <w:t xml:space="preserve">2. </w:t>
      </w:r>
      <w:r>
        <w:rPr>
          <w:rFonts w:hint="eastAsia" w:hAnsi="宋体" w:cs="宋体"/>
          <w:color w:val="auto"/>
        </w:rPr>
        <w:t>合同价格形式：</w:t>
      </w:r>
      <w:r>
        <w:rPr>
          <w:color w:val="auto"/>
        </w:rPr>
        <w:t xml:space="preserve">   </w:t>
      </w:r>
      <w:r>
        <w:rPr>
          <w:color w:val="auto"/>
          <w:u w:val="single"/>
        </w:rPr>
        <w:t xml:space="preserve">               </w:t>
      </w:r>
      <w:r>
        <w:rPr>
          <w:rFonts w:hint="eastAsia" w:hAnsi="宋体" w:cs="宋体"/>
          <w:color w:val="auto"/>
        </w:rPr>
        <w:t>。</w:t>
      </w:r>
    </w:p>
    <w:p w14:paraId="612AE8B4">
      <w:pPr>
        <w:spacing w:line="360" w:lineRule="auto"/>
        <w:ind w:firstLine="422" w:firstLineChars="200"/>
        <w:outlineLvl w:val="0"/>
        <w:rPr>
          <w:b/>
          <w:bCs/>
          <w:color w:val="auto"/>
        </w:rPr>
      </w:pPr>
      <w:bookmarkStart w:id="235" w:name="_Toc351203485"/>
      <w:bookmarkStart w:id="236" w:name="_Toc122424024"/>
      <w:bookmarkStart w:id="237" w:name="_Toc122424273"/>
      <w:r>
        <w:rPr>
          <w:rFonts w:hint="eastAsia" w:hAnsi="宋体" w:cs="宋体"/>
          <w:b/>
          <w:bCs/>
          <w:color w:val="auto"/>
        </w:rPr>
        <w:t>五、</w:t>
      </w:r>
      <w:bookmarkEnd w:id="235"/>
      <w:r>
        <w:rPr>
          <w:rFonts w:hint="eastAsia" w:hAnsi="宋体" w:cs="宋体"/>
          <w:b/>
          <w:bCs/>
          <w:color w:val="auto"/>
        </w:rPr>
        <w:t>项目经理</w:t>
      </w:r>
      <w:bookmarkEnd w:id="236"/>
      <w:bookmarkEnd w:id="237"/>
    </w:p>
    <w:p w14:paraId="3A3C66F3">
      <w:pPr>
        <w:spacing w:line="360" w:lineRule="auto"/>
        <w:ind w:firstLine="420" w:firstLineChars="200"/>
        <w:rPr>
          <w:rFonts w:hAnsi="宋体"/>
          <w:color w:val="auto"/>
        </w:rPr>
      </w:pPr>
      <w:r>
        <w:rPr>
          <w:rFonts w:hint="eastAsia" w:hAnsi="宋体" w:cs="宋体"/>
          <w:color w:val="auto"/>
        </w:rPr>
        <w:t>承包人项目经理：</w:t>
      </w:r>
      <w:r>
        <w:rPr>
          <w:color w:val="auto"/>
          <w:u w:val="single"/>
        </w:rPr>
        <w:t xml:space="preserve">                     </w:t>
      </w:r>
      <w:r>
        <w:rPr>
          <w:rFonts w:hint="eastAsia" w:hAnsi="宋体" w:cs="宋体"/>
          <w:color w:val="auto"/>
        </w:rPr>
        <w:t>。</w:t>
      </w:r>
    </w:p>
    <w:p w14:paraId="09B545B5">
      <w:pPr>
        <w:spacing w:line="360" w:lineRule="auto"/>
        <w:ind w:firstLine="422" w:firstLineChars="200"/>
        <w:outlineLvl w:val="0"/>
        <w:rPr>
          <w:b/>
          <w:bCs/>
          <w:color w:val="auto"/>
        </w:rPr>
      </w:pPr>
      <w:bookmarkStart w:id="238" w:name="_Toc122424274"/>
      <w:bookmarkStart w:id="239" w:name="_Toc122424025"/>
      <w:bookmarkStart w:id="240" w:name="_Toc351203486"/>
      <w:r>
        <w:rPr>
          <w:rFonts w:hint="eastAsia" w:hAnsi="宋体" w:cs="宋体"/>
          <w:b/>
          <w:bCs/>
          <w:color w:val="auto"/>
        </w:rPr>
        <w:t>六、合同文件构成</w:t>
      </w:r>
      <w:bookmarkEnd w:id="238"/>
      <w:bookmarkEnd w:id="239"/>
      <w:bookmarkEnd w:id="240"/>
    </w:p>
    <w:p w14:paraId="3418A9E1">
      <w:pPr>
        <w:spacing w:line="360" w:lineRule="auto"/>
        <w:ind w:firstLine="420" w:firstLineChars="200"/>
        <w:rPr>
          <w:color w:val="auto"/>
        </w:rPr>
      </w:pPr>
      <w:r>
        <w:rPr>
          <w:rFonts w:hint="eastAsia" w:hAnsi="宋体" w:cs="宋体"/>
          <w:color w:val="auto"/>
        </w:rPr>
        <w:t>本协议书与下列文件一起构成合同文件：</w:t>
      </w:r>
    </w:p>
    <w:p w14:paraId="7796388F">
      <w:pPr>
        <w:autoSpaceDE w:val="0"/>
        <w:autoSpaceDN w:val="0"/>
        <w:adjustRightInd w:val="0"/>
        <w:spacing w:line="360" w:lineRule="auto"/>
        <w:ind w:firstLine="420" w:firstLineChars="200"/>
        <w:jc w:val="left"/>
        <w:rPr>
          <w:color w:val="auto"/>
        </w:rPr>
      </w:pPr>
      <w:r>
        <w:rPr>
          <w:rFonts w:hint="eastAsia" w:hAnsi="宋体" w:cs="宋体"/>
          <w:color w:val="auto"/>
        </w:rPr>
        <w:t>（</w:t>
      </w:r>
      <w:r>
        <w:rPr>
          <w:color w:val="auto"/>
        </w:rPr>
        <w:t>1</w:t>
      </w:r>
      <w:r>
        <w:rPr>
          <w:rFonts w:hint="eastAsia" w:hAnsi="宋体" w:cs="宋体"/>
          <w:color w:val="auto"/>
        </w:rPr>
        <w:t>）成交通知书（如有）；</w:t>
      </w:r>
    </w:p>
    <w:p w14:paraId="414A9DA3">
      <w:pPr>
        <w:autoSpaceDE w:val="0"/>
        <w:autoSpaceDN w:val="0"/>
        <w:adjustRightInd w:val="0"/>
        <w:spacing w:line="360" w:lineRule="auto"/>
        <w:ind w:firstLine="420" w:firstLineChars="200"/>
        <w:jc w:val="left"/>
        <w:rPr>
          <w:color w:val="auto"/>
        </w:rPr>
      </w:pPr>
      <w:r>
        <w:rPr>
          <w:rFonts w:hint="eastAsia" w:hAnsi="宋体" w:cs="宋体"/>
          <w:color w:val="auto"/>
        </w:rPr>
        <w:t>（</w:t>
      </w:r>
      <w:r>
        <w:rPr>
          <w:color w:val="auto"/>
        </w:rPr>
        <w:t>2</w:t>
      </w:r>
      <w:r>
        <w:rPr>
          <w:rFonts w:hint="eastAsia" w:hAnsi="宋体" w:cs="宋体"/>
          <w:color w:val="auto"/>
        </w:rPr>
        <w:t>）竞标函及其附录（如有）；</w:t>
      </w:r>
      <w:r>
        <w:rPr>
          <w:color w:val="auto"/>
        </w:rPr>
        <w:t xml:space="preserve"> </w:t>
      </w:r>
    </w:p>
    <w:p w14:paraId="22751881">
      <w:pPr>
        <w:autoSpaceDE w:val="0"/>
        <w:autoSpaceDN w:val="0"/>
        <w:adjustRightInd w:val="0"/>
        <w:spacing w:line="360" w:lineRule="auto"/>
        <w:ind w:firstLine="420" w:firstLineChars="200"/>
        <w:jc w:val="left"/>
        <w:rPr>
          <w:color w:val="auto"/>
        </w:rPr>
      </w:pPr>
      <w:r>
        <w:rPr>
          <w:rFonts w:hint="eastAsia" w:hAnsi="宋体" w:cs="宋体"/>
          <w:color w:val="auto"/>
        </w:rPr>
        <w:t>（</w:t>
      </w:r>
      <w:r>
        <w:rPr>
          <w:color w:val="auto"/>
        </w:rPr>
        <w:t>3</w:t>
      </w:r>
      <w:r>
        <w:rPr>
          <w:rFonts w:hint="eastAsia" w:hAnsi="宋体" w:cs="宋体"/>
          <w:color w:val="auto"/>
        </w:rPr>
        <w:t>）专用合同条款及其附件；</w:t>
      </w:r>
    </w:p>
    <w:p w14:paraId="7C76C252">
      <w:pPr>
        <w:autoSpaceDE w:val="0"/>
        <w:autoSpaceDN w:val="0"/>
        <w:adjustRightInd w:val="0"/>
        <w:spacing w:line="360" w:lineRule="auto"/>
        <w:ind w:firstLine="420" w:firstLineChars="200"/>
        <w:jc w:val="left"/>
        <w:rPr>
          <w:color w:val="auto"/>
        </w:rPr>
      </w:pPr>
      <w:r>
        <w:rPr>
          <w:rFonts w:hint="eastAsia" w:hAnsi="宋体" w:cs="宋体"/>
          <w:color w:val="auto"/>
        </w:rPr>
        <w:t>（</w:t>
      </w:r>
      <w:r>
        <w:rPr>
          <w:color w:val="auto"/>
        </w:rPr>
        <w:t>4</w:t>
      </w:r>
      <w:r>
        <w:rPr>
          <w:rFonts w:hint="eastAsia" w:hAnsi="宋体" w:cs="宋体"/>
          <w:color w:val="auto"/>
        </w:rPr>
        <w:t>）通用合同条款；</w:t>
      </w:r>
    </w:p>
    <w:p w14:paraId="73C72B34">
      <w:pPr>
        <w:autoSpaceDE w:val="0"/>
        <w:autoSpaceDN w:val="0"/>
        <w:adjustRightInd w:val="0"/>
        <w:spacing w:line="360" w:lineRule="auto"/>
        <w:ind w:firstLine="420" w:firstLineChars="200"/>
        <w:jc w:val="left"/>
        <w:rPr>
          <w:color w:val="auto"/>
          <w:szCs w:val="21"/>
        </w:rPr>
      </w:pPr>
      <w:r>
        <w:rPr>
          <w:rFonts w:hint="eastAsia" w:hAnsi="宋体" w:cs="宋体"/>
          <w:color w:val="auto"/>
          <w:szCs w:val="21"/>
        </w:rPr>
        <w:t>（</w:t>
      </w:r>
      <w:r>
        <w:rPr>
          <w:color w:val="auto"/>
          <w:szCs w:val="21"/>
        </w:rPr>
        <w:t>5</w:t>
      </w:r>
      <w:r>
        <w:rPr>
          <w:rFonts w:hint="eastAsia" w:hAnsi="宋体" w:cs="宋体"/>
          <w:color w:val="auto"/>
          <w:szCs w:val="21"/>
        </w:rPr>
        <w:t>）技术标准和要求；</w:t>
      </w:r>
    </w:p>
    <w:p w14:paraId="1775B022">
      <w:pPr>
        <w:autoSpaceDE w:val="0"/>
        <w:autoSpaceDN w:val="0"/>
        <w:adjustRightInd w:val="0"/>
        <w:spacing w:line="360" w:lineRule="auto"/>
        <w:ind w:firstLine="420" w:firstLineChars="200"/>
        <w:jc w:val="left"/>
        <w:rPr>
          <w:color w:val="auto"/>
          <w:szCs w:val="21"/>
        </w:rPr>
      </w:pPr>
      <w:r>
        <w:rPr>
          <w:rFonts w:hint="eastAsia" w:hAnsi="宋体" w:cs="宋体"/>
          <w:color w:val="auto"/>
          <w:szCs w:val="21"/>
        </w:rPr>
        <w:t>（</w:t>
      </w:r>
      <w:r>
        <w:rPr>
          <w:color w:val="auto"/>
          <w:szCs w:val="21"/>
        </w:rPr>
        <w:t>6</w:t>
      </w:r>
      <w:r>
        <w:rPr>
          <w:rFonts w:hint="eastAsia" w:hAnsi="宋体" w:cs="宋体"/>
          <w:color w:val="auto"/>
          <w:szCs w:val="21"/>
        </w:rPr>
        <w:t>）已标价工程量清单；</w:t>
      </w:r>
    </w:p>
    <w:p w14:paraId="538AFD71">
      <w:pPr>
        <w:autoSpaceDE w:val="0"/>
        <w:autoSpaceDN w:val="0"/>
        <w:adjustRightInd w:val="0"/>
        <w:spacing w:line="360" w:lineRule="auto"/>
        <w:ind w:firstLine="420" w:firstLineChars="200"/>
        <w:jc w:val="left"/>
        <w:rPr>
          <w:color w:val="auto"/>
          <w:szCs w:val="21"/>
        </w:rPr>
      </w:pPr>
      <w:r>
        <w:rPr>
          <w:rFonts w:hint="eastAsia" w:hAnsi="宋体" w:cs="宋体"/>
          <w:color w:val="auto"/>
          <w:szCs w:val="21"/>
        </w:rPr>
        <w:t>（</w:t>
      </w:r>
      <w:r>
        <w:rPr>
          <w:color w:val="auto"/>
          <w:szCs w:val="21"/>
        </w:rPr>
        <w:t>7</w:t>
      </w:r>
      <w:r>
        <w:rPr>
          <w:rFonts w:hint="eastAsia" w:hAnsi="宋体" w:cs="宋体"/>
          <w:color w:val="auto"/>
          <w:szCs w:val="21"/>
        </w:rPr>
        <w:t>）图纸；</w:t>
      </w:r>
    </w:p>
    <w:p w14:paraId="17225753">
      <w:pPr>
        <w:autoSpaceDE w:val="0"/>
        <w:autoSpaceDN w:val="0"/>
        <w:adjustRightInd w:val="0"/>
        <w:spacing w:line="360" w:lineRule="auto"/>
        <w:ind w:firstLine="420" w:firstLineChars="200"/>
        <w:jc w:val="left"/>
        <w:rPr>
          <w:rFonts w:hAnsi="宋体" w:cs="宋体"/>
          <w:color w:val="auto"/>
          <w:szCs w:val="21"/>
        </w:rPr>
      </w:pPr>
      <w:r>
        <w:rPr>
          <w:rFonts w:hint="eastAsia" w:hAnsi="宋体" w:cs="宋体"/>
          <w:color w:val="auto"/>
          <w:szCs w:val="21"/>
        </w:rPr>
        <w:t>（</w:t>
      </w:r>
      <w:r>
        <w:rPr>
          <w:color w:val="auto"/>
          <w:szCs w:val="21"/>
        </w:rPr>
        <w:t>8</w:t>
      </w:r>
      <w:r>
        <w:rPr>
          <w:rFonts w:hint="eastAsia" w:hAnsi="宋体" w:cs="宋体"/>
          <w:color w:val="auto"/>
          <w:szCs w:val="21"/>
        </w:rPr>
        <w:t>）其他合同文件：</w:t>
      </w:r>
    </w:p>
    <w:p w14:paraId="20902D7B">
      <w:pPr>
        <w:autoSpaceDE w:val="0"/>
        <w:autoSpaceDN w:val="0"/>
        <w:adjustRightInd w:val="0"/>
        <w:spacing w:line="360" w:lineRule="auto"/>
        <w:ind w:firstLine="420" w:firstLineChars="200"/>
        <w:jc w:val="left"/>
        <w:rPr>
          <w:rFonts w:hAnsi="宋体" w:cs="宋体"/>
          <w:color w:val="auto"/>
          <w:szCs w:val="21"/>
        </w:rPr>
      </w:pPr>
      <w:r>
        <w:rPr>
          <w:rFonts w:hint="eastAsia" w:hAnsi="宋体" w:cs="宋体"/>
          <w:color w:val="auto"/>
          <w:szCs w:val="21"/>
        </w:rPr>
        <w:t>（9）</w:t>
      </w:r>
      <w:r>
        <w:rPr>
          <w:color w:val="auto"/>
        </w:rPr>
        <w:t>竞争性磋商文件及响应文件</w:t>
      </w:r>
      <w:r>
        <w:rPr>
          <w:rFonts w:hint="eastAsia" w:hAnsi="宋体" w:cs="宋体"/>
          <w:color w:val="auto"/>
          <w:szCs w:val="21"/>
        </w:rPr>
        <w:t>；</w:t>
      </w:r>
    </w:p>
    <w:p w14:paraId="5732C158">
      <w:pPr>
        <w:autoSpaceDE w:val="0"/>
        <w:autoSpaceDN w:val="0"/>
        <w:adjustRightInd w:val="0"/>
        <w:spacing w:line="360" w:lineRule="auto"/>
        <w:ind w:firstLine="420" w:firstLineChars="200"/>
        <w:jc w:val="left"/>
        <w:rPr>
          <w:rFonts w:hAnsi="宋体"/>
          <w:color w:val="auto"/>
        </w:rPr>
      </w:pPr>
      <w:r>
        <w:rPr>
          <w:rFonts w:hint="eastAsia" w:hAnsi="宋体" w:cs="宋体"/>
          <w:color w:val="auto"/>
        </w:rPr>
        <w:t>上述各项合同文件包括合同当事人就该项合同文件所作出的补充和修改，属于同一类内容的文件，应以最新签署的为准（违反磋商文件</w:t>
      </w:r>
      <w:r>
        <w:rPr>
          <w:rFonts w:hAnsi="宋体" w:cs="宋体"/>
          <w:color w:val="auto"/>
        </w:rPr>
        <w:t>实质性内容的约定除外</w:t>
      </w:r>
      <w:r>
        <w:rPr>
          <w:rFonts w:hint="eastAsia" w:hAnsi="宋体" w:cs="宋体"/>
          <w:color w:val="auto"/>
        </w:rPr>
        <w:t>）。专用合同条款及其附件须经合同当事人签字或盖章。</w:t>
      </w:r>
    </w:p>
    <w:p w14:paraId="300973E5">
      <w:pPr>
        <w:autoSpaceDE w:val="0"/>
        <w:autoSpaceDN w:val="0"/>
        <w:adjustRightInd w:val="0"/>
        <w:spacing w:line="360" w:lineRule="auto"/>
        <w:ind w:firstLine="422" w:firstLineChars="200"/>
        <w:jc w:val="left"/>
        <w:outlineLvl w:val="0"/>
        <w:rPr>
          <w:b/>
          <w:bCs/>
          <w:color w:val="auto"/>
        </w:rPr>
      </w:pPr>
      <w:bookmarkStart w:id="241" w:name="_Toc351203487"/>
      <w:bookmarkStart w:id="242" w:name="_Toc122424026"/>
      <w:bookmarkStart w:id="243" w:name="_Toc122424275"/>
      <w:r>
        <w:rPr>
          <w:rFonts w:hint="eastAsia" w:hAnsi="宋体" w:cs="宋体"/>
          <w:b/>
          <w:bCs/>
          <w:color w:val="auto"/>
        </w:rPr>
        <w:t>七、承诺</w:t>
      </w:r>
      <w:bookmarkEnd w:id="241"/>
      <w:bookmarkEnd w:id="242"/>
      <w:bookmarkEnd w:id="243"/>
    </w:p>
    <w:p w14:paraId="248BA1CB">
      <w:pPr>
        <w:spacing w:line="360" w:lineRule="auto"/>
        <w:ind w:firstLine="420" w:firstLineChars="200"/>
        <w:rPr>
          <w:color w:val="auto"/>
        </w:rPr>
      </w:pPr>
      <w:r>
        <w:rPr>
          <w:color w:val="auto"/>
        </w:rPr>
        <w:t xml:space="preserve">1. </w:t>
      </w:r>
      <w:r>
        <w:rPr>
          <w:rFonts w:hint="eastAsia" w:hAnsi="宋体" w:cs="宋体"/>
          <w:color w:val="auto"/>
        </w:rPr>
        <w:t>发包人承诺按照法律规定履行项目审批手续、筹集工程建设资金并按照合同约定的期限和方式支付合同价款。</w:t>
      </w:r>
    </w:p>
    <w:p w14:paraId="051B9BDB">
      <w:pPr>
        <w:spacing w:line="360" w:lineRule="auto"/>
        <w:ind w:firstLine="420" w:firstLineChars="200"/>
        <w:rPr>
          <w:color w:val="auto"/>
        </w:rPr>
      </w:pPr>
      <w:r>
        <w:rPr>
          <w:color w:val="auto"/>
        </w:rPr>
        <w:t xml:space="preserve">2. </w:t>
      </w:r>
      <w:r>
        <w:rPr>
          <w:rFonts w:hint="eastAsia" w:hAnsi="宋体" w:cs="宋体"/>
          <w:color w:val="auto"/>
        </w:rPr>
        <w:t>承包人承诺按照法律规定及合同约定组织完成工程施工，确保工程质量和安全，不进行转包及违法分包，并在缺陷责任期及保修期内承担相应的工程维修责任。</w:t>
      </w:r>
    </w:p>
    <w:p w14:paraId="2DB3B30C">
      <w:pPr>
        <w:spacing w:line="360" w:lineRule="auto"/>
        <w:ind w:firstLine="420" w:firstLineChars="200"/>
        <w:rPr>
          <w:rFonts w:hAnsi="宋体"/>
          <w:color w:val="auto"/>
        </w:rPr>
      </w:pPr>
      <w:r>
        <w:rPr>
          <w:color w:val="auto"/>
        </w:rPr>
        <w:t xml:space="preserve">3. </w:t>
      </w:r>
      <w:r>
        <w:rPr>
          <w:rFonts w:hint="eastAsia" w:hAnsi="宋体" w:cs="宋体"/>
          <w:color w:val="auto"/>
        </w:rPr>
        <w:t>发包人和承包人通过政府采购形式签订合同的，双方理解并承诺不再就同一工程另行签订与合同实质性内容相背离的协议。</w:t>
      </w:r>
      <w:bookmarkStart w:id="244" w:name="_Toc351203488"/>
    </w:p>
    <w:p w14:paraId="4A8CD6D9">
      <w:pPr>
        <w:spacing w:line="360" w:lineRule="auto"/>
        <w:ind w:firstLine="422" w:firstLineChars="200"/>
        <w:outlineLvl w:val="0"/>
        <w:rPr>
          <w:b/>
          <w:bCs/>
          <w:color w:val="auto"/>
        </w:rPr>
      </w:pPr>
      <w:bookmarkStart w:id="245" w:name="_Toc122424276"/>
      <w:bookmarkStart w:id="246" w:name="_Toc122424027"/>
      <w:r>
        <w:rPr>
          <w:rFonts w:hint="eastAsia" w:hAnsi="宋体" w:cs="宋体"/>
          <w:b/>
          <w:bCs/>
          <w:color w:val="auto"/>
        </w:rPr>
        <w:t>八、词语含义</w:t>
      </w:r>
      <w:bookmarkEnd w:id="244"/>
      <w:bookmarkEnd w:id="245"/>
      <w:bookmarkEnd w:id="246"/>
    </w:p>
    <w:p w14:paraId="321F8B34">
      <w:pPr>
        <w:spacing w:line="360" w:lineRule="auto"/>
        <w:ind w:firstLine="420" w:firstLineChars="200"/>
        <w:rPr>
          <w:rFonts w:hAnsi="宋体"/>
          <w:color w:val="auto"/>
        </w:rPr>
      </w:pPr>
      <w:r>
        <w:rPr>
          <w:rFonts w:hint="eastAsia" w:hAnsi="宋体" w:cs="宋体"/>
          <w:color w:val="auto"/>
        </w:rPr>
        <w:t>本协议书中词语含义与第二部分通用合同条款中赋予的含义相同。</w:t>
      </w:r>
    </w:p>
    <w:p w14:paraId="4EE87E34">
      <w:pPr>
        <w:spacing w:line="360" w:lineRule="auto"/>
        <w:ind w:firstLine="422" w:firstLineChars="200"/>
        <w:outlineLvl w:val="0"/>
        <w:rPr>
          <w:b/>
          <w:bCs/>
          <w:color w:val="auto"/>
        </w:rPr>
      </w:pPr>
      <w:bookmarkStart w:id="247" w:name="_Toc122424028"/>
      <w:bookmarkStart w:id="248" w:name="_Toc122424277"/>
      <w:bookmarkStart w:id="249" w:name="_Toc351203489"/>
      <w:r>
        <w:rPr>
          <w:rFonts w:hint="eastAsia" w:hAnsi="宋体" w:cs="宋体"/>
          <w:b/>
          <w:bCs/>
          <w:color w:val="auto"/>
        </w:rPr>
        <w:t>九、签订时间</w:t>
      </w:r>
      <w:bookmarkEnd w:id="247"/>
      <w:bookmarkEnd w:id="248"/>
      <w:bookmarkEnd w:id="249"/>
    </w:p>
    <w:p w14:paraId="762D6838">
      <w:pPr>
        <w:spacing w:line="360" w:lineRule="auto"/>
        <w:ind w:firstLine="420" w:firstLineChars="200"/>
        <w:rPr>
          <w:rFonts w:hAnsi="宋体"/>
          <w:color w:val="auto"/>
        </w:rPr>
      </w:pPr>
      <w:r>
        <w:rPr>
          <w:rFonts w:hint="eastAsia" w:hAnsi="宋体" w:cs="宋体"/>
          <w:color w:val="auto"/>
        </w:rPr>
        <w:t>本合同于</w:t>
      </w:r>
      <w:r>
        <w:rPr>
          <w:color w:val="auto"/>
          <w:u w:val="single"/>
        </w:rPr>
        <w:t xml:space="preserve">         </w:t>
      </w:r>
      <w:r>
        <w:rPr>
          <w:rFonts w:hint="eastAsia" w:hAnsi="宋体" w:cs="宋体"/>
          <w:color w:val="auto"/>
        </w:rPr>
        <w:t>年</w:t>
      </w:r>
      <w:r>
        <w:rPr>
          <w:color w:val="auto"/>
          <w:u w:val="single"/>
        </w:rPr>
        <w:t xml:space="preserve">    </w:t>
      </w:r>
      <w:r>
        <w:rPr>
          <w:rFonts w:hint="eastAsia" w:hAnsi="宋体" w:cs="宋体"/>
          <w:color w:val="auto"/>
        </w:rPr>
        <w:t>月</w:t>
      </w:r>
      <w:r>
        <w:rPr>
          <w:color w:val="auto"/>
          <w:u w:val="single"/>
        </w:rPr>
        <w:t xml:space="preserve">    </w:t>
      </w:r>
      <w:r>
        <w:rPr>
          <w:rFonts w:hint="eastAsia" w:hAnsi="宋体" w:cs="宋体"/>
          <w:color w:val="auto"/>
        </w:rPr>
        <w:t>日签订。</w:t>
      </w:r>
    </w:p>
    <w:p w14:paraId="1F5DF777">
      <w:pPr>
        <w:spacing w:line="360" w:lineRule="auto"/>
        <w:ind w:firstLine="422" w:firstLineChars="200"/>
        <w:outlineLvl w:val="0"/>
        <w:rPr>
          <w:b/>
          <w:bCs/>
          <w:color w:val="auto"/>
        </w:rPr>
      </w:pPr>
      <w:bookmarkStart w:id="250" w:name="_Toc122424278"/>
      <w:bookmarkStart w:id="251" w:name="_Toc122424029"/>
      <w:bookmarkStart w:id="252" w:name="_Toc351203490"/>
      <w:r>
        <w:rPr>
          <w:rFonts w:hint="eastAsia" w:hAnsi="宋体" w:cs="宋体"/>
          <w:b/>
          <w:bCs/>
          <w:color w:val="auto"/>
        </w:rPr>
        <w:t>十、签订地点</w:t>
      </w:r>
      <w:bookmarkEnd w:id="250"/>
      <w:bookmarkEnd w:id="251"/>
      <w:bookmarkEnd w:id="252"/>
    </w:p>
    <w:p w14:paraId="3C1AECFF">
      <w:pPr>
        <w:spacing w:line="360" w:lineRule="auto"/>
        <w:ind w:firstLine="420" w:firstLineChars="200"/>
        <w:rPr>
          <w:rFonts w:hAnsi="宋体"/>
          <w:color w:val="auto"/>
        </w:rPr>
      </w:pPr>
      <w:r>
        <w:rPr>
          <w:rFonts w:hint="eastAsia" w:hAnsi="宋体" w:cs="宋体"/>
          <w:color w:val="auto"/>
        </w:rPr>
        <w:t>本合同在</w:t>
      </w:r>
      <w:r>
        <w:rPr>
          <w:color w:val="auto"/>
          <w:u w:val="single"/>
        </w:rPr>
        <w:t xml:space="preserve">                                    </w:t>
      </w:r>
      <w:r>
        <w:rPr>
          <w:rFonts w:hint="eastAsia" w:hAnsi="宋体" w:cs="宋体"/>
          <w:color w:val="auto"/>
        </w:rPr>
        <w:t>签订。</w:t>
      </w:r>
    </w:p>
    <w:p w14:paraId="258694CA">
      <w:pPr>
        <w:spacing w:line="360" w:lineRule="auto"/>
        <w:ind w:firstLine="422" w:firstLineChars="200"/>
        <w:outlineLvl w:val="0"/>
        <w:rPr>
          <w:b/>
          <w:bCs/>
          <w:color w:val="auto"/>
        </w:rPr>
      </w:pPr>
      <w:bookmarkStart w:id="253" w:name="_Toc122424030"/>
      <w:bookmarkStart w:id="254" w:name="_Toc122424279"/>
      <w:bookmarkStart w:id="255" w:name="_Toc351203491"/>
      <w:r>
        <w:rPr>
          <w:rFonts w:hint="eastAsia" w:hAnsi="宋体" w:cs="宋体"/>
          <w:b/>
          <w:bCs/>
          <w:color w:val="auto"/>
        </w:rPr>
        <w:t>十一、补充协议</w:t>
      </w:r>
      <w:bookmarkEnd w:id="253"/>
      <w:bookmarkEnd w:id="254"/>
      <w:bookmarkEnd w:id="255"/>
    </w:p>
    <w:p w14:paraId="02F487F4">
      <w:pPr>
        <w:spacing w:line="360" w:lineRule="auto"/>
        <w:ind w:firstLine="420" w:firstLineChars="200"/>
        <w:rPr>
          <w:rFonts w:hAnsi="宋体"/>
          <w:color w:val="auto"/>
        </w:rPr>
      </w:pPr>
      <w:r>
        <w:rPr>
          <w:rFonts w:hint="eastAsia" w:hAnsi="宋体" w:cs="宋体"/>
          <w:color w:val="auto"/>
        </w:rPr>
        <w:t>合同未尽事宜，合同当事人另行签订补充协议，补充协议是合同的组成部分。</w:t>
      </w:r>
    </w:p>
    <w:p w14:paraId="1BC8F78F">
      <w:pPr>
        <w:spacing w:line="360" w:lineRule="auto"/>
        <w:ind w:firstLine="422" w:firstLineChars="200"/>
        <w:outlineLvl w:val="0"/>
        <w:rPr>
          <w:b/>
          <w:bCs/>
          <w:color w:val="auto"/>
        </w:rPr>
      </w:pPr>
      <w:bookmarkStart w:id="256" w:name="_Toc122424031"/>
      <w:bookmarkStart w:id="257" w:name="_Toc122424280"/>
      <w:bookmarkStart w:id="258" w:name="_Toc351203492"/>
      <w:r>
        <w:rPr>
          <w:rFonts w:hint="eastAsia" w:hAnsi="宋体" w:cs="宋体"/>
          <w:b/>
          <w:bCs/>
          <w:color w:val="auto"/>
        </w:rPr>
        <w:t>十二、合同生效</w:t>
      </w:r>
      <w:bookmarkEnd w:id="256"/>
      <w:bookmarkEnd w:id="257"/>
      <w:bookmarkEnd w:id="258"/>
    </w:p>
    <w:p w14:paraId="65CF4C24">
      <w:pPr>
        <w:spacing w:line="360" w:lineRule="auto"/>
        <w:ind w:firstLine="420" w:firstLineChars="200"/>
        <w:rPr>
          <w:rFonts w:hAnsi="宋体"/>
          <w:color w:val="auto"/>
        </w:rPr>
      </w:pPr>
      <w:r>
        <w:rPr>
          <w:rFonts w:hint="eastAsia" w:hAnsi="宋体" w:cs="宋体"/>
          <w:color w:val="auto"/>
        </w:rPr>
        <w:t>本合同自</w:t>
      </w:r>
      <w:r>
        <w:rPr>
          <w:color w:val="auto"/>
          <w:u w:val="single"/>
        </w:rPr>
        <w:t xml:space="preserve">                                   </w:t>
      </w:r>
      <w:r>
        <w:rPr>
          <w:rFonts w:hint="eastAsia" w:hAnsi="宋体" w:cs="宋体"/>
          <w:color w:val="auto"/>
        </w:rPr>
        <w:t>生效。</w:t>
      </w:r>
    </w:p>
    <w:p w14:paraId="5E5CFDE4">
      <w:pPr>
        <w:spacing w:line="360" w:lineRule="auto"/>
        <w:ind w:firstLine="422" w:firstLineChars="200"/>
        <w:outlineLvl w:val="0"/>
        <w:rPr>
          <w:b/>
          <w:bCs/>
          <w:color w:val="auto"/>
        </w:rPr>
      </w:pPr>
      <w:bookmarkStart w:id="259" w:name="_Toc351203493"/>
      <w:bookmarkStart w:id="260" w:name="_Toc122424032"/>
      <w:bookmarkStart w:id="261" w:name="_Toc122424281"/>
      <w:r>
        <w:rPr>
          <w:rFonts w:hint="eastAsia" w:hAnsi="宋体" w:cs="宋体"/>
          <w:b/>
          <w:bCs/>
          <w:color w:val="auto"/>
        </w:rPr>
        <w:t>十三、合同份数</w:t>
      </w:r>
      <w:bookmarkEnd w:id="259"/>
      <w:bookmarkEnd w:id="260"/>
      <w:bookmarkEnd w:id="261"/>
    </w:p>
    <w:p w14:paraId="661541F4">
      <w:pPr>
        <w:spacing w:line="360" w:lineRule="auto"/>
        <w:rPr>
          <w:color w:val="auto"/>
        </w:rPr>
      </w:pPr>
      <w:r>
        <w:rPr>
          <w:rFonts w:hint="eastAsia"/>
          <w:color w:val="auto"/>
        </w:rPr>
        <w:t>本合同一式伍份，均具有同等法律效力，发包人执叁 份，承包人执 贰份。</w:t>
      </w:r>
    </w:p>
    <w:p w14:paraId="1787DC20">
      <w:pPr>
        <w:spacing w:line="360" w:lineRule="auto"/>
        <w:rPr>
          <w:color w:val="auto"/>
        </w:rPr>
      </w:pPr>
      <w:r>
        <w:rPr>
          <w:rFonts w:hint="eastAsia" w:hAnsi="宋体" w:cs="宋体"/>
          <w:color w:val="auto"/>
        </w:rPr>
        <w:t>发包人：</w:t>
      </w:r>
      <w:r>
        <w:rPr>
          <w:color w:val="auto"/>
        </w:rPr>
        <w:t xml:space="preserve">  </w:t>
      </w:r>
      <w:r>
        <w:rPr>
          <w:rFonts w:hint="eastAsia" w:cs="宋体"/>
          <w:color w:val="auto"/>
        </w:rPr>
        <w:t>（</w:t>
      </w:r>
      <w:r>
        <w:rPr>
          <w:rFonts w:hint="eastAsia" w:hAnsi="宋体" w:cs="宋体"/>
          <w:color w:val="auto"/>
        </w:rPr>
        <w:t>公章</w:t>
      </w:r>
      <w:r>
        <w:rPr>
          <w:rFonts w:hint="eastAsia" w:cs="宋体"/>
          <w:color w:val="auto"/>
        </w:rPr>
        <w:t>）</w:t>
      </w:r>
      <w:r>
        <w:rPr>
          <w:color w:val="auto"/>
        </w:rPr>
        <w:t xml:space="preserve">                              </w:t>
      </w:r>
      <w:r>
        <w:rPr>
          <w:rFonts w:hint="eastAsia" w:hAnsi="宋体" w:cs="宋体"/>
          <w:color w:val="auto"/>
        </w:rPr>
        <w:t>承包人：</w:t>
      </w:r>
      <w:r>
        <w:rPr>
          <w:color w:val="auto"/>
        </w:rPr>
        <w:t xml:space="preserve">  </w:t>
      </w:r>
      <w:r>
        <w:rPr>
          <w:rFonts w:hint="eastAsia" w:cs="宋体"/>
          <w:color w:val="auto"/>
        </w:rPr>
        <w:t>（</w:t>
      </w:r>
      <w:r>
        <w:rPr>
          <w:rFonts w:hint="eastAsia" w:hAnsi="宋体" w:cs="宋体"/>
          <w:color w:val="auto"/>
        </w:rPr>
        <w:t>公章</w:t>
      </w:r>
      <w:r>
        <w:rPr>
          <w:rFonts w:hint="eastAsia" w:cs="宋体"/>
          <w:color w:val="auto"/>
        </w:rPr>
        <w:t>）</w:t>
      </w:r>
    </w:p>
    <w:p w14:paraId="41ECAC4E">
      <w:pPr>
        <w:spacing w:line="360" w:lineRule="auto"/>
        <w:rPr>
          <w:color w:val="auto"/>
          <w:u w:val="single"/>
        </w:rPr>
      </w:pPr>
      <w:r>
        <w:rPr>
          <w:color w:val="auto"/>
        </w:rPr>
        <w:t xml:space="preserve">                                 </w:t>
      </w:r>
    </w:p>
    <w:p w14:paraId="7876AF39">
      <w:pPr>
        <w:spacing w:line="360" w:lineRule="auto"/>
        <w:rPr>
          <w:color w:val="auto"/>
        </w:rPr>
      </w:pPr>
      <w:r>
        <w:rPr>
          <w:rFonts w:hint="eastAsia" w:hAnsi="宋体" w:cs="宋体"/>
          <w:color w:val="auto"/>
        </w:rPr>
        <w:t>法定代表人或其委托代理人：</w:t>
      </w:r>
      <w:r>
        <w:rPr>
          <w:color w:val="auto"/>
        </w:rPr>
        <w:t xml:space="preserve">                    </w:t>
      </w:r>
      <w:r>
        <w:rPr>
          <w:rFonts w:hint="eastAsia" w:hAnsi="宋体" w:cs="宋体"/>
          <w:color w:val="auto"/>
        </w:rPr>
        <w:t>法定代表人或其委托代理人：</w:t>
      </w:r>
    </w:p>
    <w:p w14:paraId="6DD8D5AD">
      <w:pPr>
        <w:spacing w:line="360" w:lineRule="auto"/>
        <w:rPr>
          <w:color w:val="auto"/>
        </w:rPr>
      </w:pPr>
      <w:r>
        <w:rPr>
          <w:rFonts w:hint="eastAsia" w:hAnsi="宋体" w:cs="宋体"/>
          <w:color w:val="auto"/>
        </w:rPr>
        <w:t>（签字）</w:t>
      </w:r>
      <w:r>
        <w:rPr>
          <w:color w:val="auto"/>
        </w:rPr>
        <w:t xml:space="preserve">                                     </w:t>
      </w:r>
      <w:r>
        <w:rPr>
          <w:rFonts w:hint="eastAsia" w:hAnsi="宋体" w:cs="宋体"/>
          <w:color w:val="auto"/>
        </w:rPr>
        <w:t>（签字）</w:t>
      </w:r>
    </w:p>
    <w:p w14:paraId="7CD0D4F5">
      <w:pPr>
        <w:spacing w:line="360" w:lineRule="auto"/>
        <w:rPr>
          <w:color w:val="auto"/>
          <w:u w:val="single"/>
        </w:rPr>
      </w:pPr>
    </w:p>
    <w:p w14:paraId="003FABAE">
      <w:pPr>
        <w:tabs>
          <w:tab w:val="left" w:pos="4410"/>
        </w:tabs>
        <w:spacing w:line="360" w:lineRule="auto"/>
        <w:rPr>
          <w:color w:val="auto"/>
        </w:rPr>
      </w:pPr>
      <w:r>
        <w:rPr>
          <w:rFonts w:hint="eastAsia" w:hAnsi="宋体" w:cs="宋体"/>
          <w:color w:val="auto"/>
        </w:rPr>
        <w:t>统一社会信用代码：</w:t>
      </w:r>
      <w:r>
        <w:rPr>
          <w:color w:val="auto"/>
          <w:u w:val="single"/>
        </w:rPr>
        <w:t xml:space="preserve">       </w:t>
      </w:r>
      <w:r>
        <w:rPr>
          <w:rFonts w:hint="eastAsia"/>
          <w:color w:val="auto"/>
          <w:u w:val="single"/>
        </w:rPr>
        <w:t xml:space="preserve">    </w:t>
      </w:r>
      <w:r>
        <w:rPr>
          <w:color w:val="auto"/>
        </w:rPr>
        <w:t xml:space="preserve">                  </w:t>
      </w:r>
      <w:r>
        <w:rPr>
          <w:rFonts w:hint="eastAsia" w:cs="宋体"/>
          <w:color w:val="auto"/>
        </w:rPr>
        <w:t>统一</w:t>
      </w:r>
      <w:r>
        <w:rPr>
          <w:rFonts w:hint="eastAsia" w:hAnsi="宋体" w:cs="宋体"/>
          <w:color w:val="auto"/>
        </w:rPr>
        <w:t>社会信用代码：</w:t>
      </w:r>
      <w:r>
        <w:rPr>
          <w:color w:val="auto"/>
          <w:u w:val="single"/>
        </w:rPr>
        <w:t xml:space="preserve">          </w:t>
      </w:r>
      <w:r>
        <w:rPr>
          <w:rFonts w:hint="eastAsia"/>
          <w:color w:val="auto"/>
          <w:u w:val="single"/>
        </w:rPr>
        <w:t xml:space="preserve">        </w:t>
      </w:r>
      <w:r>
        <w:rPr>
          <w:color w:val="auto"/>
        </w:rPr>
        <w:t xml:space="preserve"> </w:t>
      </w:r>
    </w:p>
    <w:p w14:paraId="64FA32D4">
      <w:pPr>
        <w:spacing w:line="360" w:lineRule="auto"/>
        <w:rPr>
          <w:color w:val="auto"/>
        </w:rPr>
      </w:pPr>
      <w:r>
        <w:rPr>
          <w:rFonts w:hint="eastAsia" w:hAnsi="宋体" w:cs="宋体"/>
          <w:color w:val="auto"/>
        </w:rPr>
        <w:t>地</w:t>
      </w:r>
      <w:r>
        <w:rPr>
          <w:color w:val="auto"/>
        </w:rPr>
        <w:t xml:space="preserve">  </w:t>
      </w:r>
      <w:r>
        <w:rPr>
          <w:rFonts w:hint="eastAsia" w:hAnsi="宋体" w:cs="宋体"/>
          <w:color w:val="auto"/>
        </w:rPr>
        <w:t>址：</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地</w:t>
      </w:r>
      <w:r>
        <w:rPr>
          <w:color w:val="auto"/>
        </w:rPr>
        <w:t xml:space="preserve">  </w:t>
      </w:r>
      <w:r>
        <w:rPr>
          <w:rFonts w:hint="eastAsia" w:hAnsi="宋体" w:cs="宋体"/>
          <w:color w:val="auto"/>
        </w:rPr>
        <w:t>址：</w:t>
      </w:r>
      <w:r>
        <w:rPr>
          <w:color w:val="auto"/>
          <w:u w:val="single"/>
        </w:rPr>
        <w:t xml:space="preserve">        </w:t>
      </w:r>
      <w:r>
        <w:rPr>
          <w:rFonts w:hint="eastAsia"/>
          <w:color w:val="auto"/>
          <w:u w:val="single"/>
        </w:rPr>
        <w:t xml:space="preserve">                    </w:t>
      </w:r>
    </w:p>
    <w:p w14:paraId="160EA9F5">
      <w:pPr>
        <w:spacing w:line="360" w:lineRule="auto"/>
        <w:rPr>
          <w:color w:val="auto"/>
        </w:rPr>
      </w:pPr>
      <w:r>
        <w:rPr>
          <w:rFonts w:hint="eastAsia" w:hAnsi="宋体" w:cs="宋体"/>
          <w:color w:val="auto"/>
        </w:rPr>
        <w:t>邮政编码：</w:t>
      </w:r>
      <w:r>
        <w:rPr>
          <w:color w:val="auto"/>
          <w:u w:val="single"/>
        </w:rPr>
        <w:t xml:space="preserve">      </w:t>
      </w:r>
      <w:r>
        <w:rPr>
          <w:rFonts w:hint="eastAsia"/>
          <w:color w:val="auto"/>
          <w:u w:val="single"/>
        </w:rPr>
        <w:t xml:space="preserve">             </w:t>
      </w:r>
      <w:r>
        <w:rPr>
          <w:color w:val="auto"/>
        </w:rPr>
        <w:t xml:space="preserve">                 </w:t>
      </w:r>
      <w:r>
        <w:rPr>
          <w:rFonts w:hint="eastAsia"/>
          <w:color w:val="auto"/>
        </w:rPr>
        <w:t xml:space="preserve"> </w:t>
      </w:r>
      <w:r>
        <w:rPr>
          <w:rFonts w:hint="eastAsia" w:hAnsi="宋体" w:cs="宋体"/>
          <w:color w:val="auto"/>
        </w:rPr>
        <w:t>邮政编码：</w:t>
      </w:r>
      <w:r>
        <w:rPr>
          <w:color w:val="auto"/>
          <w:u w:val="single"/>
        </w:rPr>
        <w:t xml:space="preserve">  </w:t>
      </w:r>
      <w:r>
        <w:rPr>
          <w:rFonts w:hint="eastAsia"/>
          <w:color w:val="auto"/>
          <w:u w:val="single"/>
        </w:rPr>
        <w:t xml:space="preserve">                       </w:t>
      </w:r>
      <w:r>
        <w:rPr>
          <w:color w:val="auto"/>
          <w:u w:val="single"/>
        </w:rPr>
        <w:t xml:space="preserve"> </w:t>
      </w:r>
    </w:p>
    <w:p w14:paraId="18FD4DA5">
      <w:pPr>
        <w:spacing w:line="360" w:lineRule="auto"/>
        <w:rPr>
          <w:color w:val="auto"/>
        </w:rPr>
      </w:pPr>
      <w:r>
        <w:rPr>
          <w:rFonts w:hint="eastAsia" w:hAnsi="宋体" w:cs="宋体"/>
          <w:color w:val="auto"/>
        </w:rPr>
        <w:t>法定代表人：</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法定代表人：</w:t>
      </w:r>
      <w:r>
        <w:rPr>
          <w:color w:val="auto"/>
          <w:u w:val="single"/>
        </w:rPr>
        <w:t xml:space="preserve">            </w:t>
      </w:r>
      <w:r>
        <w:rPr>
          <w:rFonts w:hint="eastAsia"/>
          <w:color w:val="auto"/>
          <w:u w:val="single"/>
        </w:rPr>
        <w:t xml:space="preserve">           </w:t>
      </w:r>
      <w:r>
        <w:rPr>
          <w:color w:val="auto"/>
          <w:u w:val="single"/>
        </w:rPr>
        <w:t xml:space="preserve"> </w:t>
      </w:r>
    </w:p>
    <w:p w14:paraId="1A38A7E3">
      <w:pPr>
        <w:spacing w:line="360" w:lineRule="auto"/>
        <w:rPr>
          <w:color w:val="auto"/>
        </w:rPr>
      </w:pPr>
      <w:r>
        <w:rPr>
          <w:rFonts w:hint="eastAsia" w:hAnsi="宋体" w:cs="宋体"/>
          <w:color w:val="auto"/>
        </w:rPr>
        <w:t>委托代理人：</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委托代理人：</w:t>
      </w:r>
      <w:r>
        <w:rPr>
          <w:color w:val="auto"/>
          <w:u w:val="single"/>
        </w:rPr>
        <w:t xml:space="preserve">           </w:t>
      </w:r>
      <w:r>
        <w:rPr>
          <w:rFonts w:hint="eastAsia"/>
          <w:color w:val="auto"/>
          <w:u w:val="single"/>
        </w:rPr>
        <w:t xml:space="preserve">            </w:t>
      </w:r>
      <w:r>
        <w:rPr>
          <w:color w:val="auto"/>
          <w:u w:val="single"/>
        </w:rPr>
        <w:t xml:space="preserve">  </w:t>
      </w:r>
    </w:p>
    <w:p w14:paraId="0D14D566">
      <w:pPr>
        <w:spacing w:line="360" w:lineRule="auto"/>
        <w:rPr>
          <w:color w:val="auto"/>
        </w:rPr>
      </w:pPr>
      <w:r>
        <w:rPr>
          <w:rFonts w:hint="eastAsia" w:hAnsi="宋体" w:cs="宋体"/>
          <w:color w:val="auto"/>
        </w:rPr>
        <w:t>电</w:t>
      </w:r>
      <w:r>
        <w:rPr>
          <w:color w:val="auto"/>
        </w:rPr>
        <w:t xml:space="preserve">  </w:t>
      </w:r>
      <w:r>
        <w:rPr>
          <w:rFonts w:hint="eastAsia" w:hAnsi="宋体" w:cs="宋体"/>
          <w:color w:val="auto"/>
        </w:rPr>
        <w:t>话：</w:t>
      </w:r>
      <w:r>
        <w:rPr>
          <w:color w:val="auto"/>
          <w:u w:val="single"/>
        </w:rPr>
        <w:t xml:space="preserve">  </w:t>
      </w:r>
      <w:r>
        <w:rPr>
          <w:rFonts w:hint="eastAsia"/>
          <w:color w:val="auto"/>
          <w:u w:val="single"/>
        </w:rPr>
        <w:t xml:space="preserve">                  </w:t>
      </w:r>
      <w:r>
        <w:rPr>
          <w:color w:val="auto"/>
          <w:u w:val="single"/>
        </w:rPr>
        <w:t xml:space="preserve"> </w:t>
      </w:r>
      <w:r>
        <w:rPr>
          <w:color w:val="auto"/>
        </w:rPr>
        <w:t xml:space="preserve">                  </w:t>
      </w:r>
      <w:r>
        <w:rPr>
          <w:rFonts w:hint="eastAsia" w:hAnsi="宋体" w:cs="宋体"/>
          <w:color w:val="auto"/>
        </w:rPr>
        <w:t>电</w:t>
      </w:r>
      <w:r>
        <w:rPr>
          <w:color w:val="auto"/>
        </w:rPr>
        <w:t xml:space="preserve">  </w:t>
      </w:r>
      <w:r>
        <w:rPr>
          <w:rFonts w:hint="eastAsia" w:hAnsi="宋体" w:cs="宋体"/>
          <w:color w:val="auto"/>
        </w:rPr>
        <w:t>话：</w:t>
      </w:r>
      <w:r>
        <w:rPr>
          <w:color w:val="auto"/>
          <w:u w:val="single"/>
        </w:rPr>
        <w:t xml:space="preserve">    </w:t>
      </w:r>
      <w:r>
        <w:rPr>
          <w:rFonts w:hint="eastAsia"/>
          <w:color w:val="auto"/>
          <w:u w:val="single"/>
        </w:rPr>
        <w:t xml:space="preserve">                       </w:t>
      </w:r>
      <w:r>
        <w:rPr>
          <w:color w:val="auto"/>
          <w:u w:val="single"/>
        </w:rPr>
        <w:t xml:space="preserve"> </w:t>
      </w:r>
    </w:p>
    <w:p w14:paraId="68388F1E">
      <w:pPr>
        <w:spacing w:line="360" w:lineRule="auto"/>
        <w:rPr>
          <w:color w:val="auto"/>
        </w:rPr>
      </w:pPr>
      <w:r>
        <w:rPr>
          <w:rFonts w:hint="eastAsia" w:hAnsi="宋体" w:cs="宋体"/>
          <w:color w:val="auto"/>
        </w:rPr>
        <w:t>传</w:t>
      </w:r>
      <w:r>
        <w:rPr>
          <w:color w:val="auto"/>
        </w:rPr>
        <w:t xml:space="preserve">  </w:t>
      </w:r>
      <w:r>
        <w:rPr>
          <w:rFonts w:hint="eastAsia" w:hAnsi="宋体" w:cs="宋体"/>
          <w:color w:val="auto"/>
        </w:rPr>
        <w:t>真：</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传</w:t>
      </w:r>
      <w:r>
        <w:rPr>
          <w:color w:val="auto"/>
        </w:rPr>
        <w:t xml:space="preserve">  </w:t>
      </w:r>
      <w:r>
        <w:rPr>
          <w:rFonts w:hint="eastAsia" w:hAnsi="宋体" w:cs="宋体"/>
          <w:color w:val="auto"/>
        </w:rPr>
        <w:t>真：</w:t>
      </w:r>
      <w:r>
        <w:rPr>
          <w:color w:val="auto"/>
          <w:u w:val="single"/>
        </w:rPr>
        <w:t xml:space="preserve">    </w:t>
      </w:r>
      <w:r>
        <w:rPr>
          <w:rFonts w:hint="eastAsia"/>
          <w:color w:val="auto"/>
          <w:u w:val="single"/>
        </w:rPr>
        <w:t xml:space="preserve">                        </w:t>
      </w:r>
      <w:r>
        <w:rPr>
          <w:color w:val="auto"/>
          <w:u w:val="single"/>
        </w:rPr>
        <w:t xml:space="preserve"> </w:t>
      </w:r>
    </w:p>
    <w:p w14:paraId="5418D4CC">
      <w:pPr>
        <w:spacing w:line="360" w:lineRule="auto"/>
        <w:rPr>
          <w:color w:val="auto"/>
        </w:rPr>
      </w:pPr>
      <w:r>
        <w:rPr>
          <w:rFonts w:hint="eastAsia" w:hAnsi="宋体" w:cs="宋体"/>
          <w:color w:val="auto"/>
        </w:rPr>
        <w:t>电子信箱：</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电子信箱：</w:t>
      </w:r>
      <w:r>
        <w:rPr>
          <w:color w:val="auto"/>
          <w:u w:val="single"/>
        </w:rPr>
        <w:t xml:space="preserve">   </w:t>
      </w:r>
      <w:r>
        <w:rPr>
          <w:rFonts w:hint="eastAsia"/>
          <w:color w:val="auto"/>
          <w:u w:val="single"/>
        </w:rPr>
        <w:t xml:space="preserve">                      </w:t>
      </w:r>
    </w:p>
    <w:p w14:paraId="030C3683">
      <w:pPr>
        <w:spacing w:line="360" w:lineRule="auto"/>
        <w:rPr>
          <w:color w:val="auto"/>
        </w:rPr>
      </w:pPr>
      <w:r>
        <w:rPr>
          <w:rFonts w:hint="eastAsia" w:hAnsi="宋体" w:cs="宋体"/>
          <w:color w:val="auto"/>
        </w:rPr>
        <w:t>开户银行：</w:t>
      </w:r>
      <w:r>
        <w:rPr>
          <w:color w:val="auto"/>
          <w:u w:val="single"/>
        </w:rPr>
        <w:t xml:space="preserve">  </w:t>
      </w:r>
      <w:r>
        <w:rPr>
          <w:rFonts w:hint="eastAsia"/>
          <w:color w:val="auto"/>
          <w:u w:val="single"/>
        </w:rPr>
        <w:t xml:space="preserve">               </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开户银行：</w:t>
      </w:r>
      <w:r>
        <w:rPr>
          <w:color w:val="auto"/>
          <w:u w:val="single"/>
        </w:rPr>
        <w:t xml:space="preserve">  </w:t>
      </w:r>
      <w:r>
        <w:rPr>
          <w:rFonts w:hint="eastAsia"/>
          <w:color w:val="auto"/>
          <w:u w:val="single"/>
        </w:rPr>
        <w:t xml:space="preserve">                      </w:t>
      </w:r>
      <w:r>
        <w:rPr>
          <w:color w:val="auto"/>
          <w:u w:val="single"/>
        </w:rPr>
        <w:t xml:space="preserve"> </w:t>
      </w:r>
    </w:p>
    <w:p w14:paraId="6CDD7D94">
      <w:pPr>
        <w:rPr>
          <w:color w:val="auto"/>
          <w:u w:val="single"/>
        </w:rPr>
      </w:pPr>
      <w:r>
        <w:rPr>
          <w:rFonts w:hint="eastAsia" w:hAnsi="宋体" w:cs="宋体"/>
          <w:color w:val="auto"/>
        </w:rPr>
        <w:t>账</w:t>
      </w:r>
      <w:r>
        <w:rPr>
          <w:color w:val="auto"/>
        </w:rPr>
        <w:t xml:space="preserve">  </w:t>
      </w:r>
      <w:r>
        <w:rPr>
          <w:rFonts w:hint="eastAsia" w:hAnsi="宋体" w:cs="宋体"/>
          <w:color w:val="auto"/>
        </w:rPr>
        <w:t>号：</w:t>
      </w:r>
      <w:r>
        <w:rPr>
          <w:color w:val="auto"/>
          <w:u w:val="single"/>
        </w:rPr>
        <w:t xml:space="preserve">       </w:t>
      </w:r>
      <w:r>
        <w:rPr>
          <w:rFonts w:hint="eastAsia"/>
          <w:color w:val="auto"/>
          <w:u w:val="single"/>
        </w:rPr>
        <w:t xml:space="preserve">              </w:t>
      </w:r>
      <w:r>
        <w:rPr>
          <w:color w:val="auto"/>
        </w:rPr>
        <w:t xml:space="preserve">                  </w:t>
      </w:r>
      <w:r>
        <w:rPr>
          <w:rFonts w:hint="eastAsia" w:hAnsi="宋体" w:cs="宋体"/>
          <w:color w:val="auto"/>
        </w:rPr>
        <w:t>账</w:t>
      </w:r>
      <w:r>
        <w:rPr>
          <w:color w:val="auto"/>
        </w:rPr>
        <w:t xml:space="preserve">  </w:t>
      </w:r>
      <w:r>
        <w:rPr>
          <w:rFonts w:hint="eastAsia" w:hAnsi="宋体" w:cs="宋体"/>
          <w:color w:val="auto"/>
        </w:rPr>
        <w:t>号：</w:t>
      </w:r>
      <w:r>
        <w:rPr>
          <w:color w:val="auto"/>
          <w:u w:val="single"/>
        </w:rPr>
        <w:t xml:space="preserve">    </w:t>
      </w:r>
      <w:r>
        <w:rPr>
          <w:rFonts w:hint="eastAsia"/>
          <w:color w:val="auto"/>
          <w:u w:val="single"/>
        </w:rPr>
        <w:t xml:space="preserve">                      </w:t>
      </w:r>
      <w:r>
        <w:rPr>
          <w:color w:val="auto"/>
          <w:u w:val="single"/>
        </w:rPr>
        <w:t xml:space="preserve"> </w:t>
      </w:r>
    </w:p>
    <w:p w14:paraId="49688E2A">
      <w:pPr>
        <w:pStyle w:val="3"/>
        <w:jc w:val="center"/>
        <w:rPr>
          <w:color w:val="auto"/>
        </w:rPr>
      </w:pPr>
      <w:r>
        <w:rPr>
          <w:rFonts w:ascii="宋体" w:hAnsi="宋体" w:cs="宋体"/>
          <w:color w:val="auto"/>
          <w:sz w:val="24"/>
        </w:rPr>
        <w:br w:type="page"/>
      </w:r>
      <w:bookmarkStart w:id="262" w:name="_Toc122424033"/>
      <w:bookmarkStart w:id="263" w:name="_Toc1714491818"/>
      <w:bookmarkStart w:id="264" w:name="_Toc86847323"/>
      <w:bookmarkStart w:id="265" w:name="_Toc407135192"/>
      <w:bookmarkStart w:id="266" w:name="_Toc122424282"/>
      <w:bookmarkStart w:id="267" w:name="_Toc389065256"/>
      <w:bookmarkStart w:id="268" w:name="_Toc78449778"/>
      <w:bookmarkStart w:id="269" w:name="_Toc373227691"/>
      <w:bookmarkStart w:id="270" w:name="_Toc373478338"/>
      <w:bookmarkStart w:id="271" w:name="_Toc351203632"/>
      <w:r>
        <w:rPr>
          <w:rFonts w:hint="eastAsia" w:cs="黑体"/>
          <w:color w:val="auto"/>
        </w:rPr>
        <w:t>第二部分</w:t>
      </w:r>
      <w:r>
        <w:rPr>
          <w:color w:val="auto"/>
        </w:rPr>
        <w:t xml:space="preserve"> </w:t>
      </w:r>
      <w:r>
        <w:rPr>
          <w:rFonts w:hint="eastAsia" w:cs="黑体"/>
          <w:color w:val="auto"/>
        </w:rPr>
        <w:t>通用合同条款</w:t>
      </w:r>
      <w:bookmarkEnd w:id="262"/>
      <w:bookmarkEnd w:id="263"/>
      <w:bookmarkEnd w:id="264"/>
      <w:bookmarkEnd w:id="265"/>
      <w:bookmarkEnd w:id="266"/>
      <w:bookmarkEnd w:id="267"/>
      <w:bookmarkEnd w:id="268"/>
    </w:p>
    <w:p w14:paraId="4BEDEC8F">
      <w:pPr>
        <w:spacing w:line="360" w:lineRule="auto"/>
        <w:ind w:firstLine="420" w:firstLineChars="200"/>
        <w:rPr>
          <w:rFonts w:hAnsi="宋体"/>
          <w:color w:val="auto"/>
          <w:kern w:val="0"/>
        </w:rPr>
      </w:pPr>
    </w:p>
    <w:p w14:paraId="340271B1">
      <w:pPr>
        <w:spacing w:line="360" w:lineRule="auto"/>
        <w:ind w:firstLine="422" w:firstLineChars="200"/>
        <w:rPr>
          <w:rFonts w:hAnsi="宋体"/>
          <w:b/>
          <w:bCs/>
          <w:color w:val="auto"/>
          <w:kern w:val="0"/>
        </w:rPr>
      </w:pPr>
      <w:r>
        <w:rPr>
          <w:rFonts w:hint="eastAsia" w:hAnsi="宋体" w:cs="宋体"/>
          <w:b/>
          <w:bCs/>
          <w:color w:val="auto"/>
          <w:kern w:val="0"/>
        </w:rPr>
        <w:t>采用《建设工程施工合同（示范文本）》（</w:t>
      </w:r>
      <w:r>
        <w:rPr>
          <w:rFonts w:hAnsi="宋体"/>
          <w:b/>
          <w:bCs/>
          <w:color w:val="auto"/>
          <w:kern w:val="0"/>
        </w:rPr>
        <w:t>GF</w:t>
      </w:r>
      <w:r>
        <w:rPr>
          <w:rFonts w:hAnsi="宋体" w:cs="宋体"/>
          <w:b/>
          <w:bCs/>
          <w:color w:val="auto"/>
          <w:kern w:val="0"/>
        </w:rPr>
        <w:t>—</w:t>
      </w:r>
      <w:r>
        <w:rPr>
          <w:rFonts w:hAnsi="宋体"/>
          <w:b/>
          <w:bCs/>
          <w:color w:val="auto"/>
          <w:kern w:val="0"/>
        </w:rPr>
        <w:t>201</w:t>
      </w:r>
      <w:r>
        <w:rPr>
          <w:rFonts w:hint="eastAsia" w:hAnsi="宋体"/>
          <w:b/>
          <w:bCs/>
          <w:color w:val="auto"/>
          <w:kern w:val="0"/>
        </w:rPr>
        <w:t>7</w:t>
      </w:r>
      <w:r>
        <w:rPr>
          <w:rFonts w:hAnsi="宋体" w:cs="宋体"/>
          <w:b/>
          <w:bCs/>
          <w:color w:val="auto"/>
          <w:kern w:val="0"/>
        </w:rPr>
        <w:t>—</w:t>
      </w:r>
      <w:r>
        <w:rPr>
          <w:rFonts w:hAnsi="宋体"/>
          <w:b/>
          <w:bCs/>
          <w:color w:val="auto"/>
          <w:kern w:val="0"/>
        </w:rPr>
        <w:t>0201</w:t>
      </w:r>
      <w:r>
        <w:rPr>
          <w:rFonts w:hint="eastAsia" w:hAnsi="宋体" w:cs="宋体"/>
          <w:b/>
          <w:bCs/>
          <w:color w:val="auto"/>
          <w:kern w:val="0"/>
        </w:rPr>
        <w:t>）。</w:t>
      </w:r>
    </w:p>
    <w:p w14:paraId="0DC3B935">
      <w:pPr>
        <w:pStyle w:val="3"/>
        <w:keepNext w:val="0"/>
        <w:keepLines w:val="0"/>
        <w:jc w:val="center"/>
        <w:rPr>
          <w:rFonts w:hAnsi="宋体"/>
          <w:color w:val="auto"/>
          <w:sz w:val="30"/>
          <w:szCs w:val="30"/>
        </w:rPr>
      </w:pPr>
      <w:bookmarkStart w:id="272" w:name="_Toc704444909"/>
      <w:bookmarkStart w:id="273" w:name="_Toc78449779"/>
      <w:bookmarkStart w:id="274" w:name="_Toc1204138598"/>
      <w:bookmarkStart w:id="275" w:name="_Toc122424034"/>
      <w:bookmarkStart w:id="276" w:name="_Toc389065257"/>
      <w:bookmarkStart w:id="277" w:name="_Toc407135193"/>
      <w:bookmarkStart w:id="278" w:name="_Toc122424283"/>
      <w:r>
        <w:rPr>
          <w:rFonts w:hint="eastAsia" w:hAnsi="宋体" w:cs="黑体"/>
          <w:color w:val="auto"/>
          <w:sz w:val="30"/>
          <w:szCs w:val="30"/>
        </w:rPr>
        <w:t>第三部分</w:t>
      </w:r>
      <w:r>
        <w:rPr>
          <w:color w:val="auto"/>
          <w:sz w:val="30"/>
          <w:szCs w:val="30"/>
        </w:rPr>
        <w:t xml:space="preserve"> </w:t>
      </w:r>
      <w:r>
        <w:rPr>
          <w:rFonts w:hint="eastAsia" w:hAnsi="宋体" w:cs="黑体"/>
          <w:color w:val="auto"/>
          <w:sz w:val="30"/>
          <w:szCs w:val="30"/>
        </w:rPr>
        <w:t>专用合同条款</w:t>
      </w:r>
      <w:bookmarkEnd w:id="269"/>
      <w:bookmarkEnd w:id="270"/>
      <w:bookmarkEnd w:id="271"/>
      <w:bookmarkEnd w:id="272"/>
      <w:bookmarkEnd w:id="273"/>
      <w:bookmarkEnd w:id="274"/>
      <w:bookmarkEnd w:id="275"/>
      <w:bookmarkEnd w:id="276"/>
      <w:bookmarkEnd w:id="277"/>
      <w:bookmarkEnd w:id="278"/>
    </w:p>
    <w:p w14:paraId="72864DB9">
      <w:pPr>
        <w:keepNext/>
        <w:keepLines/>
        <w:widowControl/>
        <w:spacing w:before="120" w:after="120" w:line="440" w:lineRule="exact"/>
        <w:ind w:firstLine="413" w:firstLineChars="196"/>
        <w:outlineLvl w:val="3"/>
        <w:rPr>
          <w:rFonts w:ascii="宋体" w:hAnsi="宋体" w:eastAsia="黑体"/>
          <w:b/>
          <w:color w:val="auto"/>
          <w:kern w:val="0"/>
          <w:sz w:val="28"/>
          <w:szCs w:val="21"/>
        </w:rPr>
      </w:pPr>
      <w:bookmarkStart w:id="279" w:name="_Toc351203633"/>
      <w:r>
        <w:rPr>
          <w:rFonts w:ascii="宋体" w:hAnsi="宋体"/>
          <w:b/>
          <w:color w:val="auto"/>
          <w:kern w:val="0"/>
          <w:szCs w:val="21"/>
        </w:rPr>
        <w:t>1</w:t>
      </w:r>
      <w:bookmarkStart w:id="280" w:name="_Toc296890984"/>
      <w:bookmarkStart w:id="281" w:name="_Toc292559866"/>
      <w:bookmarkStart w:id="282" w:name="_Toc296347155"/>
      <w:bookmarkStart w:id="283" w:name="_Toc296346657"/>
      <w:bookmarkStart w:id="284" w:name="_Toc296944495"/>
      <w:bookmarkStart w:id="285" w:name="_Toc296891196"/>
      <w:bookmarkStart w:id="286" w:name="_Toc292559361"/>
      <w:bookmarkStart w:id="287" w:name="_Toc296503156"/>
      <w:bookmarkStart w:id="288" w:name="_Toc297048342"/>
      <w:bookmarkStart w:id="289" w:name="_Toc297120456"/>
      <w:r>
        <w:rPr>
          <w:rFonts w:ascii="宋体" w:hAnsi="宋体"/>
          <w:b/>
          <w:color w:val="auto"/>
          <w:kern w:val="0"/>
          <w:szCs w:val="21"/>
        </w:rPr>
        <w:t>. 一般约定</w:t>
      </w:r>
      <w:bookmarkEnd w:id="279"/>
      <w:bookmarkEnd w:id="280"/>
      <w:bookmarkEnd w:id="281"/>
      <w:bookmarkEnd w:id="282"/>
      <w:bookmarkEnd w:id="283"/>
      <w:bookmarkEnd w:id="284"/>
      <w:bookmarkEnd w:id="285"/>
      <w:bookmarkEnd w:id="286"/>
      <w:bookmarkEnd w:id="287"/>
      <w:bookmarkEnd w:id="288"/>
      <w:bookmarkEnd w:id="289"/>
    </w:p>
    <w:p w14:paraId="28478F1E">
      <w:pPr>
        <w:spacing w:after="120" w:line="440" w:lineRule="exact"/>
        <w:ind w:firstLine="420" w:firstLineChars="200"/>
        <w:rPr>
          <w:rFonts w:ascii="宋体" w:hAnsi="宋体"/>
          <w:color w:val="auto"/>
          <w:szCs w:val="21"/>
        </w:rPr>
      </w:pPr>
      <w:r>
        <w:rPr>
          <w:rFonts w:ascii="宋体" w:hAnsi="宋体"/>
          <w:color w:val="auto"/>
          <w:szCs w:val="21"/>
        </w:rPr>
        <w:t>1.1 词语定义</w:t>
      </w:r>
    </w:p>
    <w:p w14:paraId="3E402CCD">
      <w:pPr>
        <w:spacing w:line="440" w:lineRule="exact"/>
        <w:ind w:firstLine="420" w:firstLineChars="200"/>
        <w:rPr>
          <w:rFonts w:ascii="宋体" w:hAnsi="宋体"/>
          <w:color w:val="auto"/>
          <w:kern w:val="0"/>
          <w:szCs w:val="21"/>
        </w:rPr>
      </w:pPr>
      <w:r>
        <w:rPr>
          <w:rFonts w:ascii="宋体" w:hAnsi="宋体"/>
          <w:color w:val="auto"/>
          <w:kern w:val="0"/>
          <w:szCs w:val="21"/>
        </w:rPr>
        <w:t>1.1.1合同</w:t>
      </w:r>
    </w:p>
    <w:p w14:paraId="7FDA886A">
      <w:pPr>
        <w:spacing w:line="440" w:lineRule="exact"/>
        <w:ind w:firstLine="420" w:firstLineChars="200"/>
        <w:rPr>
          <w:rFonts w:ascii="宋体" w:hAnsi="宋体"/>
          <w:color w:val="auto"/>
          <w:kern w:val="0"/>
          <w:szCs w:val="21"/>
          <w:u w:val="single"/>
        </w:rPr>
      </w:pPr>
      <w:r>
        <w:rPr>
          <w:rFonts w:ascii="宋体" w:hAnsi="宋体"/>
          <w:color w:val="auto"/>
          <w:kern w:val="0"/>
          <w:szCs w:val="21"/>
        </w:rPr>
        <w:t>1.1.1.</w:t>
      </w:r>
      <w:r>
        <w:rPr>
          <w:rFonts w:hint="eastAsia" w:ascii="宋体" w:hAnsi="宋体"/>
          <w:color w:val="auto"/>
          <w:kern w:val="0"/>
          <w:szCs w:val="21"/>
        </w:rPr>
        <w:t>1</w:t>
      </w:r>
      <w:r>
        <w:rPr>
          <w:rFonts w:ascii="宋体" w:hAnsi="宋体"/>
          <w:color w:val="auto"/>
          <w:kern w:val="0"/>
          <w:szCs w:val="21"/>
        </w:rPr>
        <w:t>其他合同文件包括：</w:t>
      </w:r>
      <w:r>
        <w:rPr>
          <w:rFonts w:hint="eastAsia" w:ascii="宋体" w:hAnsi="宋体"/>
          <w:color w:val="auto"/>
          <w:kern w:val="0"/>
          <w:szCs w:val="21"/>
          <w:u w:val="single"/>
        </w:rPr>
        <w:t>指合同书、成交通知书、竞标函及竞标函附录、专用合同条款、通用合同条款、规范、技术标准和要求、图纸、已标价工程量清单及工程量清单使用说明，以及双方共同确认的其他合同文件(包括但不限于在履行本合同过程中双方书面确认的会议纪要、签证、设计变更等资料)</w:t>
      </w:r>
      <w:r>
        <w:rPr>
          <w:rFonts w:ascii="宋体" w:hAnsi="宋体"/>
          <w:color w:val="auto"/>
          <w:szCs w:val="21"/>
          <w:u w:val="single"/>
        </w:rPr>
        <w:t>。</w:t>
      </w:r>
    </w:p>
    <w:p w14:paraId="4381D408">
      <w:pPr>
        <w:spacing w:line="440" w:lineRule="exact"/>
        <w:ind w:firstLine="420" w:firstLineChars="200"/>
        <w:rPr>
          <w:rFonts w:ascii="宋体" w:hAnsi="宋体"/>
          <w:color w:val="auto"/>
          <w:szCs w:val="21"/>
        </w:rPr>
      </w:pPr>
      <w:r>
        <w:rPr>
          <w:rFonts w:ascii="宋体" w:hAnsi="宋体"/>
          <w:color w:val="auto"/>
          <w:szCs w:val="21"/>
        </w:rPr>
        <w:t>1.1.2 合同当事人及其他相关方</w:t>
      </w:r>
    </w:p>
    <w:p w14:paraId="57270BDE">
      <w:pPr>
        <w:spacing w:line="440" w:lineRule="exact"/>
        <w:ind w:firstLine="420" w:firstLineChars="200"/>
        <w:rPr>
          <w:rFonts w:ascii="宋体" w:hAnsi="宋体"/>
          <w:color w:val="auto"/>
          <w:szCs w:val="21"/>
        </w:rPr>
      </w:pPr>
      <w:r>
        <w:rPr>
          <w:rFonts w:ascii="宋体" w:hAnsi="宋体"/>
          <w:color w:val="auto"/>
          <w:szCs w:val="21"/>
        </w:rPr>
        <w:t>1.1.2.</w:t>
      </w:r>
      <w:r>
        <w:rPr>
          <w:rFonts w:hint="eastAsia" w:ascii="宋体" w:hAnsi="宋体"/>
          <w:color w:val="auto"/>
          <w:szCs w:val="21"/>
        </w:rPr>
        <w:t>1</w:t>
      </w:r>
      <w:r>
        <w:rPr>
          <w:rFonts w:ascii="宋体" w:hAnsi="宋体"/>
          <w:color w:val="auto"/>
          <w:szCs w:val="21"/>
        </w:rPr>
        <w:t>监理人：</w:t>
      </w:r>
    </w:p>
    <w:p w14:paraId="793F4A2C">
      <w:pPr>
        <w:spacing w:line="440" w:lineRule="exact"/>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rPr>
        <w:t>；</w:t>
      </w:r>
    </w:p>
    <w:p w14:paraId="0BCD0694">
      <w:pPr>
        <w:spacing w:line="440" w:lineRule="exact"/>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rPr>
        <w:t>；</w:t>
      </w:r>
    </w:p>
    <w:p w14:paraId="6D48F0EC">
      <w:pPr>
        <w:spacing w:line="440" w:lineRule="exact"/>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rPr>
        <w:t>；</w:t>
      </w:r>
    </w:p>
    <w:p w14:paraId="282E5610">
      <w:pPr>
        <w:spacing w:line="440" w:lineRule="exact"/>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rPr>
        <w:t>；</w:t>
      </w:r>
    </w:p>
    <w:p w14:paraId="5F8C871F">
      <w:pPr>
        <w:spacing w:line="440" w:lineRule="exact"/>
        <w:ind w:firstLine="420" w:firstLineChars="200"/>
        <w:rPr>
          <w:rFonts w:ascii="宋体" w:hAnsi="宋体"/>
          <w:color w:val="auto"/>
          <w:szCs w:val="21"/>
        </w:rPr>
      </w:pPr>
      <w:r>
        <w:rPr>
          <w:rFonts w:ascii="宋体" w:hAnsi="宋体"/>
          <w:color w:val="auto"/>
          <w:szCs w:val="21"/>
        </w:rPr>
        <w:t>通信地址：。</w:t>
      </w:r>
    </w:p>
    <w:p w14:paraId="7C8FFBDB">
      <w:pPr>
        <w:spacing w:line="440" w:lineRule="exact"/>
        <w:ind w:firstLine="420" w:firstLineChars="200"/>
        <w:rPr>
          <w:rFonts w:ascii="宋体" w:hAnsi="宋体"/>
          <w:color w:val="auto"/>
          <w:szCs w:val="21"/>
        </w:rPr>
      </w:pPr>
      <w:r>
        <w:rPr>
          <w:rFonts w:ascii="宋体" w:hAnsi="宋体"/>
          <w:color w:val="auto"/>
          <w:szCs w:val="21"/>
        </w:rPr>
        <w:t>1.1.2.</w:t>
      </w:r>
      <w:r>
        <w:rPr>
          <w:rFonts w:hint="eastAsia" w:ascii="宋体" w:hAnsi="宋体"/>
          <w:color w:val="auto"/>
          <w:szCs w:val="21"/>
        </w:rPr>
        <w:t>2</w:t>
      </w:r>
      <w:r>
        <w:rPr>
          <w:rFonts w:ascii="宋体" w:hAnsi="宋体"/>
          <w:color w:val="auto"/>
          <w:szCs w:val="21"/>
        </w:rPr>
        <w:t xml:space="preserve"> 设计人：</w:t>
      </w:r>
    </w:p>
    <w:p w14:paraId="4A5B9CD5">
      <w:pPr>
        <w:spacing w:line="440" w:lineRule="exact"/>
        <w:ind w:firstLine="420" w:firstLineChars="200"/>
        <w:rPr>
          <w:rFonts w:ascii="宋体" w:hAnsi="宋体"/>
          <w:color w:val="auto"/>
          <w:szCs w:val="21"/>
        </w:rPr>
      </w:pPr>
      <w:r>
        <w:rPr>
          <w:rFonts w:ascii="宋体" w:hAnsi="宋体"/>
          <w:color w:val="auto"/>
          <w:szCs w:val="21"/>
        </w:rPr>
        <w:t>名    称：</w:t>
      </w:r>
      <w:r>
        <w:rPr>
          <w:rFonts w:hint="eastAsia" w:ascii="宋体" w:hAnsi="宋体"/>
          <w:color w:val="auto"/>
          <w:szCs w:val="21"/>
        </w:rPr>
        <w:t>；</w:t>
      </w:r>
    </w:p>
    <w:p w14:paraId="6FD6A854">
      <w:pPr>
        <w:spacing w:line="440" w:lineRule="exact"/>
        <w:ind w:firstLine="420" w:firstLineChars="200"/>
        <w:rPr>
          <w:rFonts w:ascii="宋体" w:hAnsi="宋体"/>
          <w:color w:val="auto"/>
          <w:szCs w:val="21"/>
        </w:rPr>
      </w:pPr>
      <w:r>
        <w:rPr>
          <w:rFonts w:ascii="宋体" w:hAnsi="宋体"/>
          <w:color w:val="auto"/>
          <w:szCs w:val="21"/>
        </w:rPr>
        <w:t>资质类别和等级：</w:t>
      </w:r>
      <w:r>
        <w:rPr>
          <w:rFonts w:hint="eastAsia" w:ascii="宋体" w:hAnsi="宋体"/>
          <w:color w:val="auto"/>
          <w:szCs w:val="21"/>
        </w:rPr>
        <w:t>；</w:t>
      </w:r>
    </w:p>
    <w:p w14:paraId="60B84BCB">
      <w:pPr>
        <w:spacing w:line="440" w:lineRule="exact"/>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rPr>
        <w:t>；</w:t>
      </w:r>
    </w:p>
    <w:p w14:paraId="333C8918">
      <w:pPr>
        <w:spacing w:line="440" w:lineRule="exact"/>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rPr>
        <w:t>；</w:t>
      </w:r>
    </w:p>
    <w:p w14:paraId="74158376">
      <w:pPr>
        <w:spacing w:line="440" w:lineRule="exact"/>
        <w:ind w:firstLine="420" w:firstLineChars="200"/>
        <w:rPr>
          <w:rFonts w:ascii="宋体" w:hAnsi="宋体"/>
          <w:color w:val="auto"/>
          <w:szCs w:val="21"/>
        </w:rPr>
      </w:pPr>
      <w:r>
        <w:rPr>
          <w:rFonts w:ascii="宋体" w:hAnsi="宋体"/>
          <w:color w:val="auto"/>
          <w:szCs w:val="21"/>
        </w:rPr>
        <w:t>通信地址：。</w:t>
      </w:r>
    </w:p>
    <w:p w14:paraId="7B132684">
      <w:pPr>
        <w:spacing w:line="440" w:lineRule="exact"/>
        <w:ind w:firstLine="420" w:firstLineChars="200"/>
        <w:rPr>
          <w:rFonts w:ascii="宋体" w:hAnsi="宋体"/>
          <w:color w:val="auto"/>
          <w:szCs w:val="21"/>
        </w:rPr>
      </w:pPr>
      <w:r>
        <w:rPr>
          <w:rFonts w:ascii="宋体" w:hAnsi="宋体"/>
          <w:color w:val="auto"/>
          <w:szCs w:val="21"/>
        </w:rPr>
        <w:t>1.1.3 工程和设备</w:t>
      </w:r>
    </w:p>
    <w:p w14:paraId="3CDFE979">
      <w:pPr>
        <w:spacing w:line="440" w:lineRule="exact"/>
        <w:ind w:firstLine="420" w:firstLineChars="200"/>
        <w:rPr>
          <w:rFonts w:ascii="宋体" w:hAnsi="宋体"/>
          <w:color w:val="auto"/>
          <w:szCs w:val="21"/>
        </w:rPr>
      </w:pPr>
      <w:r>
        <w:rPr>
          <w:rFonts w:ascii="宋体" w:hAnsi="宋体"/>
          <w:color w:val="auto"/>
          <w:szCs w:val="21"/>
        </w:rPr>
        <w:t>1.1.3.</w:t>
      </w:r>
      <w:r>
        <w:rPr>
          <w:rFonts w:hint="eastAsia" w:ascii="宋体" w:hAnsi="宋体"/>
          <w:color w:val="auto"/>
          <w:szCs w:val="21"/>
        </w:rPr>
        <w:t>1</w:t>
      </w:r>
      <w:r>
        <w:rPr>
          <w:rFonts w:ascii="宋体" w:hAnsi="宋体"/>
          <w:color w:val="auto"/>
          <w:szCs w:val="21"/>
        </w:rPr>
        <w:t>作为施工现场组成部分的其他场所包括：</w:t>
      </w:r>
      <w:r>
        <w:rPr>
          <w:rFonts w:hint="eastAsia" w:hAnsi="宋体"/>
          <w:color w:val="auto"/>
          <w:szCs w:val="21"/>
          <w:u w:val="single"/>
        </w:rPr>
        <w:t xml:space="preserve">无  </w:t>
      </w:r>
      <w:r>
        <w:rPr>
          <w:rFonts w:ascii="宋体" w:hAnsi="宋体"/>
          <w:color w:val="auto"/>
          <w:szCs w:val="21"/>
        </w:rPr>
        <w:t>。</w:t>
      </w:r>
    </w:p>
    <w:p w14:paraId="7556C22E">
      <w:pPr>
        <w:spacing w:line="400" w:lineRule="exact"/>
        <w:ind w:firstLine="424" w:firstLineChars="202"/>
        <w:jc w:val="left"/>
        <w:rPr>
          <w:rFonts w:ascii="宋体" w:hAnsi="宋体"/>
          <w:color w:val="auto"/>
          <w:kern w:val="0"/>
          <w:szCs w:val="21"/>
        </w:rPr>
      </w:pPr>
      <w:r>
        <w:rPr>
          <w:rFonts w:hint="eastAsia" w:ascii="宋体" w:hAnsi="宋体"/>
          <w:color w:val="auto"/>
          <w:kern w:val="0"/>
          <w:szCs w:val="21"/>
        </w:rPr>
        <w:t>1.1.3.9  永久占地包括：</w:t>
      </w:r>
      <w:r>
        <w:rPr>
          <w:rFonts w:hint="eastAsia" w:ascii="宋体" w:hAnsi="宋体"/>
          <w:color w:val="auto"/>
          <w:szCs w:val="21"/>
          <w:u w:val="single"/>
        </w:rPr>
        <w:t>实施工程需永久占用的土地</w:t>
      </w:r>
      <w:r>
        <w:rPr>
          <w:rFonts w:hint="eastAsia" w:ascii="宋体" w:hAnsi="宋体"/>
          <w:color w:val="auto"/>
          <w:kern w:val="0"/>
          <w:szCs w:val="21"/>
        </w:rPr>
        <w:t>。</w:t>
      </w:r>
    </w:p>
    <w:p w14:paraId="0650ADBB">
      <w:pPr>
        <w:spacing w:line="400" w:lineRule="exact"/>
        <w:ind w:firstLine="424" w:firstLineChars="202"/>
        <w:jc w:val="left"/>
        <w:rPr>
          <w:rFonts w:ascii="宋体" w:hAnsi="宋体"/>
          <w:color w:val="auto"/>
          <w:szCs w:val="21"/>
        </w:rPr>
      </w:pPr>
      <w:r>
        <w:rPr>
          <w:rFonts w:hint="eastAsia" w:ascii="宋体" w:hAnsi="宋体"/>
          <w:color w:val="auto"/>
          <w:kern w:val="0"/>
          <w:szCs w:val="21"/>
        </w:rPr>
        <w:t>1.1.3.10 临时占地包括：</w:t>
      </w:r>
      <w:r>
        <w:rPr>
          <w:rFonts w:hint="eastAsia" w:ascii="宋体" w:hAnsi="宋体"/>
          <w:color w:val="auto"/>
          <w:szCs w:val="21"/>
          <w:u w:val="single"/>
        </w:rPr>
        <w:t>实施工程需要临时占用的土地</w:t>
      </w:r>
      <w:r>
        <w:rPr>
          <w:rFonts w:hint="eastAsia" w:ascii="宋体" w:hAnsi="宋体"/>
          <w:color w:val="auto"/>
          <w:kern w:val="0"/>
          <w:szCs w:val="21"/>
        </w:rPr>
        <w:t>。</w:t>
      </w:r>
    </w:p>
    <w:p w14:paraId="70D0D658">
      <w:pPr>
        <w:spacing w:after="120" w:line="440" w:lineRule="exact"/>
        <w:ind w:firstLine="420" w:firstLineChars="200"/>
        <w:rPr>
          <w:rFonts w:ascii="宋体" w:hAnsi="宋体"/>
          <w:color w:val="auto"/>
          <w:szCs w:val="21"/>
        </w:rPr>
      </w:pPr>
      <w:r>
        <w:rPr>
          <w:rFonts w:ascii="宋体" w:hAnsi="宋体"/>
          <w:color w:val="auto"/>
          <w:szCs w:val="21"/>
        </w:rPr>
        <w:t xml:space="preserve">1.3法律 </w:t>
      </w:r>
    </w:p>
    <w:p w14:paraId="4B635388">
      <w:pPr>
        <w:spacing w:line="360" w:lineRule="auto"/>
        <w:ind w:firstLine="420" w:firstLineChars="200"/>
        <w:rPr>
          <w:color w:val="auto"/>
          <w:szCs w:val="21"/>
        </w:rPr>
      </w:pPr>
      <w:r>
        <w:rPr>
          <w:rFonts w:hAnsi="宋体"/>
          <w:color w:val="auto"/>
          <w:szCs w:val="21"/>
        </w:rPr>
        <w:t>适用于合同的其他规范性文件：</w:t>
      </w:r>
      <w:r>
        <w:rPr>
          <w:rFonts w:hint="eastAsia" w:ascii="宋体" w:hAnsi="宋体"/>
          <w:color w:val="auto"/>
          <w:szCs w:val="21"/>
          <w:u w:val="single"/>
        </w:rPr>
        <w:t>中华人民共和国现行的法律、行政法规及规章</w:t>
      </w:r>
      <w:r>
        <w:rPr>
          <w:rFonts w:hAnsi="宋体"/>
          <w:color w:val="auto"/>
          <w:szCs w:val="21"/>
        </w:rPr>
        <w:t>。</w:t>
      </w:r>
    </w:p>
    <w:p w14:paraId="3CF31610">
      <w:pPr>
        <w:keepNext/>
        <w:keepLines/>
        <w:spacing w:before="260" w:after="260" w:line="24" w:lineRule="auto"/>
        <w:outlineLvl w:val="2"/>
        <w:rPr>
          <w:rFonts w:ascii="宋体" w:hAnsi="宋体"/>
          <w:b/>
          <w:bCs/>
          <w:color w:val="auto"/>
          <w:kern w:val="0"/>
          <w:sz w:val="24"/>
          <w:szCs w:val="32"/>
        </w:rPr>
      </w:pPr>
      <w:bookmarkStart w:id="290" w:name="_Toc465114856"/>
      <w:bookmarkStart w:id="291" w:name="_Toc373227695"/>
      <w:bookmarkStart w:id="292" w:name="_Toc373478342"/>
      <w:bookmarkStart w:id="293" w:name="_Toc389065261"/>
      <w:r>
        <w:rPr>
          <w:rFonts w:ascii="宋体" w:hAnsi="宋体"/>
          <w:b/>
          <w:bCs/>
          <w:color w:val="auto"/>
          <w:kern w:val="0"/>
          <w:sz w:val="24"/>
          <w:szCs w:val="32"/>
        </w:rPr>
        <w:t>1.4 标准和规范</w:t>
      </w:r>
      <w:bookmarkEnd w:id="290"/>
      <w:bookmarkEnd w:id="291"/>
      <w:bookmarkEnd w:id="292"/>
      <w:bookmarkEnd w:id="293"/>
    </w:p>
    <w:p w14:paraId="1283D451">
      <w:pPr>
        <w:spacing w:line="360" w:lineRule="auto"/>
        <w:ind w:firstLine="420" w:firstLineChars="200"/>
        <w:rPr>
          <w:color w:val="auto"/>
          <w:szCs w:val="21"/>
        </w:rPr>
      </w:pPr>
      <w:r>
        <w:rPr>
          <w:color w:val="auto"/>
          <w:szCs w:val="21"/>
        </w:rPr>
        <w:t>1.4.1</w:t>
      </w:r>
      <w:r>
        <w:rPr>
          <w:rFonts w:hAnsi="宋体"/>
          <w:color w:val="auto"/>
          <w:szCs w:val="21"/>
        </w:rPr>
        <w:t>适用于工程的标准规范包括：</w:t>
      </w:r>
      <w:r>
        <w:rPr>
          <w:rFonts w:hint="eastAsia" w:ascii="宋体" w:hAnsi="宋体"/>
          <w:color w:val="auto"/>
          <w:szCs w:val="21"/>
          <w:u w:val="single"/>
        </w:rPr>
        <w:t>国家现行的行业标准及相关规范。</w:t>
      </w:r>
    </w:p>
    <w:p w14:paraId="0EA13314">
      <w:pPr>
        <w:spacing w:line="360" w:lineRule="auto"/>
        <w:ind w:firstLine="420" w:firstLineChars="200"/>
        <w:rPr>
          <w:color w:val="auto"/>
          <w:kern w:val="0"/>
          <w:szCs w:val="21"/>
        </w:rPr>
      </w:pPr>
      <w:r>
        <w:rPr>
          <w:color w:val="auto"/>
          <w:kern w:val="0"/>
          <w:szCs w:val="21"/>
        </w:rPr>
        <w:t xml:space="preserve">1.4.2 </w:t>
      </w:r>
      <w:r>
        <w:rPr>
          <w:rFonts w:hAnsi="宋体"/>
          <w:color w:val="auto"/>
          <w:kern w:val="0"/>
          <w:szCs w:val="21"/>
        </w:rPr>
        <w:t>发包人提供国外标准、规范的名称：</w:t>
      </w:r>
      <w:r>
        <w:rPr>
          <w:rFonts w:hAnsi="宋体"/>
          <w:color w:val="auto"/>
          <w:szCs w:val="21"/>
          <w:u w:val="single"/>
        </w:rPr>
        <w:t>无。</w:t>
      </w:r>
    </w:p>
    <w:p w14:paraId="54DE7CCE">
      <w:pPr>
        <w:spacing w:line="360" w:lineRule="auto"/>
        <w:ind w:firstLine="420" w:firstLineChars="200"/>
        <w:rPr>
          <w:color w:val="auto"/>
          <w:kern w:val="0"/>
          <w:szCs w:val="21"/>
        </w:rPr>
      </w:pPr>
      <w:r>
        <w:rPr>
          <w:rFonts w:hAnsi="宋体"/>
          <w:color w:val="auto"/>
          <w:kern w:val="0"/>
          <w:szCs w:val="21"/>
        </w:rPr>
        <w:t>发包人提供国外标准、规范的份数：</w:t>
      </w:r>
      <w:r>
        <w:rPr>
          <w:color w:val="auto"/>
          <w:kern w:val="0"/>
          <w:szCs w:val="21"/>
          <w:u w:val="single"/>
        </w:rPr>
        <w:t xml:space="preserve">    无     </w:t>
      </w:r>
      <w:r>
        <w:rPr>
          <w:rFonts w:hint="eastAsia" w:hAnsi="宋体"/>
          <w:color w:val="auto"/>
          <w:kern w:val="0"/>
          <w:szCs w:val="21"/>
        </w:rPr>
        <w:t>；</w:t>
      </w:r>
    </w:p>
    <w:p w14:paraId="5300006F">
      <w:pPr>
        <w:spacing w:line="360" w:lineRule="auto"/>
        <w:ind w:firstLine="420" w:firstLineChars="200"/>
        <w:rPr>
          <w:color w:val="auto"/>
          <w:szCs w:val="21"/>
        </w:rPr>
      </w:pPr>
      <w:r>
        <w:rPr>
          <w:rFonts w:hAnsi="宋体"/>
          <w:color w:val="auto"/>
          <w:kern w:val="0"/>
          <w:szCs w:val="21"/>
        </w:rPr>
        <w:t>发包人提供国外标准、规范的名称：</w:t>
      </w:r>
      <w:r>
        <w:rPr>
          <w:color w:val="auto"/>
          <w:kern w:val="0"/>
          <w:szCs w:val="21"/>
          <w:u w:val="single"/>
        </w:rPr>
        <w:t xml:space="preserve">   无      </w:t>
      </w:r>
      <w:r>
        <w:rPr>
          <w:rFonts w:hAnsi="宋体"/>
          <w:color w:val="auto"/>
          <w:kern w:val="0"/>
          <w:szCs w:val="21"/>
        </w:rPr>
        <w:t>。</w:t>
      </w:r>
    </w:p>
    <w:p w14:paraId="46853017">
      <w:pPr>
        <w:spacing w:line="400" w:lineRule="exact"/>
        <w:ind w:left="479" w:leftChars="228"/>
        <w:rPr>
          <w:color w:val="auto"/>
          <w:szCs w:val="21"/>
        </w:rPr>
      </w:pPr>
      <w:r>
        <w:rPr>
          <w:color w:val="auto"/>
          <w:szCs w:val="21"/>
        </w:rPr>
        <w:t>1.4.3</w:t>
      </w:r>
      <w:r>
        <w:rPr>
          <w:rFonts w:hAnsi="宋体"/>
          <w:color w:val="auto"/>
          <w:szCs w:val="21"/>
        </w:rPr>
        <w:t>发包人对工程的技术标准和功能要求的特殊要求：</w:t>
      </w:r>
      <w:r>
        <w:rPr>
          <w:rFonts w:hint="eastAsia" w:ascii="宋体" w:hAnsi="宋体"/>
          <w:color w:val="auto"/>
          <w:szCs w:val="21"/>
          <w:u w:val="single"/>
        </w:rPr>
        <w:t>按中华人民共和国现行的标准、行业标准或地方标准执行</w:t>
      </w:r>
      <w:r>
        <w:rPr>
          <w:rFonts w:hint="eastAsia" w:ascii="宋体" w:hAnsi="宋体"/>
          <w:color w:val="auto"/>
          <w:szCs w:val="21"/>
        </w:rPr>
        <w:t>。</w:t>
      </w:r>
    </w:p>
    <w:p w14:paraId="43B27146">
      <w:pPr>
        <w:keepNext/>
        <w:keepLines/>
        <w:spacing w:before="260" w:after="260" w:line="24" w:lineRule="auto"/>
        <w:outlineLvl w:val="2"/>
        <w:rPr>
          <w:rFonts w:ascii="宋体" w:hAnsi="宋体"/>
          <w:b/>
          <w:bCs/>
          <w:color w:val="auto"/>
          <w:kern w:val="0"/>
          <w:sz w:val="24"/>
          <w:szCs w:val="32"/>
        </w:rPr>
      </w:pPr>
      <w:bookmarkStart w:id="294" w:name="_Toc373227696"/>
      <w:bookmarkStart w:id="295" w:name="_Toc389065262"/>
      <w:bookmarkStart w:id="296" w:name="_Toc373478343"/>
      <w:bookmarkStart w:id="297" w:name="_Toc465114857"/>
      <w:r>
        <w:rPr>
          <w:rFonts w:ascii="宋体" w:hAnsi="宋体"/>
          <w:b/>
          <w:bCs/>
          <w:color w:val="auto"/>
          <w:kern w:val="0"/>
          <w:sz w:val="24"/>
          <w:szCs w:val="32"/>
        </w:rPr>
        <w:t>1.5 合同文件的优先顺序</w:t>
      </w:r>
      <w:bookmarkEnd w:id="294"/>
      <w:bookmarkEnd w:id="295"/>
      <w:bookmarkEnd w:id="296"/>
      <w:bookmarkEnd w:id="297"/>
    </w:p>
    <w:p w14:paraId="30A7C226">
      <w:pPr>
        <w:spacing w:line="360" w:lineRule="auto"/>
        <w:ind w:firstLine="420" w:firstLineChars="200"/>
        <w:rPr>
          <w:rFonts w:hAnsi="宋体"/>
          <w:color w:val="auto"/>
          <w:szCs w:val="21"/>
        </w:rPr>
      </w:pPr>
      <w:r>
        <w:rPr>
          <w:rFonts w:hAnsi="宋体"/>
          <w:color w:val="auto"/>
          <w:szCs w:val="21"/>
        </w:rPr>
        <w:t>合同文件组成及优先顺序为：</w:t>
      </w:r>
    </w:p>
    <w:p w14:paraId="5B168FB1">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（1）合同协议书；</w:t>
      </w:r>
    </w:p>
    <w:p w14:paraId="155CBF65">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（2）成交通知书；</w:t>
      </w:r>
    </w:p>
    <w:p w14:paraId="5D83C5E7">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（3）竞标函及其附录；</w:t>
      </w:r>
    </w:p>
    <w:p w14:paraId="6A14BE94">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（4）专用合同条款及其附件；</w:t>
      </w:r>
    </w:p>
    <w:p w14:paraId="7FFB88C9">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（5）通用合同条款；</w:t>
      </w:r>
    </w:p>
    <w:p w14:paraId="59242E2C">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（6）技术标准和要求；</w:t>
      </w:r>
    </w:p>
    <w:p w14:paraId="4F590450">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（7）图纸；</w:t>
      </w:r>
    </w:p>
    <w:p w14:paraId="6D6D788C">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（8）已标价工程量清单；</w:t>
      </w:r>
    </w:p>
    <w:p w14:paraId="7C95C1C3">
      <w:pPr>
        <w:autoSpaceDE w:val="0"/>
        <w:autoSpaceDN w:val="0"/>
        <w:adjustRightInd w:val="0"/>
        <w:spacing w:line="400" w:lineRule="exact"/>
        <w:ind w:firstLine="420" w:firstLineChars="200"/>
        <w:jc w:val="left"/>
        <w:rPr>
          <w:rFonts w:ascii="宋体" w:hAnsi="宋体"/>
          <w:color w:val="auto"/>
          <w:szCs w:val="21"/>
        </w:rPr>
      </w:pPr>
      <w:r>
        <w:rPr>
          <w:rFonts w:hint="eastAsia" w:ascii="宋体" w:hAnsi="宋体"/>
          <w:color w:val="auto"/>
          <w:szCs w:val="21"/>
        </w:rPr>
        <w:t>（9）</w:t>
      </w:r>
      <w:r>
        <w:rPr>
          <w:color w:val="auto"/>
        </w:rPr>
        <w:t>竞争性磋商文件及响应文件</w:t>
      </w:r>
      <w:r>
        <w:rPr>
          <w:rFonts w:hint="eastAsia" w:ascii="宋体" w:hAnsi="宋体"/>
          <w:color w:val="auto"/>
          <w:szCs w:val="21"/>
        </w:rPr>
        <w:t>；</w:t>
      </w:r>
    </w:p>
    <w:p w14:paraId="389B230F">
      <w:pPr>
        <w:spacing w:line="360" w:lineRule="auto"/>
        <w:ind w:firstLine="420" w:firstLineChars="200"/>
        <w:rPr>
          <w:rFonts w:hAnsi="宋体"/>
          <w:color w:val="auto"/>
          <w:kern w:val="0"/>
          <w:szCs w:val="21"/>
        </w:rPr>
      </w:pPr>
      <w:r>
        <w:rPr>
          <w:rFonts w:hint="eastAsia" w:hAnsi="宋体"/>
          <w:color w:val="auto"/>
          <w:kern w:val="0"/>
          <w:szCs w:val="21"/>
        </w:rPr>
        <w:t>（10）《</w:t>
      </w:r>
      <w:r>
        <w:rPr>
          <w:rFonts w:hAnsi="宋体"/>
          <w:color w:val="auto"/>
          <w:kern w:val="0"/>
          <w:szCs w:val="21"/>
        </w:rPr>
        <w:t>建设工程工程量清单计价规范（GB5050-2013）</w:t>
      </w:r>
      <w:r>
        <w:rPr>
          <w:rFonts w:hint="eastAsia" w:hAnsi="宋体"/>
          <w:color w:val="auto"/>
          <w:kern w:val="0"/>
          <w:szCs w:val="21"/>
        </w:rPr>
        <w:t>》及其</w:t>
      </w:r>
      <w:r>
        <w:rPr>
          <w:rFonts w:hAnsi="宋体"/>
          <w:color w:val="auto"/>
          <w:kern w:val="0"/>
          <w:szCs w:val="21"/>
        </w:rPr>
        <w:t>广西实施细则</w:t>
      </w:r>
      <w:r>
        <w:rPr>
          <w:rFonts w:hint="eastAsia" w:hAnsi="宋体"/>
          <w:color w:val="auto"/>
          <w:kern w:val="0"/>
          <w:szCs w:val="21"/>
        </w:rPr>
        <w:t>及《关于建筑业实施营业税改征增值税后广西壮族自治区建设工程计价依据调整的通知》（桂建标〔2016〕17号）、《</w:t>
      </w:r>
      <w:r>
        <w:rPr>
          <w:rFonts w:hAnsi="宋体"/>
          <w:color w:val="auto"/>
          <w:kern w:val="0"/>
          <w:szCs w:val="21"/>
        </w:rPr>
        <w:t>建设工程工程量清单计</w:t>
      </w:r>
      <w:r>
        <w:rPr>
          <w:rFonts w:hint="eastAsia" w:hAnsi="宋体"/>
          <w:color w:val="auto"/>
          <w:kern w:val="0"/>
          <w:szCs w:val="21"/>
        </w:rPr>
        <w:t>算</w:t>
      </w:r>
      <w:r>
        <w:rPr>
          <w:rFonts w:hAnsi="宋体"/>
          <w:color w:val="auto"/>
          <w:kern w:val="0"/>
          <w:szCs w:val="21"/>
        </w:rPr>
        <w:t>规范（GB5</w:t>
      </w:r>
      <w:r>
        <w:rPr>
          <w:rFonts w:hint="eastAsia" w:hAnsi="宋体"/>
          <w:color w:val="auto"/>
          <w:kern w:val="0"/>
          <w:szCs w:val="21"/>
        </w:rPr>
        <w:t>854~50862</w:t>
      </w:r>
      <w:r>
        <w:rPr>
          <w:rFonts w:hAnsi="宋体"/>
          <w:color w:val="auto"/>
          <w:kern w:val="0"/>
          <w:szCs w:val="21"/>
        </w:rPr>
        <w:t>-2013）</w:t>
      </w:r>
      <w:r>
        <w:rPr>
          <w:rFonts w:hint="eastAsia" w:hAnsi="宋体"/>
          <w:color w:val="auto"/>
          <w:kern w:val="0"/>
          <w:szCs w:val="21"/>
        </w:rPr>
        <w:t>》及其</w:t>
      </w:r>
      <w:r>
        <w:rPr>
          <w:rFonts w:hAnsi="宋体"/>
          <w:color w:val="auto"/>
          <w:kern w:val="0"/>
          <w:szCs w:val="21"/>
        </w:rPr>
        <w:t>广西实施细则</w:t>
      </w:r>
      <w:r>
        <w:rPr>
          <w:rFonts w:hint="eastAsia" w:hAnsi="宋体"/>
          <w:color w:val="auto"/>
          <w:kern w:val="0"/>
          <w:szCs w:val="21"/>
        </w:rPr>
        <w:t>（修订本）</w:t>
      </w:r>
      <w:r>
        <w:rPr>
          <w:rFonts w:hAnsi="宋体"/>
          <w:color w:val="auto"/>
          <w:kern w:val="0"/>
          <w:szCs w:val="21"/>
        </w:rPr>
        <w:t>。</w:t>
      </w:r>
    </w:p>
    <w:p w14:paraId="0A1001E2">
      <w:pPr>
        <w:spacing w:line="400" w:lineRule="exact"/>
        <w:ind w:firstLine="447" w:firstLineChars="213"/>
        <w:rPr>
          <w:rFonts w:ascii="宋体" w:hAnsi="宋体"/>
          <w:color w:val="auto"/>
          <w:szCs w:val="21"/>
        </w:rPr>
      </w:pPr>
      <w:bookmarkStart w:id="298" w:name="_Toc389065263"/>
      <w:bookmarkStart w:id="299" w:name="_Toc465114858"/>
      <w:bookmarkStart w:id="300" w:name="_Toc373478344"/>
      <w:bookmarkStart w:id="301" w:name="_Toc373227697"/>
      <w:r>
        <w:rPr>
          <w:rFonts w:hint="eastAsia" w:ascii="宋体" w:hAnsi="宋体"/>
          <w:color w:val="auto"/>
          <w:szCs w:val="21"/>
        </w:rPr>
        <w:t>上述各项合同文件包括合同当事人就该项合同文件所作出的补充和修改，属于同一类内容的文件，应以最新签署的为准。</w:t>
      </w:r>
    </w:p>
    <w:p w14:paraId="3A5D9BBE">
      <w:pPr>
        <w:spacing w:line="400" w:lineRule="exact"/>
        <w:ind w:firstLine="420" w:firstLineChars="200"/>
        <w:rPr>
          <w:rFonts w:ascii="宋体" w:hAnsi="宋体"/>
          <w:color w:val="auto"/>
          <w:szCs w:val="21"/>
        </w:rPr>
      </w:pPr>
      <w:r>
        <w:rPr>
          <w:rFonts w:hint="eastAsia" w:ascii="宋体" w:hAnsi="宋体"/>
          <w:color w:val="auto"/>
          <w:szCs w:val="21"/>
        </w:rPr>
        <w:t>在合同订立及履行过程中形成的与合同有关的文件均构成合同文件组成部分，并根据其性质确定优先解释顺序。</w:t>
      </w:r>
    </w:p>
    <w:p w14:paraId="1B726DD5">
      <w:pPr>
        <w:keepNext/>
        <w:keepLines/>
        <w:spacing w:before="260" w:after="260" w:line="24" w:lineRule="auto"/>
        <w:outlineLvl w:val="2"/>
        <w:rPr>
          <w:rFonts w:ascii="宋体" w:hAnsi="宋体"/>
          <w:b/>
          <w:bCs/>
          <w:color w:val="auto"/>
          <w:kern w:val="0"/>
          <w:sz w:val="24"/>
          <w:szCs w:val="32"/>
        </w:rPr>
      </w:pPr>
      <w:r>
        <w:rPr>
          <w:rFonts w:ascii="宋体" w:hAnsi="宋体"/>
          <w:b/>
          <w:bCs/>
          <w:color w:val="auto"/>
          <w:kern w:val="0"/>
          <w:sz w:val="24"/>
          <w:szCs w:val="32"/>
        </w:rPr>
        <w:t>1.6 图纸和承包人文件</w:t>
      </w:r>
      <w:bookmarkEnd w:id="298"/>
      <w:bookmarkEnd w:id="299"/>
      <w:bookmarkEnd w:id="300"/>
      <w:bookmarkEnd w:id="301"/>
      <w:r>
        <w:rPr>
          <w:rFonts w:ascii="宋体" w:hAnsi="宋体"/>
          <w:b/>
          <w:bCs/>
          <w:color w:val="auto"/>
          <w:kern w:val="0"/>
          <w:sz w:val="24"/>
          <w:szCs w:val="32"/>
        </w:rPr>
        <w:tab/>
      </w:r>
    </w:p>
    <w:p w14:paraId="2E61131D">
      <w:pPr>
        <w:spacing w:line="360" w:lineRule="auto"/>
        <w:ind w:firstLine="420" w:firstLineChars="200"/>
        <w:rPr>
          <w:color w:val="auto"/>
          <w:szCs w:val="21"/>
        </w:rPr>
      </w:pPr>
      <w:r>
        <w:rPr>
          <w:color w:val="auto"/>
          <w:szCs w:val="21"/>
        </w:rPr>
        <w:t xml:space="preserve">1.6.1 </w:t>
      </w:r>
      <w:r>
        <w:rPr>
          <w:rFonts w:hAnsi="宋体"/>
          <w:color w:val="auto"/>
          <w:szCs w:val="21"/>
        </w:rPr>
        <w:t>图纸的提供</w:t>
      </w:r>
    </w:p>
    <w:p w14:paraId="380E9EFF">
      <w:pPr>
        <w:spacing w:line="360" w:lineRule="auto"/>
        <w:ind w:firstLine="420" w:firstLineChars="200"/>
        <w:rPr>
          <w:color w:val="auto"/>
          <w:szCs w:val="21"/>
        </w:rPr>
      </w:pPr>
      <w:r>
        <w:rPr>
          <w:rFonts w:hAnsi="宋体"/>
          <w:color w:val="auto"/>
          <w:szCs w:val="21"/>
        </w:rPr>
        <w:t>发包人向承包人提供图纸的期限：</w:t>
      </w:r>
      <w:r>
        <w:rPr>
          <w:rFonts w:hAnsi="宋体"/>
          <w:color w:val="auto"/>
          <w:szCs w:val="21"/>
          <w:u w:val="single"/>
        </w:rPr>
        <w:t>签订合同后</w:t>
      </w:r>
      <w:r>
        <w:rPr>
          <w:rFonts w:hint="eastAsia" w:hAnsi="宋体"/>
          <w:color w:val="auto"/>
          <w:szCs w:val="21"/>
          <w:u w:val="single"/>
        </w:rPr>
        <w:t>5</w:t>
      </w:r>
      <w:r>
        <w:rPr>
          <w:rFonts w:hAnsi="宋体"/>
          <w:color w:val="auto"/>
          <w:szCs w:val="21"/>
          <w:u w:val="single"/>
        </w:rPr>
        <w:t>天内。</w:t>
      </w:r>
    </w:p>
    <w:p w14:paraId="7B39265E">
      <w:pPr>
        <w:spacing w:line="360" w:lineRule="auto"/>
        <w:ind w:firstLine="420" w:firstLineChars="200"/>
        <w:rPr>
          <w:color w:val="auto"/>
          <w:szCs w:val="21"/>
        </w:rPr>
      </w:pPr>
      <w:r>
        <w:rPr>
          <w:rFonts w:hAnsi="宋体"/>
          <w:color w:val="auto"/>
          <w:szCs w:val="21"/>
        </w:rPr>
        <w:t>发包人向承包人提供图纸的数量：</w:t>
      </w:r>
      <w:r>
        <w:rPr>
          <w:rFonts w:hint="eastAsia" w:ascii="宋体" w:hAnsi="宋体"/>
          <w:color w:val="auto"/>
          <w:szCs w:val="21"/>
          <w:u w:val="single"/>
        </w:rPr>
        <w:t>壹套施工图纸（承包人需要更多份数时，应自费复制）</w:t>
      </w:r>
      <w:r>
        <w:rPr>
          <w:rFonts w:hint="eastAsia" w:hAnsi="宋体"/>
          <w:color w:val="auto"/>
          <w:szCs w:val="21"/>
          <w:u w:val="single"/>
        </w:rPr>
        <w:t>；</w:t>
      </w:r>
    </w:p>
    <w:p w14:paraId="0B0F7595">
      <w:pPr>
        <w:spacing w:line="360" w:lineRule="auto"/>
        <w:ind w:firstLine="420" w:firstLineChars="200"/>
        <w:rPr>
          <w:color w:val="auto"/>
          <w:szCs w:val="21"/>
        </w:rPr>
      </w:pPr>
      <w:r>
        <w:rPr>
          <w:rFonts w:hAnsi="宋体"/>
          <w:color w:val="auto"/>
          <w:szCs w:val="21"/>
        </w:rPr>
        <w:t>发包人向承包人提供图纸的内容：</w:t>
      </w:r>
      <w:r>
        <w:rPr>
          <w:rFonts w:hint="eastAsia" w:ascii="宋体" w:hAnsi="宋体"/>
          <w:color w:val="auto"/>
          <w:szCs w:val="21"/>
          <w:u w:val="single"/>
        </w:rPr>
        <w:t>详见施工图纸(全套)</w:t>
      </w:r>
      <w:r>
        <w:rPr>
          <w:rFonts w:hAnsi="宋体"/>
          <w:color w:val="auto"/>
          <w:szCs w:val="21"/>
        </w:rPr>
        <w:t>。</w:t>
      </w:r>
    </w:p>
    <w:p w14:paraId="3373C36D">
      <w:pPr>
        <w:spacing w:line="360" w:lineRule="auto"/>
        <w:ind w:firstLine="420" w:firstLineChars="200"/>
        <w:rPr>
          <w:color w:val="auto"/>
          <w:szCs w:val="21"/>
        </w:rPr>
      </w:pPr>
      <w:r>
        <w:rPr>
          <w:color w:val="auto"/>
          <w:szCs w:val="21"/>
        </w:rPr>
        <w:t xml:space="preserve">1.6.4 </w:t>
      </w:r>
      <w:r>
        <w:rPr>
          <w:rFonts w:hAnsi="宋体"/>
          <w:color w:val="auto"/>
          <w:szCs w:val="21"/>
        </w:rPr>
        <w:t>承包人文件</w:t>
      </w:r>
    </w:p>
    <w:p w14:paraId="6C674E17">
      <w:pPr>
        <w:spacing w:line="360" w:lineRule="auto"/>
        <w:ind w:firstLine="420" w:firstLineChars="200"/>
        <w:jc w:val="left"/>
        <w:rPr>
          <w:color w:val="auto"/>
          <w:szCs w:val="21"/>
          <w:u w:val="single"/>
        </w:rPr>
      </w:pPr>
      <w:r>
        <w:rPr>
          <w:rFonts w:hAnsi="宋体"/>
          <w:color w:val="auto"/>
          <w:szCs w:val="21"/>
        </w:rPr>
        <w:t>需要由承包人提供的文件，包括：</w:t>
      </w:r>
      <w:r>
        <w:rPr>
          <w:rFonts w:hint="eastAsia" w:hAnsi="宋体"/>
          <w:color w:val="auto"/>
          <w:szCs w:val="21"/>
          <w:u w:val="single"/>
        </w:rPr>
        <w:t>无</w:t>
      </w:r>
      <w:r>
        <w:rPr>
          <w:rFonts w:hint="eastAsia" w:hAnsi="宋体"/>
          <w:color w:val="auto"/>
          <w:szCs w:val="21"/>
        </w:rPr>
        <w:t>；</w:t>
      </w:r>
    </w:p>
    <w:p w14:paraId="547D4E63">
      <w:pPr>
        <w:spacing w:line="360" w:lineRule="auto"/>
        <w:ind w:firstLine="420" w:firstLineChars="200"/>
        <w:rPr>
          <w:color w:val="auto"/>
          <w:szCs w:val="21"/>
        </w:rPr>
      </w:pPr>
      <w:r>
        <w:rPr>
          <w:rFonts w:hAnsi="宋体"/>
          <w:color w:val="auto"/>
          <w:szCs w:val="21"/>
        </w:rPr>
        <w:t>承包人提供的文件的期限为：</w:t>
      </w:r>
      <w:r>
        <w:rPr>
          <w:rFonts w:hint="eastAsia" w:hAnsi="宋体"/>
          <w:color w:val="auto"/>
          <w:szCs w:val="21"/>
          <w:u w:val="single"/>
        </w:rPr>
        <w:t>无</w:t>
      </w:r>
      <w:r>
        <w:rPr>
          <w:rFonts w:hint="eastAsia" w:hAnsi="宋体"/>
          <w:color w:val="auto"/>
          <w:szCs w:val="21"/>
        </w:rPr>
        <w:t>；</w:t>
      </w:r>
    </w:p>
    <w:p w14:paraId="764A9485">
      <w:pPr>
        <w:spacing w:line="360" w:lineRule="auto"/>
        <w:ind w:firstLine="420" w:firstLineChars="200"/>
        <w:rPr>
          <w:color w:val="auto"/>
          <w:szCs w:val="21"/>
        </w:rPr>
      </w:pPr>
      <w:r>
        <w:rPr>
          <w:rFonts w:hAnsi="宋体"/>
          <w:color w:val="auto"/>
          <w:szCs w:val="21"/>
        </w:rPr>
        <w:t>承包人提供的文件的数量为：</w:t>
      </w:r>
      <w:r>
        <w:rPr>
          <w:rFonts w:hint="eastAsia" w:hAnsi="宋体"/>
          <w:color w:val="auto"/>
          <w:szCs w:val="21"/>
          <w:u w:val="single"/>
        </w:rPr>
        <w:t>无</w:t>
      </w:r>
      <w:r>
        <w:rPr>
          <w:rFonts w:hint="eastAsia" w:hAnsi="宋体"/>
          <w:color w:val="auto"/>
          <w:szCs w:val="21"/>
        </w:rPr>
        <w:t>；</w:t>
      </w:r>
    </w:p>
    <w:p w14:paraId="245069F0">
      <w:pPr>
        <w:spacing w:line="360" w:lineRule="auto"/>
        <w:ind w:firstLine="420" w:firstLineChars="200"/>
        <w:rPr>
          <w:color w:val="auto"/>
          <w:szCs w:val="21"/>
        </w:rPr>
      </w:pPr>
      <w:r>
        <w:rPr>
          <w:rFonts w:hAnsi="宋体"/>
          <w:color w:val="auto"/>
          <w:szCs w:val="21"/>
        </w:rPr>
        <w:t>承包人提供的文件的形式为：</w:t>
      </w:r>
      <w:r>
        <w:rPr>
          <w:rFonts w:hint="eastAsia" w:hAnsi="宋体"/>
          <w:color w:val="auto"/>
          <w:szCs w:val="21"/>
          <w:u w:val="single"/>
        </w:rPr>
        <w:t>书面文件</w:t>
      </w:r>
      <w:r>
        <w:rPr>
          <w:rFonts w:hint="eastAsia" w:hAnsi="宋体"/>
          <w:color w:val="auto"/>
          <w:szCs w:val="21"/>
        </w:rPr>
        <w:t>；</w:t>
      </w:r>
    </w:p>
    <w:p w14:paraId="14ECE894">
      <w:pPr>
        <w:spacing w:line="360" w:lineRule="auto"/>
        <w:ind w:firstLine="420" w:firstLineChars="200"/>
        <w:rPr>
          <w:color w:val="auto"/>
          <w:szCs w:val="21"/>
        </w:rPr>
      </w:pPr>
      <w:r>
        <w:rPr>
          <w:rFonts w:hAnsi="宋体"/>
          <w:color w:val="auto"/>
          <w:szCs w:val="21"/>
        </w:rPr>
        <w:t>发包人审批承包人文件的期限：</w:t>
      </w:r>
      <w:r>
        <w:rPr>
          <w:rFonts w:hint="eastAsia" w:hAnsi="宋体"/>
          <w:color w:val="auto"/>
          <w:szCs w:val="21"/>
          <w:u w:val="single"/>
        </w:rPr>
        <w:t xml:space="preserve"> 10个工作日</w:t>
      </w:r>
      <w:r>
        <w:rPr>
          <w:rFonts w:hAnsi="宋体"/>
          <w:color w:val="auto"/>
          <w:szCs w:val="21"/>
        </w:rPr>
        <w:t>。</w:t>
      </w:r>
    </w:p>
    <w:p w14:paraId="511DC34E">
      <w:pPr>
        <w:spacing w:line="360" w:lineRule="auto"/>
        <w:ind w:firstLine="420" w:firstLineChars="200"/>
        <w:rPr>
          <w:color w:val="auto"/>
          <w:szCs w:val="21"/>
        </w:rPr>
      </w:pPr>
      <w:r>
        <w:rPr>
          <w:color w:val="auto"/>
          <w:szCs w:val="21"/>
        </w:rPr>
        <w:t xml:space="preserve">1.6.5 </w:t>
      </w:r>
      <w:r>
        <w:rPr>
          <w:rFonts w:hAnsi="宋体"/>
          <w:color w:val="auto"/>
          <w:szCs w:val="21"/>
        </w:rPr>
        <w:t>现场图纸准备</w:t>
      </w:r>
    </w:p>
    <w:p w14:paraId="75A9CDB3">
      <w:pPr>
        <w:spacing w:line="360" w:lineRule="auto"/>
        <w:ind w:firstLine="420" w:firstLineChars="200"/>
        <w:rPr>
          <w:color w:val="auto"/>
          <w:szCs w:val="21"/>
        </w:rPr>
      </w:pPr>
      <w:r>
        <w:rPr>
          <w:rFonts w:hAnsi="宋体"/>
          <w:color w:val="auto"/>
          <w:szCs w:val="21"/>
        </w:rPr>
        <w:t>关于现场图纸准备的约定：</w:t>
      </w:r>
      <w:r>
        <w:rPr>
          <w:rFonts w:hint="eastAsia" w:ascii="宋体" w:hAnsi="宋体"/>
          <w:color w:val="auto"/>
          <w:szCs w:val="21"/>
          <w:u w:val="single"/>
        </w:rPr>
        <w:t>按《通用合同条款》执行</w:t>
      </w:r>
      <w:r>
        <w:rPr>
          <w:rFonts w:hAnsi="宋体"/>
          <w:color w:val="auto"/>
          <w:szCs w:val="21"/>
        </w:rPr>
        <w:t>。</w:t>
      </w:r>
    </w:p>
    <w:p w14:paraId="7E4AAA63">
      <w:pPr>
        <w:spacing w:after="120" w:line="440" w:lineRule="exact"/>
        <w:ind w:firstLine="420" w:firstLineChars="200"/>
        <w:rPr>
          <w:rFonts w:ascii="宋体" w:hAnsi="宋体"/>
          <w:color w:val="auto"/>
          <w:szCs w:val="21"/>
        </w:rPr>
      </w:pPr>
      <w:r>
        <w:rPr>
          <w:rFonts w:ascii="宋体" w:hAnsi="宋体"/>
          <w:color w:val="auto"/>
          <w:szCs w:val="21"/>
        </w:rPr>
        <w:t>1.7 联络</w:t>
      </w:r>
    </w:p>
    <w:p w14:paraId="7134F9A9">
      <w:pPr>
        <w:spacing w:line="440" w:lineRule="exact"/>
        <w:ind w:firstLine="420" w:firstLineChars="200"/>
        <w:rPr>
          <w:rFonts w:ascii="宋体" w:hAnsi="宋体"/>
          <w:color w:val="auto"/>
          <w:kern w:val="0"/>
          <w:szCs w:val="21"/>
        </w:rPr>
      </w:pPr>
      <w:r>
        <w:rPr>
          <w:rFonts w:ascii="宋体" w:hAnsi="宋体"/>
          <w:color w:val="auto"/>
          <w:kern w:val="0"/>
          <w:szCs w:val="21"/>
        </w:rPr>
        <w:t>1.7.1发包人和承包人应当在</w:t>
      </w:r>
      <w:r>
        <w:rPr>
          <w:rFonts w:hint="eastAsia" w:ascii="宋体" w:hAnsi="宋体" w:cs="宋体"/>
          <w:color w:val="auto"/>
          <w:szCs w:val="21"/>
          <w:u w:val="single"/>
        </w:rPr>
        <w:t>3</w:t>
      </w:r>
      <w:r>
        <w:rPr>
          <w:rFonts w:ascii="宋体" w:hAnsi="宋体"/>
          <w:color w:val="auto"/>
          <w:kern w:val="0"/>
          <w:szCs w:val="21"/>
        </w:rPr>
        <w:t>天内将与合同有关的通知、批准、证明、证书、指示、指令、要求、请求、同意、意见、确定和决定等书面函件送达对方当事人</w:t>
      </w:r>
      <w:r>
        <w:rPr>
          <w:rFonts w:hint="eastAsia" w:ascii="宋体" w:hAnsi="宋体"/>
          <w:color w:val="auto"/>
          <w:kern w:val="0"/>
          <w:szCs w:val="21"/>
        </w:rPr>
        <w:t>。</w:t>
      </w:r>
    </w:p>
    <w:p w14:paraId="06E90B19">
      <w:pPr>
        <w:spacing w:line="440" w:lineRule="exact"/>
        <w:ind w:firstLine="420" w:firstLineChars="200"/>
        <w:rPr>
          <w:rFonts w:ascii="宋体" w:hAnsi="宋体"/>
          <w:color w:val="auto"/>
          <w:kern w:val="0"/>
          <w:szCs w:val="21"/>
        </w:rPr>
      </w:pPr>
      <w:r>
        <w:rPr>
          <w:rFonts w:ascii="宋体" w:hAnsi="宋体"/>
          <w:color w:val="auto"/>
          <w:kern w:val="0"/>
          <w:szCs w:val="21"/>
        </w:rPr>
        <w:t>1.7.2 发包人接收文件的地点：</w:t>
      </w:r>
      <w:r>
        <w:rPr>
          <w:rFonts w:hint="eastAsia" w:hAnsi="宋体"/>
          <w:color w:val="auto"/>
          <w:szCs w:val="21"/>
          <w:u w:val="single"/>
        </w:rPr>
        <w:t>工程项目部</w:t>
      </w:r>
      <w:r>
        <w:rPr>
          <w:rFonts w:hint="eastAsia" w:ascii="宋体" w:hAnsi="宋体"/>
          <w:color w:val="auto"/>
          <w:kern w:val="0"/>
          <w:szCs w:val="21"/>
        </w:rPr>
        <w:t>；</w:t>
      </w:r>
    </w:p>
    <w:p w14:paraId="7B310592">
      <w:pPr>
        <w:spacing w:line="440" w:lineRule="exact"/>
        <w:ind w:firstLine="420" w:firstLineChars="200"/>
        <w:rPr>
          <w:rFonts w:ascii="宋体" w:hAnsi="宋体"/>
          <w:color w:val="auto"/>
          <w:kern w:val="0"/>
          <w:szCs w:val="21"/>
        </w:rPr>
      </w:pPr>
      <w:r>
        <w:rPr>
          <w:rFonts w:ascii="宋体" w:hAnsi="宋体"/>
          <w:color w:val="auto"/>
          <w:kern w:val="0"/>
          <w:szCs w:val="21"/>
        </w:rPr>
        <w:t>发包人指定的接收人为：。</w:t>
      </w:r>
    </w:p>
    <w:p w14:paraId="158B29AE">
      <w:pPr>
        <w:spacing w:line="440" w:lineRule="exact"/>
        <w:ind w:firstLine="420" w:firstLineChars="200"/>
        <w:rPr>
          <w:rFonts w:ascii="宋体" w:hAnsi="宋体"/>
          <w:color w:val="auto"/>
          <w:kern w:val="0"/>
          <w:szCs w:val="21"/>
        </w:rPr>
      </w:pPr>
      <w:r>
        <w:rPr>
          <w:rFonts w:ascii="宋体" w:hAnsi="宋体"/>
          <w:color w:val="auto"/>
          <w:kern w:val="0"/>
          <w:szCs w:val="21"/>
        </w:rPr>
        <w:t>承包人接收文件的地点：</w:t>
      </w:r>
      <w:r>
        <w:rPr>
          <w:rFonts w:hint="eastAsia" w:hAnsi="宋体"/>
          <w:color w:val="auto"/>
          <w:szCs w:val="21"/>
          <w:u w:val="single"/>
        </w:rPr>
        <w:t>工程项目部</w:t>
      </w:r>
      <w:r>
        <w:rPr>
          <w:rFonts w:hint="eastAsia" w:ascii="宋体" w:hAnsi="宋体"/>
          <w:color w:val="auto"/>
          <w:kern w:val="0"/>
          <w:szCs w:val="21"/>
        </w:rPr>
        <w:t>；</w:t>
      </w:r>
    </w:p>
    <w:p w14:paraId="67834B2B">
      <w:pPr>
        <w:spacing w:line="440" w:lineRule="exact"/>
        <w:ind w:firstLine="420" w:firstLineChars="200"/>
        <w:rPr>
          <w:rFonts w:ascii="宋体" w:hAnsi="宋体"/>
          <w:color w:val="auto"/>
          <w:kern w:val="0"/>
          <w:szCs w:val="21"/>
        </w:rPr>
      </w:pPr>
      <w:r>
        <w:rPr>
          <w:rFonts w:ascii="宋体" w:hAnsi="宋体"/>
          <w:color w:val="auto"/>
          <w:kern w:val="0"/>
          <w:szCs w:val="21"/>
        </w:rPr>
        <w:t>承包人指定的接收人为：。</w:t>
      </w:r>
    </w:p>
    <w:p w14:paraId="5D45A1AE">
      <w:pPr>
        <w:spacing w:line="440" w:lineRule="exact"/>
        <w:ind w:firstLine="420" w:firstLineChars="200"/>
        <w:rPr>
          <w:rFonts w:ascii="宋体" w:hAnsi="宋体"/>
          <w:color w:val="auto"/>
          <w:kern w:val="0"/>
          <w:szCs w:val="21"/>
        </w:rPr>
      </w:pPr>
      <w:r>
        <w:rPr>
          <w:rFonts w:ascii="宋体" w:hAnsi="宋体"/>
          <w:color w:val="auto"/>
          <w:kern w:val="0"/>
          <w:szCs w:val="21"/>
        </w:rPr>
        <w:t>监理人接收文件的地点：</w:t>
      </w:r>
      <w:r>
        <w:rPr>
          <w:rFonts w:hint="eastAsia" w:hAnsi="宋体"/>
          <w:color w:val="auto"/>
          <w:szCs w:val="21"/>
          <w:u w:val="single"/>
        </w:rPr>
        <w:t>工程项目部</w:t>
      </w:r>
      <w:r>
        <w:rPr>
          <w:rFonts w:hint="eastAsia" w:ascii="宋体" w:hAnsi="宋体"/>
          <w:color w:val="auto"/>
          <w:kern w:val="0"/>
          <w:szCs w:val="21"/>
        </w:rPr>
        <w:t>；</w:t>
      </w:r>
    </w:p>
    <w:p w14:paraId="53F0FEC2">
      <w:pPr>
        <w:spacing w:line="440" w:lineRule="exact"/>
        <w:ind w:firstLine="420" w:firstLineChars="200"/>
        <w:rPr>
          <w:rFonts w:ascii="宋体" w:hAnsi="宋体"/>
          <w:color w:val="auto"/>
          <w:kern w:val="0"/>
          <w:szCs w:val="21"/>
        </w:rPr>
      </w:pPr>
      <w:r>
        <w:rPr>
          <w:rFonts w:ascii="宋体" w:hAnsi="宋体"/>
          <w:color w:val="auto"/>
          <w:kern w:val="0"/>
          <w:szCs w:val="21"/>
        </w:rPr>
        <w:t>监理人指定的接收人为：。</w:t>
      </w:r>
    </w:p>
    <w:p w14:paraId="1E304627">
      <w:pPr>
        <w:spacing w:after="120" w:line="44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 xml:space="preserve"> 交通运输</w:t>
      </w:r>
    </w:p>
    <w:p w14:paraId="6B615F0F">
      <w:pPr>
        <w:spacing w:line="440" w:lineRule="exact"/>
        <w:ind w:firstLine="420" w:firstLineChars="200"/>
        <w:rPr>
          <w:rFonts w:ascii="宋体" w:hAnsi="宋体"/>
          <w:color w:val="auto"/>
          <w:szCs w:val="21"/>
        </w:rPr>
      </w:pPr>
      <w:r>
        <w:rPr>
          <w:rFonts w:ascii="宋体" w:hAnsi="宋体"/>
          <w:color w:val="auto"/>
          <w:szCs w:val="21"/>
        </w:rPr>
        <w:t>1</w:t>
      </w:r>
      <w:bookmarkStart w:id="302" w:name="_Toc303539100"/>
      <w:bookmarkStart w:id="303" w:name="_Toc300934943"/>
      <w:bookmarkStart w:id="304" w:name="_Toc318581155"/>
      <w:bookmarkStart w:id="305" w:name="_Toc304295521"/>
      <w:bookmarkStart w:id="306" w:name="_Toc312677986"/>
      <w:r>
        <w:rPr>
          <w:rFonts w:ascii="宋体" w:hAnsi="宋体"/>
          <w:color w:val="auto"/>
          <w:szCs w:val="21"/>
        </w:rPr>
        <w:t>.</w:t>
      </w:r>
      <w:r>
        <w:rPr>
          <w:rFonts w:hint="eastAsia" w:ascii="宋体" w:hAnsi="宋体"/>
          <w:color w:val="auto"/>
          <w:szCs w:val="21"/>
        </w:rPr>
        <w:t>8</w:t>
      </w:r>
      <w:r>
        <w:rPr>
          <w:rFonts w:ascii="宋体" w:hAnsi="宋体"/>
          <w:color w:val="auto"/>
          <w:szCs w:val="21"/>
        </w:rPr>
        <w:t>.1 出入现场的权利</w:t>
      </w:r>
    </w:p>
    <w:p w14:paraId="40023EDB">
      <w:pPr>
        <w:spacing w:line="440" w:lineRule="exact"/>
        <w:ind w:firstLine="420" w:firstLineChars="200"/>
        <w:rPr>
          <w:rFonts w:ascii="宋体" w:hAnsi="宋体"/>
          <w:color w:val="auto"/>
          <w:szCs w:val="21"/>
        </w:rPr>
      </w:pPr>
      <w:r>
        <w:rPr>
          <w:rFonts w:ascii="宋体" w:hAnsi="宋体"/>
          <w:color w:val="auto"/>
          <w:szCs w:val="21"/>
        </w:rPr>
        <w:t>关于出入现场的权利的约定：</w:t>
      </w:r>
      <w:r>
        <w:rPr>
          <w:rFonts w:hint="eastAsia" w:ascii="宋体" w:hAnsi="宋体"/>
          <w:bCs/>
          <w:color w:val="auto"/>
          <w:szCs w:val="21"/>
          <w:u w:val="single"/>
        </w:rPr>
        <w:t>发包人应根据施工需要，负责取得出入施工现场所需的批准手续和全部权利，以及取得因施工所需修建道路及其他基础设施的权利，并承担相关手续费用和建设费用。承包人应协助发包人办理修建场内外道路及其他基础设施的手续。</w:t>
      </w:r>
    </w:p>
    <w:bookmarkEnd w:id="302"/>
    <w:bookmarkEnd w:id="303"/>
    <w:bookmarkEnd w:id="304"/>
    <w:bookmarkEnd w:id="305"/>
    <w:bookmarkEnd w:id="306"/>
    <w:p w14:paraId="260487A8">
      <w:pPr>
        <w:spacing w:line="440" w:lineRule="exact"/>
        <w:ind w:firstLine="420" w:firstLineChars="200"/>
        <w:jc w:val="left"/>
        <w:rPr>
          <w:rFonts w:ascii="宋体" w:hAnsi="宋体"/>
          <w:color w:val="auto"/>
          <w:szCs w:val="21"/>
        </w:rPr>
      </w:pPr>
      <w:r>
        <w:rPr>
          <w:rFonts w:ascii="宋体" w:hAnsi="宋体"/>
          <w:color w:val="auto"/>
          <w:szCs w:val="21"/>
        </w:rPr>
        <w:t>1</w:t>
      </w:r>
      <w:bookmarkStart w:id="307" w:name="_Toc304295522"/>
      <w:bookmarkStart w:id="308" w:name="_Toc300934944"/>
      <w:bookmarkStart w:id="309" w:name="_Toc303539101"/>
      <w:bookmarkStart w:id="310" w:name="_Toc312677987"/>
      <w:bookmarkStart w:id="311" w:name="_Toc318581156"/>
      <w:r>
        <w:rPr>
          <w:rFonts w:ascii="宋体" w:hAnsi="宋体"/>
          <w:color w:val="auto"/>
          <w:szCs w:val="21"/>
        </w:rPr>
        <w:t>.</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2</w:t>
      </w:r>
      <w:r>
        <w:rPr>
          <w:rFonts w:ascii="宋体" w:hAnsi="宋体"/>
          <w:color w:val="auto"/>
          <w:szCs w:val="21"/>
        </w:rPr>
        <w:t>场内交通</w:t>
      </w:r>
    </w:p>
    <w:p w14:paraId="4B0A4A50">
      <w:pPr>
        <w:spacing w:line="400" w:lineRule="exact"/>
        <w:ind w:firstLine="424" w:firstLineChars="202"/>
        <w:jc w:val="left"/>
        <w:rPr>
          <w:rFonts w:ascii="宋体" w:hAnsi="宋体"/>
          <w:bCs/>
          <w:color w:val="auto"/>
          <w:szCs w:val="21"/>
          <w:u w:val="single"/>
        </w:rPr>
      </w:pPr>
      <w:r>
        <w:rPr>
          <w:rFonts w:ascii="宋体" w:hAnsi="宋体"/>
          <w:color w:val="auto"/>
          <w:kern w:val="0"/>
          <w:szCs w:val="21"/>
        </w:rPr>
        <w:t>关于场外交通和场内交通的边界的约定：</w:t>
      </w:r>
      <w:r>
        <w:rPr>
          <w:rFonts w:hint="eastAsia" w:ascii="宋体" w:hAnsi="宋体"/>
          <w:bCs/>
          <w:color w:val="auto"/>
          <w:szCs w:val="21"/>
          <w:u w:val="single"/>
        </w:rPr>
        <w:t>建筑征地红线范围内的为场内交通，建筑征地红线范围外的为场外交通。</w:t>
      </w:r>
    </w:p>
    <w:p w14:paraId="55F3B8F2">
      <w:pPr>
        <w:spacing w:line="440" w:lineRule="exact"/>
        <w:ind w:firstLine="420" w:firstLineChars="200"/>
        <w:jc w:val="left"/>
        <w:rPr>
          <w:rFonts w:ascii="宋体" w:hAnsi="宋体"/>
          <w:color w:val="auto"/>
          <w:szCs w:val="21"/>
        </w:rPr>
      </w:pPr>
      <w:r>
        <w:rPr>
          <w:rFonts w:ascii="宋体" w:hAnsi="宋体"/>
          <w:color w:val="auto"/>
          <w:szCs w:val="21"/>
        </w:rPr>
        <w:t>关于发包人向承包人免费提供满足工程施工需要的场内道路和交通设施的约定：</w:t>
      </w:r>
      <w:r>
        <w:rPr>
          <w:rFonts w:hint="eastAsia" w:ascii="宋体" w:hAnsi="宋体" w:cs="宋体"/>
          <w:color w:val="auto"/>
          <w:szCs w:val="21"/>
          <w:u w:val="single"/>
        </w:rPr>
        <w:t>无</w:t>
      </w:r>
      <w:r>
        <w:rPr>
          <w:rFonts w:ascii="宋体" w:hAnsi="宋体"/>
          <w:color w:val="auto"/>
          <w:szCs w:val="21"/>
        </w:rPr>
        <w:t>。</w:t>
      </w:r>
      <w:bookmarkEnd w:id="307"/>
      <w:bookmarkEnd w:id="308"/>
      <w:bookmarkEnd w:id="309"/>
      <w:bookmarkEnd w:id="310"/>
      <w:bookmarkEnd w:id="311"/>
      <w:bookmarkStart w:id="312" w:name="_Toc318581157"/>
    </w:p>
    <w:p w14:paraId="10FF5E00">
      <w:pPr>
        <w:spacing w:line="440" w:lineRule="exact"/>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8</w:t>
      </w:r>
      <w:r>
        <w:rPr>
          <w:rFonts w:ascii="宋体" w:hAnsi="宋体"/>
          <w:color w:val="auto"/>
          <w:szCs w:val="21"/>
        </w:rPr>
        <w:t>.</w:t>
      </w:r>
      <w:r>
        <w:rPr>
          <w:rFonts w:hint="eastAsia" w:ascii="宋体" w:hAnsi="宋体"/>
          <w:color w:val="auto"/>
          <w:szCs w:val="21"/>
        </w:rPr>
        <w:t>3</w:t>
      </w:r>
      <w:r>
        <w:rPr>
          <w:rFonts w:ascii="宋体" w:hAnsi="宋体"/>
          <w:color w:val="auto"/>
          <w:szCs w:val="21"/>
        </w:rPr>
        <w:t>超大件和超重件的运输</w:t>
      </w:r>
    </w:p>
    <w:p w14:paraId="0E05734F">
      <w:pPr>
        <w:spacing w:line="440" w:lineRule="exact"/>
        <w:ind w:firstLine="420" w:firstLineChars="200"/>
        <w:jc w:val="left"/>
        <w:rPr>
          <w:rFonts w:ascii="宋体" w:hAnsi="宋体"/>
          <w:color w:val="auto"/>
          <w:szCs w:val="21"/>
        </w:rPr>
      </w:pPr>
      <w:r>
        <w:rPr>
          <w:rFonts w:ascii="宋体" w:hAnsi="宋体"/>
          <w:color w:val="auto"/>
          <w:szCs w:val="21"/>
        </w:rPr>
        <w:t>运输超大件或超重件所需的道路和桥梁临时加固改造费用和其他有关费用由承担。</w:t>
      </w:r>
    </w:p>
    <w:bookmarkEnd w:id="312"/>
    <w:p w14:paraId="23138333">
      <w:pPr>
        <w:spacing w:after="120" w:line="44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9</w:t>
      </w:r>
      <w:r>
        <w:rPr>
          <w:rFonts w:ascii="宋体" w:hAnsi="宋体"/>
          <w:color w:val="auto"/>
          <w:szCs w:val="21"/>
        </w:rPr>
        <w:t xml:space="preserve"> 知识产权</w:t>
      </w:r>
    </w:p>
    <w:p w14:paraId="6AADAFF0">
      <w:pPr>
        <w:spacing w:line="44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9</w:t>
      </w:r>
      <w:r>
        <w:rPr>
          <w:rFonts w:ascii="宋体" w:hAnsi="宋体"/>
          <w:color w:val="auto"/>
          <w:szCs w:val="21"/>
        </w:rPr>
        <w:t>.1关于发包人提供给承包人的图纸、发包人为实施工程自行编制或委托编制的技术规范以及反映发包人关于合同要求或其他类似性质的文件的著作权的归属：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u w:val="single"/>
        </w:rPr>
        <w:t xml:space="preserve">无     </w:t>
      </w:r>
      <w:r>
        <w:rPr>
          <w:rFonts w:ascii="宋体" w:hAnsi="宋体"/>
          <w:color w:val="auto"/>
          <w:szCs w:val="21"/>
        </w:rPr>
        <w:t>。</w:t>
      </w:r>
    </w:p>
    <w:p w14:paraId="3D3FAE52">
      <w:pPr>
        <w:spacing w:line="440" w:lineRule="exact"/>
        <w:ind w:firstLine="420" w:firstLineChars="200"/>
        <w:rPr>
          <w:rFonts w:ascii="宋体" w:hAnsi="宋体"/>
          <w:color w:val="auto"/>
          <w:szCs w:val="21"/>
        </w:rPr>
      </w:pPr>
      <w:r>
        <w:rPr>
          <w:rFonts w:ascii="宋体" w:hAnsi="宋体"/>
          <w:color w:val="auto"/>
          <w:szCs w:val="21"/>
        </w:rPr>
        <w:t>关于发包人提供的上述文件的使用限制的要求：。</w:t>
      </w:r>
    </w:p>
    <w:p w14:paraId="48C2615E">
      <w:pPr>
        <w:spacing w:line="440" w:lineRule="exact"/>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9</w:t>
      </w:r>
      <w:r>
        <w:rPr>
          <w:rFonts w:ascii="宋体" w:hAnsi="宋体"/>
          <w:color w:val="auto"/>
          <w:szCs w:val="21"/>
        </w:rPr>
        <w:t>.2 关于承包人为实施工程所编制文件的著作权的归属：</w:t>
      </w:r>
      <w:r>
        <w:rPr>
          <w:rFonts w:hint="eastAsia" w:ascii="宋体" w:hAnsi="宋体" w:cs="宋体"/>
          <w:color w:val="auto"/>
          <w:szCs w:val="21"/>
          <w:u w:val="single"/>
        </w:rPr>
        <w:t>无</w:t>
      </w:r>
      <w:r>
        <w:rPr>
          <w:rFonts w:ascii="宋体" w:hAnsi="宋体"/>
          <w:color w:val="auto"/>
          <w:szCs w:val="21"/>
        </w:rPr>
        <w:t>。</w:t>
      </w:r>
    </w:p>
    <w:p w14:paraId="178EE3B8">
      <w:pPr>
        <w:spacing w:line="440" w:lineRule="exact"/>
        <w:ind w:firstLine="420" w:firstLineChars="200"/>
        <w:rPr>
          <w:rFonts w:ascii="宋体" w:hAnsi="宋体"/>
          <w:color w:val="auto"/>
          <w:szCs w:val="21"/>
        </w:rPr>
      </w:pPr>
      <w:r>
        <w:rPr>
          <w:rFonts w:ascii="宋体" w:hAnsi="宋体"/>
          <w:color w:val="auto"/>
          <w:szCs w:val="21"/>
        </w:rPr>
        <w:t>关于承包人提供的上述文件的使用限制的要求：</w:t>
      </w:r>
      <w:r>
        <w:rPr>
          <w:rFonts w:hint="eastAsia" w:ascii="宋体" w:hAnsi="宋体" w:cs="宋体"/>
          <w:color w:val="auto"/>
          <w:szCs w:val="21"/>
          <w:u w:val="single"/>
        </w:rPr>
        <w:t xml:space="preserve">无   </w:t>
      </w:r>
      <w:r>
        <w:rPr>
          <w:rFonts w:ascii="宋体" w:hAnsi="宋体"/>
          <w:color w:val="auto"/>
          <w:szCs w:val="21"/>
        </w:rPr>
        <w:t>。</w:t>
      </w:r>
    </w:p>
    <w:p w14:paraId="6FFB805F">
      <w:pPr>
        <w:spacing w:line="440" w:lineRule="exact"/>
        <w:ind w:firstLine="420" w:firstLineChars="200"/>
        <w:rPr>
          <w:rFonts w:ascii="宋体" w:hAnsi="宋体"/>
          <w:color w:val="auto"/>
          <w:kern w:val="0"/>
          <w:szCs w:val="21"/>
        </w:rPr>
      </w:pPr>
      <w:r>
        <w:rPr>
          <w:rFonts w:ascii="宋体" w:hAnsi="宋体"/>
          <w:color w:val="auto"/>
          <w:szCs w:val="21"/>
        </w:rPr>
        <w:t>1.</w:t>
      </w:r>
      <w:r>
        <w:rPr>
          <w:rFonts w:hint="eastAsia" w:ascii="宋体" w:hAnsi="宋体"/>
          <w:color w:val="auto"/>
          <w:szCs w:val="21"/>
        </w:rPr>
        <w:t>9</w:t>
      </w:r>
      <w:r>
        <w:rPr>
          <w:rFonts w:ascii="宋体" w:hAnsi="宋体"/>
          <w:color w:val="auto"/>
          <w:szCs w:val="21"/>
        </w:rPr>
        <w:t>.4 承包人在施工过程中所采用的专利、专有技术、技术秘密的使用费的承担方式：</w:t>
      </w:r>
      <w:r>
        <w:rPr>
          <w:rFonts w:hint="eastAsia" w:ascii="宋体" w:hAnsi="宋体" w:cs="宋体"/>
          <w:color w:val="auto"/>
          <w:szCs w:val="21"/>
          <w:u w:val="single"/>
        </w:rPr>
        <w:t>无</w:t>
      </w:r>
      <w:r>
        <w:rPr>
          <w:rFonts w:ascii="宋体" w:hAnsi="宋体"/>
          <w:color w:val="auto"/>
          <w:kern w:val="0"/>
          <w:szCs w:val="21"/>
        </w:rPr>
        <w:t>。</w:t>
      </w:r>
    </w:p>
    <w:p w14:paraId="7E5EB074">
      <w:pPr>
        <w:spacing w:after="120" w:line="440" w:lineRule="exact"/>
        <w:ind w:firstLine="420" w:firstLineChars="200"/>
        <w:rPr>
          <w:rFonts w:ascii="宋体" w:hAnsi="宋体"/>
          <w:color w:val="auto"/>
          <w:szCs w:val="21"/>
        </w:rPr>
      </w:pPr>
      <w:r>
        <w:rPr>
          <w:rFonts w:ascii="宋体" w:hAnsi="宋体"/>
          <w:color w:val="auto"/>
          <w:szCs w:val="21"/>
        </w:rPr>
        <w:t>1.1</w:t>
      </w:r>
      <w:r>
        <w:rPr>
          <w:rFonts w:hint="eastAsia" w:ascii="宋体" w:hAnsi="宋体"/>
          <w:color w:val="auto"/>
          <w:szCs w:val="21"/>
        </w:rPr>
        <w:t>0</w:t>
      </w:r>
      <w:r>
        <w:rPr>
          <w:rFonts w:ascii="宋体" w:hAnsi="宋体"/>
          <w:color w:val="auto"/>
          <w:szCs w:val="21"/>
        </w:rPr>
        <w:t>工程量清单错误的修正</w:t>
      </w:r>
    </w:p>
    <w:p w14:paraId="1F6D084D">
      <w:pPr>
        <w:spacing w:line="440" w:lineRule="exact"/>
        <w:ind w:firstLine="420" w:firstLineChars="200"/>
        <w:rPr>
          <w:rFonts w:ascii="宋体" w:hAnsi="宋体"/>
          <w:color w:val="auto"/>
          <w:szCs w:val="21"/>
        </w:rPr>
      </w:pPr>
      <w:r>
        <w:rPr>
          <w:rFonts w:hint="eastAsia" w:ascii="宋体" w:hAnsi="宋体"/>
          <w:color w:val="auto"/>
          <w:szCs w:val="21"/>
        </w:rPr>
        <w:t>出现工程量清单错误时，是否调整合同价格：</w:t>
      </w:r>
      <w:r>
        <w:rPr>
          <w:rFonts w:hint="eastAsia" w:ascii="宋体" w:hAnsi="宋体"/>
          <w:color w:val="auto"/>
          <w:szCs w:val="21"/>
          <w:u w:val="single"/>
        </w:rPr>
        <w:t xml:space="preserve">  是</w:t>
      </w:r>
      <w:r>
        <w:rPr>
          <w:rFonts w:ascii="宋体" w:hAnsi="宋体"/>
          <w:color w:val="auto"/>
          <w:kern w:val="0"/>
          <w:szCs w:val="21"/>
        </w:rPr>
        <w:t>。</w:t>
      </w:r>
    </w:p>
    <w:p w14:paraId="4A7B3EFB">
      <w:pPr>
        <w:spacing w:line="440" w:lineRule="exact"/>
        <w:ind w:firstLine="420" w:firstLineChars="200"/>
        <w:rPr>
          <w:rFonts w:ascii="宋体" w:hAnsi="宋体"/>
          <w:color w:val="auto"/>
          <w:szCs w:val="21"/>
          <w:u w:val="single"/>
        </w:rPr>
      </w:pPr>
      <w:r>
        <w:rPr>
          <w:rFonts w:ascii="宋体" w:hAnsi="宋体"/>
          <w:color w:val="auto"/>
          <w:szCs w:val="21"/>
        </w:rPr>
        <w:t>允许调整合同价格的工程量偏差范围：</w:t>
      </w:r>
      <w:r>
        <w:rPr>
          <w:rFonts w:hint="eastAsia" w:ascii="宋体" w:hAnsi="宋体"/>
          <w:color w:val="auto"/>
          <w:szCs w:val="21"/>
        </w:rPr>
        <w:t>。</w:t>
      </w:r>
    </w:p>
    <w:p w14:paraId="2E9519F7">
      <w:pPr>
        <w:keepNext/>
        <w:keepLines/>
        <w:widowControl/>
        <w:spacing w:before="120" w:after="120" w:line="440" w:lineRule="exact"/>
        <w:ind w:firstLine="281" w:firstLineChars="100"/>
        <w:outlineLvl w:val="3"/>
        <w:rPr>
          <w:rFonts w:ascii="宋体" w:hAnsi="宋体" w:eastAsia="黑体"/>
          <w:b/>
          <w:color w:val="auto"/>
          <w:kern w:val="0"/>
          <w:sz w:val="28"/>
          <w:szCs w:val="21"/>
        </w:rPr>
      </w:pPr>
      <w:bookmarkStart w:id="313" w:name="_Toc351203634"/>
      <w:r>
        <w:rPr>
          <w:rFonts w:ascii="宋体" w:hAnsi="宋体" w:eastAsia="黑体"/>
          <w:b/>
          <w:color w:val="auto"/>
          <w:kern w:val="0"/>
          <w:sz w:val="28"/>
          <w:szCs w:val="21"/>
        </w:rPr>
        <w:t>2</w:t>
      </w:r>
      <w:bookmarkStart w:id="314" w:name="_Toc296891197"/>
      <w:bookmarkStart w:id="315" w:name="_Toc296347156"/>
      <w:bookmarkStart w:id="316" w:name="_Toc296503157"/>
      <w:bookmarkStart w:id="317" w:name="_Toc292559362"/>
      <w:bookmarkStart w:id="318" w:name="_Toc296346658"/>
      <w:bookmarkStart w:id="319" w:name="_Toc296890985"/>
      <w:bookmarkStart w:id="320" w:name="_Toc292559867"/>
      <w:bookmarkStart w:id="321" w:name="_Toc296944496"/>
      <w:bookmarkStart w:id="322" w:name="_Toc297048343"/>
      <w:bookmarkStart w:id="323" w:name="_Toc297120457"/>
      <w:r>
        <w:rPr>
          <w:rFonts w:ascii="宋体" w:hAnsi="宋体" w:eastAsia="黑体"/>
          <w:b/>
          <w:color w:val="auto"/>
          <w:kern w:val="0"/>
          <w:sz w:val="28"/>
          <w:szCs w:val="21"/>
        </w:rPr>
        <w:t>. 发包人</w:t>
      </w:r>
      <w:bookmarkEnd w:id="313"/>
    </w:p>
    <w:bookmarkEnd w:id="314"/>
    <w:bookmarkEnd w:id="315"/>
    <w:bookmarkEnd w:id="316"/>
    <w:bookmarkEnd w:id="317"/>
    <w:bookmarkEnd w:id="318"/>
    <w:bookmarkEnd w:id="319"/>
    <w:bookmarkEnd w:id="320"/>
    <w:bookmarkEnd w:id="321"/>
    <w:bookmarkEnd w:id="322"/>
    <w:bookmarkEnd w:id="323"/>
    <w:p w14:paraId="7C3EE137">
      <w:pPr>
        <w:spacing w:after="120"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1</w:t>
      </w:r>
      <w:r>
        <w:rPr>
          <w:rFonts w:ascii="宋体" w:hAnsi="宋体"/>
          <w:color w:val="auto"/>
          <w:szCs w:val="21"/>
        </w:rPr>
        <w:t xml:space="preserve"> 发包人代表</w:t>
      </w:r>
    </w:p>
    <w:p w14:paraId="4CCF5B44">
      <w:pPr>
        <w:spacing w:line="440" w:lineRule="exact"/>
        <w:ind w:firstLine="420" w:firstLineChars="200"/>
        <w:rPr>
          <w:rFonts w:ascii="宋体" w:hAnsi="宋体"/>
          <w:color w:val="auto"/>
          <w:szCs w:val="21"/>
        </w:rPr>
      </w:pPr>
      <w:r>
        <w:rPr>
          <w:rFonts w:ascii="宋体" w:hAnsi="宋体"/>
          <w:color w:val="auto"/>
          <w:szCs w:val="21"/>
        </w:rPr>
        <w:t>发包人代表：</w:t>
      </w:r>
    </w:p>
    <w:p w14:paraId="007765C7">
      <w:pPr>
        <w:spacing w:line="440" w:lineRule="exact"/>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rPr>
        <w:t>；</w:t>
      </w:r>
    </w:p>
    <w:p w14:paraId="13B159C0">
      <w:pPr>
        <w:spacing w:line="440" w:lineRule="exact"/>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rPr>
        <w:t>；</w:t>
      </w:r>
    </w:p>
    <w:p w14:paraId="2262B3B5">
      <w:pPr>
        <w:spacing w:line="440" w:lineRule="exact"/>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rPr>
        <w:t>；</w:t>
      </w:r>
    </w:p>
    <w:p w14:paraId="2008D1B4">
      <w:pPr>
        <w:spacing w:line="440" w:lineRule="exact"/>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rPr>
        <w:t>；</w:t>
      </w:r>
    </w:p>
    <w:p w14:paraId="65314135">
      <w:pPr>
        <w:spacing w:line="440" w:lineRule="exact"/>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rPr>
        <w:t>；</w:t>
      </w:r>
    </w:p>
    <w:p w14:paraId="708F5B10">
      <w:pPr>
        <w:spacing w:line="440" w:lineRule="exact"/>
        <w:ind w:firstLine="420" w:firstLineChars="200"/>
        <w:rPr>
          <w:rFonts w:ascii="宋体" w:hAnsi="宋体"/>
          <w:color w:val="auto"/>
          <w:szCs w:val="21"/>
        </w:rPr>
      </w:pPr>
      <w:r>
        <w:rPr>
          <w:rFonts w:ascii="宋体" w:hAnsi="宋体"/>
          <w:color w:val="auto"/>
          <w:szCs w:val="21"/>
        </w:rPr>
        <w:t>通信地址：。</w:t>
      </w:r>
    </w:p>
    <w:p w14:paraId="01E69D0E">
      <w:pPr>
        <w:spacing w:line="360" w:lineRule="auto"/>
        <w:ind w:firstLine="420" w:firstLineChars="200"/>
        <w:rPr>
          <w:rFonts w:ascii="宋体" w:hAnsi="宋体"/>
          <w:color w:val="auto"/>
          <w:szCs w:val="21"/>
        </w:rPr>
      </w:pPr>
      <w:r>
        <w:rPr>
          <w:rFonts w:ascii="宋体" w:hAnsi="宋体"/>
          <w:color w:val="auto"/>
          <w:szCs w:val="21"/>
        </w:rPr>
        <w:t>发包人对发包人代表的授权范围如下：</w:t>
      </w:r>
    </w:p>
    <w:p w14:paraId="24081910">
      <w:pPr>
        <w:spacing w:line="360" w:lineRule="auto"/>
        <w:ind w:firstLine="420" w:firstLineChars="200"/>
        <w:rPr>
          <w:rFonts w:hAnsi="宋体"/>
          <w:color w:val="auto"/>
          <w:szCs w:val="21"/>
          <w:u w:val="single"/>
        </w:rPr>
      </w:pPr>
      <w:r>
        <w:rPr>
          <w:rFonts w:hint="eastAsia" w:hAnsi="宋体"/>
          <w:color w:val="auto"/>
          <w:szCs w:val="21"/>
          <w:u w:val="single"/>
        </w:rPr>
        <w:t>（1）负责工程施工现场的管理；</w:t>
      </w:r>
    </w:p>
    <w:p w14:paraId="02179CB6">
      <w:pPr>
        <w:spacing w:line="360" w:lineRule="auto"/>
        <w:ind w:firstLine="420" w:firstLineChars="200"/>
        <w:rPr>
          <w:rFonts w:hAnsi="宋体"/>
          <w:color w:val="auto"/>
          <w:szCs w:val="21"/>
          <w:u w:val="single"/>
        </w:rPr>
      </w:pPr>
      <w:r>
        <w:rPr>
          <w:rFonts w:hint="eastAsia" w:hAnsi="宋体"/>
          <w:color w:val="auto"/>
          <w:szCs w:val="21"/>
          <w:u w:val="single"/>
        </w:rPr>
        <w:t>（2）负责协调与工程项目有关的事项；</w:t>
      </w:r>
    </w:p>
    <w:p w14:paraId="12921F76">
      <w:pPr>
        <w:spacing w:line="360" w:lineRule="auto"/>
        <w:ind w:firstLine="420" w:firstLineChars="200"/>
        <w:rPr>
          <w:rFonts w:hAnsi="宋体"/>
          <w:color w:val="auto"/>
          <w:szCs w:val="21"/>
          <w:u w:val="single"/>
        </w:rPr>
      </w:pPr>
      <w:r>
        <w:rPr>
          <w:rFonts w:hint="eastAsia" w:hAnsi="宋体"/>
          <w:color w:val="auto"/>
          <w:szCs w:val="21"/>
          <w:u w:val="single"/>
        </w:rPr>
        <w:t>（3）工程量确认；</w:t>
      </w:r>
    </w:p>
    <w:p w14:paraId="7336CA44">
      <w:pPr>
        <w:spacing w:line="360" w:lineRule="auto"/>
        <w:ind w:firstLine="420" w:firstLineChars="200"/>
        <w:rPr>
          <w:rFonts w:hAnsi="宋体"/>
          <w:color w:val="auto"/>
          <w:szCs w:val="21"/>
          <w:u w:val="single"/>
        </w:rPr>
      </w:pPr>
      <w:r>
        <w:rPr>
          <w:rFonts w:hint="eastAsia" w:hAnsi="宋体"/>
          <w:color w:val="auto"/>
          <w:szCs w:val="21"/>
          <w:u w:val="single"/>
        </w:rPr>
        <w:t>（4）同意监理工程师发布开工令、停工令及复工令；</w:t>
      </w:r>
    </w:p>
    <w:p w14:paraId="56ECF402">
      <w:pPr>
        <w:spacing w:line="360" w:lineRule="auto"/>
        <w:ind w:firstLine="420" w:firstLineChars="200"/>
        <w:rPr>
          <w:rFonts w:hAnsi="宋体"/>
          <w:color w:val="auto"/>
          <w:szCs w:val="21"/>
          <w:u w:val="single"/>
        </w:rPr>
      </w:pPr>
      <w:r>
        <w:rPr>
          <w:rFonts w:hint="eastAsia" w:hAnsi="宋体"/>
          <w:color w:val="auto"/>
          <w:szCs w:val="21"/>
          <w:u w:val="single"/>
        </w:rPr>
        <w:t>（5）确认或修改承包人的施工组织设计和工程进度计划；</w:t>
      </w:r>
    </w:p>
    <w:p w14:paraId="74F2A96C">
      <w:pPr>
        <w:spacing w:line="360" w:lineRule="auto"/>
        <w:ind w:firstLine="420" w:firstLineChars="200"/>
        <w:rPr>
          <w:rFonts w:hAnsi="宋体"/>
          <w:color w:val="auto"/>
          <w:szCs w:val="21"/>
          <w:u w:val="single"/>
        </w:rPr>
      </w:pPr>
      <w:r>
        <w:rPr>
          <w:rFonts w:hint="eastAsia" w:hAnsi="宋体"/>
          <w:color w:val="auto"/>
          <w:szCs w:val="21"/>
          <w:u w:val="single"/>
        </w:rPr>
        <w:t>（6）对进度的检查、监督和提出改进措施；</w:t>
      </w:r>
    </w:p>
    <w:p w14:paraId="3D9F02E3">
      <w:pPr>
        <w:spacing w:line="360" w:lineRule="auto"/>
        <w:ind w:firstLine="420" w:firstLineChars="200"/>
        <w:rPr>
          <w:rFonts w:hAnsi="宋体"/>
          <w:color w:val="auto"/>
          <w:szCs w:val="21"/>
          <w:u w:val="single"/>
        </w:rPr>
      </w:pPr>
      <w:r>
        <w:rPr>
          <w:rFonts w:hint="eastAsia" w:hAnsi="宋体"/>
          <w:color w:val="auto"/>
          <w:szCs w:val="21"/>
          <w:u w:val="single"/>
        </w:rPr>
        <w:t>（7）对承包人延期开工要求进行答复；</w:t>
      </w:r>
    </w:p>
    <w:p w14:paraId="7D2243EE">
      <w:pPr>
        <w:spacing w:line="360" w:lineRule="auto"/>
        <w:ind w:firstLine="420" w:firstLineChars="200"/>
        <w:rPr>
          <w:rFonts w:hAnsi="宋体"/>
          <w:color w:val="auto"/>
          <w:szCs w:val="21"/>
          <w:u w:val="single"/>
        </w:rPr>
      </w:pPr>
      <w:r>
        <w:rPr>
          <w:rFonts w:hint="eastAsia" w:hAnsi="宋体"/>
          <w:color w:val="auto"/>
          <w:szCs w:val="21"/>
          <w:u w:val="single"/>
        </w:rPr>
        <w:t>（8）以通知方式推迟开工日期；</w:t>
      </w:r>
    </w:p>
    <w:p w14:paraId="4D62FF5E">
      <w:pPr>
        <w:spacing w:line="360" w:lineRule="auto"/>
        <w:ind w:firstLine="420" w:firstLineChars="200"/>
        <w:rPr>
          <w:rFonts w:hAnsi="宋体"/>
          <w:color w:val="auto"/>
          <w:szCs w:val="21"/>
          <w:u w:val="single"/>
        </w:rPr>
      </w:pPr>
      <w:r>
        <w:rPr>
          <w:rFonts w:hint="eastAsia" w:hAnsi="宋体"/>
          <w:color w:val="auto"/>
          <w:szCs w:val="21"/>
          <w:u w:val="single"/>
        </w:rPr>
        <w:t>（9）暂停施工并提出处理意见，对承包人复工要求进行答复；</w:t>
      </w:r>
    </w:p>
    <w:p w14:paraId="3DB2AA1E">
      <w:pPr>
        <w:spacing w:line="360" w:lineRule="auto"/>
        <w:ind w:firstLine="420" w:firstLineChars="200"/>
        <w:rPr>
          <w:rFonts w:hAnsi="宋体"/>
          <w:color w:val="auto"/>
          <w:szCs w:val="21"/>
          <w:u w:val="single"/>
        </w:rPr>
      </w:pPr>
      <w:r>
        <w:rPr>
          <w:rFonts w:hint="eastAsia" w:hAnsi="宋体"/>
          <w:color w:val="auto"/>
          <w:szCs w:val="21"/>
          <w:u w:val="single"/>
        </w:rPr>
        <w:t>（10）确认工期顺延；</w:t>
      </w:r>
    </w:p>
    <w:p w14:paraId="0CB2F09D">
      <w:pPr>
        <w:spacing w:line="360" w:lineRule="auto"/>
        <w:ind w:firstLine="420" w:firstLineChars="200"/>
        <w:rPr>
          <w:rFonts w:hAnsi="宋体"/>
          <w:color w:val="auto"/>
          <w:szCs w:val="21"/>
          <w:u w:val="single"/>
        </w:rPr>
      </w:pPr>
      <w:r>
        <w:rPr>
          <w:rFonts w:hint="eastAsia" w:hAnsi="宋体"/>
          <w:color w:val="auto"/>
          <w:szCs w:val="21"/>
          <w:u w:val="single"/>
        </w:rPr>
        <w:t>（11）对承包人工程质量检查检验；</w:t>
      </w:r>
    </w:p>
    <w:p w14:paraId="19D0EDFF">
      <w:pPr>
        <w:spacing w:line="360" w:lineRule="auto"/>
        <w:ind w:firstLine="420" w:firstLineChars="200"/>
        <w:rPr>
          <w:rFonts w:hAnsi="宋体"/>
          <w:color w:val="auto"/>
          <w:szCs w:val="21"/>
          <w:u w:val="single"/>
        </w:rPr>
      </w:pPr>
      <w:r>
        <w:rPr>
          <w:rFonts w:hint="eastAsia" w:hAnsi="宋体"/>
          <w:color w:val="auto"/>
          <w:szCs w:val="21"/>
          <w:u w:val="single"/>
        </w:rPr>
        <w:t>（12）工程质量达不到约定标准的部分，要求承包人拆除和重新施工。</w:t>
      </w:r>
    </w:p>
    <w:p w14:paraId="3E173678">
      <w:pPr>
        <w:spacing w:line="360" w:lineRule="auto"/>
        <w:ind w:firstLine="420" w:firstLineChars="200"/>
        <w:rPr>
          <w:rFonts w:hAnsi="宋体"/>
          <w:color w:val="auto"/>
          <w:szCs w:val="21"/>
          <w:u w:val="single"/>
        </w:rPr>
      </w:pPr>
      <w:r>
        <w:rPr>
          <w:rFonts w:hint="eastAsia" w:hAnsi="宋体"/>
          <w:color w:val="auto"/>
          <w:szCs w:val="21"/>
          <w:u w:val="single"/>
        </w:rPr>
        <w:t>（13）隐蔽工程验收；</w:t>
      </w:r>
    </w:p>
    <w:p w14:paraId="4E10639A">
      <w:pPr>
        <w:spacing w:line="360" w:lineRule="auto"/>
        <w:ind w:firstLine="420" w:firstLineChars="200"/>
        <w:rPr>
          <w:rFonts w:hAnsi="宋体"/>
          <w:color w:val="auto"/>
          <w:szCs w:val="21"/>
          <w:u w:val="single"/>
        </w:rPr>
      </w:pPr>
      <w:r>
        <w:rPr>
          <w:rFonts w:hint="eastAsia" w:hAnsi="宋体"/>
          <w:color w:val="auto"/>
          <w:szCs w:val="21"/>
          <w:u w:val="single"/>
        </w:rPr>
        <w:t>（14）隐蔽工程重新检验；</w:t>
      </w:r>
    </w:p>
    <w:p w14:paraId="02A8740D">
      <w:pPr>
        <w:spacing w:line="360" w:lineRule="auto"/>
        <w:ind w:firstLine="420" w:firstLineChars="200"/>
        <w:rPr>
          <w:rFonts w:hAnsi="宋体"/>
          <w:color w:val="auto"/>
          <w:szCs w:val="21"/>
          <w:u w:val="single"/>
        </w:rPr>
      </w:pPr>
      <w:r>
        <w:rPr>
          <w:rFonts w:hint="eastAsia" w:hAnsi="宋体"/>
          <w:color w:val="auto"/>
          <w:szCs w:val="21"/>
          <w:u w:val="single"/>
        </w:rPr>
        <w:t>（15）根据本款（17）项确认或修改承包人提出的调整金额；</w:t>
      </w:r>
    </w:p>
    <w:p w14:paraId="2C59FCDA">
      <w:pPr>
        <w:spacing w:line="360" w:lineRule="auto"/>
        <w:ind w:firstLine="420" w:firstLineChars="200"/>
        <w:rPr>
          <w:rFonts w:hAnsi="宋体"/>
          <w:color w:val="auto"/>
          <w:szCs w:val="21"/>
          <w:u w:val="single"/>
        </w:rPr>
      </w:pPr>
      <w:r>
        <w:rPr>
          <w:rFonts w:hint="eastAsia" w:hAnsi="宋体"/>
          <w:color w:val="auto"/>
          <w:szCs w:val="21"/>
          <w:u w:val="single"/>
        </w:rPr>
        <w:t>（16）核实承包人已完工程量；</w:t>
      </w:r>
    </w:p>
    <w:p w14:paraId="44599016">
      <w:pPr>
        <w:spacing w:line="360" w:lineRule="auto"/>
        <w:ind w:firstLine="420" w:firstLineChars="200"/>
        <w:rPr>
          <w:rFonts w:hAnsi="宋体"/>
          <w:color w:val="auto"/>
          <w:szCs w:val="21"/>
          <w:u w:val="single"/>
        </w:rPr>
      </w:pPr>
      <w:r>
        <w:rPr>
          <w:rFonts w:hint="eastAsia" w:hAnsi="宋体"/>
          <w:color w:val="auto"/>
          <w:szCs w:val="21"/>
          <w:u w:val="single"/>
        </w:rPr>
        <w:t>（17）要求更换承包人采购的不符合要求的材料设备；</w:t>
      </w:r>
    </w:p>
    <w:p w14:paraId="1E8E8B34">
      <w:pPr>
        <w:spacing w:line="360" w:lineRule="auto"/>
        <w:ind w:firstLine="420" w:firstLineChars="200"/>
        <w:rPr>
          <w:rFonts w:hAnsi="宋体"/>
          <w:color w:val="auto"/>
          <w:szCs w:val="21"/>
          <w:u w:val="single"/>
        </w:rPr>
      </w:pPr>
      <w:r>
        <w:rPr>
          <w:rFonts w:hint="eastAsia" w:hAnsi="宋体"/>
          <w:color w:val="auto"/>
          <w:szCs w:val="21"/>
          <w:u w:val="single"/>
        </w:rPr>
        <w:t>（18）要求承包人对采购的材料设备在使用前进行检验或试验；</w:t>
      </w:r>
    </w:p>
    <w:p w14:paraId="25A71762">
      <w:pPr>
        <w:spacing w:line="360" w:lineRule="auto"/>
        <w:ind w:firstLine="420" w:firstLineChars="200"/>
        <w:rPr>
          <w:rFonts w:hAnsi="宋体"/>
          <w:color w:val="auto"/>
          <w:szCs w:val="21"/>
          <w:u w:val="single"/>
        </w:rPr>
      </w:pPr>
      <w:r>
        <w:rPr>
          <w:rFonts w:hint="eastAsia" w:hAnsi="宋体"/>
          <w:color w:val="auto"/>
          <w:szCs w:val="21"/>
          <w:u w:val="single"/>
        </w:rPr>
        <w:t>（19）批准承包人使用替代材料；</w:t>
      </w:r>
    </w:p>
    <w:p w14:paraId="04C19FD2">
      <w:pPr>
        <w:spacing w:line="360" w:lineRule="auto"/>
        <w:ind w:firstLine="420" w:firstLineChars="200"/>
        <w:rPr>
          <w:rFonts w:hAnsi="宋体"/>
          <w:color w:val="auto"/>
          <w:szCs w:val="21"/>
          <w:u w:val="single"/>
        </w:rPr>
      </w:pPr>
      <w:r>
        <w:rPr>
          <w:rFonts w:hint="eastAsia" w:hAnsi="宋体"/>
          <w:color w:val="auto"/>
          <w:szCs w:val="21"/>
          <w:u w:val="single"/>
        </w:rPr>
        <w:t>（20）同意承包人提出的合理化建议；</w:t>
      </w:r>
    </w:p>
    <w:p w14:paraId="494DBFAD">
      <w:pPr>
        <w:spacing w:line="360" w:lineRule="auto"/>
        <w:ind w:firstLine="420" w:firstLineChars="200"/>
        <w:rPr>
          <w:rFonts w:hAnsi="宋体"/>
          <w:color w:val="auto"/>
          <w:szCs w:val="21"/>
          <w:u w:val="single"/>
        </w:rPr>
      </w:pPr>
      <w:r>
        <w:rPr>
          <w:rFonts w:hint="eastAsia" w:hAnsi="宋体"/>
          <w:color w:val="auto"/>
          <w:szCs w:val="21"/>
          <w:u w:val="single"/>
        </w:rPr>
        <w:t>（21）确认变更价款；</w:t>
      </w:r>
    </w:p>
    <w:p w14:paraId="6D99AB9F">
      <w:pPr>
        <w:spacing w:line="360" w:lineRule="auto"/>
        <w:ind w:firstLine="420" w:firstLineChars="200"/>
        <w:rPr>
          <w:rFonts w:hAnsi="宋体"/>
          <w:color w:val="auto"/>
          <w:szCs w:val="21"/>
          <w:u w:val="single"/>
        </w:rPr>
      </w:pPr>
      <w:r>
        <w:rPr>
          <w:rFonts w:hint="eastAsia" w:hAnsi="宋体"/>
          <w:color w:val="auto"/>
          <w:szCs w:val="21"/>
          <w:u w:val="single"/>
        </w:rPr>
        <w:t>（22）答复索赔。</w:t>
      </w:r>
    </w:p>
    <w:p w14:paraId="2837C173">
      <w:pPr>
        <w:spacing w:after="120"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2</w:t>
      </w:r>
      <w:r>
        <w:rPr>
          <w:rFonts w:ascii="宋体" w:hAnsi="宋体"/>
          <w:color w:val="auto"/>
          <w:szCs w:val="21"/>
        </w:rPr>
        <w:t xml:space="preserve"> 施工现场、施工条件和基础资料的提供</w:t>
      </w:r>
    </w:p>
    <w:p w14:paraId="0B0DB5C8">
      <w:pPr>
        <w:spacing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2</w:t>
      </w:r>
      <w:r>
        <w:rPr>
          <w:rFonts w:ascii="宋体" w:hAnsi="宋体"/>
          <w:color w:val="auto"/>
          <w:szCs w:val="21"/>
        </w:rPr>
        <w:t>.1 提供施工现场</w:t>
      </w:r>
    </w:p>
    <w:p w14:paraId="057C66B6">
      <w:pPr>
        <w:spacing w:line="440" w:lineRule="exact"/>
        <w:ind w:firstLine="420" w:firstLineChars="200"/>
        <w:jc w:val="left"/>
        <w:rPr>
          <w:rFonts w:ascii="宋体" w:hAnsi="宋体"/>
          <w:color w:val="auto"/>
          <w:szCs w:val="21"/>
        </w:rPr>
      </w:pPr>
      <w:r>
        <w:rPr>
          <w:rFonts w:ascii="宋体" w:hAnsi="宋体"/>
          <w:color w:val="auto"/>
          <w:szCs w:val="21"/>
        </w:rPr>
        <w:t>关于发包人移交施工现场的期限要求：</w:t>
      </w:r>
      <w:r>
        <w:rPr>
          <w:rFonts w:hint="eastAsia" w:ascii="宋体" w:hAnsi="宋体"/>
          <w:color w:val="auto"/>
          <w:szCs w:val="21"/>
          <w:u w:val="single"/>
        </w:rPr>
        <w:t>计划开工日前3天</w:t>
      </w:r>
      <w:r>
        <w:rPr>
          <w:rFonts w:ascii="宋体" w:hAnsi="宋体"/>
          <w:color w:val="auto"/>
          <w:szCs w:val="21"/>
        </w:rPr>
        <w:t>。</w:t>
      </w:r>
    </w:p>
    <w:p w14:paraId="7A2BF727">
      <w:pPr>
        <w:spacing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3</w:t>
      </w:r>
      <w:r>
        <w:rPr>
          <w:rFonts w:ascii="宋体" w:hAnsi="宋体"/>
          <w:color w:val="auto"/>
          <w:szCs w:val="21"/>
        </w:rPr>
        <w:t>.2 提供施工条件</w:t>
      </w:r>
    </w:p>
    <w:p w14:paraId="5EE9ACC4">
      <w:pPr>
        <w:spacing w:line="440" w:lineRule="exact"/>
        <w:ind w:firstLine="420" w:firstLineChars="200"/>
        <w:rPr>
          <w:rFonts w:ascii="宋体" w:hAnsi="宋体"/>
          <w:color w:val="auto"/>
          <w:szCs w:val="21"/>
          <w:u w:val="single"/>
        </w:rPr>
      </w:pPr>
      <w:r>
        <w:rPr>
          <w:rFonts w:ascii="宋体" w:hAnsi="宋体"/>
          <w:color w:val="auto"/>
          <w:szCs w:val="21"/>
        </w:rPr>
        <w:t>关于发包人应负责提供施工</w:t>
      </w:r>
      <w:r>
        <w:rPr>
          <w:rFonts w:hint="eastAsia" w:ascii="宋体" w:hAnsi="宋体"/>
          <w:color w:val="auto"/>
          <w:szCs w:val="21"/>
        </w:rPr>
        <w:t>所需要的条件，</w:t>
      </w:r>
      <w:r>
        <w:rPr>
          <w:rFonts w:ascii="宋体" w:hAnsi="宋体"/>
          <w:color w:val="auto"/>
          <w:szCs w:val="21"/>
        </w:rPr>
        <w:t>包括：。</w:t>
      </w:r>
    </w:p>
    <w:p w14:paraId="1714954A">
      <w:pPr>
        <w:spacing w:after="120" w:line="44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4</w:t>
      </w:r>
      <w:r>
        <w:rPr>
          <w:rFonts w:ascii="宋体" w:hAnsi="宋体"/>
          <w:color w:val="auto"/>
          <w:szCs w:val="21"/>
        </w:rPr>
        <w:t xml:space="preserve"> 资金来源证明及支付担保</w:t>
      </w:r>
    </w:p>
    <w:p w14:paraId="4843FF5A">
      <w:pPr>
        <w:spacing w:line="440" w:lineRule="exact"/>
        <w:ind w:firstLine="420" w:firstLineChars="200"/>
        <w:rPr>
          <w:rFonts w:ascii="宋体" w:hAnsi="宋体"/>
          <w:color w:val="auto"/>
          <w:szCs w:val="21"/>
        </w:rPr>
      </w:pPr>
      <w:r>
        <w:rPr>
          <w:rFonts w:ascii="宋体" w:hAnsi="宋体"/>
          <w:color w:val="auto"/>
          <w:szCs w:val="21"/>
        </w:rPr>
        <w:t>发包人提供资金来源证明的期限要求：</w:t>
      </w:r>
      <w:r>
        <w:rPr>
          <w:rFonts w:hint="eastAsia" w:ascii="宋体" w:hAnsi="宋体" w:cs="宋体"/>
          <w:color w:val="auto"/>
          <w:szCs w:val="21"/>
          <w:u w:val="single"/>
        </w:rPr>
        <w:t xml:space="preserve">无  </w:t>
      </w:r>
      <w:r>
        <w:rPr>
          <w:rFonts w:ascii="宋体" w:hAnsi="宋体"/>
          <w:color w:val="auto"/>
          <w:szCs w:val="21"/>
        </w:rPr>
        <w:t>。</w:t>
      </w:r>
    </w:p>
    <w:p w14:paraId="2856255F">
      <w:pPr>
        <w:spacing w:line="440" w:lineRule="exact"/>
        <w:ind w:firstLine="420" w:firstLineChars="200"/>
        <w:rPr>
          <w:rFonts w:ascii="宋体" w:hAnsi="宋体"/>
          <w:color w:val="auto"/>
          <w:szCs w:val="21"/>
        </w:rPr>
      </w:pPr>
      <w:r>
        <w:rPr>
          <w:rFonts w:ascii="宋体" w:hAnsi="宋体"/>
          <w:color w:val="auto"/>
          <w:szCs w:val="21"/>
        </w:rPr>
        <w:t>发包人是否提供支付担保：</w:t>
      </w:r>
      <w:r>
        <w:rPr>
          <w:rFonts w:hint="eastAsia" w:ascii="宋体" w:hAnsi="宋体" w:cs="宋体"/>
          <w:color w:val="auto"/>
          <w:szCs w:val="21"/>
          <w:u w:val="single"/>
        </w:rPr>
        <w:t xml:space="preserve">无     </w:t>
      </w:r>
      <w:r>
        <w:rPr>
          <w:rFonts w:ascii="宋体" w:hAnsi="宋体"/>
          <w:color w:val="auto"/>
          <w:szCs w:val="21"/>
        </w:rPr>
        <w:t>。</w:t>
      </w:r>
    </w:p>
    <w:p w14:paraId="275376EB">
      <w:pPr>
        <w:spacing w:line="440" w:lineRule="exact"/>
        <w:ind w:firstLine="420" w:firstLineChars="200"/>
        <w:rPr>
          <w:rFonts w:ascii="宋体" w:hAnsi="宋体"/>
          <w:color w:val="auto"/>
          <w:szCs w:val="21"/>
          <w:u w:val="single"/>
        </w:rPr>
      </w:pPr>
      <w:r>
        <w:rPr>
          <w:rFonts w:ascii="宋体" w:hAnsi="宋体"/>
          <w:color w:val="auto"/>
          <w:szCs w:val="21"/>
        </w:rPr>
        <w:t>发包人提供支付担保的形式：</w:t>
      </w:r>
      <w:r>
        <w:rPr>
          <w:rFonts w:hint="eastAsia" w:ascii="宋体" w:hAnsi="宋体" w:cs="宋体"/>
          <w:color w:val="auto"/>
          <w:szCs w:val="21"/>
          <w:u w:val="single"/>
        </w:rPr>
        <w:t>无</w:t>
      </w:r>
      <w:r>
        <w:rPr>
          <w:rFonts w:ascii="宋体" w:hAnsi="宋体"/>
          <w:color w:val="auto"/>
          <w:szCs w:val="21"/>
        </w:rPr>
        <w:t>。</w:t>
      </w:r>
    </w:p>
    <w:p w14:paraId="6170A6CC">
      <w:pPr>
        <w:keepNext/>
        <w:keepLines/>
        <w:widowControl/>
        <w:spacing w:before="120" w:after="120" w:line="440" w:lineRule="exact"/>
        <w:ind w:firstLine="281" w:firstLineChars="100"/>
        <w:outlineLvl w:val="3"/>
        <w:rPr>
          <w:rFonts w:ascii="宋体" w:hAnsi="宋体" w:eastAsia="黑体"/>
          <w:b/>
          <w:color w:val="auto"/>
          <w:kern w:val="0"/>
          <w:sz w:val="28"/>
          <w:szCs w:val="21"/>
        </w:rPr>
      </w:pPr>
      <w:bookmarkStart w:id="324" w:name="_Toc351203635"/>
      <w:r>
        <w:rPr>
          <w:rFonts w:ascii="宋体" w:hAnsi="宋体" w:eastAsia="黑体"/>
          <w:b/>
          <w:color w:val="auto"/>
          <w:kern w:val="0"/>
          <w:sz w:val="28"/>
          <w:szCs w:val="21"/>
        </w:rPr>
        <w:t>3</w:t>
      </w:r>
      <w:bookmarkStart w:id="325" w:name="_Toc296346659"/>
      <w:bookmarkStart w:id="326" w:name="_Toc296347157"/>
      <w:bookmarkStart w:id="327" w:name="_Toc297048344"/>
      <w:bookmarkStart w:id="328" w:name="_Toc292559868"/>
      <w:bookmarkStart w:id="329" w:name="_Toc296503158"/>
      <w:bookmarkStart w:id="330" w:name="_Toc297120458"/>
      <w:bookmarkStart w:id="331" w:name="_Toc296890986"/>
      <w:bookmarkStart w:id="332" w:name="_Toc292559363"/>
      <w:bookmarkStart w:id="333" w:name="_Toc296944497"/>
      <w:bookmarkStart w:id="334" w:name="_Toc296891198"/>
      <w:r>
        <w:rPr>
          <w:rFonts w:ascii="宋体" w:hAnsi="宋体" w:eastAsia="黑体"/>
          <w:b/>
          <w:color w:val="auto"/>
          <w:kern w:val="0"/>
          <w:sz w:val="28"/>
          <w:szCs w:val="21"/>
        </w:rPr>
        <w:t>. 承包人</w:t>
      </w:r>
      <w:bookmarkEnd w:id="324"/>
    </w:p>
    <w:bookmarkEnd w:id="325"/>
    <w:bookmarkEnd w:id="326"/>
    <w:bookmarkEnd w:id="327"/>
    <w:bookmarkEnd w:id="328"/>
    <w:bookmarkEnd w:id="329"/>
    <w:bookmarkEnd w:id="330"/>
    <w:bookmarkEnd w:id="331"/>
    <w:bookmarkEnd w:id="332"/>
    <w:bookmarkEnd w:id="333"/>
    <w:bookmarkEnd w:id="334"/>
    <w:p w14:paraId="440D5026">
      <w:pPr>
        <w:spacing w:after="120" w:line="440" w:lineRule="exact"/>
        <w:ind w:firstLine="420" w:firstLineChars="200"/>
        <w:rPr>
          <w:rFonts w:ascii="宋体" w:hAnsi="宋体"/>
          <w:color w:val="auto"/>
          <w:szCs w:val="21"/>
        </w:rPr>
      </w:pPr>
      <w:r>
        <w:rPr>
          <w:rFonts w:ascii="宋体" w:hAnsi="宋体"/>
          <w:color w:val="auto"/>
          <w:szCs w:val="21"/>
        </w:rPr>
        <w:t>3.1 承包人的一般义务</w:t>
      </w:r>
    </w:p>
    <w:p w14:paraId="067B343E">
      <w:pPr>
        <w:spacing w:line="440" w:lineRule="exact"/>
        <w:ind w:firstLine="315" w:firstLineChars="150"/>
        <w:jc w:val="left"/>
        <w:rPr>
          <w:rFonts w:ascii="宋体" w:hAnsi="宋体"/>
          <w:color w:val="auto"/>
          <w:szCs w:val="21"/>
        </w:rPr>
      </w:pPr>
      <w:r>
        <w:rPr>
          <w:rFonts w:ascii="宋体" w:hAnsi="宋体"/>
          <w:color w:val="auto"/>
          <w:kern w:val="0"/>
          <w:szCs w:val="21"/>
        </w:rPr>
        <w:t>（5）</w:t>
      </w:r>
      <w:r>
        <w:rPr>
          <w:rFonts w:ascii="宋体" w:hAnsi="宋体"/>
          <w:color w:val="auto"/>
          <w:szCs w:val="21"/>
        </w:rPr>
        <w:t>承包人提交的竣工资料的内容：。</w:t>
      </w:r>
    </w:p>
    <w:p w14:paraId="53A79E65">
      <w:pPr>
        <w:spacing w:line="440" w:lineRule="exact"/>
        <w:ind w:firstLine="420" w:firstLineChars="200"/>
        <w:jc w:val="left"/>
        <w:rPr>
          <w:rFonts w:ascii="宋体" w:hAnsi="宋体"/>
          <w:color w:val="auto"/>
          <w:szCs w:val="21"/>
        </w:rPr>
      </w:pPr>
      <w:r>
        <w:rPr>
          <w:rFonts w:ascii="宋体" w:hAnsi="宋体"/>
          <w:color w:val="auto"/>
          <w:szCs w:val="21"/>
        </w:rPr>
        <w:t>承包人需要提交的竣工资料套数：。</w:t>
      </w:r>
    </w:p>
    <w:p w14:paraId="70B75E74">
      <w:pPr>
        <w:spacing w:line="440" w:lineRule="exact"/>
        <w:ind w:firstLine="420" w:firstLineChars="200"/>
        <w:jc w:val="left"/>
        <w:rPr>
          <w:rFonts w:ascii="宋体" w:hAnsi="宋体"/>
          <w:color w:val="auto"/>
          <w:szCs w:val="21"/>
        </w:rPr>
      </w:pPr>
      <w:r>
        <w:rPr>
          <w:rFonts w:ascii="宋体" w:hAnsi="宋体"/>
          <w:color w:val="auto"/>
          <w:szCs w:val="21"/>
        </w:rPr>
        <w:t>承包人提交的竣工资料的费用承担：。</w:t>
      </w:r>
    </w:p>
    <w:p w14:paraId="4444CA5B">
      <w:pPr>
        <w:spacing w:line="440" w:lineRule="exact"/>
        <w:ind w:firstLine="420" w:firstLineChars="200"/>
        <w:jc w:val="left"/>
        <w:rPr>
          <w:rFonts w:ascii="宋体" w:hAnsi="宋体"/>
          <w:color w:val="auto"/>
          <w:szCs w:val="21"/>
        </w:rPr>
      </w:pPr>
      <w:r>
        <w:rPr>
          <w:rFonts w:ascii="宋体" w:hAnsi="宋体"/>
          <w:color w:val="auto"/>
          <w:szCs w:val="21"/>
        </w:rPr>
        <w:t>承包人提交的竣工资料移交时间：。</w:t>
      </w:r>
    </w:p>
    <w:p w14:paraId="4D84882B">
      <w:pPr>
        <w:spacing w:line="440" w:lineRule="exact"/>
        <w:ind w:firstLine="420" w:firstLineChars="200"/>
        <w:jc w:val="left"/>
        <w:rPr>
          <w:rFonts w:ascii="宋体" w:hAnsi="宋体"/>
          <w:color w:val="auto"/>
          <w:szCs w:val="21"/>
        </w:rPr>
      </w:pPr>
      <w:r>
        <w:rPr>
          <w:rFonts w:ascii="宋体" w:hAnsi="宋体"/>
          <w:color w:val="auto"/>
          <w:szCs w:val="21"/>
        </w:rPr>
        <w:t>承包人提交的竣工资料形式要求：。</w:t>
      </w:r>
    </w:p>
    <w:p w14:paraId="60C512EF">
      <w:pPr>
        <w:spacing w:line="440" w:lineRule="exact"/>
        <w:ind w:firstLine="420" w:firstLineChars="200"/>
        <w:rPr>
          <w:rFonts w:ascii="宋体" w:hAnsi="宋体"/>
          <w:b/>
          <w:color w:val="auto"/>
          <w:szCs w:val="21"/>
          <w:u w:val="single"/>
        </w:rPr>
      </w:pPr>
      <w:r>
        <w:rPr>
          <w:rFonts w:ascii="宋体" w:hAnsi="宋体"/>
          <w:color w:val="auto"/>
          <w:kern w:val="0"/>
          <w:szCs w:val="21"/>
        </w:rPr>
        <w:t>（6）承包人应履行的其他义务：</w:t>
      </w:r>
      <w:r>
        <w:rPr>
          <w:rFonts w:hint="eastAsia" w:ascii="宋体" w:hAnsi="宋体"/>
          <w:b/>
          <w:color w:val="auto"/>
          <w:szCs w:val="21"/>
          <w:u w:val="singl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5C72CF37">
      <w:pPr>
        <w:spacing w:line="440" w:lineRule="exact"/>
        <w:ind w:firstLine="422" w:firstLineChars="200"/>
        <w:rPr>
          <w:rFonts w:ascii="宋体" w:hAnsi="宋体"/>
          <w:color w:val="auto"/>
          <w:szCs w:val="21"/>
        </w:rPr>
      </w:pPr>
      <w:r>
        <w:rPr>
          <w:rFonts w:hint="eastAsia" w:ascii="宋体" w:hAnsi="宋体"/>
          <w:b/>
          <w:color w:val="auto"/>
          <w:szCs w:val="21"/>
          <w:u w:val="single"/>
        </w:rPr>
        <w:t>②取土场及弃土场由承包人自行解决，但不得违反相关管理规定，并承担相关费用。</w:t>
      </w:r>
    </w:p>
    <w:p w14:paraId="2F55484D">
      <w:pPr>
        <w:spacing w:after="120" w:line="440" w:lineRule="exact"/>
        <w:ind w:firstLine="420" w:firstLineChars="200"/>
        <w:rPr>
          <w:rFonts w:ascii="宋体" w:hAnsi="宋体"/>
          <w:color w:val="auto"/>
          <w:szCs w:val="21"/>
        </w:rPr>
      </w:pPr>
      <w:r>
        <w:rPr>
          <w:rFonts w:ascii="宋体" w:hAnsi="宋体"/>
          <w:color w:val="auto"/>
          <w:szCs w:val="21"/>
        </w:rPr>
        <w:t>3.2 项目经理</w:t>
      </w:r>
    </w:p>
    <w:p w14:paraId="4B1FADA8">
      <w:pPr>
        <w:spacing w:line="440" w:lineRule="exact"/>
        <w:ind w:firstLine="420" w:firstLineChars="200"/>
        <w:rPr>
          <w:rFonts w:ascii="宋体" w:hAnsi="宋体"/>
          <w:color w:val="auto"/>
          <w:szCs w:val="21"/>
        </w:rPr>
      </w:pPr>
      <w:r>
        <w:rPr>
          <w:rFonts w:ascii="宋体" w:hAnsi="宋体"/>
          <w:color w:val="auto"/>
          <w:kern w:val="0"/>
          <w:szCs w:val="21"/>
        </w:rPr>
        <w:t xml:space="preserve">3.2.1 </w:t>
      </w:r>
      <w:r>
        <w:rPr>
          <w:rFonts w:ascii="宋体" w:hAnsi="宋体"/>
          <w:color w:val="auto"/>
          <w:szCs w:val="21"/>
        </w:rPr>
        <w:t>项目经理：</w:t>
      </w:r>
    </w:p>
    <w:p w14:paraId="6D74556D">
      <w:pPr>
        <w:spacing w:line="440" w:lineRule="exact"/>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rPr>
        <w:t>；</w:t>
      </w:r>
    </w:p>
    <w:p w14:paraId="3EB95002">
      <w:pPr>
        <w:spacing w:line="440" w:lineRule="exact"/>
        <w:ind w:firstLine="420" w:firstLineChars="200"/>
        <w:rPr>
          <w:rFonts w:ascii="宋体" w:hAnsi="宋体"/>
          <w:color w:val="auto"/>
          <w:szCs w:val="21"/>
        </w:rPr>
      </w:pPr>
      <w:r>
        <w:rPr>
          <w:rFonts w:ascii="宋体" w:hAnsi="宋体"/>
          <w:color w:val="auto"/>
          <w:szCs w:val="21"/>
        </w:rPr>
        <w:t>身份证号：</w:t>
      </w:r>
      <w:r>
        <w:rPr>
          <w:rFonts w:hint="eastAsia" w:ascii="宋体" w:hAnsi="宋体"/>
          <w:color w:val="auto"/>
          <w:szCs w:val="21"/>
        </w:rPr>
        <w:t>；</w:t>
      </w:r>
    </w:p>
    <w:p w14:paraId="751B5AB5">
      <w:pPr>
        <w:spacing w:line="440" w:lineRule="exact"/>
        <w:ind w:firstLine="420" w:firstLineChars="200"/>
        <w:rPr>
          <w:rFonts w:ascii="宋体" w:hAnsi="宋体"/>
          <w:color w:val="auto"/>
          <w:szCs w:val="21"/>
        </w:rPr>
      </w:pPr>
      <w:r>
        <w:rPr>
          <w:rFonts w:ascii="宋体" w:hAnsi="宋体"/>
          <w:color w:val="auto"/>
          <w:szCs w:val="21"/>
        </w:rPr>
        <w:t>建造师执业资格等级：</w:t>
      </w:r>
      <w:r>
        <w:rPr>
          <w:rFonts w:hint="eastAsia" w:ascii="宋体" w:hAnsi="宋体"/>
          <w:color w:val="auto"/>
          <w:szCs w:val="21"/>
        </w:rPr>
        <w:t>；</w:t>
      </w:r>
    </w:p>
    <w:p w14:paraId="7B04427E">
      <w:pPr>
        <w:spacing w:line="440" w:lineRule="exact"/>
        <w:ind w:firstLine="420" w:firstLineChars="200"/>
        <w:rPr>
          <w:rFonts w:ascii="宋体" w:hAnsi="宋体"/>
          <w:color w:val="auto"/>
          <w:szCs w:val="21"/>
        </w:rPr>
      </w:pPr>
      <w:r>
        <w:rPr>
          <w:rFonts w:ascii="宋体" w:hAnsi="宋体"/>
          <w:color w:val="auto"/>
          <w:szCs w:val="21"/>
        </w:rPr>
        <w:t>建造师注册证书号：</w:t>
      </w:r>
      <w:r>
        <w:rPr>
          <w:rFonts w:hint="eastAsia" w:ascii="宋体" w:hAnsi="宋体"/>
          <w:color w:val="auto"/>
          <w:szCs w:val="21"/>
        </w:rPr>
        <w:t>；</w:t>
      </w:r>
    </w:p>
    <w:p w14:paraId="1BFA8444">
      <w:pPr>
        <w:spacing w:line="440" w:lineRule="exact"/>
        <w:ind w:firstLine="420" w:firstLineChars="200"/>
        <w:rPr>
          <w:rFonts w:ascii="宋体" w:hAnsi="宋体"/>
          <w:color w:val="auto"/>
          <w:szCs w:val="21"/>
        </w:rPr>
      </w:pPr>
      <w:r>
        <w:rPr>
          <w:rFonts w:ascii="宋体" w:hAnsi="宋体"/>
          <w:color w:val="auto"/>
          <w:szCs w:val="21"/>
        </w:rPr>
        <w:t>建造师执业印章号：</w:t>
      </w:r>
      <w:r>
        <w:rPr>
          <w:rFonts w:hint="eastAsia" w:ascii="宋体" w:hAnsi="宋体"/>
          <w:color w:val="auto"/>
          <w:szCs w:val="21"/>
        </w:rPr>
        <w:t>；</w:t>
      </w:r>
    </w:p>
    <w:p w14:paraId="64453156">
      <w:pPr>
        <w:spacing w:line="440" w:lineRule="exact"/>
        <w:ind w:firstLine="420" w:firstLineChars="200"/>
        <w:rPr>
          <w:rFonts w:ascii="宋体" w:hAnsi="宋体"/>
          <w:color w:val="auto"/>
          <w:szCs w:val="21"/>
        </w:rPr>
      </w:pPr>
      <w:r>
        <w:rPr>
          <w:rFonts w:ascii="宋体" w:hAnsi="宋体"/>
          <w:color w:val="auto"/>
          <w:szCs w:val="21"/>
        </w:rPr>
        <w:t>安全生产考核合格证书号：</w:t>
      </w:r>
      <w:r>
        <w:rPr>
          <w:rFonts w:hint="eastAsia" w:ascii="宋体" w:hAnsi="宋体"/>
          <w:color w:val="auto"/>
          <w:szCs w:val="21"/>
        </w:rPr>
        <w:t>；</w:t>
      </w:r>
    </w:p>
    <w:p w14:paraId="72044A62">
      <w:pPr>
        <w:spacing w:line="440" w:lineRule="exact"/>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rPr>
        <w:t>；</w:t>
      </w:r>
    </w:p>
    <w:p w14:paraId="68D1E91C">
      <w:pPr>
        <w:spacing w:line="440" w:lineRule="exact"/>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rPr>
        <w:t>；</w:t>
      </w:r>
    </w:p>
    <w:p w14:paraId="72668D66">
      <w:pPr>
        <w:spacing w:line="440" w:lineRule="exact"/>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rPr>
        <w:t>；</w:t>
      </w:r>
    </w:p>
    <w:p w14:paraId="33C58A11">
      <w:pPr>
        <w:spacing w:line="440" w:lineRule="exact"/>
        <w:ind w:firstLine="420" w:firstLineChars="200"/>
        <w:rPr>
          <w:rFonts w:ascii="宋体" w:hAnsi="宋体"/>
          <w:color w:val="auto"/>
          <w:szCs w:val="21"/>
        </w:rPr>
      </w:pPr>
      <w:r>
        <w:rPr>
          <w:rFonts w:ascii="宋体" w:hAnsi="宋体"/>
          <w:color w:val="auto"/>
          <w:szCs w:val="21"/>
        </w:rPr>
        <w:t>承包人对项目经理的授权范围如下：</w:t>
      </w:r>
      <w:r>
        <w:rPr>
          <w:rFonts w:hint="eastAsia" w:ascii="宋体" w:hAnsi="宋体"/>
          <w:color w:val="auto"/>
          <w:szCs w:val="21"/>
          <w:u w:val="single"/>
        </w:rPr>
        <w:t>负责组织合同工程内容的施工</w:t>
      </w:r>
      <w:r>
        <w:rPr>
          <w:rFonts w:ascii="宋体" w:hAnsi="宋体"/>
          <w:color w:val="auto"/>
          <w:szCs w:val="21"/>
        </w:rPr>
        <w:t>。</w:t>
      </w:r>
    </w:p>
    <w:p w14:paraId="7A3A02E0">
      <w:pPr>
        <w:spacing w:line="440" w:lineRule="exact"/>
        <w:ind w:firstLine="420" w:firstLineChars="200"/>
        <w:jc w:val="left"/>
        <w:rPr>
          <w:rFonts w:ascii="宋体" w:hAnsi="宋体"/>
          <w:color w:val="auto"/>
          <w:kern w:val="0"/>
          <w:szCs w:val="21"/>
        </w:rPr>
      </w:pPr>
      <w:r>
        <w:rPr>
          <w:rFonts w:ascii="宋体" w:hAnsi="宋体"/>
          <w:color w:val="auto"/>
          <w:kern w:val="0"/>
          <w:szCs w:val="21"/>
        </w:rPr>
        <w:t>关于项目经理每月在施工现场的时间要求：</w:t>
      </w:r>
      <w:r>
        <w:rPr>
          <w:rFonts w:hint="eastAsia" w:ascii="宋体" w:hAnsi="宋体" w:cs="宋体"/>
          <w:color w:val="auto"/>
          <w:szCs w:val="21"/>
          <w:u w:val="single"/>
        </w:rPr>
        <w:t xml:space="preserve">     不少于5天且符合国家相关规定要求    </w:t>
      </w:r>
      <w:r>
        <w:rPr>
          <w:rFonts w:ascii="宋体" w:hAnsi="宋体"/>
          <w:color w:val="auto"/>
          <w:szCs w:val="21"/>
        </w:rPr>
        <w:t>。</w:t>
      </w:r>
    </w:p>
    <w:p w14:paraId="57B329B9">
      <w:pPr>
        <w:spacing w:line="440" w:lineRule="exact"/>
        <w:ind w:firstLine="420" w:firstLineChars="200"/>
        <w:rPr>
          <w:rFonts w:ascii="宋体" w:hAnsi="宋体"/>
          <w:color w:val="auto"/>
          <w:kern w:val="0"/>
          <w:szCs w:val="21"/>
        </w:rPr>
      </w:pPr>
      <w:r>
        <w:rPr>
          <w:rFonts w:ascii="宋体" w:hAnsi="宋体"/>
          <w:color w:val="auto"/>
          <w:kern w:val="0"/>
          <w:szCs w:val="21"/>
        </w:rPr>
        <w:t>承包人未提交劳动合同，以及没有为项目经理缴纳社会保险证明的违约责任：</w:t>
      </w:r>
      <w:r>
        <w:rPr>
          <w:rFonts w:hint="eastAsia" w:ascii="宋体" w:hAnsi="宋体"/>
          <w:color w:val="auto"/>
          <w:kern w:val="0"/>
          <w:szCs w:val="21"/>
          <w:u w:val="single"/>
        </w:rPr>
        <w:t>承包人支付违约金10000元，并责令限期提交劳动合同并补缴社会保险。如承包人未在规定期限内提交项目经理劳动合同和缴交社会保险证明材料的，则发包人可致函承包人要求更换项目经理，且承包人按1000元/天标准向发包人支付违约金直至承包人更换新的项目经理。如在更换项目经理期间造成发包人损失的，承包人须另行赔偿发包人损失。</w:t>
      </w:r>
    </w:p>
    <w:p w14:paraId="36D29F5D">
      <w:pPr>
        <w:spacing w:line="440" w:lineRule="exact"/>
        <w:ind w:firstLine="420" w:firstLineChars="200"/>
        <w:rPr>
          <w:rFonts w:ascii="宋体" w:hAnsi="宋体"/>
          <w:color w:val="auto"/>
          <w:szCs w:val="21"/>
          <w:u w:val="single"/>
        </w:rPr>
      </w:pPr>
      <w:r>
        <w:rPr>
          <w:rFonts w:ascii="宋体" w:hAnsi="宋体"/>
          <w:color w:val="auto"/>
          <w:kern w:val="0"/>
          <w:szCs w:val="21"/>
        </w:rPr>
        <w:t>项目经理未经批准，擅自离开施工现场的违约责任：</w:t>
      </w:r>
      <w:r>
        <w:rPr>
          <w:rFonts w:hint="eastAsia" w:ascii="宋体" w:hAnsi="宋体"/>
          <w:color w:val="auto"/>
          <w:kern w:val="0"/>
          <w:szCs w:val="21"/>
          <w:u w:val="single"/>
        </w:rPr>
        <w:t>未经发包人同意，项目经理擅自离岗的，视为承包人违约，承包人向发包人支付违约金人民币1000元/人•次</w:t>
      </w:r>
      <w:r>
        <w:rPr>
          <w:rFonts w:ascii="宋体" w:hAnsi="宋体"/>
          <w:color w:val="auto"/>
          <w:szCs w:val="21"/>
          <w:u w:val="single"/>
        </w:rPr>
        <w:t>。</w:t>
      </w:r>
    </w:p>
    <w:p w14:paraId="180D8CBD">
      <w:pPr>
        <w:spacing w:line="440" w:lineRule="exact"/>
        <w:ind w:firstLine="420" w:firstLineChars="200"/>
        <w:rPr>
          <w:rFonts w:ascii="宋体" w:hAnsi="宋体"/>
          <w:color w:val="auto"/>
          <w:szCs w:val="21"/>
        </w:rPr>
      </w:pPr>
      <w:r>
        <w:rPr>
          <w:rFonts w:ascii="宋体" w:hAnsi="宋体"/>
          <w:color w:val="auto"/>
          <w:szCs w:val="21"/>
        </w:rPr>
        <w:t>3.2.</w:t>
      </w:r>
      <w:r>
        <w:rPr>
          <w:rFonts w:hint="eastAsia" w:ascii="宋体" w:hAnsi="宋体"/>
          <w:color w:val="auto"/>
          <w:szCs w:val="21"/>
        </w:rPr>
        <w:t>2</w:t>
      </w:r>
      <w:r>
        <w:rPr>
          <w:rFonts w:ascii="宋体" w:hAnsi="宋体"/>
          <w:color w:val="auto"/>
          <w:szCs w:val="21"/>
        </w:rPr>
        <w:t xml:space="preserve"> 承包人擅自更换项目经理的违约责任：</w:t>
      </w:r>
      <w:r>
        <w:rPr>
          <w:rFonts w:hint="eastAsia" w:ascii="宋体" w:hAnsi="宋体"/>
          <w:color w:val="auto"/>
          <w:szCs w:val="21"/>
          <w:u w:val="single"/>
        </w:rPr>
        <w:t>承包人项目经理必须与承包人竞标时所承诺的人员一致，并在项目开工日期前到任。在监理人向承包人颁发（竣工证明材料名称）前，项目经理不得同时兼任其他任何项目的项目经理。未经发包人书面同意，承包人擅自更换项目经理的视为违约，违约金为人民币15000元/人•次。如发现承包人的项目经理同时兼任其他项目的，发包人视承包人违约，违约金为人民币20000元，同时报住建监管部门。</w:t>
      </w:r>
    </w:p>
    <w:p w14:paraId="7FBE5790">
      <w:pPr>
        <w:spacing w:line="440" w:lineRule="exact"/>
        <w:rPr>
          <w:rFonts w:ascii="宋体" w:hAnsi="宋体"/>
          <w:color w:val="auto"/>
          <w:szCs w:val="21"/>
          <w:u w:val="single"/>
        </w:rPr>
      </w:pPr>
      <w:r>
        <w:rPr>
          <w:rFonts w:ascii="宋体" w:hAnsi="宋体"/>
          <w:color w:val="auto"/>
          <w:szCs w:val="21"/>
        </w:rPr>
        <w:t xml:space="preserve">    3.2.</w:t>
      </w:r>
      <w:r>
        <w:rPr>
          <w:rFonts w:hint="eastAsia" w:ascii="宋体" w:hAnsi="宋体"/>
          <w:color w:val="auto"/>
          <w:szCs w:val="21"/>
        </w:rPr>
        <w:t>3</w:t>
      </w:r>
      <w:r>
        <w:rPr>
          <w:rFonts w:ascii="宋体" w:hAnsi="宋体"/>
          <w:color w:val="auto"/>
          <w:szCs w:val="21"/>
        </w:rPr>
        <w:t xml:space="preserve"> 承包人无正当理由拒绝更换项目经理的违约责任：</w:t>
      </w:r>
      <w:r>
        <w:rPr>
          <w:rFonts w:hint="eastAsia" w:ascii="宋体" w:hAnsi="宋体"/>
          <w:color w:val="auto"/>
          <w:szCs w:val="21"/>
          <w:u w:val="single"/>
        </w:rPr>
        <w:t>承包人项目经理因不称职，在收到发包人调换通知后7日内未调换的，视为承包人违约，必须向发包人支付违约金人民币10000元/人•次</w:t>
      </w:r>
      <w:r>
        <w:rPr>
          <w:rFonts w:ascii="宋体" w:hAnsi="宋体"/>
          <w:color w:val="auto"/>
          <w:szCs w:val="21"/>
          <w:u w:val="single"/>
        </w:rPr>
        <w:t>。</w:t>
      </w:r>
    </w:p>
    <w:p w14:paraId="504056FE">
      <w:pPr>
        <w:spacing w:after="120" w:line="440" w:lineRule="exact"/>
        <w:ind w:firstLine="420" w:firstLineChars="200"/>
        <w:rPr>
          <w:rFonts w:ascii="宋体" w:hAnsi="宋体"/>
          <w:color w:val="auto"/>
          <w:szCs w:val="21"/>
        </w:rPr>
      </w:pPr>
      <w:r>
        <w:rPr>
          <w:rFonts w:ascii="宋体" w:hAnsi="宋体"/>
          <w:color w:val="auto"/>
          <w:szCs w:val="21"/>
        </w:rPr>
        <w:t>3.3 承包人人员</w:t>
      </w:r>
    </w:p>
    <w:p w14:paraId="792B5223">
      <w:pPr>
        <w:spacing w:line="440" w:lineRule="exact"/>
        <w:ind w:firstLine="420" w:firstLineChars="200"/>
        <w:rPr>
          <w:rFonts w:ascii="宋体" w:hAnsi="宋体"/>
          <w:color w:val="auto"/>
          <w:szCs w:val="21"/>
        </w:rPr>
      </w:pPr>
      <w:r>
        <w:rPr>
          <w:rFonts w:ascii="宋体" w:hAnsi="宋体"/>
          <w:color w:val="auto"/>
          <w:szCs w:val="21"/>
        </w:rPr>
        <w:t>3.3.1 承包人提交项目管理机构及施工现场管理人员安排报告的期限：</w:t>
      </w:r>
      <w:r>
        <w:rPr>
          <w:rFonts w:hint="eastAsia" w:ascii="宋体" w:hAnsi="宋体"/>
          <w:color w:val="auto"/>
          <w:szCs w:val="21"/>
          <w:u w:val="single"/>
        </w:rPr>
        <w:t>开工前7天</w:t>
      </w:r>
      <w:r>
        <w:rPr>
          <w:rFonts w:ascii="宋体" w:hAnsi="宋体"/>
          <w:color w:val="auto"/>
          <w:szCs w:val="21"/>
        </w:rPr>
        <w:t>。</w:t>
      </w:r>
    </w:p>
    <w:p w14:paraId="49D268D1">
      <w:pPr>
        <w:spacing w:line="440" w:lineRule="exact"/>
        <w:ind w:firstLine="420" w:firstLineChars="200"/>
        <w:rPr>
          <w:rFonts w:ascii="宋体" w:hAnsi="宋体"/>
          <w:color w:val="auto"/>
          <w:szCs w:val="21"/>
        </w:rPr>
      </w:pPr>
      <w:r>
        <w:rPr>
          <w:rFonts w:ascii="宋体" w:hAnsi="宋体"/>
          <w:color w:val="auto"/>
          <w:szCs w:val="21"/>
        </w:rPr>
        <w:t>3.3.</w:t>
      </w:r>
      <w:r>
        <w:rPr>
          <w:rFonts w:hint="eastAsia" w:ascii="宋体" w:hAnsi="宋体"/>
          <w:color w:val="auto"/>
          <w:szCs w:val="21"/>
        </w:rPr>
        <w:t>2</w:t>
      </w:r>
      <w:r>
        <w:rPr>
          <w:rFonts w:ascii="宋体" w:hAnsi="宋体"/>
          <w:color w:val="auto"/>
          <w:szCs w:val="21"/>
        </w:rPr>
        <w:t xml:space="preserve"> 承包人无正当理由拒绝撤换主要施工管理人员的违约责任：</w:t>
      </w:r>
      <w:r>
        <w:rPr>
          <w:rFonts w:hint="eastAsia" w:ascii="宋体" w:hAnsi="宋体"/>
          <w:color w:val="auto"/>
          <w:szCs w:val="21"/>
          <w:u w:val="single"/>
        </w:rPr>
        <w:t>承包人主要施工管理人员因不称职，在收到发包人调换通知后7日内未调换的，视为承包人违约，必须向发包人承担违约责任并支付违约金，违约金按：技术负责人人民币10000元/人•次；专业工程师人民币5000元/人•次进行支付。</w:t>
      </w:r>
    </w:p>
    <w:p w14:paraId="649DDAC2">
      <w:pPr>
        <w:spacing w:line="440" w:lineRule="exact"/>
        <w:ind w:firstLine="420" w:firstLineChars="200"/>
        <w:rPr>
          <w:rFonts w:ascii="宋体" w:hAnsi="宋体"/>
          <w:color w:val="auto"/>
          <w:szCs w:val="21"/>
          <w:u w:val="single"/>
        </w:rPr>
      </w:pPr>
      <w:r>
        <w:rPr>
          <w:rFonts w:ascii="宋体" w:hAnsi="宋体"/>
          <w:color w:val="auto"/>
          <w:szCs w:val="21"/>
        </w:rPr>
        <w:t>3.3.</w:t>
      </w:r>
      <w:r>
        <w:rPr>
          <w:rFonts w:hint="eastAsia" w:ascii="宋体" w:hAnsi="宋体"/>
          <w:color w:val="auto"/>
          <w:szCs w:val="21"/>
        </w:rPr>
        <w:t>3</w:t>
      </w:r>
      <w:r>
        <w:rPr>
          <w:rFonts w:ascii="宋体" w:hAnsi="宋体"/>
          <w:color w:val="auto"/>
          <w:szCs w:val="21"/>
        </w:rPr>
        <w:t xml:space="preserve"> 承包人主要施工管理人员离开施工现场的批准要求：</w:t>
      </w:r>
      <w:r>
        <w:rPr>
          <w:rFonts w:hint="eastAsia" w:ascii="宋体" w:hAnsi="宋体"/>
          <w:color w:val="auto"/>
          <w:szCs w:val="21"/>
          <w:u w:val="single"/>
        </w:rPr>
        <w:t>须经发包人或监理人书面同意。</w:t>
      </w:r>
    </w:p>
    <w:p w14:paraId="11127A59">
      <w:pPr>
        <w:spacing w:line="440" w:lineRule="exact"/>
        <w:ind w:firstLine="420" w:firstLineChars="200"/>
        <w:rPr>
          <w:rFonts w:ascii="宋体" w:hAnsi="宋体"/>
          <w:color w:val="auto"/>
          <w:szCs w:val="21"/>
        </w:rPr>
      </w:pPr>
      <w:r>
        <w:rPr>
          <w:rFonts w:ascii="宋体" w:hAnsi="宋体"/>
          <w:color w:val="auto"/>
          <w:szCs w:val="21"/>
        </w:rPr>
        <w:t>3.3.</w:t>
      </w:r>
      <w:r>
        <w:rPr>
          <w:rFonts w:hint="eastAsia" w:ascii="宋体" w:hAnsi="宋体"/>
          <w:color w:val="auto"/>
          <w:szCs w:val="21"/>
        </w:rPr>
        <w:t>4</w:t>
      </w:r>
      <w:r>
        <w:rPr>
          <w:rFonts w:ascii="宋体" w:hAnsi="宋体"/>
          <w:color w:val="auto"/>
          <w:szCs w:val="21"/>
        </w:rPr>
        <w:t>承包人擅自更换主要施工管理人员的违约责任：</w:t>
      </w:r>
      <w:r>
        <w:rPr>
          <w:rFonts w:hint="eastAsia" w:ascii="宋体" w:hAnsi="宋体"/>
          <w:color w:val="auto"/>
          <w:szCs w:val="21"/>
          <w:u w:val="single"/>
        </w:rPr>
        <w:t>技术负责人、专业工程师未经发包人书面同意不准擅自更换，擅自更换技术负责人的按人民币100000元/人•次违约金进行支付；擅自更换专业工程师（施工员、专职安全生产管理人员、资料员）处人民币20000元/人•次违约金。项目管理人员出现身故、重伤、重病、离职及被发包人主动更换五者之一情况而无法履职的，承包人在出具相关证明后变更管理人员的，可免于向发包人支付违约金。如承包人需要调换施工现场管理人员时，需经发包人同意后生效。新调换施工管理人员应与被调换管理人员有相同或更优秀的资历（专业、职称、职业资格），否则，发包人有权拒绝。</w:t>
      </w:r>
    </w:p>
    <w:p w14:paraId="0DAFDC1E">
      <w:pPr>
        <w:spacing w:line="440" w:lineRule="exact"/>
        <w:ind w:firstLine="420" w:firstLineChars="200"/>
        <w:rPr>
          <w:rFonts w:ascii="宋体" w:hAnsi="宋体"/>
          <w:color w:val="auto"/>
          <w:szCs w:val="21"/>
        </w:rPr>
      </w:pPr>
      <w:r>
        <w:rPr>
          <w:rFonts w:ascii="宋体" w:hAnsi="宋体"/>
          <w:color w:val="auto"/>
          <w:szCs w:val="21"/>
        </w:rPr>
        <w:t>承包人主要施工管理人员擅自离开施工现场的违约责任：</w:t>
      </w:r>
      <w:r>
        <w:rPr>
          <w:rFonts w:hint="eastAsia" w:ascii="宋体" w:hAnsi="宋体"/>
          <w:color w:val="auto"/>
          <w:szCs w:val="21"/>
          <w:u w:val="single"/>
        </w:rPr>
        <w:t>未经发包人同意，技术负责人擅自离岗或者不到位的，视为承包人违约，承包人按人民币1000元/人•次（天）向发包人支付违约金；未经发包人同意，专业工程师（施工员、专职安全生产管理人员、资料员）擅自离岗或者不到位的，视为承包人违约，承包人按人民币500 元/人•次（天）向发包人支付违约金</w:t>
      </w:r>
      <w:r>
        <w:rPr>
          <w:rFonts w:ascii="宋体" w:hAnsi="宋体"/>
          <w:color w:val="auto"/>
          <w:szCs w:val="21"/>
          <w:u w:val="single"/>
        </w:rPr>
        <w:t>。</w:t>
      </w:r>
    </w:p>
    <w:p w14:paraId="3A303739">
      <w:pPr>
        <w:spacing w:after="120" w:line="440" w:lineRule="exact"/>
        <w:ind w:firstLine="420" w:firstLineChars="200"/>
        <w:rPr>
          <w:rFonts w:ascii="宋体" w:hAnsi="宋体"/>
          <w:color w:val="auto"/>
          <w:szCs w:val="21"/>
        </w:rPr>
      </w:pPr>
      <w:r>
        <w:rPr>
          <w:rFonts w:ascii="宋体" w:hAnsi="宋体"/>
          <w:color w:val="auto"/>
          <w:szCs w:val="21"/>
        </w:rPr>
        <w:t>3</w:t>
      </w:r>
      <w:bookmarkStart w:id="335" w:name="_Toc297048345"/>
      <w:bookmarkStart w:id="336" w:name="_Toc297216151"/>
      <w:bookmarkStart w:id="337" w:name="_Toc297123492"/>
      <w:bookmarkStart w:id="338" w:name="_Toc297120459"/>
      <w:bookmarkStart w:id="339" w:name="_Toc300934945"/>
      <w:bookmarkStart w:id="340" w:name="_Toc296347158"/>
      <w:bookmarkStart w:id="341" w:name="_Toc296944498"/>
      <w:bookmarkStart w:id="342" w:name="_Toc312677988"/>
      <w:bookmarkStart w:id="343" w:name="_Toc296891199"/>
      <w:bookmarkStart w:id="344" w:name="_Toc303539102"/>
      <w:bookmarkStart w:id="345" w:name="_Toc296890987"/>
      <w:bookmarkStart w:id="346" w:name="_Toc292559869"/>
      <w:bookmarkStart w:id="347" w:name="_Toc296346660"/>
      <w:bookmarkStart w:id="348" w:name="_Toc296503159"/>
      <w:bookmarkStart w:id="349" w:name="_Toc304295523"/>
      <w:bookmarkStart w:id="350" w:name="_Toc292559364"/>
      <w:r>
        <w:rPr>
          <w:rFonts w:ascii="宋体" w:hAnsi="宋体"/>
          <w:color w:val="auto"/>
          <w:szCs w:val="21"/>
        </w:rPr>
        <w:t>.5 分包</w:t>
      </w:r>
    </w:p>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027213EC">
      <w:pPr>
        <w:spacing w:line="440" w:lineRule="exact"/>
        <w:ind w:firstLine="420" w:firstLineChars="200"/>
        <w:rPr>
          <w:rFonts w:ascii="宋体" w:hAnsi="宋体"/>
          <w:color w:val="auto"/>
          <w:szCs w:val="21"/>
        </w:rPr>
      </w:pPr>
      <w:r>
        <w:rPr>
          <w:rFonts w:ascii="宋体" w:hAnsi="宋体"/>
          <w:color w:val="auto"/>
          <w:szCs w:val="21"/>
        </w:rPr>
        <w:t>3</w:t>
      </w:r>
      <w:bookmarkStart w:id="351" w:name="_Toc296347159"/>
      <w:bookmarkStart w:id="352" w:name="_Toc296503160"/>
      <w:bookmarkStart w:id="353" w:name="_Toc296890988"/>
      <w:bookmarkStart w:id="354" w:name="_Toc296346661"/>
      <w:bookmarkStart w:id="355" w:name="_Toc296891200"/>
      <w:bookmarkStart w:id="356" w:name="_Toc292559870"/>
      <w:bookmarkStart w:id="357" w:name="_Toc300934946"/>
      <w:bookmarkStart w:id="358" w:name="_Toc297048346"/>
      <w:bookmarkStart w:id="359" w:name="_Toc292559365"/>
      <w:bookmarkStart w:id="360" w:name="_Toc297216152"/>
      <w:bookmarkStart w:id="361" w:name="_Toc303539103"/>
      <w:bookmarkStart w:id="362" w:name="_Toc297120460"/>
      <w:bookmarkStart w:id="363" w:name="_Toc296944499"/>
      <w:bookmarkStart w:id="364" w:name="_Toc304295524"/>
      <w:bookmarkStart w:id="365" w:name="_Toc297123493"/>
      <w:bookmarkStart w:id="366" w:name="_Toc318581158"/>
      <w:bookmarkStart w:id="367" w:name="_Toc312677989"/>
      <w:r>
        <w:rPr>
          <w:rFonts w:ascii="宋体" w:hAnsi="宋体"/>
          <w:color w:val="auto"/>
          <w:szCs w:val="21"/>
        </w:rPr>
        <w:t>.5.1 分包的一般约定</w:t>
      </w:r>
    </w:p>
    <w:p w14:paraId="667B5C35">
      <w:pPr>
        <w:spacing w:line="440" w:lineRule="exact"/>
        <w:ind w:firstLine="420" w:firstLineChars="200"/>
        <w:jc w:val="left"/>
        <w:rPr>
          <w:rFonts w:ascii="宋体" w:hAnsi="宋体"/>
          <w:color w:val="auto"/>
          <w:szCs w:val="21"/>
        </w:rPr>
      </w:pPr>
      <w:r>
        <w:rPr>
          <w:rFonts w:ascii="宋体" w:hAnsi="宋体"/>
          <w:color w:val="auto"/>
          <w:szCs w:val="21"/>
        </w:rPr>
        <w:t>禁止分包的工程包括：</w:t>
      </w:r>
      <w:r>
        <w:rPr>
          <w:rFonts w:hint="eastAsia" w:ascii="宋体" w:hAnsi="宋体"/>
          <w:color w:val="auto"/>
          <w:szCs w:val="21"/>
        </w:rPr>
        <w:t>本工程禁止分包</w:t>
      </w:r>
      <w:r>
        <w:rPr>
          <w:rFonts w:hint="eastAsia" w:ascii="宋体" w:hAnsi="宋体" w:cs="宋体"/>
          <w:color w:val="auto"/>
          <w:szCs w:val="21"/>
          <w:u w:val="single"/>
        </w:rPr>
        <w:t xml:space="preserve">                </w:t>
      </w:r>
      <w:r>
        <w:rPr>
          <w:rFonts w:ascii="宋体" w:hAnsi="宋体"/>
          <w:color w:val="auto"/>
          <w:szCs w:val="21"/>
        </w:rPr>
        <w:t>。</w:t>
      </w:r>
    </w:p>
    <w:p w14:paraId="7E8AAAF8">
      <w:pPr>
        <w:spacing w:line="440" w:lineRule="exact"/>
        <w:ind w:firstLine="420" w:firstLineChars="200"/>
        <w:jc w:val="left"/>
        <w:rPr>
          <w:rFonts w:ascii="宋体" w:hAnsi="宋体"/>
          <w:color w:val="auto"/>
          <w:szCs w:val="21"/>
          <w:u w:val="single"/>
        </w:rPr>
      </w:pPr>
      <w:r>
        <w:rPr>
          <w:rFonts w:ascii="宋体" w:hAnsi="宋体"/>
          <w:color w:val="auto"/>
          <w:szCs w:val="21"/>
        </w:rPr>
        <w:t>主体结构、关键性工作的范围：</w:t>
      </w:r>
      <w:r>
        <w:rPr>
          <w:rFonts w:hint="eastAsia" w:ascii="宋体" w:hAnsi="宋体" w:cs="宋体"/>
          <w:color w:val="auto"/>
          <w:szCs w:val="21"/>
          <w:u w:val="single"/>
        </w:rPr>
        <w:t>/</w:t>
      </w:r>
      <w:r>
        <w:rPr>
          <w:rFonts w:ascii="宋体" w:hAnsi="宋体"/>
          <w:color w:val="auto"/>
          <w:szCs w:val="21"/>
        </w:rPr>
        <w:t>。</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Start w:id="368" w:name="_Toc296944500"/>
      <w:bookmarkStart w:id="369" w:name="_Toc297048347"/>
      <w:bookmarkStart w:id="370" w:name="_Toc300934947"/>
      <w:bookmarkStart w:id="371" w:name="_Toc303539104"/>
      <w:bookmarkStart w:id="372" w:name="_Toc297120461"/>
      <w:bookmarkStart w:id="373" w:name="_Toc297123494"/>
      <w:bookmarkStart w:id="374" w:name="_Toc304295525"/>
      <w:bookmarkStart w:id="375" w:name="_Toc296890989"/>
      <w:bookmarkStart w:id="376" w:name="_Toc297216153"/>
      <w:bookmarkStart w:id="377" w:name="_Toc296347160"/>
      <w:bookmarkStart w:id="378" w:name="_Toc296891201"/>
      <w:bookmarkStart w:id="379" w:name="_Toc296503161"/>
      <w:bookmarkStart w:id="380" w:name="_Toc296346662"/>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6712A983">
      <w:pPr>
        <w:spacing w:line="440" w:lineRule="exact"/>
        <w:rPr>
          <w:rFonts w:ascii="宋体" w:hAnsi="宋体"/>
          <w:color w:val="auto"/>
          <w:szCs w:val="21"/>
        </w:rPr>
      </w:pPr>
      <w:r>
        <w:rPr>
          <w:rFonts w:ascii="宋体" w:hAnsi="宋体"/>
          <w:color w:val="auto"/>
          <w:szCs w:val="21"/>
        </w:rPr>
        <w:t xml:space="preserve">    3</w:t>
      </w:r>
      <w:bookmarkStart w:id="381" w:name="_Toc318581159"/>
      <w:bookmarkStart w:id="382" w:name="_Toc312677990"/>
      <w:r>
        <w:rPr>
          <w:rFonts w:ascii="宋体" w:hAnsi="宋体"/>
          <w:color w:val="auto"/>
          <w:szCs w:val="21"/>
        </w:rPr>
        <w:t>.5.2分包的确定</w:t>
      </w:r>
    </w:p>
    <w:p w14:paraId="32D562FD">
      <w:pPr>
        <w:spacing w:line="440" w:lineRule="exact"/>
        <w:ind w:firstLine="420" w:firstLineChars="200"/>
        <w:rPr>
          <w:rFonts w:ascii="宋体" w:hAnsi="宋体"/>
          <w:color w:val="auto"/>
          <w:szCs w:val="21"/>
          <w:u w:val="single"/>
        </w:rPr>
      </w:pPr>
      <w:r>
        <w:rPr>
          <w:rFonts w:ascii="宋体" w:hAnsi="宋体"/>
          <w:color w:val="auto"/>
          <w:szCs w:val="21"/>
        </w:rPr>
        <w:t>允许分包的专业工程包括</w:t>
      </w:r>
      <w:r>
        <w:rPr>
          <w:rFonts w:ascii="宋体" w:hAnsi="宋体"/>
          <w:color w:val="auto"/>
          <w:szCs w:val="21"/>
          <w:u w:val="single"/>
        </w:rPr>
        <w:t>：</w:t>
      </w:r>
      <w:r>
        <w:rPr>
          <w:rFonts w:hint="eastAsia" w:ascii="宋体" w:hAnsi="宋体"/>
          <w:color w:val="auto"/>
          <w:szCs w:val="21"/>
          <w:u w:val="single"/>
        </w:rPr>
        <w:t>本工程禁止分包</w:t>
      </w:r>
      <w:r>
        <w:rPr>
          <w:rFonts w:hint="eastAsia" w:ascii="宋体" w:hAnsi="宋体" w:cs="宋体"/>
          <w:color w:val="auto"/>
          <w:szCs w:val="21"/>
          <w:u w:val="single"/>
        </w:rPr>
        <w:t xml:space="preserve">               </w:t>
      </w:r>
      <w:r>
        <w:rPr>
          <w:rFonts w:ascii="宋体" w:hAnsi="宋体"/>
          <w:color w:val="auto"/>
          <w:szCs w:val="21"/>
        </w:rPr>
        <w:t>。</w:t>
      </w:r>
    </w:p>
    <w:p w14:paraId="6FF4FE17">
      <w:pPr>
        <w:spacing w:line="440" w:lineRule="exact"/>
        <w:ind w:firstLine="420" w:firstLineChars="200"/>
        <w:rPr>
          <w:rFonts w:ascii="宋体" w:hAnsi="宋体"/>
          <w:color w:val="auto"/>
          <w:szCs w:val="21"/>
        </w:rPr>
      </w:pPr>
      <w:r>
        <w:rPr>
          <w:rFonts w:ascii="宋体" w:hAnsi="宋体"/>
          <w:color w:val="auto"/>
          <w:szCs w:val="21"/>
        </w:rPr>
        <w:t>其他关于分包的约定：。</w:t>
      </w:r>
    </w:p>
    <w:p w14:paraId="1F1F3E93">
      <w:pPr>
        <w:spacing w:line="440" w:lineRule="exact"/>
        <w:ind w:firstLine="420" w:firstLineChars="200"/>
        <w:rPr>
          <w:rFonts w:ascii="宋体" w:hAnsi="宋体"/>
          <w:color w:val="auto"/>
          <w:szCs w:val="21"/>
        </w:rPr>
      </w:pPr>
      <w:r>
        <w:rPr>
          <w:rFonts w:ascii="宋体" w:hAnsi="宋体"/>
          <w:color w:val="auto"/>
          <w:szCs w:val="21"/>
        </w:rPr>
        <w:t>3.5.</w:t>
      </w:r>
      <w:r>
        <w:rPr>
          <w:rFonts w:hint="eastAsia" w:ascii="宋体" w:hAnsi="宋体"/>
          <w:color w:val="auto"/>
          <w:szCs w:val="21"/>
        </w:rPr>
        <w:t>3</w:t>
      </w:r>
      <w:r>
        <w:rPr>
          <w:rFonts w:ascii="宋体" w:hAnsi="宋体"/>
          <w:color w:val="auto"/>
          <w:szCs w:val="21"/>
        </w:rPr>
        <w:t xml:space="preserve"> 分包合同价款</w:t>
      </w:r>
    </w:p>
    <w:p w14:paraId="473DA7C3">
      <w:pPr>
        <w:spacing w:line="440" w:lineRule="exact"/>
        <w:ind w:firstLine="420" w:firstLineChars="200"/>
        <w:rPr>
          <w:rFonts w:ascii="宋体" w:hAnsi="宋体"/>
          <w:color w:val="auto"/>
          <w:szCs w:val="21"/>
        </w:rPr>
      </w:pPr>
      <w:r>
        <w:rPr>
          <w:rFonts w:ascii="宋体" w:hAnsi="宋体"/>
          <w:color w:val="auto"/>
          <w:szCs w:val="21"/>
        </w:rPr>
        <w:t>关于分包合同价款支付的约定：</w:t>
      </w:r>
      <w:r>
        <w:rPr>
          <w:rFonts w:hint="eastAsia" w:ascii="宋体" w:hAnsi="宋体" w:cs="宋体"/>
          <w:color w:val="auto"/>
          <w:szCs w:val="21"/>
          <w:u w:val="single"/>
        </w:rPr>
        <w:t xml:space="preserve">无        </w:t>
      </w:r>
      <w:r>
        <w:rPr>
          <w:rFonts w:ascii="宋体" w:hAnsi="宋体"/>
          <w:color w:val="auto"/>
          <w:szCs w:val="21"/>
        </w:rPr>
        <w:t>。</w:t>
      </w:r>
    </w:p>
    <w:bookmarkEnd w:id="381"/>
    <w:bookmarkEnd w:id="382"/>
    <w:p w14:paraId="73739ED3">
      <w:pPr>
        <w:spacing w:after="120" w:line="440" w:lineRule="exact"/>
        <w:ind w:firstLine="420" w:firstLineChars="200"/>
        <w:rPr>
          <w:rFonts w:ascii="宋体" w:hAnsi="宋体"/>
          <w:color w:val="auto"/>
          <w:szCs w:val="21"/>
        </w:rPr>
      </w:pPr>
      <w:r>
        <w:rPr>
          <w:rFonts w:ascii="宋体" w:hAnsi="宋体"/>
          <w:color w:val="auto"/>
          <w:szCs w:val="21"/>
        </w:rPr>
        <w:t>3.6 工程照管与成品、半成品保护</w:t>
      </w:r>
    </w:p>
    <w:p w14:paraId="5741782E">
      <w:pPr>
        <w:spacing w:before="120" w:after="120" w:line="440" w:lineRule="exact"/>
        <w:ind w:firstLine="420" w:firstLineChars="200"/>
        <w:rPr>
          <w:rFonts w:ascii="宋体" w:hAnsi="宋体"/>
          <w:color w:val="auto"/>
          <w:kern w:val="0"/>
          <w:szCs w:val="21"/>
          <w:u w:val="single"/>
        </w:rPr>
      </w:pPr>
      <w:r>
        <w:rPr>
          <w:rFonts w:ascii="宋体" w:hAnsi="宋体"/>
          <w:color w:val="auto"/>
          <w:kern w:val="0"/>
          <w:szCs w:val="21"/>
        </w:rPr>
        <w:t>承包人负责照管工程及工程相关的材料、工程设备的起始时间：。</w:t>
      </w:r>
    </w:p>
    <w:p w14:paraId="365A192E">
      <w:pPr>
        <w:spacing w:after="120" w:line="440" w:lineRule="exact"/>
        <w:ind w:firstLine="420" w:firstLineChars="200"/>
        <w:rPr>
          <w:rFonts w:ascii="宋体" w:hAnsi="宋体"/>
          <w:color w:val="auto"/>
          <w:szCs w:val="21"/>
        </w:rPr>
      </w:pPr>
      <w:r>
        <w:rPr>
          <w:rFonts w:ascii="宋体" w:hAnsi="宋体"/>
          <w:color w:val="auto"/>
          <w:szCs w:val="21"/>
        </w:rPr>
        <w:t>3.7 履约担保</w:t>
      </w:r>
    </w:p>
    <w:p w14:paraId="1916BADC">
      <w:pPr>
        <w:spacing w:line="440" w:lineRule="exact"/>
        <w:ind w:firstLine="420" w:firstLineChars="200"/>
        <w:jc w:val="left"/>
        <w:rPr>
          <w:rFonts w:ascii="宋体" w:hAnsi="宋体"/>
          <w:color w:val="auto"/>
          <w:szCs w:val="21"/>
        </w:rPr>
      </w:pPr>
      <w:bookmarkStart w:id="383" w:name="_Toc351203636"/>
      <w:r>
        <w:rPr>
          <w:rFonts w:hint="eastAsia" w:ascii="宋体" w:hAnsi="宋体"/>
          <w:color w:val="auto"/>
          <w:szCs w:val="21"/>
        </w:rPr>
        <w:t>承包人是否提供履约担保：</w:t>
      </w:r>
      <w:r>
        <w:rPr>
          <w:rFonts w:hint="eastAsia" w:ascii="宋体" w:hAnsi="宋体"/>
          <w:color w:val="auto"/>
          <w:szCs w:val="21"/>
          <w:u w:val="single"/>
        </w:rPr>
        <w:t>无</w:t>
      </w:r>
      <w:r>
        <w:rPr>
          <w:rFonts w:ascii="宋体" w:hAnsi="宋体"/>
          <w:color w:val="auto"/>
          <w:szCs w:val="21"/>
        </w:rPr>
        <w:t>。</w:t>
      </w:r>
    </w:p>
    <w:p w14:paraId="08C1BB94">
      <w:pPr>
        <w:spacing w:line="440" w:lineRule="exact"/>
        <w:ind w:firstLine="420" w:firstLineChars="200"/>
        <w:jc w:val="left"/>
        <w:rPr>
          <w:rFonts w:ascii="宋体" w:hAnsi="宋体"/>
          <w:color w:val="auto"/>
          <w:szCs w:val="21"/>
        </w:rPr>
      </w:pPr>
      <w:r>
        <w:rPr>
          <w:rFonts w:ascii="宋体" w:hAnsi="宋体"/>
          <w:color w:val="auto"/>
          <w:szCs w:val="21"/>
        </w:rPr>
        <w:t>承包人提供履约担保的形式</w:t>
      </w:r>
      <w:r>
        <w:rPr>
          <w:rFonts w:hint="eastAsia" w:ascii="宋体" w:hAnsi="宋体"/>
          <w:color w:val="auto"/>
          <w:szCs w:val="21"/>
        </w:rPr>
        <w:t>、金额及期限的</w:t>
      </w:r>
      <w:r>
        <w:rPr>
          <w:rFonts w:ascii="宋体" w:hAnsi="宋体"/>
          <w:color w:val="auto"/>
          <w:szCs w:val="21"/>
        </w:rPr>
        <w:t>：</w:t>
      </w:r>
      <w:r>
        <w:rPr>
          <w:rFonts w:hint="eastAsia" w:ascii="宋体" w:hAnsi="宋体"/>
          <w:color w:val="auto"/>
          <w:szCs w:val="21"/>
          <w:u w:val="single"/>
        </w:rPr>
        <w:t>无</w:t>
      </w:r>
      <w:r>
        <w:rPr>
          <w:rFonts w:ascii="宋体" w:hAnsi="宋体"/>
          <w:color w:val="auto"/>
          <w:szCs w:val="21"/>
        </w:rPr>
        <w:t>。</w:t>
      </w:r>
    </w:p>
    <w:p w14:paraId="2D0530EF">
      <w:pPr>
        <w:keepNext/>
        <w:keepLines/>
        <w:widowControl/>
        <w:spacing w:before="120" w:after="120" w:line="440" w:lineRule="exact"/>
        <w:outlineLvl w:val="3"/>
        <w:rPr>
          <w:rFonts w:ascii="宋体" w:hAnsi="宋体" w:eastAsia="黑体"/>
          <w:b/>
          <w:color w:val="auto"/>
          <w:kern w:val="0"/>
          <w:sz w:val="28"/>
          <w:szCs w:val="21"/>
        </w:rPr>
      </w:pPr>
      <w:r>
        <w:rPr>
          <w:rFonts w:ascii="宋体" w:hAnsi="宋体" w:eastAsia="黑体"/>
          <w:b/>
          <w:color w:val="auto"/>
          <w:kern w:val="0"/>
          <w:sz w:val="28"/>
          <w:szCs w:val="21"/>
        </w:rPr>
        <w:t>4</w:t>
      </w:r>
      <w:bookmarkStart w:id="384" w:name="_Toc296346663"/>
      <w:bookmarkStart w:id="385" w:name="_Toc296891202"/>
      <w:bookmarkStart w:id="386" w:name="_Toc267251413"/>
      <w:bookmarkStart w:id="387" w:name="_Toc296503162"/>
      <w:bookmarkStart w:id="388" w:name="_Toc296890990"/>
      <w:bookmarkStart w:id="389" w:name="_Toc296347161"/>
      <w:bookmarkStart w:id="390" w:name="_Toc296944501"/>
      <w:bookmarkStart w:id="391" w:name="_Toc292559366"/>
      <w:bookmarkStart w:id="392" w:name="_Toc297120462"/>
      <w:bookmarkStart w:id="393" w:name="_Toc292559871"/>
      <w:bookmarkStart w:id="394" w:name="_Toc297048348"/>
      <w:r>
        <w:rPr>
          <w:rFonts w:ascii="宋体" w:hAnsi="宋体" w:eastAsia="黑体"/>
          <w:b/>
          <w:color w:val="auto"/>
          <w:kern w:val="0"/>
          <w:sz w:val="28"/>
          <w:szCs w:val="21"/>
        </w:rPr>
        <w:t>. 监</w:t>
      </w:r>
      <w:bookmarkEnd w:id="384"/>
      <w:bookmarkEnd w:id="385"/>
      <w:bookmarkEnd w:id="386"/>
      <w:bookmarkEnd w:id="387"/>
      <w:bookmarkEnd w:id="388"/>
      <w:bookmarkEnd w:id="389"/>
      <w:bookmarkEnd w:id="390"/>
      <w:bookmarkEnd w:id="391"/>
      <w:bookmarkEnd w:id="392"/>
      <w:bookmarkEnd w:id="393"/>
      <w:bookmarkEnd w:id="394"/>
      <w:r>
        <w:rPr>
          <w:rFonts w:ascii="宋体" w:hAnsi="宋体" w:eastAsia="黑体"/>
          <w:b/>
          <w:color w:val="auto"/>
          <w:kern w:val="0"/>
          <w:sz w:val="28"/>
          <w:szCs w:val="21"/>
        </w:rPr>
        <w:t>理人</w:t>
      </w:r>
      <w:bookmarkEnd w:id="383"/>
    </w:p>
    <w:p w14:paraId="6748F196">
      <w:pPr>
        <w:spacing w:after="120" w:line="440" w:lineRule="exact"/>
        <w:ind w:firstLine="420" w:firstLineChars="200"/>
        <w:rPr>
          <w:rFonts w:ascii="宋体" w:hAnsi="宋体"/>
          <w:color w:val="auto"/>
          <w:szCs w:val="21"/>
        </w:rPr>
      </w:pPr>
      <w:r>
        <w:rPr>
          <w:rFonts w:ascii="宋体" w:hAnsi="宋体"/>
          <w:color w:val="auto"/>
          <w:szCs w:val="21"/>
        </w:rPr>
        <w:t>4.1监理人的一般规定</w:t>
      </w:r>
    </w:p>
    <w:p w14:paraId="4F17FD95">
      <w:pPr>
        <w:spacing w:line="440" w:lineRule="exact"/>
        <w:ind w:firstLine="420" w:firstLineChars="200"/>
        <w:jc w:val="left"/>
        <w:rPr>
          <w:rFonts w:ascii="宋体" w:hAnsi="宋体"/>
          <w:color w:val="auto"/>
          <w:szCs w:val="21"/>
        </w:rPr>
      </w:pPr>
      <w:r>
        <w:rPr>
          <w:rFonts w:ascii="宋体" w:hAnsi="宋体"/>
          <w:color w:val="auto"/>
          <w:szCs w:val="21"/>
        </w:rPr>
        <w:t>关于监理人的监理内容：。</w:t>
      </w:r>
    </w:p>
    <w:p w14:paraId="1DE7D2B8">
      <w:pPr>
        <w:spacing w:line="440" w:lineRule="exact"/>
        <w:ind w:firstLine="420" w:firstLineChars="200"/>
        <w:jc w:val="left"/>
        <w:rPr>
          <w:rFonts w:ascii="宋体" w:hAnsi="宋体"/>
          <w:color w:val="auto"/>
          <w:szCs w:val="21"/>
        </w:rPr>
      </w:pPr>
      <w:r>
        <w:rPr>
          <w:rFonts w:ascii="宋体" w:hAnsi="宋体"/>
          <w:color w:val="auto"/>
          <w:szCs w:val="21"/>
        </w:rPr>
        <w:t xml:space="preserve">关于监理人的监理权限：。 </w:t>
      </w:r>
    </w:p>
    <w:p w14:paraId="373A81F0">
      <w:pPr>
        <w:spacing w:line="440" w:lineRule="exact"/>
        <w:ind w:firstLine="420" w:firstLineChars="200"/>
        <w:rPr>
          <w:rFonts w:ascii="宋体" w:hAnsi="宋体"/>
          <w:color w:val="auto"/>
          <w:szCs w:val="21"/>
        </w:rPr>
      </w:pPr>
      <w:r>
        <w:rPr>
          <w:rFonts w:ascii="宋体" w:hAnsi="宋体"/>
          <w:color w:val="auto"/>
          <w:szCs w:val="21"/>
        </w:rPr>
        <w:t>关于监理人在施工现场的办公场所、生活场所的提供和费用承担的约定：。</w:t>
      </w:r>
    </w:p>
    <w:p w14:paraId="0BD1BFF5">
      <w:pPr>
        <w:spacing w:after="120" w:line="440" w:lineRule="exact"/>
        <w:ind w:firstLine="420" w:firstLineChars="200"/>
        <w:rPr>
          <w:rFonts w:ascii="宋体" w:hAnsi="宋体"/>
          <w:color w:val="auto"/>
          <w:szCs w:val="21"/>
        </w:rPr>
      </w:pPr>
      <w:r>
        <w:rPr>
          <w:rFonts w:ascii="宋体" w:hAnsi="宋体"/>
          <w:color w:val="auto"/>
          <w:szCs w:val="21"/>
        </w:rPr>
        <w:t>4.2 监理人员</w:t>
      </w:r>
    </w:p>
    <w:p w14:paraId="2148C1EC">
      <w:pPr>
        <w:spacing w:line="440" w:lineRule="exact"/>
        <w:ind w:firstLine="420" w:firstLineChars="200"/>
        <w:rPr>
          <w:rFonts w:ascii="宋体" w:hAnsi="宋体"/>
          <w:color w:val="auto"/>
          <w:szCs w:val="21"/>
        </w:rPr>
      </w:pPr>
      <w:r>
        <w:rPr>
          <w:rFonts w:ascii="宋体" w:hAnsi="宋体"/>
          <w:color w:val="auto"/>
          <w:szCs w:val="21"/>
        </w:rPr>
        <w:t>总监理工程师：</w:t>
      </w:r>
    </w:p>
    <w:p w14:paraId="390F9054">
      <w:pPr>
        <w:spacing w:line="440" w:lineRule="exact"/>
        <w:ind w:firstLine="420" w:firstLineChars="200"/>
        <w:rPr>
          <w:rFonts w:ascii="宋体" w:hAnsi="宋体"/>
          <w:color w:val="auto"/>
          <w:szCs w:val="21"/>
        </w:rPr>
      </w:pPr>
      <w:r>
        <w:rPr>
          <w:rFonts w:ascii="宋体" w:hAnsi="宋体"/>
          <w:color w:val="auto"/>
          <w:szCs w:val="21"/>
        </w:rPr>
        <w:t>姓    名：</w:t>
      </w:r>
      <w:r>
        <w:rPr>
          <w:rFonts w:hint="eastAsia" w:ascii="宋体" w:hAnsi="宋体"/>
          <w:color w:val="auto"/>
          <w:szCs w:val="21"/>
        </w:rPr>
        <w:t>；</w:t>
      </w:r>
    </w:p>
    <w:p w14:paraId="4F7E837C">
      <w:pPr>
        <w:spacing w:line="440" w:lineRule="exact"/>
        <w:ind w:firstLine="420" w:firstLineChars="200"/>
        <w:rPr>
          <w:rFonts w:ascii="宋体" w:hAnsi="宋体"/>
          <w:color w:val="auto"/>
          <w:szCs w:val="21"/>
        </w:rPr>
      </w:pPr>
      <w:r>
        <w:rPr>
          <w:rFonts w:ascii="宋体" w:hAnsi="宋体"/>
          <w:color w:val="auto"/>
          <w:szCs w:val="21"/>
        </w:rPr>
        <w:t>职    务：</w:t>
      </w:r>
      <w:r>
        <w:rPr>
          <w:rFonts w:hint="eastAsia" w:ascii="宋体" w:hAnsi="宋体"/>
          <w:color w:val="auto"/>
          <w:szCs w:val="21"/>
        </w:rPr>
        <w:t>；</w:t>
      </w:r>
    </w:p>
    <w:p w14:paraId="555A70D6">
      <w:pPr>
        <w:spacing w:line="440" w:lineRule="exact"/>
        <w:ind w:firstLine="420" w:firstLineChars="200"/>
        <w:rPr>
          <w:rFonts w:ascii="宋体" w:hAnsi="宋体"/>
          <w:color w:val="auto"/>
          <w:szCs w:val="21"/>
        </w:rPr>
      </w:pPr>
      <w:r>
        <w:rPr>
          <w:rFonts w:ascii="宋体" w:hAnsi="宋体"/>
          <w:color w:val="auto"/>
          <w:szCs w:val="21"/>
        </w:rPr>
        <w:t>监理工程师执业资格证书号：</w:t>
      </w:r>
      <w:r>
        <w:rPr>
          <w:rFonts w:hint="eastAsia" w:ascii="宋体" w:hAnsi="宋体"/>
          <w:color w:val="auto"/>
          <w:szCs w:val="21"/>
        </w:rPr>
        <w:t>；</w:t>
      </w:r>
    </w:p>
    <w:p w14:paraId="0D8CCF39">
      <w:pPr>
        <w:spacing w:line="440" w:lineRule="exact"/>
        <w:ind w:firstLine="420" w:firstLineChars="200"/>
        <w:rPr>
          <w:rFonts w:ascii="宋体" w:hAnsi="宋体"/>
          <w:color w:val="auto"/>
          <w:szCs w:val="21"/>
        </w:rPr>
      </w:pPr>
      <w:r>
        <w:rPr>
          <w:rFonts w:ascii="宋体" w:hAnsi="宋体"/>
          <w:color w:val="auto"/>
          <w:szCs w:val="21"/>
        </w:rPr>
        <w:t>联系电话：</w:t>
      </w:r>
      <w:r>
        <w:rPr>
          <w:rFonts w:hint="eastAsia" w:ascii="宋体" w:hAnsi="宋体"/>
          <w:color w:val="auto"/>
          <w:szCs w:val="21"/>
        </w:rPr>
        <w:t>；</w:t>
      </w:r>
    </w:p>
    <w:p w14:paraId="464E81A8">
      <w:pPr>
        <w:spacing w:line="440" w:lineRule="exact"/>
        <w:ind w:firstLine="420" w:firstLineChars="200"/>
        <w:rPr>
          <w:rFonts w:ascii="宋体" w:hAnsi="宋体"/>
          <w:color w:val="auto"/>
          <w:szCs w:val="21"/>
        </w:rPr>
      </w:pPr>
      <w:r>
        <w:rPr>
          <w:rFonts w:ascii="宋体" w:hAnsi="宋体"/>
          <w:color w:val="auto"/>
          <w:szCs w:val="21"/>
        </w:rPr>
        <w:t>电子信箱：</w:t>
      </w:r>
      <w:r>
        <w:rPr>
          <w:rFonts w:hint="eastAsia" w:ascii="宋体" w:hAnsi="宋体"/>
          <w:color w:val="auto"/>
          <w:szCs w:val="21"/>
        </w:rPr>
        <w:t>；</w:t>
      </w:r>
    </w:p>
    <w:p w14:paraId="7AFF9B86">
      <w:pPr>
        <w:spacing w:line="440" w:lineRule="exact"/>
        <w:ind w:firstLine="420" w:firstLineChars="200"/>
        <w:rPr>
          <w:rFonts w:ascii="宋体" w:hAnsi="宋体"/>
          <w:color w:val="auto"/>
          <w:szCs w:val="21"/>
        </w:rPr>
      </w:pPr>
      <w:r>
        <w:rPr>
          <w:rFonts w:ascii="宋体" w:hAnsi="宋体"/>
          <w:color w:val="auto"/>
          <w:szCs w:val="21"/>
        </w:rPr>
        <w:t>通信地址：</w:t>
      </w:r>
      <w:r>
        <w:rPr>
          <w:rFonts w:hint="eastAsia" w:ascii="宋体" w:hAnsi="宋体"/>
          <w:color w:val="auto"/>
          <w:szCs w:val="21"/>
        </w:rPr>
        <w:t>；</w:t>
      </w:r>
    </w:p>
    <w:p w14:paraId="6264D32F">
      <w:pPr>
        <w:spacing w:line="440" w:lineRule="exact"/>
        <w:ind w:firstLine="420" w:firstLineChars="200"/>
        <w:rPr>
          <w:rFonts w:ascii="宋体" w:hAnsi="宋体"/>
          <w:color w:val="auto"/>
          <w:szCs w:val="21"/>
        </w:rPr>
      </w:pPr>
      <w:r>
        <w:rPr>
          <w:rFonts w:ascii="宋体" w:hAnsi="宋体"/>
          <w:color w:val="auto"/>
          <w:szCs w:val="21"/>
        </w:rPr>
        <w:t>关于监理人的其他约定：。</w:t>
      </w:r>
    </w:p>
    <w:p w14:paraId="3D590A8D">
      <w:pPr>
        <w:spacing w:after="120" w:line="440" w:lineRule="exact"/>
        <w:ind w:firstLine="420" w:firstLineChars="200"/>
        <w:rPr>
          <w:rFonts w:ascii="宋体" w:hAnsi="宋体"/>
          <w:color w:val="auto"/>
          <w:szCs w:val="21"/>
        </w:rPr>
      </w:pPr>
      <w:r>
        <w:rPr>
          <w:rFonts w:ascii="宋体" w:hAnsi="宋体"/>
          <w:color w:val="auto"/>
          <w:szCs w:val="21"/>
        </w:rPr>
        <w:t>4.</w:t>
      </w:r>
      <w:r>
        <w:rPr>
          <w:rFonts w:hint="eastAsia" w:ascii="宋体" w:hAnsi="宋体"/>
          <w:color w:val="auto"/>
          <w:szCs w:val="21"/>
        </w:rPr>
        <w:t>3</w:t>
      </w:r>
      <w:r>
        <w:rPr>
          <w:rFonts w:ascii="宋体" w:hAnsi="宋体"/>
          <w:color w:val="auto"/>
          <w:szCs w:val="21"/>
        </w:rPr>
        <w:t xml:space="preserve"> 商定或确定</w:t>
      </w:r>
    </w:p>
    <w:p w14:paraId="40F1C529">
      <w:pPr>
        <w:spacing w:line="440" w:lineRule="exact"/>
        <w:ind w:firstLine="420" w:firstLineChars="200"/>
        <w:rPr>
          <w:rFonts w:ascii="宋体" w:hAnsi="宋体"/>
          <w:color w:val="auto"/>
          <w:szCs w:val="21"/>
        </w:rPr>
      </w:pPr>
      <w:bookmarkStart w:id="395" w:name="_Toc267251418"/>
      <w:r>
        <w:rPr>
          <w:rFonts w:ascii="宋体" w:hAnsi="宋体"/>
          <w:color w:val="auto"/>
          <w:szCs w:val="21"/>
        </w:rPr>
        <w:t>在发包人和承包人不能通过协商达成一致意见时，发包人授权监理人对以下事项进行确定：</w:t>
      </w:r>
    </w:p>
    <w:p w14:paraId="704B607E">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（1）</w:t>
      </w:r>
      <w:r>
        <w:rPr>
          <w:rFonts w:hint="eastAsia" w:ascii="宋体" w:hAnsi="宋体"/>
          <w:color w:val="auto"/>
          <w:szCs w:val="21"/>
        </w:rPr>
        <w:t>；</w:t>
      </w:r>
    </w:p>
    <w:p w14:paraId="322446BC">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（2）</w:t>
      </w:r>
      <w:r>
        <w:rPr>
          <w:rFonts w:hint="eastAsia" w:ascii="宋体" w:hAnsi="宋体"/>
          <w:color w:val="auto"/>
          <w:szCs w:val="21"/>
        </w:rPr>
        <w:t>；</w:t>
      </w:r>
    </w:p>
    <w:p w14:paraId="768958B6">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（3）</w:t>
      </w:r>
      <w:r>
        <w:rPr>
          <w:rFonts w:ascii="宋体" w:hAnsi="宋体"/>
          <w:color w:val="auto"/>
          <w:szCs w:val="21"/>
        </w:rPr>
        <w:t>。</w:t>
      </w:r>
    </w:p>
    <w:p w14:paraId="727054C9">
      <w:pPr>
        <w:keepNext/>
        <w:keepLines/>
        <w:widowControl/>
        <w:spacing w:before="120" w:after="120" w:line="440" w:lineRule="exact"/>
        <w:outlineLvl w:val="3"/>
        <w:rPr>
          <w:rFonts w:ascii="宋体" w:hAnsi="宋体" w:eastAsia="黑体"/>
          <w:b/>
          <w:color w:val="auto"/>
          <w:kern w:val="0"/>
          <w:sz w:val="28"/>
          <w:szCs w:val="21"/>
        </w:rPr>
      </w:pPr>
      <w:bookmarkStart w:id="396" w:name="_Toc351203637"/>
      <w:r>
        <w:rPr>
          <w:rFonts w:ascii="宋体" w:hAnsi="宋体" w:eastAsia="黑体"/>
          <w:b/>
          <w:color w:val="auto"/>
          <w:kern w:val="0"/>
          <w:sz w:val="28"/>
          <w:szCs w:val="21"/>
        </w:rPr>
        <w:t>5</w:t>
      </w:r>
      <w:bookmarkEnd w:id="395"/>
      <w:bookmarkStart w:id="397" w:name="_Toc292559367"/>
      <w:bookmarkStart w:id="398" w:name="_Toc297120463"/>
      <w:bookmarkStart w:id="399" w:name="_Toc296346664"/>
      <w:bookmarkStart w:id="400" w:name="_Toc296891203"/>
      <w:bookmarkStart w:id="401" w:name="_Toc296503163"/>
      <w:bookmarkStart w:id="402" w:name="_Toc292559872"/>
      <w:bookmarkStart w:id="403" w:name="_Toc296347162"/>
      <w:bookmarkStart w:id="404" w:name="_Toc296944502"/>
      <w:bookmarkStart w:id="405" w:name="_Toc296890991"/>
      <w:bookmarkStart w:id="406" w:name="_Toc297048349"/>
      <w:r>
        <w:rPr>
          <w:rFonts w:ascii="宋体" w:hAnsi="宋体" w:eastAsia="黑体"/>
          <w:b/>
          <w:color w:val="auto"/>
          <w:kern w:val="0"/>
          <w:sz w:val="28"/>
          <w:szCs w:val="21"/>
        </w:rPr>
        <w:t>. 工程质量</w:t>
      </w:r>
      <w:bookmarkEnd w:id="396"/>
    </w:p>
    <w:p w14:paraId="28FF785D">
      <w:pPr>
        <w:spacing w:after="120" w:line="440" w:lineRule="exact"/>
        <w:ind w:firstLine="420" w:firstLineChars="200"/>
        <w:rPr>
          <w:rFonts w:ascii="宋体" w:hAnsi="宋体"/>
          <w:color w:val="auto"/>
          <w:szCs w:val="21"/>
        </w:rPr>
      </w:pPr>
      <w:r>
        <w:rPr>
          <w:rFonts w:ascii="宋体" w:hAnsi="宋体"/>
          <w:color w:val="auto"/>
          <w:szCs w:val="21"/>
        </w:rPr>
        <w:t>5.1 质量要求</w:t>
      </w:r>
    </w:p>
    <w:p w14:paraId="5960AC5D">
      <w:pPr>
        <w:spacing w:line="440" w:lineRule="exact"/>
        <w:ind w:firstLine="420" w:firstLineChars="200"/>
        <w:jc w:val="left"/>
        <w:rPr>
          <w:rFonts w:ascii="宋体" w:hAnsi="宋体"/>
          <w:color w:val="auto"/>
          <w:szCs w:val="21"/>
        </w:rPr>
      </w:pPr>
      <w:r>
        <w:rPr>
          <w:rFonts w:ascii="宋体" w:hAnsi="宋体"/>
          <w:color w:val="auto"/>
          <w:szCs w:val="21"/>
        </w:rPr>
        <w:t>5</w:t>
      </w:r>
      <w:bookmarkStart w:id="407" w:name="_Toc297216155"/>
      <w:bookmarkStart w:id="408" w:name="_Toc300934949"/>
      <w:bookmarkStart w:id="409" w:name="_Toc304295527"/>
      <w:bookmarkStart w:id="410" w:name="_Toc297123496"/>
      <w:bookmarkStart w:id="411" w:name="_Toc312677997"/>
      <w:bookmarkStart w:id="412" w:name="_Toc303539106"/>
      <w:bookmarkStart w:id="413" w:name="_Toc318581164"/>
      <w:r>
        <w:rPr>
          <w:rFonts w:ascii="宋体" w:hAnsi="宋体"/>
          <w:color w:val="auto"/>
          <w:szCs w:val="21"/>
        </w:rPr>
        <w:t>.1.1 特殊质量标准和要求：。</w:t>
      </w:r>
    </w:p>
    <w:p w14:paraId="01BDD97F">
      <w:pPr>
        <w:spacing w:line="440" w:lineRule="exact"/>
        <w:ind w:firstLine="420" w:firstLineChars="200"/>
        <w:jc w:val="left"/>
        <w:rPr>
          <w:rFonts w:ascii="宋体" w:hAnsi="宋体"/>
          <w:color w:val="auto"/>
          <w:szCs w:val="21"/>
        </w:rPr>
      </w:pPr>
      <w:r>
        <w:rPr>
          <w:rFonts w:ascii="宋体" w:hAnsi="宋体"/>
          <w:color w:val="auto"/>
          <w:szCs w:val="21"/>
        </w:rPr>
        <w:t>关于工程奖项的约定：。</w:t>
      </w:r>
    </w:p>
    <w:p w14:paraId="26E0126D">
      <w:pPr>
        <w:spacing w:after="120" w:line="440" w:lineRule="exact"/>
        <w:ind w:firstLine="420" w:firstLineChars="200"/>
        <w:rPr>
          <w:rFonts w:ascii="宋体" w:hAnsi="宋体"/>
          <w:color w:val="auto"/>
          <w:szCs w:val="21"/>
        </w:rPr>
      </w:pPr>
      <w:r>
        <w:rPr>
          <w:rFonts w:ascii="宋体" w:hAnsi="宋体"/>
          <w:color w:val="auto"/>
          <w:szCs w:val="21"/>
        </w:rPr>
        <w:t>5.3 隐蔽工程检查</w:t>
      </w:r>
    </w:p>
    <w:p w14:paraId="5A21804E">
      <w:pPr>
        <w:spacing w:line="440" w:lineRule="exact"/>
        <w:ind w:firstLine="420" w:firstLineChars="200"/>
        <w:jc w:val="left"/>
        <w:rPr>
          <w:rFonts w:ascii="宋体" w:hAnsi="宋体"/>
          <w:color w:val="auto"/>
          <w:szCs w:val="21"/>
        </w:rPr>
      </w:pPr>
      <w:r>
        <w:rPr>
          <w:rFonts w:ascii="宋体" w:hAnsi="宋体"/>
          <w:color w:val="auto"/>
          <w:szCs w:val="21"/>
        </w:rPr>
        <w:t>5.3.2承包人提前通知监理人隐蔽工程检查的期限的约定：</w:t>
      </w:r>
      <w:r>
        <w:rPr>
          <w:rFonts w:hint="eastAsia" w:ascii="宋体" w:hAnsi="宋体"/>
          <w:b/>
          <w:bCs/>
          <w:color w:val="auto"/>
          <w:szCs w:val="21"/>
          <w:u w:val="single"/>
        </w:rPr>
        <w:t>工程隐蔽或中间验收前24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7EE646BB">
      <w:pPr>
        <w:spacing w:line="440" w:lineRule="exact"/>
        <w:ind w:firstLine="420" w:firstLineChars="200"/>
        <w:jc w:val="left"/>
        <w:rPr>
          <w:rFonts w:ascii="宋体" w:hAnsi="宋体"/>
          <w:color w:val="auto"/>
          <w:szCs w:val="21"/>
        </w:rPr>
      </w:pPr>
      <w:r>
        <w:rPr>
          <w:rFonts w:ascii="宋体" w:hAnsi="宋体"/>
          <w:color w:val="auto"/>
          <w:szCs w:val="21"/>
        </w:rPr>
        <w:t>监理人不能按时进行检查时，应提前</w:t>
      </w:r>
      <w:r>
        <w:rPr>
          <w:rFonts w:hint="eastAsia" w:ascii="宋体" w:hAnsi="宋体"/>
          <w:color w:val="auto"/>
          <w:szCs w:val="21"/>
        </w:rPr>
        <w:t>24</w:t>
      </w:r>
      <w:r>
        <w:rPr>
          <w:rFonts w:ascii="宋体" w:hAnsi="宋体"/>
          <w:color w:val="auto"/>
          <w:szCs w:val="21"/>
        </w:rPr>
        <w:t>小时提交书面延期要求。</w:t>
      </w:r>
    </w:p>
    <w:p w14:paraId="26770852">
      <w:pPr>
        <w:spacing w:line="440" w:lineRule="exact"/>
        <w:ind w:firstLine="420" w:firstLineChars="200"/>
        <w:jc w:val="left"/>
        <w:rPr>
          <w:rFonts w:ascii="宋体" w:hAnsi="宋体"/>
          <w:color w:val="auto"/>
          <w:szCs w:val="21"/>
        </w:rPr>
      </w:pPr>
      <w:r>
        <w:rPr>
          <w:rFonts w:ascii="宋体" w:hAnsi="宋体"/>
          <w:color w:val="auto"/>
          <w:szCs w:val="21"/>
        </w:rPr>
        <w:t>关于延期最长不得超过：</w:t>
      </w:r>
      <w:r>
        <w:rPr>
          <w:rFonts w:hint="eastAsia" w:ascii="宋体" w:hAnsi="宋体"/>
          <w:color w:val="auto"/>
          <w:szCs w:val="21"/>
        </w:rPr>
        <w:t>12</w:t>
      </w:r>
      <w:r>
        <w:rPr>
          <w:rFonts w:ascii="宋体" w:hAnsi="宋体"/>
          <w:color w:val="auto"/>
          <w:szCs w:val="21"/>
        </w:rPr>
        <w:t>小时。</w:t>
      </w:r>
    </w:p>
    <w:p w14:paraId="687831C4">
      <w:pPr>
        <w:keepNext/>
        <w:keepLines/>
        <w:widowControl/>
        <w:spacing w:before="120" w:after="120" w:line="440" w:lineRule="exact"/>
        <w:outlineLvl w:val="3"/>
        <w:rPr>
          <w:rFonts w:ascii="宋体" w:hAnsi="宋体" w:eastAsia="黑体"/>
          <w:b/>
          <w:color w:val="auto"/>
          <w:kern w:val="0"/>
          <w:sz w:val="28"/>
          <w:szCs w:val="21"/>
        </w:rPr>
      </w:pPr>
      <w:bookmarkStart w:id="414" w:name="_Toc351203638"/>
      <w:r>
        <w:rPr>
          <w:rFonts w:ascii="宋体" w:hAnsi="宋体" w:eastAsia="黑体"/>
          <w:b/>
          <w:color w:val="auto"/>
          <w:kern w:val="0"/>
          <w:sz w:val="28"/>
          <w:szCs w:val="21"/>
        </w:rPr>
        <w:t>6. 安全文明施工与环境保护</w:t>
      </w:r>
      <w:bookmarkEnd w:id="414"/>
    </w:p>
    <w:p w14:paraId="7563808A">
      <w:pPr>
        <w:spacing w:after="120" w:line="440" w:lineRule="exact"/>
        <w:ind w:firstLine="420" w:firstLineChars="200"/>
        <w:rPr>
          <w:rFonts w:ascii="宋体" w:hAnsi="宋体"/>
          <w:color w:val="auto"/>
          <w:szCs w:val="21"/>
        </w:rPr>
      </w:pPr>
      <w:r>
        <w:rPr>
          <w:rFonts w:ascii="宋体" w:hAnsi="宋体"/>
          <w:color w:val="auto"/>
          <w:szCs w:val="21"/>
        </w:rPr>
        <w:t>6.1安全文明施工</w:t>
      </w:r>
    </w:p>
    <w:p w14:paraId="6235D336">
      <w:pPr>
        <w:spacing w:line="440" w:lineRule="exact"/>
        <w:ind w:firstLine="420" w:firstLineChars="200"/>
        <w:jc w:val="left"/>
        <w:rPr>
          <w:rFonts w:ascii="宋体" w:hAnsi="宋体"/>
          <w:color w:val="auto"/>
          <w:szCs w:val="21"/>
        </w:rPr>
      </w:pPr>
      <w:r>
        <w:rPr>
          <w:rFonts w:ascii="宋体" w:hAnsi="宋体"/>
          <w:color w:val="auto"/>
          <w:szCs w:val="21"/>
        </w:rPr>
        <w:t>6.1.1 项目安全生产的达标目标及相应事项的约定：。</w:t>
      </w:r>
    </w:p>
    <w:p w14:paraId="01BE25EA">
      <w:pPr>
        <w:spacing w:line="440" w:lineRule="exact"/>
        <w:ind w:firstLine="420" w:firstLineChars="200"/>
        <w:jc w:val="left"/>
        <w:rPr>
          <w:rFonts w:ascii="宋体" w:hAnsi="宋体"/>
          <w:color w:val="auto"/>
          <w:szCs w:val="21"/>
        </w:rPr>
      </w:pPr>
      <w:r>
        <w:rPr>
          <w:rFonts w:ascii="宋体" w:hAnsi="宋体"/>
          <w:color w:val="auto"/>
          <w:szCs w:val="21"/>
        </w:rPr>
        <w:t>6.1.</w:t>
      </w:r>
      <w:r>
        <w:rPr>
          <w:rFonts w:hint="eastAsia" w:ascii="宋体" w:hAnsi="宋体"/>
          <w:color w:val="auto"/>
          <w:szCs w:val="21"/>
        </w:rPr>
        <w:t>2</w:t>
      </w:r>
      <w:r>
        <w:rPr>
          <w:rFonts w:ascii="宋体" w:hAnsi="宋体"/>
          <w:color w:val="auto"/>
          <w:szCs w:val="21"/>
        </w:rPr>
        <w:t xml:space="preserve"> 关于治安保卫的特别约定：</w:t>
      </w:r>
      <w:r>
        <w:rPr>
          <w:rFonts w:hint="eastAsia" w:ascii="宋体" w:hAnsi="宋体"/>
          <w:b/>
          <w:color w:val="auto"/>
          <w:szCs w:val="21"/>
          <w:u w:val="single"/>
        </w:rPr>
        <w:t>承包人应承担施工安全保卫工作及非夜间施工照明的责任，承包人应采取一切合理的预防措施，防止人员伤亡、财产损失事故，费用由承包人承担</w:t>
      </w:r>
      <w:r>
        <w:rPr>
          <w:rFonts w:ascii="宋体" w:hAnsi="宋体"/>
          <w:b/>
          <w:color w:val="auto"/>
          <w:szCs w:val="21"/>
          <w:u w:val="single"/>
        </w:rPr>
        <w:t>。</w:t>
      </w:r>
      <w:r>
        <w:rPr>
          <w:rFonts w:hint="eastAsia" w:ascii="宋体" w:hAnsi="宋体"/>
          <w:b/>
          <w:color w:val="auto"/>
          <w:szCs w:val="21"/>
          <w:u w:val="single"/>
        </w:rPr>
        <w:t>承包人生活设施及施工场应自费配备消防设备，防止火灾发生。</w:t>
      </w:r>
    </w:p>
    <w:p w14:paraId="7A78160A">
      <w:pPr>
        <w:spacing w:line="440" w:lineRule="exact"/>
        <w:ind w:firstLine="420" w:firstLineChars="200"/>
        <w:jc w:val="left"/>
        <w:rPr>
          <w:rFonts w:ascii="宋体" w:hAnsi="宋体"/>
          <w:color w:val="auto"/>
          <w:szCs w:val="21"/>
        </w:rPr>
      </w:pPr>
      <w:r>
        <w:rPr>
          <w:rFonts w:ascii="宋体" w:hAnsi="宋体"/>
          <w:color w:val="auto"/>
          <w:szCs w:val="21"/>
        </w:rPr>
        <w:t>关于编制施工场地治安管理计划的约定：</w:t>
      </w:r>
      <w:r>
        <w:rPr>
          <w:rFonts w:hint="eastAsia" w:ascii="宋体" w:hAnsi="宋体"/>
          <w:color w:val="auto"/>
          <w:szCs w:val="21"/>
        </w:rPr>
        <w:t>/</w:t>
      </w:r>
      <w:r>
        <w:rPr>
          <w:rFonts w:ascii="宋体" w:hAnsi="宋体"/>
          <w:color w:val="auto"/>
          <w:szCs w:val="21"/>
        </w:rPr>
        <w:t>。</w:t>
      </w:r>
    </w:p>
    <w:p w14:paraId="402685A0">
      <w:pPr>
        <w:spacing w:line="440" w:lineRule="exact"/>
        <w:ind w:firstLine="420" w:firstLineChars="200"/>
        <w:jc w:val="left"/>
        <w:rPr>
          <w:rFonts w:ascii="宋体" w:hAnsi="宋体"/>
          <w:color w:val="auto"/>
          <w:szCs w:val="21"/>
        </w:rPr>
      </w:pPr>
      <w:r>
        <w:rPr>
          <w:rFonts w:hint="eastAsia" w:ascii="宋体" w:hAnsi="宋体"/>
          <w:color w:val="auto"/>
          <w:szCs w:val="21"/>
        </w:rPr>
        <w:t>6.1.3 文明施工</w:t>
      </w:r>
    </w:p>
    <w:p w14:paraId="7659C9A2">
      <w:pPr>
        <w:spacing w:line="440" w:lineRule="exact"/>
        <w:ind w:firstLine="420" w:firstLineChars="200"/>
        <w:jc w:val="left"/>
        <w:rPr>
          <w:rFonts w:ascii="宋体" w:hAnsi="宋体"/>
          <w:color w:val="auto"/>
          <w:szCs w:val="21"/>
        </w:rPr>
      </w:pPr>
      <w:r>
        <w:rPr>
          <w:rFonts w:hint="eastAsia" w:ascii="宋体" w:hAnsi="宋体"/>
          <w:color w:val="auto"/>
          <w:szCs w:val="21"/>
        </w:rPr>
        <w:t>合同当事人对文明施工的要求：承包人应按住建主管部门有关规定做好工程质量和安全管理、环境保护和文明施工的工作，建立完善的工程质量和安全管理、环境保护和文明施工体系，严格遵照实施，并接受发包人及相关职能部门的监督检查。</w:t>
      </w:r>
    </w:p>
    <w:p w14:paraId="313BB469">
      <w:pPr>
        <w:spacing w:line="440" w:lineRule="exact"/>
        <w:ind w:firstLine="420" w:firstLineChars="200"/>
        <w:jc w:val="left"/>
        <w:rPr>
          <w:rFonts w:ascii="宋体" w:hAnsi="宋体"/>
          <w:color w:val="auto"/>
          <w:szCs w:val="21"/>
        </w:rPr>
      </w:pPr>
      <w:r>
        <w:rPr>
          <w:rFonts w:ascii="宋体" w:hAnsi="宋体"/>
          <w:color w:val="auto"/>
          <w:szCs w:val="21"/>
        </w:rPr>
        <w:t>6.1.</w:t>
      </w:r>
      <w:r>
        <w:rPr>
          <w:rFonts w:hint="eastAsia" w:ascii="宋体" w:hAnsi="宋体"/>
          <w:color w:val="auto"/>
          <w:szCs w:val="21"/>
        </w:rPr>
        <w:t>4</w:t>
      </w:r>
      <w:r>
        <w:rPr>
          <w:rFonts w:ascii="宋体" w:hAnsi="宋体"/>
          <w:color w:val="auto"/>
          <w:szCs w:val="21"/>
        </w:rPr>
        <w:t>关于安全文明施工费支付比例和支付期限的约定：</w:t>
      </w:r>
    </w:p>
    <w:p w14:paraId="5F4CF9A6">
      <w:pPr>
        <w:numPr>
          <w:ilvl w:val="0"/>
          <w:numId w:val="4"/>
        </w:numPr>
        <w:spacing w:line="440" w:lineRule="exact"/>
        <w:ind w:firstLine="420" w:firstLineChars="200"/>
        <w:jc w:val="left"/>
        <w:rPr>
          <w:rFonts w:ascii="宋体" w:hAnsi="宋体"/>
          <w:color w:val="auto"/>
          <w:szCs w:val="21"/>
        </w:rPr>
      </w:pPr>
      <w:r>
        <w:rPr>
          <w:rFonts w:hint="eastAsia" w:ascii="宋体" w:hAnsi="宋体"/>
          <w:color w:val="auto"/>
          <w:szCs w:val="21"/>
        </w:rPr>
        <w:t>本合同价款已包含安全文明施工费</w:t>
      </w:r>
    </w:p>
    <w:p w14:paraId="7B1A09C2">
      <w:pPr>
        <w:numPr>
          <w:ilvl w:val="0"/>
          <w:numId w:val="4"/>
        </w:numPr>
        <w:spacing w:line="440" w:lineRule="exact"/>
        <w:ind w:firstLine="420" w:firstLineChars="200"/>
        <w:jc w:val="left"/>
        <w:rPr>
          <w:rFonts w:ascii="宋体" w:hAnsi="宋体"/>
          <w:color w:val="auto"/>
          <w:szCs w:val="21"/>
        </w:rPr>
      </w:pPr>
      <w:r>
        <w:rPr>
          <w:rFonts w:hint="eastAsia" w:ascii="宋体" w:hAnsi="宋体"/>
          <w:color w:val="auto"/>
          <w:szCs w:val="21"/>
        </w:rPr>
        <w:t>使用要求：专款专用。具体按《广西壮族自治区建设工程安全文明施工费使用管理细则》（桂建质【2015】16号及其相关规定执行）</w:t>
      </w:r>
      <w:r>
        <w:rPr>
          <w:rFonts w:ascii="宋体" w:hAnsi="宋体"/>
          <w:color w:val="auto"/>
          <w:szCs w:val="21"/>
        </w:rPr>
        <w:t>。</w:t>
      </w:r>
    </w:p>
    <w:p w14:paraId="06B6548B">
      <w:pPr>
        <w:numPr>
          <w:ilvl w:val="0"/>
          <w:numId w:val="4"/>
        </w:numPr>
        <w:spacing w:line="440" w:lineRule="exact"/>
        <w:ind w:firstLine="420" w:firstLineChars="200"/>
        <w:jc w:val="left"/>
        <w:rPr>
          <w:rFonts w:ascii="宋体" w:hAnsi="宋体"/>
          <w:color w:val="auto"/>
          <w:szCs w:val="21"/>
        </w:rPr>
      </w:pPr>
      <w:r>
        <w:rPr>
          <w:rFonts w:hint="eastAsia" w:ascii="宋体" w:hAnsi="宋体"/>
          <w:color w:val="auto"/>
          <w:szCs w:val="21"/>
        </w:rPr>
        <w:t>支付约定：限额内专款专用，实报实销。</w:t>
      </w:r>
    </w:p>
    <w:p w14:paraId="6890F044">
      <w:pPr>
        <w:spacing w:line="360" w:lineRule="auto"/>
        <w:ind w:firstLine="420" w:firstLineChars="200"/>
        <w:jc w:val="left"/>
        <w:rPr>
          <w:rFonts w:ascii="宋体" w:hAnsi="宋体"/>
          <w:color w:val="auto"/>
          <w:szCs w:val="21"/>
        </w:rPr>
      </w:pPr>
      <w:r>
        <w:rPr>
          <w:rFonts w:hint="eastAsia" w:ascii="宋体" w:hAnsi="宋体"/>
          <w:color w:val="auto"/>
          <w:szCs w:val="21"/>
        </w:rPr>
        <w:t>6.2环境保护:</w:t>
      </w:r>
      <w:r>
        <w:rPr>
          <w:rFonts w:hint="eastAsia" w:ascii="宋体" w:hAnsi="宋体"/>
          <w:b/>
          <w:color w:val="auto"/>
          <w:szCs w:val="21"/>
          <w:u w:val="single"/>
        </w:rPr>
        <w:t>因施工需要，经发包人批准，由承包人办理有关施工场地交通、环卫和施工噪音管理等手续，费用由承包人负责。经过城市道路的施工车辆，必须按交警、城管、运输等部门相关规定执行。由于施工车辆造成的道路、环境等污染，其责任和费用均由承包人承担。</w:t>
      </w:r>
    </w:p>
    <w:bookmarkEnd w:id="407"/>
    <w:bookmarkEnd w:id="408"/>
    <w:bookmarkEnd w:id="409"/>
    <w:bookmarkEnd w:id="410"/>
    <w:bookmarkEnd w:id="411"/>
    <w:bookmarkEnd w:id="412"/>
    <w:bookmarkEnd w:id="413"/>
    <w:p w14:paraId="7BF63556">
      <w:pPr>
        <w:keepNext/>
        <w:keepLines/>
        <w:widowControl/>
        <w:spacing w:before="120" w:after="120" w:line="440" w:lineRule="exact"/>
        <w:ind w:firstLine="141" w:firstLineChars="50"/>
        <w:outlineLvl w:val="3"/>
        <w:rPr>
          <w:rFonts w:ascii="宋体" w:hAnsi="宋体" w:eastAsia="黑体"/>
          <w:b/>
          <w:color w:val="auto"/>
          <w:kern w:val="0"/>
          <w:sz w:val="28"/>
          <w:szCs w:val="21"/>
        </w:rPr>
      </w:pPr>
      <w:bookmarkStart w:id="415" w:name="_Toc351203639"/>
      <w:r>
        <w:rPr>
          <w:rFonts w:ascii="宋体" w:hAnsi="宋体" w:eastAsia="黑体"/>
          <w:b/>
          <w:color w:val="auto"/>
          <w:kern w:val="0"/>
          <w:sz w:val="28"/>
          <w:szCs w:val="21"/>
        </w:rPr>
        <w:t>7. 工期和进度</w:t>
      </w:r>
      <w:bookmarkEnd w:id="415"/>
    </w:p>
    <w:p w14:paraId="112458AD">
      <w:pPr>
        <w:spacing w:after="120" w:line="440" w:lineRule="exact"/>
        <w:ind w:firstLine="420" w:firstLineChars="200"/>
        <w:rPr>
          <w:rFonts w:ascii="宋体" w:hAnsi="宋体"/>
          <w:color w:val="auto"/>
          <w:szCs w:val="21"/>
        </w:rPr>
      </w:pPr>
      <w:r>
        <w:rPr>
          <w:rFonts w:ascii="宋体" w:hAnsi="宋体"/>
          <w:color w:val="auto"/>
          <w:szCs w:val="21"/>
        </w:rPr>
        <w:t>7.1 施工组织设计</w:t>
      </w:r>
    </w:p>
    <w:p w14:paraId="120DF94F">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szCs w:val="21"/>
        </w:rPr>
        <w:t>7.1.</w:t>
      </w:r>
      <w:r>
        <w:rPr>
          <w:rFonts w:hint="eastAsia" w:ascii="宋体" w:hAnsi="宋体"/>
          <w:color w:val="auto"/>
          <w:szCs w:val="21"/>
        </w:rPr>
        <w:t>1 合</w:t>
      </w:r>
      <w:r>
        <w:rPr>
          <w:rFonts w:hint="eastAsia" w:ascii="宋体" w:hAnsi="宋体"/>
          <w:color w:val="auto"/>
          <w:kern w:val="0"/>
          <w:szCs w:val="21"/>
        </w:rPr>
        <w:t>同当事人约定的</w:t>
      </w:r>
      <w:r>
        <w:rPr>
          <w:rFonts w:ascii="宋体" w:hAnsi="宋体"/>
          <w:color w:val="auto"/>
          <w:kern w:val="0"/>
          <w:szCs w:val="21"/>
        </w:rPr>
        <w:t>施工组织设计</w:t>
      </w:r>
      <w:r>
        <w:rPr>
          <w:rFonts w:hint="eastAsia" w:ascii="宋体" w:hAnsi="宋体"/>
          <w:color w:val="auto"/>
          <w:kern w:val="0"/>
          <w:szCs w:val="21"/>
        </w:rPr>
        <w:t>应包括的其他内容</w:t>
      </w:r>
      <w:r>
        <w:rPr>
          <w:rFonts w:ascii="宋体" w:hAnsi="宋体"/>
          <w:color w:val="auto"/>
          <w:kern w:val="0"/>
          <w:szCs w:val="21"/>
        </w:rPr>
        <w:t>：</w:t>
      </w:r>
      <w:r>
        <w:rPr>
          <w:rFonts w:ascii="宋体" w:hAnsi="宋体"/>
          <w:color w:val="auto"/>
          <w:szCs w:val="21"/>
        </w:rPr>
        <w:t>。</w:t>
      </w:r>
    </w:p>
    <w:p w14:paraId="25E6BBA5">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szCs w:val="21"/>
        </w:rPr>
        <w:t>7.1.2</w:t>
      </w:r>
      <w:r>
        <w:rPr>
          <w:rFonts w:ascii="宋体" w:hAnsi="宋体"/>
          <w:color w:val="auto"/>
          <w:kern w:val="0"/>
          <w:szCs w:val="21"/>
        </w:rPr>
        <w:t>施工组织设计的提交和修改</w:t>
      </w:r>
    </w:p>
    <w:p w14:paraId="53AECDC7">
      <w:pPr>
        <w:autoSpaceDE w:val="0"/>
        <w:autoSpaceDN w:val="0"/>
        <w:adjustRightInd w:val="0"/>
        <w:spacing w:line="440" w:lineRule="exact"/>
        <w:ind w:firstLine="420" w:firstLineChars="200"/>
        <w:jc w:val="left"/>
        <w:rPr>
          <w:rFonts w:ascii="宋体" w:hAnsi="宋体"/>
          <w:color w:val="auto"/>
          <w:szCs w:val="21"/>
        </w:rPr>
      </w:pPr>
      <w:r>
        <w:rPr>
          <w:rFonts w:ascii="宋体" w:hAnsi="宋体"/>
          <w:color w:val="auto"/>
          <w:kern w:val="0"/>
          <w:szCs w:val="21"/>
        </w:rPr>
        <w:t>承包人提交详细施工组织设计的期限的约定：</w:t>
      </w:r>
      <w:r>
        <w:rPr>
          <w:rFonts w:ascii="宋体" w:hAnsi="宋体"/>
          <w:color w:val="auto"/>
          <w:szCs w:val="21"/>
        </w:rPr>
        <w:t>。</w:t>
      </w:r>
    </w:p>
    <w:p w14:paraId="03D9D221">
      <w:pPr>
        <w:spacing w:line="440" w:lineRule="exact"/>
        <w:ind w:firstLine="420" w:firstLineChars="200"/>
        <w:jc w:val="left"/>
        <w:rPr>
          <w:rFonts w:ascii="宋体" w:hAnsi="宋体"/>
          <w:color w:val="auto"/>
          <w:szCs w:val="21"/>
        </w:rPr>
      </w:pPr>
      <w:r>
        <w:rPr>
          <w:rFonts w:ascii="宋体" w:hAnsi="宋体"/>
          <w:color w:val="auto"/>
          <w:szCs w:val="21"/>
        </w:rPr>
        <w:t>发包人和监理人在收到</w:t>
      </w:r>
      <w:r>
        <w:rPr>
          <w:rFonts w:hint="eastAsia" w:ascii="宋体" w:hAnsi="宋体"/>
          <w:color w:val="auto"/>
          <w:szCs w:val="21"/>
        </w:rPr>
        <w:t>详细的施工组织设计</w:t>
      </w:r>
      <w:r>
        <w:rPr>
          <w:rFonts w:ascii="宋体" w:hAnsi="宋体"/>
          <w:color w:val="auto"/>
          <w:szCs w:val="21"/>
        </w:rPr>
        <w:t>后确认或提出修改意见的期限：。</w:t>
      </w:r>
    </w:p>
    <w:p w14:paraId="6DD268A4">
      <w:pPr>
        <w:spacing w:after="120" w:line="440" w:lineRule="exact"/>
        <w:ind w:firstLine="420" w:firstLineChars="200"/>
        <w:rPr>
          <w:rFonts w:ascii="宋体" w:hAnsi="宋体"/>
          <w:color w:val="auto"/>
          <w:szCs w:val="21"/>
        </w:rPr>
      </w:pPr>
      <w:r>
        <w:rPr>
          <w:rFonts w:ascii="宋体" w:hAnsi="宋体"/>
          <w:color w:val="auto"/>
          <w:szCs w:val="21"/>
        </w:rPr>
        <w:t>7</w:t>
      </w:r>
      <w:bookmarkStart w:id="416" w:name="_Toc297216173"/>
      <w:bookmarkStart w:id="417" w:name="_Toc303539123"/>
      <w:bookmarkStart w:id="418" w:name="_Toc312677479"/>
      <w:bookmarkStart w:id="419" w:name="_Toc297123514"/>
      <w:bookmarkStart w:id="420" w:name="_Toc300934966"/>
      <w:bookmarkStart w:id="421" w:name="_Toc312678005"/>
      <w:bookmarkStart w:id="422" w:name="_Toc304295541"/>
      <w:r>
        <w:rPr>
          <w:rFonts w:ascii="宋体" w:hAnsi="宋体"/>
          <w:color w:val="auto"/>
          <w:szCs w:val="21"/>
        </w:rPr>
        <w:t>.2 施工进度计划</w:t>
      </w:r>
    </w:p>
    <w:p w14:paraId="3A8D54C1">
      <w:pPr>
        <w:spacing w:line="440" w:lineRule="exact"/>
        <w:ind w:firstLine="420" w:firstLineChars="200"/>
        <w:jc w:val="left"/>
        <w:rPr>
          <w:rFonts w:ascii="宋体" w:hAnsi="宋体"/>
          <w:color w:val="auto"/>
          <w:szCs w:val="21"/>
        </w:rPr>
      </w:pPr>
      <w:r>
        <w:rPr>
          <w:rFonts w:ascii="宋体" w:hAnsi="宋体"/>
          <w:color w:val="auto"/>
          <w:szCs w:val="21"/>
        </w:rPr>
        <w:t>7.2.</w:t>
      </w:r>
      <w:r>
        <w:rPr>
          <w:rFonts w:hint="eastAsia" w:ascii="宋体" w:hAnsi="宋体"/>
          <w:color w:val="auto"/>
          <w:szCs w:val="21"/>
        </w:rPr>
        <w:t>1</w:t>
      </w:r>
      <w:r>
        <w:rPr>
          <w:rFonts w:ascii="宋体" w:hAnsi="宋体"/>
          <w:color w:val="auto"/>
          <w:szCs w:val="21"/>
        </w:rPr>
        <w:t xml:space="preserve"> 施工进度计划的修订</w:t>
      </w:r>
    </w:p>
    <w:p w14:paraId="140140A0">
      <w:pPr>
        <w:spacing w:line="440" w:lineRule="exact"/>
        <w:ind w:firstLine="420" w:firstLineChars="200"/>
        <w:jc w:val="left"/>
        <w:rPr>
          <w:rFonts w:ascii="宋体" w:hAnsi="宋体"/>
          <w:color w:val="auto"/>
          <w:szCs w:val="21"/>
        </w:rPr>
      </w:pPr>
      <w:r>
        <w:rPr>
          <w:rFonts w:ascii="宋体" w:hAnsi="宋体"/>
          <w:color w:val="auto"/>
          <w:szCs w:val="21"/>
        </w:rPr>
        <w:t>发包人和监理人在收到修订的施工进度计划后确认或提出修改意见的期限：。</w:t>
      </w:r>
    </w:p>
    <w:p w14:paraId="1E0FE8E0">
      <w:pPr>
        <w:spacing w:after="120" w:line="440" w:lineRule="exact"/>
        <w:ind w:firstLine="420" w:firstLineChars="200"/>
        <w:rPr>
          <w:rFonts w:ascii="宋体" w:hAnsi="宋体"/>
          <w:color w:val="auto"/>
          <w:szCs w:val="21"/>
        </w:rPr>
      </w:pPr>
      <w:r>
        <w:rPr>
          <w:rFonts w:ascii="宋体" w:hAnsi="宋体"/>
          <w:color w:val="auto"/>
          <w:szCs w:val="21"/>
        </w:rPr>
        <w:t>7.3 开工</w:t>
      </w:r>
    </w:p>
    <w:p w14:paraId="5C8BE9A8">
      <w:pPr>
        <w:spacing w:line="440" w:lineRule="exact"/>
        <w:ind w:firstLine="420" w:firstLineChars="200"/>
        <w:jc w:val="left"/>
        <w:rPr>
          <w:rFonts w:ascii="宋体" w:hAnsi="宋体"/>
          <w:color w:val="auto"/>
          <w:szCs w:val="21"/>
        </w:rPr>
      </w:pPr>
      <w:r>
        <w:rPr>
          <w:rFonts w:ascii="宋体" w:hAnsi="宋体"/>
          <w:color w:val="auto"/>
          <w:szCs w:val="21"/>
        </w:rPr>
        <w:t>7.3.1 开工准备</w:t>
      </w:r>
    </w:p>
    <w:p w14:paraId="1BC04463">
      <w:pPr>
        <w:spacing w:line="440" w:lineRule="exact"/>
        <w:ind w:firstLine="420" w:firstLineChars="200"/>
        <w:jc w:val="left"/>
        <w:rPr>
          <w:rFonts w:ascii="宋体" w:hAnsi="宋体"/>
          <w:color w:val="auto"/>
          <w:szCs w:val="21"/>
          <w:u w:val="single"/>
        </w:rPr>
      </w:pPr>
      <w:r>
        <w:rPr>
          <w:rFonts w:ascii="宋体" w:hAnsi="宋体"/>
          <w:color w:val="auto"/>
          <w:szCs w:val="21"/>
        </w:rPr>
        <w:t>关于承包人提交</w:t>
      </w:r>
      <w:r>
        <w:rPr>
          <w:rFonts w:ascii="宋体" w:hAnsi="宋体"/>
          <w:color w:val="auto"/>
          <w:kern w:val="0"/>
          <w:szCs w:val="21"/>
        </w:rPr>
        <w:t>工程开工报审表的期限：</w:t>
      </w:r>
      <w:r>
        <w:rPr>
          <w:rFonts w:ascii="宋体" w:hAnsi="宋体"/>
          <w:color w:val="auto"/>
          <w:szCs w:val="21"/>
        </w:rPr>
        <w:t>。</w:t>
      </w:r>
    </w:p>
    <w:p w14:paraId="3AABE6DE">
      <w:pPr>
        <w:spacing w:line="440" w:lineRule="exact"/>
        <w:ind w:firstLine="420" w:firstLineChars="200"/>
        <w:jc w:val="left"/>
        <w:rPr>
          <w:rFonts w:ascii="宋体" w:hAnsi="宋体"/>
          <w:color w:val="auto"/>
          <w:szCs w:val="21"/>
        </w:rPr>
      </w:pPr>
      <w:r>
        <w:rPr>
          <w:rFonts w:ascii="宋体" w:hAnsi="宋体"/>
          <w:color w:val="auto"/>
          <w:szCs w:val="21"/>
        </w:rPr>
        <w:t>关于发包人应完成的其他开工准备工作及期限：。</w:t>
      </w:r>
    </w:p>
    <w:p w14:paraId="43EB90DA">
      <w:pPr>
        <w:spacing w:line="440" w:lineRule="exact"/>
        <w:ind w:firstLine="420" w:firstLineChars="200"/>
        <w:jc w:val="left"/>
        <w:rPr>
          <w:rFonts w:ascii="宋体" w:hAnsi="宋体"/>
          <w:color w:val="auto"/>
          <w:szCs w:val="21"/>
        </w:rPr>
      </w:pPr>
      <w:r>
        <w:rPr>
          <w:rFonts w:ascii="宋体" w:hAnsi="宋体"/>
          <w:color w:val="auto"/>
          <w:szCs w:val="21"/>
        </w:rPr>
        <w:t>关于承包人应完成的其他开工准备工作及期限：。</w:t>
      </w:r>
    </w:p>
    <w:p w14:paraId="39E3F57D">
      <w:pPr>
        <w:spacing w:line="440" w:lineRule="exact"/>
        <w:ind w:firstLine="420" w:firstLineChars="200"/>
        <w:jc w:val="left"/>
        <w:rPr>
          <w:rFonts w:ascii="宋体" w:hAnsi="宋体"/>
          <w:color w:val="auto"/>
          <w:szCs w:val="21"/>
        </w:rPr>
      </w:pPr>
      <w:r>
        <w:rPr>
          <w:rFonts w:ascii="宋体" w:hAnsi="宋体"/>
          <w:color w:val="auto"/>
          <w:szCs w:val="21"/>
        </w:rPr>
        <w:t>7.3.2开工通知</w:t>
      </w:r>
    </w:p>
    <w:p w14:paraId="4018BE07">
      <w:pPr>
        <w:spacing w:line="440" w:lineRule="exact"/>
        <w:ind w:firstLine="420" w:firstLineChars="200"/>
        <w:jc w:val="left"/>
        <w:rPr>
          <w:rFonts w:ascii="宋体" w:hAnsi="宋体"/>
          <w:color w:val="auto"/>
          <w:szCs w:val="21"/>
        </w:rPr>
      </w:pPr>
      <w:r>
        <w:rPr>
          <w:rFonts w:ascii="宋体" w:hAnsi="宋体"/>
          <w:color w:val="auto"/>
          <w:szCs w:val="21"/>
        </w:rPr>
        <w:t>因发包人原因造成监理人未能在计划开工日期之日起天内发出开工通知的，承包人有权提出价格调整要求，或者解除合同。</w:t>
      </w:r>
    </w:p>
    <w:bookmarkEnd w:id="416"/>
    <w:bookmarkEnd w:id="417"/>
    <w:bookmarkEnd w:id="418"/>
    <w:bookmarkEnd w:id="419"/>
    <w:bookmarkEnd w:id="420"/>
    <w:bookmarkEnd w:id="421"/>
    <w:bookmarkEnd w:id="422"/>
    <w:p w14:paraId="469AF376">
      <w:pPr>
        <w:spacing w:after="120" w:line="440" w:lineRule="exact"/>
        <w:ind w:firstLine="420" w:firstLineChars="200"/>
        <w:rPr>
          <w:rFonts w:ascii="宋体" w:hAnsi="宋体"/>
          <w:color w:val="auto"/>
          <w:szCs w:val="21"/>
        </w:rPr>
      </w:pPr>
      <w:r>
        <w:rPr>
          <w:rFonts w:ascii="宋体" w:hAnsi="宋体"/>
          <w:color w:val="auto"/>
          <w:szCs w:val="21"/>
        </w:rPr>
        <w:t>7.4 测量放线</w:t>
      </w:r>
    </w:p>
    <w:p w14:paraId="6851A4C2">
      <w:pPr>
        <w:spacing w:line="440" w:lineRule="exact"/>
        <w:ind w:firstLine="420" w:firstLineChars="200"/>
        <w:jc w:val="left"/>
        <w:rPr>
          <w:rFonts w:ascii="宋体" w:hAnsi="宋体"/>
          <w:color w:val="auto"/>
          <w:szCs w:val="21"/>
          <w:u w:val="single"/>
        </w:rPr>
      </w:pPr>
      <w:r>
        <w:rPr>
          <w:rFonts w:ascii="宋体" w:hAnsi="宋体"/>
          <w:color w:val="auto"/>
          <w:szCs w:val="21"/>
        </w:rPr>
        <w:t>7.4.1发包人通过监理人向承包人提供测量基准点、基准线和水准点及其书面资料的期限：。</w:t>
      </w:r>
    </w:p>
    <w:p w14:paraId="2529AFD5">
      <w:pPr>
        <w:spacing w:after="120" w:line="440" w:lineRule="exact"/>
        <w:ind w:firstLine="420" w:firstLineChars="200"/>
        <w:rPr>
          <w:rFonts w:ascii="宋体" w:hAnsi="宋体"/>
          <w:color w:val="auto"/>
          <w:szCs w:val="21"/>
        </w:rPr>
      </w:pPr>
      <w:r>
        <w:rPr>
          <w:rFonts w:ascii="宋体" w:hAnsi="宋体"/>
          <w:color w:val="auto"/>
          <w:szCs w:val="21"/>
        </w:rPr>
        <w:t>7</w:t>
      </w:r>
      <w:bookmarkStart w:id="423" w:name="_Toc300934968"/>
      <w:bookmarkStart w:id="424" w:name="_Toc312678010"/>
      <w:bookmarkStart w:id="425" w:name="_Toc303539125"/>
      <w:bookmarkStart w:id="426" w:name="_Toc304295546"/>
      <w:bookmarkStart w:id="427" w:name="_Toc297123516"/>
      <w:bookmarkStart w:id="428" w:name="_Toc312677484"/>
      <w:bookmarkStart w:id="429" w:name="_Toc297216175"/>
      <w:r>
        <w:rPr>
          <w:rFonts w:ascii="宋体" w:hAnsi="宋体"/>
          <w:color w:val="auto"/>
          <w:szCs w:val="21"/>
        </w:rPr>
        <w:t>.5 工期延误</w:t>
      </w:r>
    </w:p>
    <w:bookmarkEnd w:id="423"/>
    <w:bookmarkEnd w:id="424"/>
    <w:bookmarkEnd w:id="425"/>
    <w:bookmarkEnd w:id="426"/>
    <w:bookmarkEnd w:id="427"/>
    <w:bookmarkEnd w:id="428"/>
    <w:bookmarkEnd w:id="429"/>
    <w:p w14:paraId="02B98D99">
      <w:pPr>
        <w:spacing w:line="440" w:lineRule="exact"/>
        <w:ind w:firstLine="420" w:firstLineChars="200"/>
        <w:jc w:val="left"/>
        <w:rPr>
          <w:rFonts w:ascii="宋体" w:hAnsi="宋体"/>
          <w:color w:val="auto"/>
          <w:szCs w:val="21"/>
        </w:rPr>
      </w:pPr>
      <w:r>
        <w:rPr>
          <w:rFonts w:ascii="宋体" w:hAnsi="宋体"/>
          <w:color w:val="auto"/>
          <w:szCs w:val="21"/>
        </w:rPr>
        <w:t>7.5.1 因发包人原因导致工期延误</w:t>
      </w:r>
    </w:p>
    <w:p w14:paraId="24EFFEE1">
      <w:pPr>
        <w:spacing w:line="440" w:lineRule="exact"/>
        <w:ind w:firstLine="420" w:firstLineChars="200"/>
        <w:jc w:val="left"/>
        <w:rPr>
          <w:rFonts w:ascii="宋体" w:hAnsi="宋体"/>
          <w:color w:val="auto"/>
          <w:szCs w:val="21"/>
        </w:rPr>
      </w:pPr>
      <w:r>
        <w:rPr>
          <w:rFonts w:ascii="宋体" w:hAnsi="宋体"/>
          <w:color w:val="auto"/>
          <w:szCs w:val="21"/>
        </w:rPr>
        <w:t>（7）因发包人原因导致工期延误的其他情形：。</w:t>
      </w:r>
    </w:p>
    <w:p w14:paraId="1CDA4225">
      <w:pPr>
        <w:spacing w:line="440" w:lineRule="exact"/>
        <w:ind w:firstLine="422" w:firstLineChars="200"/>
        <w:jc w:val="left"/>
        <w:rPr>
          <w:rFonts w:ascii="宋体" w:hAnsi="宋体"/>
          <w:color w:val="auto"/>
          <w:szCs w:val="21"/>
        </w:rPr>
      </w:pPr>
      <w:r>
        <w:rPr>
          <w:rFonts w:ascii="宋体" w:hAnsi="宋体"/>
          <w:b/>
          <w:bCs/>
          <w:color w:val="auto"/>
          <w:szCs w:val="21"/>
          <w:u w:val="single"/>
        </w:rPr>
        <w:t>因</w:t>
      </w:r>
      <w:r>
        <w:rPr>
          <w:rFonts w:hint="eastAsia" w:ascii="宋体" w:hAnsi="宋体"/>
          <w:b/>
          <w:bCs/>
          <w:color w:val="auto"/>
          <w:szCs w:val="21"/>
          <w:u w:val="single"/>
        </w:rPr>
        <w:t>发</w:t>
      </w:r>
      <w:r>
        <w:rPr>
          <w:rFonts w:ascii="宋体" w:hAnsi="宋体"/>
          <w:b/>
          <w:bCs/>
          <w:color w:val="auto"/>
          <w:szCs w:val="21"/>
          <w:u w:val="single"/>
        </w:rPr>
        <w:t>包人</w:t>
      </w:r>
      <w:r>
        <w:rPr>
          <w:rFonts w:hint="eastAsia" w:ascii="宋体" w:hAnsi="宋体"/>
          <w:b/>
          <w:bCs/>
          <w:color w:val="auto"/>
          <w:szCs w:val="21"/>
          <w:u w:val="single"/>
        </w:rPr>
        <w:t>资金未能及时支付等资金方面的</w:t>
      </w:r>
      <w:r>
        <w:rPr>
          <w:rFonts w:ascii="宋体" w:hAnsi="宋体"/>
          <w:b/>
          <w:bCs/>
          <w:color w:val="auto"/>
          <w:szCs w:val="21"/>
          <w:u w:val="single"/>
        </w:rPr>
        <w:t>原因</w:t>
      </w:r>
      <w:r>
        <w:rPr>
          <w:rFonts w:hint="eastAsia" w:ascii="宋体" w:hAnsi="宋体"/>
          <w:b/>
          <w:bCs/>
          <w:color w:val="auto"/>
          <w:szCs w:val="21"/>
          <w:u w:val="single"/>
        </w:rPr>
        <w:t>，若承包人因此造成的窝工、停工超过两个月的，发包人有权更换承包人。</w:t>
      </w:r>
    </w:p>
    <w:p w14:paraId="703479D2">
      <w:pPr>
        <w:spacing w:line="440" w:lineRule="exact"/>
        <w:ind w:firstLine="420" w:firstLineChars="200"/>
        <w:jc w:val="left"/>
        <w:rPr>
          <w:rFonts w:ascii="宋体" w:hAnsi="宋体"/>
          <w:color w:val="auto"/>
          <w:szCs w:val="21"/>
        </w:rPr>
      </w:pPr>
      <w:r>
        <w:rPr>
          <w:rFonts w:ascii="宋体" w:hAnsi="宋体"/>
          <w:color w:val="auto"/>
          <w:szCs w:val="21"/>
        </w:rPr>
        <w:t>7</w:t>
      </w:r>
      <w:bookmarkStart w:id="430" w:name="_Toc312678012"/>
      <w:bookmarkStart w:id="431" w:name="_Toc312677486"/>
      <w:bookmarkStart w:id="432" w:name="_Toc318581169"/>
      <w:bookmarkStart w:id="433" w:name="_Toc304295548"/>
      <w:bookmarkStart w:id="434" w:name="_Toc303539127"/>
      <w:bookmarkStart w:id="435" w:name="_Toc300934970"/>
      <w:bookmarkStart w:id="436" w:name="_Toc297123518"/>
      <w:bookmarkStart w:id="437" w:name="_Toc297216177"/>
      <w:r>
        <w:rPr>
          <w:rFonts w:ascii="宋体" w:hAnsi="宋体"/>
          <w:color w:val="auto"/>
          <w:szCs w:val="21"/>
        </w:rPr>
        <w:t>.5.2 因承包人原因导致工期延误</w:t>
      </w:r>
    </w:p>
    <w:bookmarkEnd w:id="430"/>
    <w:bookmarkEnd w:id="431"/>
    <w:bookmarkEnd w:id="432"/>
    <w:p w14:paraId="511F1542">
      <w:pPr>
        <w:spacing w:line="440" w:lineRule="exact"/>
        <w:ind w:firstLine="420" w:firstLineChars="200"/>
        <w:jc w:val="left"/>
        <w:rPr>
          <w:rFonts w:ascii="宋体" w:hAnsi="宋体"/>
          <w:color w:val="auto"/>
          <w:szCs w:val="21"/>
        </w:rPr>
      </w:pPr>
      <w:r>
        <w:rPr>
          <w:rFonts w:ascii="宋体" w:hAnsi="宋体"/>
          <w:color w:val="auto"/>
          <w:szCs w:val="21"/>
        </w:rPr>
        <w:t>因</w:t>
      </w:r>
      <w:bookmarkStart w:id="438" w:name="_Toc312678013"/>
      <w:bookmarkStart w:id="439" w:name="_Toc312677487"/>
      <w:bookmarkStart w:id="440" w:name="_Toc318581170"/>
      <w:r>
        <w:rPr>
          <w:rFonts w:ascii="宋体" w:hAnsi="宋体"/>
          <w:color w:val="auto"/>
          <w:szCs w:val="21"/>
        </w:rPr>
        <w:t>承包人原因造成工期延误，逾期竣工违约金的计算方法：</w:t>
      </w:r>
      <w:r>
        <w:rPr>
          <w:rFonts w:hint="eastAsia" w:ascii="宋体" w:hAnsi="宋体"/>
          <w:b/>
          <w:color w:val="auto"/>
          <w:szCs w:val="21"/>
          <w:u w:val="single"/>
        </w:rPr>
        <w:t>非上述原因，承包人不能按合同约定的时间竣工，承包人应承担违约责任。应向发包人支付误期赔偿费（每天赔偿金额为合同价款的万分之一），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ascii="宋体" w:hAnsi="宋体"/>
          <w:color w:val="auto"/>
          <w:szCs w:val="21"/>
        </w:rPr>
        <w:t>。</w:t>
      </w:r>
      <w:bookmarkEnd w:id="433"/>
      <w:bookmarkEnd w:id="434"/>
      <w:bookmarkEnd w:id="435"/>
      <w:bookmarkEnd w:id="436"/>
      <w:bookmarkEnd w:id="437"/>
      <w:bookmarkEnd w:id="438"/>
      <w:bookmarkEnd w:id="439"/>
    </w:p>
    <w:bookmarkEnd w:id="440"/>
    <w:p w14:paraId="45AEC4ED">
      <w:pPr>
        <w:spacing w:line="440" w:lineRule="exact"/>
        <w:ind w:firstLine="420" w:firstLineChars="200"/>
        <w:jc w:val="left"/>
        <w:rPr>
          <w:rFonts w:ascii="宋体" w:hAnsi="宋体"/>
          <w:color w:val="auto"/>
          <w:szCs w:val="21"/>
        </w:rPr>
      </w:pPr>
      <w:r>
        <w:rPr>
          <w:rFonts w:ascii="宋体" w:hAnsi="宋体"/>
          <w:color w:val="auto"/>
          <w:szCs w:val="21"/>
        </w:rPr>
        <w:t>因承包人原因造成工期延误，逾</w:t>
      </w:r>
      <w:bookmarkStart w:id="441" w:name="_Toc312678014"/>
      <w:bookmarkStart w:id="442" w:name="_Toc318581171"/>
      <w:r>
        <w:rPr>
          <w:rFonts w:ascii="宋体" w:hAnsi="宋体"/>
          <w:color w:val="auto"/>
          <w:szCs w:val="21"/>
        </w:rPr>
        <w:t>期竣工违约金的上限：</w:t>
      </w:r>
      <w:r>
        <w:rPr>
          <w:rFonts w:hint="eastAsia" w:ascii="宋体" w:hAnsi="宋体"/>
          <w:color w:val="auto"/>
          <w:szCs w:val="21"/>
          <w:u w:val="single"/>
        </w:rPr>
        <w:t>每逾期一天，每天赔偿金额为逾期竣工的单位工程结算造价</w:t>
      </w:r>
      <w:r>
        <w:rPr>
          <w:rFonts w:ascii="宋体" w:hAnsi="宋体"/>
          <w:color w:val="auto"/>
          <w:szCs w:val="21"/>
          <w:u w:val="single"/>
        </w:rPr>
        <w:t>扣</w:t>
      </w:r>
      <w:r>
        <w:rPr>
          <w:rFonts w:hAnsi="宋体"/>
          <w:color w:val="auto"/>
          <w:szCs w:val="21"/>
          <w:u w:val="single"/>
        </w:rPr>
        <w:t>除建安劳保费、发包人材料</w:t>
      </w:r>
      <w:r>
        <w:rPr>
          <w:rFonts w:hint="eastAsia" w:hAnsi="宋体"/>
          <w:color w:val="auto"/>
          <w:szCs w:val="21"/>
          <w:u w:val="single"/>
        </w:rPr>
        <w:t>设备</w:t>
      </w:r>
      <w:r>
        <w:rPr>
          <w:rFonts w:hAnsi="宋体"/>
          <w:color w:val="auto"/>
          <w:szCs w:val="21"/>
          <w:u w:val="single"/>
        </w:rPr>
        <w:t>价款、暂估专业工程、暂列金额后的</w:t>
      </w:r>
      <w:r>
        <w:rPr>
          <w:rFonts w:hint="eastAsia"/>
          <w:color w:val="auto"/>
          <w:szCs w:val="21"/>
          <w:u w:val="single"/>
        </w:rPr>
        <w:t>1</w:t>
      </w:r>
      <w:r>
        <w:rPr>
          <w:color w:val="auto"/>
          <w:szCs w:val="21"/>
          <w:u w:val="single"/>
        </w:rPr>
        <w:t>%</w:t>
      </w:r>
      <w:r>
        <w:rPr>
          <w:rFonts w:ascii="宋体" w:hAnsi="宋体"/>
          <w:color w:val="auto"/>
          <w:szCs w:val="21"/>
        </w:rPr>
        <w:t>。</w:t>
      </w:r>
    </w:p>
    <w:bookmarkEnd w:id="441"/>
    <w:bookmarkEnd w:id="442"/>
    <w:p w14:paraId="03E48343">
      <w:pPr>
        <w:spacing w:after="120" w:line="440" w:lineRule="exact"/>
        <w:ind w:firstLine="420" w:firstLineChars="200"/>
        <w:rPr>
          <w:rFonts w:ascii="宋体" w:hAnsi="宋体"/>
          <w:color w:val="auto"/>
          <w:szCs w:val="21"/>
        </w:rPr>
      </w:pPr>
      <w:r>
        <w:rPr>
          <w:rFonts w:ascii="宋体" w:hAnsi="宋体"/>
          <w:color w:val="auto"/>
          <w:szCs w:val="21"/>
        </w:rPr>
        <w:t>7</w:t>
      </w:r>
      <w:bookmarkStart w:id="443" w:name="_Toc297216178"/>
      <w:bookmarkStart w:id="444" w:name="_Toc303539128"/>
      <w:bookmarkStart w:id="445" w:name="_Toc312678015"/>
      <w:bookmarkStart w:id="446" w:name="_Toc304295549"/>
      <w:bookmarkStart w:id="447" w:name="_Toc297123519"/>
      <w:bookmarkStart w:id="448" w:name="_Toc300934971"/>
      <w:r>
        <w:rPr>
          <w:rFonts w:ascii="宋体" w:hAnsi="宋体"/>
          <w:color w:val="auto"/>
          <w:szCs w:val="21"/>
        </w:rPr>
        <w:t>.6 不</w:t>
      </w:r>
      <w:bookmarkEnd w:id="443"/>
      <w:bookmarkEnd w:id="444"/>
      <w:bookmarkEnd w:id="445"/>
      <w:bookmarkEnd w:id="446"/>
      <w:bookmarkEnd w:id="447"/>
      <w:bookmarkEnd w:id="448"/>
      <w:r>
        <w:rPr>
          <w:rFonts w:ascii="宋体" w:hAnsi="宋体"/>
          <w:color w:val="auto"/>
          <w:szCs w:val="21"/>
        </w:rPr>
        <w:t>利物质条件</w:t>
      </w:r>
    </w:p>
    <w:p w14:paraId="25F45573">
      <w:pPr>
        <w:spacing w:line="440" w:lineRule="exact"/>
        <w:ind w:firstLine="315" w:firstLineChars="150"/>
        <w:jc w:val="left"/>
        <w:rPr>
          <w:rFonts w:ascii="宋体" w:hAnsi="宋体"/>
          <w:color w:val="auto"/>
          <w:szCs w:val="21"/>
        </w:rPr>
      </w:pPr>
      <w:bookmarkStart w:id="449" w:name="_Toc297216179"/>
      <w:bookmarkStart w:id="450" w:name="_Toc318581172"/>
      <w:bookmarkStart w:id="451" w:name="_Toc297123520"/>
      <w:bookmarkStart w:id="452" w:name="_Toc312678016"/>
      <w:bookmarkStart w:id="453" w:name="_Toc304295550"/>
      <w:bookmarkStart w:id="454" w:name="_Toc300934972"/>
      <w:bookmarkStart w:id="455" w:name="_Toc303539129"/>
      <w:r>
        <w:rPr>
          <w:rFonts w:ascii="宋体" w:hAnsi="宋体"/>
          <w:color w:val="auto"/>
          <w:szCs w:val="21"/>
        </w:rPr>
        <w:t>不利物质条件的其他情形和有关约定：。</w:t>
      </w:r>
    </w:p>
    <w:bookmarkEnd w:id="449"/>
    <w:bookmarkEnd w:id="450"/>
    <w:bookmarkEnd w:id="451"/>
    <w:bookmarkEnd w:id="452"/>
    <w:bookmarkEnd w:id="453"/>
    <w:bookmarkEnd w:id="454"/>
    <w:bookmarkEnd w:id="455"/>
    <w:p w14:paraId="0579C350">
      <w:pPr>
        <w:spacing w:after="120" w:line="440" w:lineRule="exact"/>
        <w:ind w:firstLine="420" w:firstLineChars="200"/>
        <w:rPr>
          <w:rFonts w:ascii="宋体" w:hAnsi="宋体"/>
          <w:color w:val="auto"/>
          <w:szCs w:val="21"/>
        </w:rPr>
      </w:pPr>
      <w:r>
        <w:rPr>
          <w:rFonts w:ascii="宋体" w:hAnsi="宋体"/>
          <w:color w:val="auto"/>
          <w:szCs w:val="21"/>
        </w:rPr>
        <w:t>7</w:t>
      </w:r>
      <w:bookmarkStart w:id="456" w:name="_Toc300934973"/>
      <w:bookmarkStart w:id="457" w:name="_Toc297123521"/>
      <w:bookmarkStart w:id="458" w:name="_Toc312678017"/>
      <w:bookmarkStart w:id="459" w:name="_Toc303539130"/>
      <w:bookmarkStart w:id="460" w:name="_Toc304295551"/>
      <w:bookmarkStart w:id="461" w:name="_Toc297216180"/>
      <w:r>
        <w:rPr>
          <w:rFonts w:ascii="宋体" w:hAnsi="宋体"/>
          <w:color w:val="auto"/>
          <w:szCs w:val="21"/>
        </w:rPr>
        <w:t>.7异常恶劣的气候条件</w:t>
      </w:r>
    </w:p>
    <w:bookmarkEnd w:id="456"/>
    <w:bookmarkEnd w:id="457"/>
    <w:bookmarkEnd w:id="458"/>
    <w:bookmarkEnd w:id="459"/>
    <w:bookmarkEnd w:id="460"/>
    <w:bookmarkEnd w:id="461"/>
    <w:p w14:paraId="24C93F1B">
      <w:pPr>
        <w:spacing w:line="440" w:lineRule="exact"/>
        <w:ind w:firstLine="420" w:firstLineChars="200"/>
        <w:jc w:val="left"/>
        <w:rPr>
          <w:rFonts w:ascii="宋体" w:hAnsi="宋体"/>
          <w:color w:val="auto"/>
          <w:szCs w:val="21"/>
        </w:rPr>
      </w:pPr>
      <w:r>
        <w:rPr>
          <w:rFonts w:ascii="宋体" w:hAnsi="宋体"/>
          <w:color w:val="auto"/>
          <w:szCs w:val="21"/>
        </w:rPr>
        <w:t>发包人和承包人同意以下情形视为异常恶劣的气候条件：</w:t>
      </w:r>
    </w:p>
    <w:p w14:paraId="322F6505">
      <w:pPr>
        <w:spacing w:line="360" w:lineRule="exact"/>
        <w:jc w:val="left"/>
        <w:rPr>
          <w:rFonts w:ascii="宋体" w:hAnsi="宋体"/>
          <w:color w:val="auto"/>
          <w:szCs w:val="21"/>
          <w:u w:val="single"/>
        </w:rPr>
      </w:pPr>
      <w:r>
        <w:rPr>
          <w:rFonts w:hint="eastAsia" w:ascii="宋体" w:hAnsi="宋体"/>
          <w:color w:val="auto"/>
          <w:szCs w:val="21"/>
          <w:u w:val="single"/>
        </w:rPr>
        <w:t>（1）六级及其以上台风,合同约定的不可抗力除外。</w:t>
      </w:r>
    </w:p>
    <w:p w14:paraId="05CEB194">
      <w:pPr>
        <w:widowControl/>
        <w:snapToGrid w:val="0"/>
        <w:spacing w:line="360" w:lineRule="exact"/>
        <w:rPr>
          <w:rFonts w:ascii="宋体" w:hAnsi="宋体"/>
          <w:color w:val="auto"/>
          <w:szCs w:val="21"/>
          <w:u w:val="single"/>
        </w:rPr>
      </w:pPr>
      <w:r>
        <w:rPr>
          <w:rFonts w:hint="eastAsia" w:ascii="宋体" w:hAnsi="宋体"/>
          <w:color w:val="auto"/>
          <w:szCs w:val="21"/>
          <w:u w:val="single"/>
        </w:rPr>
        <w:t>（2）异常恶劣的气候条件引起的工程延误，由监理工程师根据承包人提交的证明予以评定，异常气候在每月对工程进度影响的评定，应在整个合同内予以累计。</w:t>
      </w:r>
    </w:p>
    <w:p w14:paraId="69C69A00">
      <w:pPr>
        <w:autoSpaceDE w:val="0"/>
        <w:autoSpaceDN w:val="0"/>
        <w:adjustRightInd w:val="0"/>
        <w:spacing w:line="360" w:lineRule="exact"/>
        <w:jc w:val="left"/>
        <w:rPr>
          <w:rFonts w:ascii="宋体" w:hAnsi="宋体"/>
          <w:color w:val="auto"/>
          <w:szCs w:val="21"/>
          <w:u w:val="single"/>
        </w:rPr>
      </w:pPr>
      <w:r>
        <w:rPr>
          <w:rFonts w:hint="eastAsia" w:ascii="宋体" w:hAnsi="宋体"/>
          <w:color w:val="auto"/>
          <w:szCs w:val="21"/>
          <w:u w:val="single"/>
        </w:rPr>
        <w:t>（3）承包人应采取克服异常恶劣的气候条件的合理措施继续施工，并在发生后48小时内及时通知发包人和监理人。监理人应在接到通知后48小时内报发包人同意后应当及时发出指示，指示构成变更的，按</w:t>
      </w:r>
      <w:r>
        <w:rPr>
          <w:rFonts w:hint="eastAsia" w:ascii="宋体" w:hAnsi="宋体"/>
          <w:snapToGrid w:val="0"/>
          <w:color w:val="auto"/>
          <w:kern w:val="0"/>
          <w:szCs w:val="21"/>
          <w:u w:val="single"/>
        </w:rPr>
        <w:t>专用合同条款</w:t>
      </w:r>
      <w:r>
        <w:rPr>
          <w:rFonts w:hint="eastAsia" w:ascii="宋体" w:hAnsi="宋体"/>
          <w:color w:val="auto"/>
          <w:szCs w:val="21"/>
          <w:u w:val="single"/>
        </w:rPr>
        <w:t>第10条〔变更〕约定办理。承包人因采取合理措施而延误的工期由发包人承担，但发包人不承担增加的费用。</w:t>
      </w:r>
    </w:p>
    <w:p w14:paraId="2E2DB613">
      <w:pPr>
        <w:spacing w:line="360" w:lineRule="auto"/>
        <w:ind w:firstLine="420" w:firstLineChars="200"/>
        <w:jc w:val="left"/>
        <w:rPr>
          <w:color w:val="auto"/>
          <w:szCs w:val="21"/>
          <w:u w:val="single"/>
        </w:rPr>
      </w:pPr>
      <w:r>
        <w:rPr>
          <w:rFonts w:ascii="宋体" w:hAnsi="宋体"/>
          <w:color w:val="auto"/>
          <w:szCs w:val="21"/>
        </w:rPr>
        <w:t>7.</w:t>
      </w:r>
      <w:r>
        <w:rPr>
          <w:rFonts w:hint="eastAsia" w:ascii="宋体" w:hAnsi="宋体"/>
          <w:color w:val="auto"/>
          <w:szCs w:val="21"/>
        </w:rPr>
        <w:t>8</w:t>
      </w:r>
      <w:r>
        <w:rPr>
          <w:rFonts w:ascii="宋体" w:hAnsi="宋体"/>
          <w:color w:val="auto"/>
          <w:szCs w:val="21"/>
        </w:rPr>
        <w:t xml:space="preserve"> 提前竣工的奖励</w:t>
      </w:r>
    </w:p>
    <w:p w14:paraId="41881C63">
      <w:pPr>
        <w:spacing w:line="360" w:lineRule="auto"/>
        <w:ind w:firstLine="420" w:firstLineChars="200"/>
        <w:jc w:val="left"/>
        <w:rPr>
          <w:rFonts w:hAnsi="宋体"/>
          <w:color w:val="auto"/>
          <w:szCs w:val="21"/>
        </w:rPr>
      </w:pPr>
      <w:r>
        <w:rPr>
          <w:rFonts w:ascii="宋体" w:hAnsi="宋体"/>
          <w:color w:val="auto"/>
          <w:szCs w:val="21"/>
        </w:rPr>
        <w:t>7.</w:t>
      </w:r>
      <w:r>
        <w:rPr>
          <w:rFonts w:hint="eastAsia" w:ascii="宋体" w:hAnsi="宋体"/>
          <w:color w:val="auto"/>
          <w:szCs w:val="21"/>
        </w:rPr>
        <w:t>8</w:t>
      </w:r>
      <w:r>
        <w:rPr>
          <w:rFonts w:ascii="宋体" w:hAnsi="宋体"/>
          <w:color w:val="auto"/>
          <w:szCs w:val="21"/>
        </w:rPr>
        <w:t>.2提前竣工的奖励：</w:t>
      </w:r>
      <w:r>
        <w:rPr>
          <w:rFonts w:hint="eastAsia"/>
          <w:color w:val="auto"/>
          <w:szCs w:val="21"/>
          <w:u w:val="single"/>
        </w:rPr>
        <w:t>无</w:t>
      </w:r>
      <w:r>
        <w:rPr>
          <w:rFonts w:hAnsi="宋体"/>
          <w:color w:val="auto"/>
          <w:szCs w:val="21"/>
        </w:rPr>
        <w:t>。</w:t>
      </w:r>
    </w:p>
    <w:p w14:paraId="610B9D2F">
      <w:pPr>
        <w:keepNext/>
        <w:keepLines/>
        <w:widowControl/>
        <w:spacing w:before="120" w:after="120" w:line="440" w:lineRule="exact"/>
        <w:outlineLvl w:val="3"/>
        <w:rPr>
          <w:rFonts w:ascii="宋体" w:hAnsi="宋体" w:eastAsia="黑体"/>
          <w:b/>
          <w:color w:val="auto"/>
          <w:kern w:val="0"/>
          <w:sz w:val="28"/>
          <w:szCs w:val="21"/>
        </w:rPr>
      </w:pPr>
      <w:bookmarkStart w:id="462" w:name="_Toc351203640"/>
      <w:r>
        <w:rPr>
          <w:rFonts w:ascii="宋体" w:hAnsi="宋体" w:eastAsia="黑体"/>
          <w:b/>
          <w:color w:val="auto"/>
          <w:kern w:val="0"/>
          <w:sz w:val="28"/>
          <w:szCs w:val="21"/>
        </w:rPr>
        <w:t>8. 材料与设备</w:t>
      </w:r>
      <w:bookmarkEnd w:id="462"/>
    </w:p>
    <w:bookmarkEnd w:id="397"/>
    <w:bookmarkEnd w:id="398"/>
    <w:bookmarkEnd w:id="399"/>
    <w:bookmarkEnd w:id="400"/>
    <w:bookmarkEnd w:id="401"/>
    <w:bookmarkEnd w:id="402"/>
    <w:bookmarkEnd w:id="403"/>
    <w:bookmarkEnd w:id="404"/>
    <w:bookmarkEnd w:id="405"/>
    <w:bookmarkEnd w:id="406"/>
    <w:p w14:paraId="70561065">
      <w:pPr>
        <w:spacing w:after="120" w:line="440" w:lineRule="exact"/>
        <w:ind w:firstLine="420" w:firstLineChars="200"/>
        <w:rPr>
          <w:rFonts w:ascii="宋体" w:hAnsi="宋体"/>
          <w:color w:val="auto"/>
          <w:szCs w:val="21"/>
        </w:rPr>
      </w:pPr>
      <w:r>
        <w:rPr>
          <w:rFonts w:ascii="宋体" w:hAnsi="宋体"/>
          <w:color w:val="auto"/>
          <w:szCs w:val="21"/>
        </w:rPr>
        <w:t>8</w:t>
      </w:r>
      <w:bookmarkStart w:id="463" w:name="_Toc292559372"/>
      <w:bookmarkStart w:id="464" w:name="_Toc292559877"/>
      <w:bookmarkStart w:id="465" w:name="_Toc296890995"/>
      <w:bookmarkStart w:id="466" w:name="_Toc280868654"/>
      <w:bookmarkStart w:id="467" w:name="_Toc296891207"/>
      <w:bookmarkStart w:id="468" w:name="_Toc296346668"/>
      <w:bookmarkStart w:id="469" w:name="_Toc312678019"/>
      <w:bookmarkStart w:id="470" w:name="_Toc296944506"/>
      <w:bookmarkStart w:id="471" w:name="_Toc297120467"/>
      <w:bookmarkStart w:id="472" w:name="_Toc312677493"/>
      <w:bookmarkStart w:id="473" w:name="_Toc296347166"/>
      <w:bookmarkStart w:id="474" w:name="_Toc296503167"/>
      <w:bookmarkStart w:id="475" w:name="_Toc297123527"/>
      <w:bookmarkStart w:id="476" w:name="_Toc300934979"/>
      <w:bookmarkStart w:id="477" w:name="_Toc304295556"/>
      <w:bookmarkStart w:id="478" w:name="_Toc297216186"/>
      <w:bookmarkStart w:id="479" w:name="_Toc297048353"/>
      <w:bookmarkStart w:id="480" w:name="_Toc303539136"/>
      <w:bookmarkStart w:id="481" w:name="_Toc280868655"/>
      <w:bookmarkStart w:id="482" w:name="_Toc267251424"/>
      <w:bookmarkStart w:id="483" w:name="_Toc280868656"/>
      <w:r>
        <w:rPr>
          <w:rFonts w:ascii="宋体" w:hAnsi="宋体"/>
          <w:color w:val="auto"/>
          <w:szCs w:val="21"/>
        </w:rPr>
        <w:t>.</w:t>
      </w:r>
      <w:r>
        <w:rPr>
          <w:rFonts w:hint="eastAsia" w:ascii="宋体" w:hAnsi="宋体"/>
          <w:color w:val="auto"/>
          <w:szCs w:val="21"/>
        </w:rPr>
        <w:t>1</w:t>
      </w:r>
      <w:r>
        <w:rPr>
          <w:rFonts w:ascii="宋体" w:hAnsi="宋体"/>
          <w:color w:val="auto"/>
          <w:szCs w:val="21"/>
        </w:rPr>
        <w:t>材料与工程设备的保管与使用</w:t>
      </w:r>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1E37CEE7">
      <w:pPr>
        <w:spacing w:line="440" w:lineRule="exact"/>
        <w:ind w:firstLine="420" w:firstLineChars="200"/>
        <w:jc w:val="left"/>
        <w:rPr>
          <w:rFonts w:ascii="宋体" w:hAnsi="宋体"/>
          <w:color w:val="auto"/>
          <w:szCs w:val="21"/>
        </w:rPr>
      </w:pPr>
      <w:r>
        <w:rPr>
          <w:rFonts w:ascii="宋体" w:hAnsi="宋体"/>
          <w:color w:val="auto"/>
          <w:szCs w:val="21"/>
        </w:rPr>
        <w:t>8</w:t>
      </w:r>
      <w:bookmarkStart w:id="484" w:name="_Toc292559878"/>
      <w:bookmarkStart w:id="485" w:name="_Toc292559373"/>
      <w:bookmarkStart w:id="486" w:name="_Toc300934980"/>
      <w:bookmarkStart w:id="487" w:name="_Toc312677494"/>
      <w:bookmarkStart w:id="488" w:name="_Toc297216187"/>
      <w:bookmarkStart w:id="489" w:name="_Toc297123528"/>
      <w:bookmarkStart w:id="490" w:name="_Toc303539137"/>
      <w:bookmarkStart w:id="491" w:name="_Toc296347167"/>
      <w:bookmarkStart w:id="492" w:name="_Toc304295557"/>
      <w:bookmarkStart w:id="493" w:name="_Toc296890996"/>
      <w:bookmarkStart w:id="494" w:name="_Toc296944507"/>
      <w:bookmarkStart w:id="495" w:name="_Toc297120468"/>
      <w:bookmarkStart w:id="496" w:name="_Toc312678020"/>
      <w:bookmarkStart w:id="497" w:name="_Toc297048354"/>
      <w:bookmarkStart w:id="498" w:name="_Toc296346669"/>
      <w:bookmarkStart w:id="499" w:name="_Toc296503168"/>
      <w:bookmarkStart w:id="500" w:name="_Toc296891208"/>
      <w:bookmarkStart w:id="501" w:name="_Toc318581173"/>
      <w:r>
        <w:rPr>
          <w:rFonts w:ascii="宋体" w:hAnsi="宋体"/>
          <w:color w:val="auto"/>
          <w:szCs w:val="21"/>
        </w:rPr>
        <w:t>.</w:t>
      </w:r>
      <w:r>
        <w:rPr>
          <w:rFonts w:hint="eastAsia" w:ascii="宋体" w:hAnsi="宋体"/>
          <w:color w:val="auto"/>
          <w:szCs w:val="21"/>
        </w:rPr>
        <w:t>1</w:t>
      </w:r>
      <w:r>
        <w:rPr>
          <w:rFonts w:ascii="宋体" w:hAnsi="宋体"/>
          <w:color w:val="auto"/>
          <w:szCs w:val="21"/>
        </w:rPr>
        <w:t>.1发包人供应的材料设备的保管费用的承担：。</w:t>
      </w:r>
      <w:bookmarkEnd w:id="484"/>
      <w:bookmarkEnd w:id="485"/>
    </w:p>
    <w:p w14:paraId="699FF60D">
      <w:pPr>
        <w:spacing w:after="120" w:line="440" w:lineRule="exact"/>
        <w:ind w:firstLine="420" w:firstLineChars="200"/>
        <w:rPr>
          <w:rFonts w:ascii="宋体" w:hAnsi="宋体"/>
          <w:color w:val="auto"/>
          <w:szCs w:val="21"/>
        </w:rPr>
      </w:pPr>
      <w:r>
        <w:rPr>
          <w:rFonts w:ascii="宋体" w:hAnsi="宋体"/>
          <w:color w:val="auto"/>
          <w:szCs w:val="21"/>
        </w:rPr>
        <w:t>8.</w:t>
      </w:r>
      <w:r>
        <w:rPr>
          <w:rFonts w:hint="eastAsia" w:ascii="宋体" w:hAnsi="宋体"/>
          <w:color w:val="auto"/>
          <w:szCs w:val="21"/>
        </w:rPr>
        <w:t>2</w:t>
      </w:r>
      <w:r>
        <w:rPr>
          <w:rFonts w:ascii="宋体" w:hAnsi="宋体"/>
          <w:color w:val="auto"/>
          <w:szCs w:val="21"/>
        </w:rPr>
        <w:t xml:space="preserve"> 样品</w:t>
      </w:r>
    </w:p>
    <w:p w14:paraId="6AF8C0DF">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8.</w:t>
      </w:r>
      <w:r>
        <w:rPr>
          <w:rFonts w:hint="eastAsia" w:ascii="宋体" w:hAnsi="宋体"/>
          <w:color w:val="auto"/>
          <w:kern w:val="0"/>
          <w:szCs w:val="21"/>
        </w:rPr>
        <w:t>2</w:t>
      </w:r>
      <w:r>
        <w:rPr>
          <w:rFonts w:ascii="宋体" w:hAnsi="宋体"/>
          <w:color w:val="auto"/>
          <w:kern w:val="0"/>
          <w:szCs w:val="21"/>
        </w:rPr>
        <w:t>.1</w:t>
      </w:r>
      <w:r>
        <w:rPr>
          <w:rFonts w:ascii="宋体" w:hAnsi="宋体"/>
          <w:color w:val="auto"/>
          <w:kern w:val="0"/>
          <w:szCs w:val="21"/>
        </w:rPr>
        <w:tab/>
      </w:r>
      <w:r>
        <w:rPr>
          <w:rFonts w:ascii="宋体" w:hAnsi="宋体"/>
          <w:color w:val="auto"/>
          <w:kern w:val="0"/>
          <w:szCs w:val="21"/>
        </w:rPr>
        <w:t>样品的报送</w:t>
      </w:r>
      <w:r>
        <w:rPr>
          <w:rFonts w:hint="eastAsia" w:ascii="宋体" w:hAnsi="宋体"/>
          <w:color w:val="auto"/>
          <w:kern w:val="0"/>
          <w:szCs w:val="21"/>
        </w:rPr>
        <w:t>与封存</w:t>
      </w:r>
    </w:p>
    <w:p w14:paraId="63639191">
      <w:pPr>
        <w:autoSpaceDE w:val="0"/>
        <w:autoSpaceDN w:val="0"/>
        <w:adjustRightInd w:val="0"/>
        <w:spacing w:line="440" w:lineRule="exact"/>
        <w:ind w:firstLine="420" w:firstLineChars="200"/>
        <w:jc w:val="left"/>
        <w:rPr>
          <w:rFonts w:ascii="宋体" w:hAnsi="宋体"/>
          <w:color w:val="auto"/>
          <w:szCs w:val="21"/>
        </w:rPr>
      </w:pPr>
      <w:r>
        <w:rPr>
          <w:rFonts w:ascii="宋体" w:hAnsi="宋体"/>
          <w:color w:val="auto"/>
          <w:kern w:val="0"/>
          <w:szCs w:val="21"/>
        </w:rPr>
        <w:t>需要承包人报送样品的材料或工程设备，样品的种类、名称、规格、数量要求：</w:t>
      </w:r>
      <w:r>
        <w:rPr>
          <w:rFonts w:hint="eastAsia" w:ascii="宋体" w:hAnsi="宋体"/>
          <w:color w:val="auto"/>
          <w:szCs w:val="21"/>
          <w:u w:val="single"/>
        </w:rPr>
        <w:t>主要材料涉及品种、款式、颜色等方面内容的，承包人应提交准备合格的材料样品送发包人选定。</w:t>
      </w:r>
    </w:p>
    <w:p w14:paraId="7A1D2405">
      <w:pPr>
        <w:spacing w:after="120" w:line="440" w:lineRule="exact"/>
        <w:ind w:firstLine="420" w:firstLineChars="200"/>
        <w:rPr>
          <w:rFonts w:ascii="宋体" w:hAnsi="宋体"/>
          <w:color w:val="auto"/>
          <w:szCs w:val="21"/>
        </w:rPr>
      </w:pPr>
      <w:r>
        <w:rPr>
          <w:rFonts w:ascii="宋体" w:hAnsi="宋体"/>
          <w:color w:val="auto"/>
          <w:szCs w:val="21"/>
        </w:rPr>
        <w:t>8.</w:t>
      </w:r>
      <w:r>
        <w:rPr>
          <w:rFonts w:hint="eastAsia" w:ascii="宋体" w:hAnsi="宋体"/>
          <w:color w:val="auto"/>
          <w:szCs w:val="21"/>
        </w:rPr>
        <w:t>3</w:t>
      </w:r>
      <w:r>
        <w:rPr>
          <w:rFonts w:ascii="宋体" w:hAnsi="宋体"/>
          <w:color w:val="auto"/>
          <w:szCs w:val="21"/>
        </w:rPr>
        <w:t xml:space="preserve"> 施工设备和临时设施</w:t>
      </w:r>
    </w:p>
    <w:p w14:paraId="1AB559CE">
      <w:pPr>
        <w:autoSpaceDE w:val="0"/>
        <w:autoSpaceDN w:val="0"/>
        <w:adjustRightInd w:val="0"/>
        <w:spacing w:line="360" w:lineRule="auto"/>
        <w:ind w:firstLine="420" w:firstLineChars="200"/>
        <w:jc w:val="left"/>
        <w:rPr>
          <w:rFonts w:ascii="宋体" w:hAnsi="宋体"/>
          <w:color w:val="auto"/>
          <w:szCs w:val="21"/>
        </w:rPr>
      </w:pPr>
      <w:r>
        <w:rPr>
          <w:rFonts w:ascii="宋体" w:hAnsi="宋体"/>
          <w:color w:val="auto"/>
          <w:szCs w:val="21"/>
        </w:rPr>
        <w:t>8.</w:t>
      </w:r>
      <w:r>
        <w:rPr>
          <w:rFonts w:hint="eastAsia" w:ascii="宋体" w:hAnsi="宋体"/>
          <w:color w:val="auto"/>
          <w:szCs w:val="21"/>
        </w:rPr>
        <w:t>3</w:t>
      </w:r>
      <w:r>
        <w:rPr>
          <w:rFonts w:ascii="宋体" w:hAnsi="宋体"/>
          <w:color w:val="auto"/>
          <w:szCs w:val="21"/>
        </w:rPr>
        <w:t>.1 承包人提供的施工设备和临时设施</w:t>
      </w:r>
      <w:r>
        <w:rPr>
          <w:rFonts w:hint="eastAsia" w:ascii="宋体" w:hAnsi="宋体"/>
          <w:color w:val="auto"/>
          <w:szCs w:val="21"/>
        </w:rPr>
        <w:t>：</w:t>
      </w:r>
      <w:r>
        <w:rPr>
          <w:rFonts w:hint="eastAsia" w:ascii="宋体" w:hAnsi="宋体"/>
          <w:b/>
          <w:color w:val="auto"/>
          <w:szCs w:val="21"/>
        </w:rPr>
        <w:t>除专用合同条款另有约定的其他独立承包人和监理人指示的他人提供条件外，承包人运入施工场地的所有施工设备以及在施工场地建设的临时设施仅限于用于合同工程。</w:t>
      </w:r>
    </w:p>
    <w:p w14:paraId="0766F86C">
      <w:pPr>
        <w:autoSpaceDE w:val="0"/>
        <w:autoSpaceDN w:val="0"/>
        <w:adjustRightInd w:val="0"/>
        <w:spacing w:line="440" w:lineRule="exact"/>
        <w:ind w:firstLine="420" w:firstLineChars="200"/>
        <w:jc w:val="left"/>
        <w:rPr>
          <w:rFonts w:ascii="宋体" w:hAnsi="宋体"/>
          <w:b/>
          <w:color w:val="auto"/>
          <w:szCs w:val="21"/>
          <w:u w:val="single"/>
        </w:rPr>
      </w:pPr>
      <w:r>
        <w:rPr>
          <w:rFonts w:ascii="宋体" w:hAnsi="宋体"/>
          <w:color w:val="auto"/>
          <w:szCs w:val="21"/>
        </w:rPr>
        <w:t>关于修建临时设施费用承担的约定：</w:t>
      </w:r>
      <w:r>
        <w:rPr>
          <w:rFonts w:hint="eastAsia" w:ascii="宋体" w:hAnsi="宋体"/>
          <w:b/>
          <w:color w:val="auto"/>
          <w:szCs w:val="21"/>
          <w:u w:val="single"/>
        </w:rPr>
        <w:t>①承包人的临时用地（含项目部驻地等）租用费（含拆迁补偿）、临时用地的环保、恢复、临时用地的青苗补偿及地面附着物拆除等费用均由承包人负责，以上费用在竞标报价中综合考虑。</w:t>
      </w:r>
    </w:p>
    <w:p w14:paraId="17C1DE05">
      <w:pPr>
        <w:autoSpaceDE w:val="0"/>
        <w:autoSpaceDN w:val="0"/>
        <w:adjustRightInd w:val="0"/>
        <w:spacing w:line="440" w:lineRule="exact"/>
        <w:ind w:firstLine="422" w:firstLineChars="200"/>
        <w:jc w:val="left"/>
        <w:rPr>
          <w:rFonts w:ascii="宋体" w:hAnsi="宋体"/>
          <w:b/>
          <w:color w:val="auto"/>
          <w:szCs w:val="21"/>
          <w:u w:val="single"/>
        </w:rPr>
      </w:pPr>
      <w:r>
        <w:rPr>
          <w:rFonts w:hint="eastAsia" w:ascii="宋体" w:hAnsi="宋体"/>
          <w:b/>
          <w:color w:val="auto"/>
          <w:szCs w:val="21"/>
          <w:u w:val="single"/>
        </w:rPr>
        <w:t>②承包人负责合同实施期间其合同段内临时交通道路（含场内外连接公共交通道路）和交通设施的修建、维修、养护和交通管理工作，并承担一切费用。</w:t>
      </w:r>
    </w:p>
    <w:p w14:paraId="2174E552">
      <w:pPr>
        <w:autoSpaceDE w:val="0"/>
        <w:autoSpaceDN w:val="0"/>
        <w:adjustRightInd w:val="0"/>
        <w:spacing w:line="440" w:lineRule="exact"/>
        <w:ind w:firstLine="422" w:firstLineChars="200"/>
        <w:jc w:val="left"/>
        <w:rPr>
          <w:rFonts w:ascii="宋体" w:hAnsi="宋体"/>
          <w:color w:val="auto"/>
          <w:szCs w:val="21"/>
        </w:rPr>
      </w:pPr>
      <w:r>
        <w:rPr>
          <w:rFonts w:hint="eastAsia" w:ascii="宋体" w:hAnsi="宋体"/>
          <w:b/>
          <w:color w:val="auto"/>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44C8D9CD">
      <w:pPr>
        <w:keepNext/>
        <w:keepLines/>
        <w:widowControl/>
        <w:spacing w:before="120" w:after="120" w:line="440" w:lineRule="exact"/>
        <w:outlineLvl w:val="3"/>
        <w:rPr>
          <w:rFonts w:ascii="宋体" w:hAnsi="宋体" w:eastAsia="黑体"/>
          <w:b/>
          <w:color w:val="auto"/>
          <w:kern w:val="0"/>
          <w:sz w:val="28"/>
          <w:szCs w:val="21"/>
        </w:rPr>
      </w:pPr>
      <w:bookmarkStart w:id="502" w:name="_Toc351203641"/>
      <w:r>
        <w:rPr>
          <w:rFonts w:ascii="宋体" w:hAnsi="宋体" w:eastAsia="黑体"/>
          <w:b/>
          <w:color w:val="auto"/>
          <w:kern w:val="0"/>
          <w:sz w:val="28"/>
          <w:szCs w:val="21"/>
        </w:rPr>
        <w:t>9</w:t>
      </w:r>
      <w:bookmarkEnd w:id="481"/>
      <w:bookmarkEnd w:id="482"/>
      <w:bookmarkEnd w:id="483"/>
      <w:bookmarkStart w:id="503" w:name="_Toc312678021"/>
      <w:bookmarkStart w:id="504" w:name="_Toc297123533"/>
      <w:bookmarkStart w:id="505" w:name="_Toc300934982"/>
      <w:bookmarkStart w:id="506" w:name="_Toc312677495"/>
      <w:bookmarkStart w:id="507" w:name="_Toc304295559"/>
      <w:bookmarkStart w:id="508" w:name="_Toc303539139"/>
      <w:bookmarkStart w:id="509" w:name="_Toc297216192"/>
      <w:bookmarkStart w:id="510" w:name="_Toc296944512"/>
      <w:bookmarkStart w:id="511" w:name="_Toc296503173"/>
      <w:bookmarkStart w:id="512" w:name="_Toc292559378"/>
      <w:bookmarkStart w:id="513" w:name="_Toc297120473"/>
      <w:bookmarkStart w:id="514" w:name="_Toc267251427"/>
      <w:bookmarkStart w:id="515" w:name="_Toc296891213"/>
      <w:bookmarkStart w:id="516" w:name="_Toc296891001"/>
      <w:bookmarkStart w:id="517" w:name="_Toc296346674"/>
      <w:bookmarkStart w:id="518" w:name="_Toc296347172"/>
      <w:bookmarkStart w:id="519" w:name="_Toc267251428"/>
      <w:bookmarkStart w:id="520" w:name="_Toc297048359"/>
      <w:bookmarkStart w:id="521" w:name="_Toc292559883"/>
      <w:r>
        <w:rPr>
          <w:rFonts w:ascii="宋体" w:hAnsi="宋体" w:eastAsia="黑体"/>
          <w:b/>
          <w:color w:val="auto"/>
          <w:kern w:val="0"/>
          <w:sz w:val="28"/>
          <w:szCs w:val="21"/>
        </w:rPr>
        <w:t>. 试验与检验</w:t>
      </w:r>
      <w:bookmarkEnd w:id="502"/>
    </w:p>
    <w:bookmarkEnd w:id="503"/>
    <w:bookmarkEnd w:id="504"/>
    <w:bookmarkEnd w:id="505"/>
    <w:bookmarkEnd w:id="506"/>
    <w:bookmarkEnd w:id="507"/>
    <w:bookmarkEnd w:id="508"/>
    <w:bookmarkEnd w:id="509"/>
    <w:p w14:paraId="5C24EA5C">
      <w:pPr>
        <w:keepNext/>
        <w:keepLines/>
        <w:spacing w:before="260" w:after="260" w:line="24" w:lineRule="auto"/>
        <w:outlineLvl w:val="2"/>
        <w:rPr>
          <w:rFonts w:ascii="宋体" w:hAnsi="宋体"/>
          <w:b/>
          <w:bCs/>
          <w:color w:val="auto"/>
          <w:kern w:val="0"/>
          <w:sz w:val="24"/>
          <w:szCs w:val="32"/>
        </w:rPr>
      </w:pPr>
      <w:bookmarkStart w:id="522" w:name="_Toc373478384"/>
      <w:bookmarkStart w:id="523" w:name="_Toc389065303"/>
      <w:bookmarkStart w:id="524" w:name="_Toc465114896"/>
      <w:bookmarkStart w:id="525" w:name="_Toc373227737"/>
      <w:bookmarkStart w:id="526" w:name="_Toc351203642"/>
      <w:r>
        <w:rPr>
          <w:rFonts w:ascii="宋体" w:hAnsi="宋体"/>
          <w:b/>
          <w:bCs/>
          <w:color w:val="auto"/>
          <w:kern w:val="0"/>
          <w:sz w:val="24"/>
          <w:szCs w:val="32"/>
        </w:rPr>
        <w:t>9</w:t>
      </w:r>
      <w:bookmarkStart w:id="527" w:name="_Toc297123534"/>
      <w:bookmarkStart w:id="528" w:name="_Toc297216193"/>
      <w:bookmarkStart w:id="529" w:name="_Toc303539140"/>
      <w:bookmarkStart w:id="530" w:name="_Toc312678022"/>
      <w:bookmarkStart w:id="531" w:name="_Toc312677496"/>
      <w:bookmarkStart w:id="532" w:name="_Toc304295560"/>
      <w:bookmarkStart w:id="533" w:name="_Toc300934983"/>
      <w:r>
        <w:rPr>
          <w:rFonts w:ascii="宋体" w:hAnsi="宋体"/>
          <w:b/>
          <w:bCs/>
          <w:color w:val="auto"/>
          <w:kern w:val="0"/>
          <w:sz w:val="24"/>
          <w:szCs w:val="32"/>
        </w:rPr>
        <w:t>.1 试验设备与试验人员</w:t>
      </w:r>
      <w:bookmarkEnd w:id="522"/>
      <w:bookmarkEnd w:id="523"/>
      <w:bookmarkEnd w:id="524"/>
      <w:bookmarkEnd w:id="525"/>
    </w:p>
    <w:bookmarkEnd w:id="527"/>
    <w:bookmarkEnd w:id="528"/>
    <w:bookmarkEnd w:id="529"/>
    <w:bookmarkEnd w:id="530"/>
    <w:bookmarkEnd w:id="531"/>
    <w:bookmarkEnd w:id="532"/>
    <w:bookmarkEnd w:id="533"/>
    <w:p w14:paraId="1AA0A042">
      <w:pPr>
        <w:spacing w:line="360" w:lineRule="auto"/>
        <w:ind w:firstLine="420" w:firstLineChars="200"/>
        <w:jc w:val="left"/>
        <w:rPr>
          <w:color w:val="auto"/>
          <w:szCs w:val="21"/>
        </w:rPr>
      </w:pPr>
      <w:r>
        <w:rPr>
          <w:color w:val="auto"/>
          <w:szCs w:val="21"/>
        </w:rPr>
        <w:t>9</w:t>
      </w:r>
      <w:bookmarkStart w:id="534" w:name="_Toc297216194"/>
      <w:bookmarkStart w:id="535" w:name="_Toc312677497"/>
      <w:bookmarkStart w:id="536" w:name="_Toc300934984"/>
      <w:bookmarkStart w:id="537" w:name="_Toc297123535"/>
      <w:bookmarkStart w:id="538" w:name="_Toc304295561"/>
      <w:bookmarkStart w:id="539" w:name="_Toc312678023"/>
      <w:bookmarkStart w:id="540" w:name="_Toc303539141"/>
      <w:bookmarkStart w:id="541" w:name="_Toc318581174"/>
      <w:r>
        <w:rPr>
          <w:color w:val="auto"/>
          <w:szCs w:val="21"/>
        </w:rPr>
        <w:t xml:space="preserve">.1.2 </w:t>
      </w:r>
      <w:r>
        <w:rPr>
          <w:rFonts w:hAnsi="宋体"/>
          <w:color w:val="auto"/>
          <w:szCs w:val="21"/>
        </w:rPr>
        <w:t>试验设备</w:t>
      </w:r>
    </w:p>
    <w:bookmarkEnd w:id="534"/>
    <w:bookmarkEnd w:id="535"/>
    <w:bookmarkEnd w:id="536"/>
    <w:bookmarkEnd w:id="537"/>
    <w:bookmarkEnd w:id="538"/>
    <w:bookmarkEnd w:id="539"/>
    <w:bookmarkEnd w:id="540"/>
    <w:p w14:paraId="1F81DFC9">
      <w:pPr>
        <w:spacing w:line="400" w:lineRule="exact"/>
        <w:ind w:firstLine="420" w:firstLineChars="200"/>
        <w:jc w:val="left"/>
        <w:rPr>
          <w:rFonts w:ascii="宋体" w:hAnsi="宋体"/>
          <w:color w:val="auto"/>
          <w:szCs w:val="21"/>
        </w:rPr>
      </w:pPr>
      <w:bookmarkStart w:id="542" w:name="_Toc373478385"/>
      <w:bookmarkStart w:id="543" w:name="_Toc373227738"/>
      <w:bookmarkStart w:id="544" w:name="_Toc465114897"/>
      <w:bookmarkStart w:id="545" w:name="_Toc389065304"/>
      <w:bookmarkStart w:id="546" w:name="_Toc312677498"/>
      <w:bookmarkStart w:id="547" w:name="_Toc297216195"/>
      <w:bookmarkStart w:id="548" w:name="_Toc300934985"/>
      <w:bookmarkStart w:id="549" w:name="_Toc297123536"/>
      <w:bookmarkStart w:id="550" w:name="_Toc303539142"/>
      <w:bookmarkStart w:id="551" w:name="_Toc312678024"/>
      <w:bookmarkStart w:id="552" w:name="_Toc304295562"/>
      <w:r>
        <w:rPr>
          <w:rFonts w:hint="eastAsia" w:ascii="宋体" w:hAnsi="宋体"/>
          <w:color w:val="auto"/>
          <w:szCs w:val="21"/>
        </w:rPr>
        <w:t>施工现场需要配置的试验场所：</w:t>
      </w:r>
      <w:r>
        <w:rPr>
          <w:rFonts w:hint="eastAsia" w:ascii="宋体" w:hAnsi="宋体"/>
          <w:color w:val="auto"/>
          <w:szCs w:val="21"/>
          <w:u w:val="single"/>
        </w:rPr>
        <w:t xml:space="preserve">  满足自检需要</w:t>
      </w:r>
      <w:r>
        <w:rPr>
          <w:rFonts w:hint="eastAsia" w:ascii="宋体" w:hAnsi="宋体"/>
          <w:color w:val="auto"/>
          <w:szCs w:val="21"/>
        </w:rPr>
        <w:t xml:space="preserve">。 </w:t>
      </w:r>
    </w:p>
    <w:p w14:paraId="1EB346C3">
      <w:pPr>
        <w:spacing w:line="400" w:lineRule="exact"/>
        <w:ind w:firstLine="420" w:firstLineChars="200"/>
        <w:jc w:val="left"/>
        <w:rPr>
          <w:rFonts w:ascii="宋体" w:hAnsi="宋体"/>
          <w:color w:val="auto"/>
          <w:szCs w:val="21"/>
        </w:rPr>
      </w:pPr>
      <w:r>
        <w:rPr>
          <w:rFonts w:hint="eastAsia" w:ascii="宋体" w:hAnsi="宋体"/>
          <w:color w:val="auto"/>
          <w:szCs w:val="21"/>
        </w:rPr>
        <w:t>施工现场需要配备的试验设备：</w:t>
      </w:r>
      <w:r>
        <w:rPr>
          <w:rFonts w:hint="eastAsia" w:ascii="宋体" w:hAnsi="宋体"/>
          <w:color w:val="auto"/>
          <w:szCs w:val="21"/>
          <w:u w:val="single"/>
        </w:rPr>
        <w:t xml:space="preserve">   满足自检需要  </w:t>
      </w:r>
      <w:r>
        <w:rPr>
          <w:rFonts w:hint="eastAsia" w:ascii="宋体" w:hAnsi="宋体"/>
          <w:color w:val="auto"/>
          <w:szCs w:val="21"/>
        </w:rPr>
        <w:t>。</w:t>
      </w:r>
    </w:p>
    <w:p w14:paraId="79306810">
      <w:pPr>
        <w:spacing w:line="400" w:lineRule="exact"/>
        <w:ind w:firstLine="420" w:firstLineChars="200"/>
        <w:jc w:val="left"/>
        <w:rPr>
          <w:rFonts w:ascii="宋体" w:hAnsi="宋体"/>
          <w:color w:val="auto"/>
          <w:szCs w:val="21"/>
        </w:rPr>
      </w:pPr>
      <w:r>
        <w:rPr>
          <w:rFonts w:hint="eastAsia" w:ascii="宋体" w:hAnsi="宋体"/>
          <w:color w:val="auto"/>
          <w:szCs w:val="21"/>
        </w:rPr>
        <w:t>施工现场需要具备的其他试验条件：</w:t>
      </w:r>
      <w:r>
        <w:rPr>
          <w:rFonts w:hint="eastAsia" w:ascii="宋体" w:hAnsi="宋体"/>
          <w:color w:val="auto"/>
          <w:szCs w:val="21"/>
          <w:u w:val="single"/>
        </w:rPr>
        <w:t xml:space="preserve">  满足自检需要  </w:t>
      </w:r>
      <w:r>
        <w:rPr>
          <w:rFonts w:hint="eastAsia" w:ascii="宋体" w:hAnsi="宋体"/>
          <w:color w:val="auto"/>
          <w:szCs w:val="21"/>
        </w:rPr>
        <w:t>。</w:t>
      </w:r>
    </w:p>
    <w:p w14:paraId="7E443E64">
      <w:pPr>
        <w:keepNext/>
        <w:keepLines/>
        <w:spacing w:before="260" w:after="260" w:line="24" w:lineRule="auto"/>
        <w:outlineLvl w:val="2"/>
        <w:rPr>
          <w:rFonts w:ascii="宋体" w:hAnsi="宋体"/>
          <w:b/>
          <w:bCs/>
          <w:color w:val="auto"/>
          <w:kern w:val="0"/>
          <w:sz w:val="24"/>
          <w:szCs w:val="32"/>
        </w:rPr>
      </w:pPr>
      <w:r>
        <w:rPr>
          <w:rFonts w:ascii="宋体" w:hAnsi="宋体"/>
          <w:b/>
          <w:bCs/>
          <w:color w:val="auto"/>
          <w:kern w:val="0"/>
          <w:sz w:val="24"/>
          <w:szCs w:val="32"/>
        </w:rPr>
        <w:t>9.4 现场工艺试验</w:t>
      </w:r>
      <w:bookmarkEnd w:id="542"/>
      <w:bookmarkEnd w:id="543"/>
      <w:bookmarkEnd w:id="544"/>
      <w:bookmarkEnd w:id="545"/>
    </w:p>
    <w:p w14:paraId="17A1DE0B">
      <w:pPr>
        <w:spacing w:line="400" w:lineRule="exact"/>
        <w:ind w:firstLine="420" w:firstLineChars="200"/>
        <w:jc w:val="left"/>
        <w:rPr>
          <w:rFonts w:ascii="宋体" w:hAnsi="宋体"/>
          <w:color w:val="auto"/>
          <w:szCs w:val="21"/>
        </w:rPr>
      </w:pPr>
      <w:bookmarkStart w:id="553" w:name="_Toc465114898"/>
      <w:bookmarkStart w:id="554" w:name="OLE_LINK1"/>
      <w:r>
        <w:rPr>
          <w:rFonts w:hint="eastAsia" w:ascii="宋体" w:hAnsi="宋体"/>
          <w:color w:val="auto"/>
          <w:szCs w:val="21"/>
        </w:rPr>
        <w:t>现场工艺试验的有关约定：</w:t>
      </w:r>
      <w:r>
        <w:rPr>
          <w:rFonts w:hint="eastAsia" w:ascii="宋体" w:hAnsi="宋体"/>
          <w:color w:val="auto"/>
          <w:szCs w:val="21"/>
          <w:u w:val="single"/>
        </w:rPr>
        <w:t xml:space="preserve">  满足自检需要</w:t>
      </w:r>
      <w:r>
        <w:rPr>
          <w:rFonts w:hint="eastAsia" w:ascii="宋体" w:hAnsi="宋体"/>
          <w:color w:val="auto"/>
          <w:szCs w:val="21"/>
        </w:rPr>
        <w:t>。</w:t>
      </w:r>
    </w:p>
    <w:p w14:paraId="524DB855">
      <w:pPr>
        <w:keepNext/>
        <w:keepLines/>
        <w:spacing w:before="260" w:after="260" w:line="24" w:lineRule="auto"/>
        <w:outlineLvl w:val="2"/>
        <w:rPr>
          <w:rFonts w:ascii="宋体" w:hAnsi="宋体"/>
          <w:b/>
          <w:bCs/>
          <w:color w:val="auto"/>
          <w:kern w:val="0"/>
          <w:sz w:val="24"/>
          <w:szCs w:val="32"/>
        </w:rPr>
      </w:pPr>
      <w:r>
        <w:rPr>
          <w:rFonts w:ascii="宋体" w:hAnsi="宋体"/>
          <w:b/>
          <w:bCs/>
          <w:color w:val="auto"/>
          <w:kern w:val="0"/>
          <w:sz w:val="24"/>
          <w:szCs w:val="32"/>
        </w:rPr>
        <w:t>9.5 检验费用</w:t>
      </w:r>
      <w:bookmarkEnd w:id="553"/>
    </w:p>
    <w:p w14:paraId="6F3ACB1C">
      <w:pPr>
        <w:spacing w:line="360" w:lineRule="auto"/>
        <w:ind w:firstLine="411" w:firstLineChars="196"/>
        <w:rPr>
          <w:color w:val="auto"/>
          <w:szCs w:val="21"/>
        </w:rPr>
      </w:pPr>
      <w:r>
        <w:rPr>
          <w:rFonts w:hAnsi="宋体"/>
          <w:color w:val="auto"/>
          <w:szCs w:val="21"/>
        </w:rPr>
        <w:t>根据</w:t>
      </w:r>
      <w:r>
        <w:rPr>
          <w:rFonts w:hAnsi="宋体"/>
          <w:bCs/>
          <w:color w:val="auto"/>
          <w:szCs w:val="21"/>
        </w:rPr>
        <w:t>《广西壮族自治区建设工程质量检测管理规定》</w:t>
      </w:r>
      <w:r>
        <w:rPr>
          <w:rFonts w:hint="eastAsia"/>
          <w:bCs/>
          <w:color w:val="auto"/>
          <w:szCs w:val="21"/>
        </w:rPr>
        <w:t>（</w:t>
      </w:r>
      <w:r>
        <w:rPr>
          <w:rFonts w:hAnsi="宋体"/>
          <w:bCs/>
          <w:color w:val="auto"/>
          <w:szCs w:val="21"/>
        </w:rPr>
        <w:t>桂建管</w:t>
      </w:r>
      <w:r>
        <w:rPr>
          <w:rFonts w:hint="eastAsia"/>
          <w:bCs/>
          <w:color w:val="auto"/>
          <w:szCs w:val="21"/>
        </w:rPr>
        <w:t>〔</w:t>
      </w:r>
      <w:r>
        <w:rPr>
          <w:bCs/>
          <w:color w:val="auto"/>
          <w:szCs w:val="21"/>
        </w:rPr>
        <w:t>2013</w:t>
      </w:r>
      <w:r>
        <w:rPr>
          <w:rFonts w:hint="eastAsia"/>
          <w:bCs/>
          <w:color w:val="auto"/>
          <w:szCs w:val="21"/>
        </w:rPr>
        <w:t>〕</w:t>
      </w:r>
      <w:r>
        <w:rPr>
          <w:bCs/>
          <w:color w:val="auto"/>
          <w:szCs w:val="21"/>
        </w:rPr>
        <w:t>11</w:t>
      </w:r>
      <w:r>
        <w:rPr>
          <w:rFonts w:hAnsi="宋体"/>
          <w:bCs/>
          <w:color w:val="auto"/>
          <w:szCs w:val="21"/>
        </w:rPr>
        <w:t>号</w:t>
      </w:r>
      <w:r>
        <w:rPr>
          <w:rFonts w:hint="eastAsia"/>
          <w:bCs/>
          <w:color w:val="auto"/>
          <w:szCs w:val="21"/>
        </w:rPr>
        <w:t>）</w:t>
      </w:r>
      <w:r>
        <w:rPr>
          <w:rFonts w:hAnsi="宋体"/>
          <w:color w:val="auto"/>
          <w:szCs w:val="21"/>
        </w:rPr>
        <w:t>规定，工程质量检测业务由</w:t>
      </w:r>
      <w:r>
        <w:rPr>
          <w:rFonts w:hint="eastAsia" w:hAnsi="宋体"/>
          <w:color w:val="auto"/>
          <w:szCs w:val="21"/>
        </w:rPr>
        <w:t>发包人</w:t>
      </w:r>
      <w:r>
        <w:rPr>
          <w:rFonts w:hAnsi="宋体"/>
          <w:color w:val="auto"/>
          <w:szCs w:val="21"/>
        </w:rPr>
        <w:t>委托有相应资质的检测机构检测。费用</w:t>
      </w:r>
      <w:r>
        <w:rPr>
          <w:rFonts w:hint="eastAsia" w:hAnsi="宋体"/>
          <w:color w:val="auto"/>
          <w:szCs w:val="21"/>
        </w:rPr>
        <w:t>由发包人</w:t>
      </w:r>
      <w:r>
        <w:rPr>
          <w:rFonts w:hAnsi="宋体"/>
          <w:color w:val="auto"/>
          <w:szCs w:val="21"/>
        </w:rPr>
        <w:t>直接支付给检测机构，不计入合同价款内。</w:t>
      </w:r>
      <w:r>
        <w:rPr>
          <w:rFonts w:hint="eastAsia" w:hAnsi="宋体"/>
          <w:color w:val="auto"/>
          <w:szCs w:val="21"/>
        </w:rPr>
        <w:t>检验试验配合费按费用定额规定计取，计入本合同价款内。</w:t>
      </w:r>
    </w:p>
    <w:bookmarkEnd w:id="541"/>
    <w:bookmarkEnd w:id="546"/>
    <w:bookmarkEnd w:id="547"/>
    <w:bookmarkEnd w:id="548"/>
    <w:bookmarkEnd w:id="549"/>
    <w:bookmarkEnd w:id="550"/>
    <w:bookmarkEnd w:id="551"/>
    <w:bookmarkEnd w:id="552"/>
    <w:bookmarkEnd w:id="554"/>
    <w:p w14:paraId="3D7500D8">
      <w:pPr>
        <w:keepNext/>
        <w:keepLines/>
        <w:widowControl/>
        <w:spacing w:before="120" w:after="120" w:line="440" w:lineRule="exact"/>
        <w:outlineLvl w:val="3"/>
        <w:rPr>
          <w:rFonts w:ascii="宋体" w:hAnsi="宋体" w:eastAsia="黑体"/>
          <w:b/>
          <w:color w:val="auto"/>
          <w:kern w:val="0"/>
          <w:sz w:val="28"/>
          <w:szCs w:val="21"/>
        </w:rPr>
      </w:pPr>
      <w:r>
        <w:rPr>
          <w:rFonts w:ascii="宋体" w:hAnsi="宋体" w:eastAsia="黑体"/>
          <w:b/>
          <w:color w:val="auto"/>
          <w:kern w:val="0"/>
          <w:sz w:val="28"/>
          <w:szCs w:val="21"/>
        </w:rPr>
        <w:t>1</w:t>
      </w:r>
      <w:bookmarkEnd w:id="510"/>
      <w:bookmarkEnd w:id="511"/>
      <w:bookmarkEnd w:id="512"/>
      <w:bookmarkEnd w:id="513"/>
      <w:bookmarkEnd w:id="514"/>
      <w:bookmarkEnd w:id="515"/>
      <w:bookmarkEnd w:id="516"/>
      <w:bookmarkEnd w:id="517"/>
      <w:bookmarkEnd w:id="518"/>
      <w:bookmarkEnd w:id="519"/>
      <w:bookmarkEnd w:id="520"/>
      <w:bookmarkEnd w:id="521"/>
      <w:bookmarkStart w:id="555" w:name="_Toc296503193"/>
      <w:bookmarkStart w:id="556" w:name="_Toc296347192"/>
      <w:bookmarkStart w:id="557" w:name="_Toc296891021"/>
      <w:bookmarkStart w:id="558" w:name="_Toc297123540"/>
      <w:bookmarkStart w:id="559" w:name="_Toc297216199"/>
      <w:bookmarkStart w:id="560" w:name="_Toc296891233"/>
      <w:bookmarkStart w:id="561" w:name="_Toc296944532"/>
      <w:bookmarkStart w:id="562" w:name="_Toc297048379"/>
      <w:bookmarkStart w:id="563" w:name="_Toc297120493"/>
      <w:bookmarkStart w:id="564" w:name="_Toc296346694"/>
      <w:bookmarkStart w:id="565" w:name="_Toc292559398"/>
      <w:bookmarkStart w:id="566" w:name="_Toc300934989"/>
      <w:bookmarkStart w:id="567" w:name="_Toc303539146"/>
      <w:bookmarkStart w:id="568" w:name="_Toc292559903"/>
      <w:bookmarkStart w:id="569" w:name="_Toc304295566"/>
      <w:bookmarkStart w:id="570" w:name="_Toc312677499"/>
      <w:bookmarkStart w:id="571" w:name="_Toc312678025"/>
      <w:bookmarkStart w:id="572" w:name="_Toc267251441"/>
      <w:bookmarkStart w:id="573" w:name="_Toc267251435"/>
      <w:bookmarkStart w:id="574" w:name="_Toc267251437"/>
      <w:bookmarkStart w:id="575" w:name="_Toc267251439"/>
      <w:bookmarkStart w:id="576" w:name="_Toc267251433"/>
      <w:bookmarkStart w:id="577" w:name="_Toc267251440"/>
      <w:bookmarkStart w:id="578" w:name="_Toc267251442"/>
      <w:r>
        <w:rPr>
          <w:rFonts w:ascii="宋体" w:hAnsi="宋体" w:eastAsia="黑体"/>
          <w:b/>
          <w:color w:val="auto"/>
          <w:kern w:val="0"/>
          <w:sz w:val="28"/>
          <w:szCs w:val="21"/>
        </w:rPr>
        <w:t>0. 变更</w:t>
      </w:r>
      <w:bookmarkEnd w:id="52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bookmarkEnd w:id="570"/>
    <w:bookmarkEnd w:id="571"/>
    <w:p w14:paraId="2B74C97C">
      <w:pPr>
        <w:spacing w:after="120" w:line="440" w:lineRule="exact"/>
        <w:ind w:firstLine="420" w:firstLineChars="200"/>
        <w:rPr>
          <w:rFonts w:ascii="宋体" w:hAnsi="宋体"/>
          <w:color w:val="auto"/>
          <w:szCs w:val="21"/>
        </w:rPr>
      </w:pPr>
      <w:r>
        <w:rPr>
          <w:rFonts w:ascii="宋体" w:hAnsi="宋体"/>
          <w:color w:val="auto"/>
          <w:szCs w:val="21"/>
        </w:rPr>
        <w:t>1</w:t>
      </w:r>
      <w:bookmarkStart w:id="579" w:name="_Toc296346695"/>
      <w:bookmarkStart w:id="580" w:name="_Toc297120494"/>
      <w:bookmarkStart w:id="581" w:name="_Toc296891234"/>
      <w:bookmarkStart w:id="582" w:name="_Toc296944533"/>
      <w:bookmarkStart w:id="583" w:name="_Toc312677500"/>
      <w:bookmarkStart w:id="584" w:name="_Toc297216200"/>
      <w:bookmarkStart w:id="585" w:name="_Toc296347193"/>
      <w:bookmarkStart w:id="586" w:name="_Toc296891022"/>
      <w:bookmarkStart w:id="587" w:name="_Toc296503194"/>
      <w:bookmarkStart w:id="588" w:name="_Toc303539147"/>
      <w:bookmarkStart w:id="589" w:name="_Toc297048380"/>
      <w:bookmarkStart w:id="590" w:name="_Toc312678026"/>
      <w:bookmarkStart w:id="591" w:name="_Toc304295567"/>
      <w:bookmarkStart w:id="592" w:name="_Toc292559904"/>
      <w:bookmarkStart w:id="593" w:name="_Toc297123541"/>
      <w:bookmarkStart w:id="594" w:name="_Toc300934990"/>
      <w:bookmarkStart w:id="595" w:name="_Toc292559399"/>
      <w:r>
        <w:rPr>
          <w:rFonts w:ascii="宋体" w:hAnsi="宋体"/>
          <w:color w:val="auto"/>
          <w:szCs w:val="21"/>
        </w:rPr>
        <w:t>0.1变更的范围</w:t>
      </w:r>
    </w:p>
    <w:p w14:paraId="0A3821DC">
      <w:pPr>
        <w:spacing w:line="440" w:lineRule="exact"/>
        <w:ind w:firstLine="420" w:firstLineChars="200"/>
        <w:jc w:val="left"/>
        <w:rPr>
          <w:rFonts w:ascii="宋体" w:hAnsi="宋体"/>
          <w:color w:val="auto"/>
          <w:szCs w:val="21"/>
          <w:u w:val="single"/>
        </w:rPr>
      </w:pPr>
      <w:r>
        <w:rPr>
          <w:rFonts w:ascii="宋体" w:hAnsi="宋体"/>
          <w:color w:val="auto"/>
          <w:szCs w:val="21"/>
        </w:rPr>
        <w:t>关于变更的范围的约定：</w:t>
      </w:r>
      <w:r>
        <w:rPr>
          <w:rFonts w:hint="eastAsia" w:ascii="宋体" w:hAnsi="宋体"/>
          <w:color w:val="auto"/>
          <w:szCs w:val="21"/>
          <w:u w:val="single"/>
        </w:rPr>
        <w:t>在实施项目过程中，若发生隐蔽工程或工程量发生增减变动，必须经建设单位、监理单位、与施工单位等有关单位现场签字确认方可作为工程结算依据。</w:t>
      </w:r>
    </w:p>
    <w:p w14:paraId="096F4397">
      <w:pPr>
        <w:spacing w:line="440" w:lineRule="exact"/>
        <w:ind w:firstLine="420" w:firstLineChars="200"/>
        <w:jc w:val="left"/>
        <w:rPr>
          <w:rFonts w:ascii="宋体" w:hAnsi="宋体"/>
          <w:color w:val="auto"/>
          <w:szCs w:val="21"/>
        </w:rPr>
      </w:pPr>
      <w:r>
        <w:rPr>
          <w:rFonts w:hint="eastAsia" w:ascii="宋体" w:hAnsi="宋体"/>
          <w:color w:val="auto"/>
          <w:szCs w:val="21"/>
          <w:u w:val="single"/>
        </w:rPr>
        <w:t>在实施项目过程中,若发生单价变动,由建设单位、监理单位、与施工单位共同商定并签字确认。</w:t>
      </w:r>
    </w:p>
    <w:p w14:paraId="75472BEC">
      <w:pPr>
        <w:spacing w:after="120" w:line="440" w:lineRule="exact"/>
        <w:ind w:firstLine="420" w:firstLineChars="200"/>
        <w:rPr>
          <w:rFonts w:ascii="宋体" w:hAnsi="宋体"/>
          <w:color w:val="auto"/>
          <w:szCs w:val="21"/>
        </w:rPr>
      </w:pPr>
      <w:r>
        <w:rPr>
          <w:rFonts w:ascii="宋体" w:hAnsi="宋体"/>
          <w:color w:val="auto"/>
          <w:szCs w:val="21"/>
        </w:rPr>
        <w:t>10.</w:t>
      </w:r>
      <w:r>
        <w:rPr>
          <w:rFonts w:hint="eastAsia" w:ascii="宋体" w:hAnsi="宋体"/>
          <w:color w:val="auto"/>
          <w:szCs w:val="21"/>
        </w:rPr>
        <w:t>2</w:t>
      </w:r>
      <w:r>
        <w:rPr>
          <w:rFonts w:ascii="宋体" w:hAnsi="宋体"/>
          <w:color w:val="auto"/>
          <w:szCs w:val="21"/>
        </w:rPr>
        <w:t xml:space="preserve"> 变更估价</w:t>
      </w:r>
    </w:p>
    <w:p w14:paraId="711F623B">
      <w:pPr>
        <w:spacing w:line="440" w:lineRule="exact"/>
        <w:ind w:firstLine="420" w:firstLineChars="200"/>
        <w:jc w:val="left"/>
        <w:rPr>
          <w:rFonts w:ascii="宋体" w:hAnsi="宋体"/>
          <w:color w:val="auto"/>
          <w:szCs w:val="21"/>
        </w:rPr>
      </w:pPr>
      <w:r>
        <w:rPr>
          <w:rFonts w:hint="eastAsia" w:ascii="宋体" w:hAnsi="宋体"/>
          <w:color w:val="auto"/>
          <w:szCs w:val="21"/>
        </w:rPr>
        <w:t>10.2.1 变更估价原则</w:t>
      </w:r>
    </w:p>
    <w:p w14:paraId="30075504">
      <w:pPr>
        <w:spacing w:line="440" w:lineRule="exact"/>
        <w:ind w:firstLine="420" w:firstLineChars="200"/>
        <w:rPr>
          <w:rFonts w:ascii="宋体" w:hAnsi="宋体"/>
          <w:color w:val="auto"/>
          <w:szCs w:val="21"/>
          <w:u w:val="single"/>
        </w:rPr>
      </w:pPr>
      <w:r>
        <w:rPr>
          <w:rFonts w:ascii="宋体" w:hAnsi="宋体"/>
          <w:color w:val="auto"/>
          <w:szCs w:val="21"/>
        </w:rPr>
        <w:t>关于变更估价的约定:</w:t>
      </w:r>
      <w:r>
        <w:rPr>
          <w:rFonts w:hint="eastAsia" w:ascii="宋体" w:hAnsi="宋体"/>
          <w:color w:val="auto"/>
          <w:szCs w:val="21"/>
        </w:rPr>
        <w:t>(1)</w:t>
      </w:r>
      <w:r>
        <w:rPr>
          <w:rFonts w:hint="eastAsia" w:ascii="宋体" w:hAnsi="宋体"/>
          <w:color w:val="auto"/>
          <w:szCs w:val="21"/>
          <w:u w:val="single"/>
        </w:rPr>
        <w:t>因设计变更引起工程项目、工程量变化的，工程量清单报价表中有相同细目的按竞标人竞标时的成交单价进行结算，工程量清单报价表中有类似细目的参考类似成交单价结算；新增项目有定额的套定额计算，其中材料价格有信息的按信息价，无信息的按市场价；新增项目无定额可套的，由发包人、承包人根据市场价格协商决定；新增项目的单价应经有政府审计中心审定。</w:t>
      </w:r>
    </w:p>
    <w:p w14:paraId="168FE070">
      <w:pPr>
        <w:spacing w:line="440" w:lineRule="exact"/>
        <w:ind w:firstLine="420" w:firstLineChars="200"/>
        <w:rPr>
          <w:rFonts w:ascii="宋体" w:hAnsi="宋体"/>
          <w:color w:val="auto"/>
          <w:szCs w:val="21"/>
          <w:u w:val="single"/>
        </w:rPr>
      </w:pPr>
      <w:r>
        <w:rPr>
          <w:rFonts w:hint="eastAsia" w:ascii="宋体" w:hAnsi="宋体"/>
          <w:color w:val="auto"/>
          <w:szCs w:val="21"/>
        </w:rPr>
        <w:t>(2)</w:t>
      </w:r>
      <w:r>
        <w:rPr>
          <w:rFonts w:hint="eastAsia" w:ascii="宋体" w:hAnsi="宋体"/>
          <w:color w:val="auto"/>
          <w:szCs w:val="21"/>
          <w:u w:val="single"/>
        </w:rPr>
        <w:t xml:space="preserve">国家和自治区政策性调整有关费用标准的，按文件规定执行。  </w:t>
      </w:r>
    </w:p>
    <w:p w14:paraId="39E6EF84">
      <w:pPr>
        <w:spacing w:after="120" w:line="440" w:lineRule="exact"/>
        <w:ind w:firstLine="420" w:firstLineChars="200"/>
        <w:rPr>
          <w:rFonts w:ascii="宋体" w:hAnsi="宋体"/>
          <w:color w:val="auto"/>
          <w:szCs w:val="21"/>
        </w:rPr>
      </w:pPr>
      <w:r>
        <w:rPr>
          <w:rFonts w:ascii="宋体" w:hAnsi="宋体"/>
          <w:color w:val="auto"/>
          <w:szCs w:val="21"/>
        </w:rPr>
        <w:t>1</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Start w:id="596" w:name="_Toc296891237"/>
      <w:bookmarkStart w:id="597" w:name="_Toc296347196"/>
      <w:bookmarkStart w:id="598" w:name="_Toc296346698"/>
      <w:bookmarkStart w:id="599" w:name="_Toc292559402"/>
      <w:bookmarkStart w:id="600" w:name="_Toc296944536"/>
      <w:bookmarkStart w:id="601" w:name="_Toc297216203"/>
      <w:bookmarkStart w:id="602" w:name="_Toc297048383"/>
      <w:bookmarkStart w:id="603" w:name="_Toc303539150"/>
      <w:bookmarkStart w:id="604" w:name="_Toc300934993"/>
      <w:bookmarkStart w:id="605" w:name="_Toc296891025"/>
      <w:bookmarkStart w:id="606" w:name="_Toc296503197"/>
      <w:bookmarkStart w:id="607" w:name="_Toc297120497"/>
      <w:bookmarkStart w:id="608" w:name="_Toc292559907"/>
      <w:bookmarkStart w:id="609" w:name="_Toc297123544"/>
      <w:bookmarkStart w:id="610" w:name="_Toc304295570"/>
      <w:bookmarkStart w:id="611" w:name="_Toc312677503"/>
      <w:bookmarkStart w:id="612" w:name="_Toc312678029"/>
      <w:r>
        <w:rPr>
          <w:rFonts w:ascii="宋体" w:hAnsi="宋体"/>
          <w:color w:val="auto"/>
          <w:szCs w:val="21"/>
        </w:rPr>
        <w:t>0.</w:t>
      </w:r>
      <w:r>
        <w:rPr>
          <w:rFonts w:hint="eastAsia" w:ascii="宋体" w:hAnsi="宋体"/>
          <w:color w:val="auto"/>
          <w:szCs w:val="21"/>
        </w:rPr>
        <w:t>3</w:t>
      </w:r>
      <w:r>
        <w:rPr>
          <w:rFonts w:ascii="宋体" w:hAnsi="宋体"/>
          <w:color w:val="auto"/>
          <w:szCs w:val="21"/>
        </w:rPr>
        <w:t>承</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Start w:id="613" w:name="_Toc300934994"/>
      <w:bookmarkStart w:id="614" w:name="_Toc296346704"/>
      <w:bookmarkStart w:id="615" w:name="_Toc296891031"/>
      <w:bookmarkStart w:id="616" w:name="_Toc303539151"/>
      <w:bookmarkStart w:id="617" w:name="_Toc296891243"/>
      <w:bookmarkStart w:id="618" w:name="_Toc297123545"/>
      <w:bookmarkStart w:id="619" w:name="_Toc296347202"/>
      <w:bookmarkStart w:id="620" w:name="_Toc296944542"/>
      <w:bookmarkStart w:id="621" w:name="_Toc297048389"/>
      <w:bookmarkStart w:id="622" w:name="_Toc292559913"/>
      <w:bookmarkStart w:id="623" w:name="_Toc297120503"/>
      <w:bookmarkStart w:id="624" w:name="_Toc292559408"/>
      <w:bookmarkStart w:id="625" w:name="_Toc297216204"/>
      <w:bookmarkStart w:id="626" w:name="_Toc296503203"/>
      <w:r>
        <w:rPr>
          <w:rFonts w:ascii="宋体" w:hAnsi="宋体"/>
          <w:color w:val="auto"/>
          <w:szCs w:val="21"/>
        </w:rPr>
        <w:t>包人的合理化建议</w:t>
      </w:r>
    </w:p>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14:paraId="6C9124DB">
      <w:pPr>
        <w:spacing w:line="360" w:lineRule="exact"/>
        <w:ind w:firstLine="420" w:firstLineChars="200"/>
        <w:jc w:val="left"/>
        <w:rPr>
          <w:rFonts w:ascii="宋体" w:hAnsi="宋体"/>
          <w:color w:val="auto"/>
          <w:szCs w:val="21"/>
        </w:rPr>
      </w:pPr>
      <w:r>
        <w:rPr>
          <w:rFonts w:hint="eastAsia" w:ascii="宋体" w:hAnsi="宋体"/>
          <w:color w:val="auto"/>
          <w:szCs w:val="21"/>
        </w:rPr>
        <w:t>监理人审查承包人合理化建议的期限：</w:t>
      </w:r>
      <w:r>
        <w:rPr>
          <w:rFonts w:hint="eastAsia" w:ascii="宋体" w:hAnsi="宋体"/>
          <w:color w:val="auto"/>
          <w:szCs w:val="21"/>
          <w:u w:val="single"/>
        </w:rPr>
        <w:t>在收到承包人提交的合理化建议后 7天内。</w:t>
      </w:r>
    </w:p>
    <w:p w14:paraId="69DD92C6">
      <w:pPr>
        <w:spacing w:line="360" w:lineRule="exact"/>
        <w:ind w:firstLine="420" w:firstLineChars="200"/>
        <w:jc w:val="left"/>
        <w:rPr>
          <w:rFonts w:ascii="宋体" w:hAnsi="宋体"/>
          <w:color w:val="auto"/>
          <w:szCs w:val="21"/>
        </w:rPr>
      </w:pPr>
      <w:r>
        <w:rPr>
          <w:rFonts w:hint="eastAsia" w:ascii="宋体" w:hAnsi="宋体"/>
          <w:color w:val="auto"/>
          <w:szCs w:val="21"/>
        </w:rPr>
        <w:t>发包人审批承包人合理化建议的期限：</w:t>
      </w:r>
      <w:r>
        <w:rPr>
          <w:rFonts w:hint="eastAsia" w:ascii="宋体" w:hAnsi="宋体"/>
          <w:color w:val="auto"/>
          <w:szCs w:val="21"/>
          <w:u w:val="single"/>
        </w:rPr>
        <w:t>在收到监理人报送的合理化建议后 7天内。</w:t>
      </w:r>
    </w:p>
    <w:p w14:paraId="29852653">
      <w:pPr>
        <w:spacing w:line="440" w:lineRule="exact"/>
        <w:ind w:firstLine="420" w:firstLineChars="200"/>
        <w:jc w:val="left"/>
        <w:rPr>
          <w:rFonts w:ascii="宋体" w:hAnsi="宋体"/>
          <w:color w:val="auto"/>
          <w:szCs w:val="21"/>
          <w:u w:val="single"/>
        </w:rPr>
      </w:pPr>
      <w:r>
        <w:rPr>
          <w:rFonts w:ascii="宋体" w:hAnsi="宋体"/>
          <w:color w:val="auto"/>
          <w:szCs w:val="21"/>
        </w:rPr>
        <w:t>承</w:t>
      </w:r>
      <w:bookmarkStart w:id="627" w:name="_Toc296347203"/>
      <w:bookmarkStart w:id="628" w:name="_Toc292559914"/>
      <w:bookmarkStart w:id="629" w:name="_Toc296503204"/>
      <w:bookmarkStart w:id="630" w:name="_Toc297123546"/>
      <w:bookmarkStart w:id="631" w:name="_Toc303539152"/>
      <w:bookmarkStart w:id="632" w:name="_Toc296891032"/>
      <w:bookmarkStart w:id="633" w:name="_Toc304295571"/>
      <w:bookmarkStart w:id="634" w:name="_Toc297048390"/>
      <w:bookmarkStart w:id="635" w:name="_Toc296346705"/>
      <w:bookmarkStart w:id="636" w:name="_Toc292559409"/>
      <w:bookmarkStart w:id="637" w:name="_Toc300934995"/>
      <w:bookmarkStart w:id="638" w:name="_Toc312678030"/>
      <w:bookmarkStart w:id="639" w:name="_Toc297120504"/>
      <w:bookmarkStart w:id="640" w:name="_Toc318581175"/>
      <w:bookmarkStart w:id="641" w:name="_Toc312677504"/>
      <w:bookmarkStart w:id="642" w:name="_Toc296944543"/>
      <w:bookmarkStart w:id="643" w:name="_Toc296891244"/>
      <w:bookmarkStart w:id="644" w:name="_Toc297216205"/>
      <w:r>
        <w:rPr>
          <w:rFonts w:ascii="宋体" w:hAnsi="宋体"/>
          <w:color w:val="auto"/>
          <w:szCs w:val="21"/>
        </w:rPr>
        <w:t>包人提出的合理化建议降低了合同价格或者提高了工程经济效益的奖励的方法和金额为：。</w:t>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14:paraId="1FB93EB3">
      <w:pPr>
        <w:spacing w:after="120" w:line="440" w:lineRule="exact"/>
        <w:ind w:firstLine="420" w:firstLineChars="200"/>
        <w:rPr>
          <w:rFonts w:ascii="宋体" w:hAnsi="宋体"/>
          <w:color w:val="auto"/>
          <w:szCs w:val="21"/>
        </w:rPr>
      </w:pPr>
      <w:r>
        <w:rPr>
          <w:rFonts w:ascii="宋体" w:hAnsi="宋体"/>
          <w:color w:val="auto"/>
          <w:szCs w:val="21"/>
        </w:rPr>
        <w:t>1</w:t>
      </w:r>
      <w:bookmarkStart w:id="645" w:name="_Toc296347198"/>
      <w:bookmarkStart w:id="646" w:name="_Toc297048385"/>
      <w:bookmarkStart w:id="647" w:name="_Toc292559909"/>
      <w:bookmarkStart w:id="648" w:name="_Toc304295574"/>
      <w:bookmarkStart w:id="649" w:name="_Toc296346700"/>
      <w:bookmarkStart w:id="650" w:name="_Toc296503199"/>
      <w:bookmarkStart w:id="651" w:name="_Toc296944538"/>
      <w:bookmarkStart w:id="652" w:name="_Toc292559404"/>
      <w:bookmarkStart w:id="653" w:name="_Toc296891027"/>
      <w:bookmarkStart w:id="654" w:name="_Toc297123548"/>
      <w:bookmarkStart w:id="655" w:name="_Toc297216207"/>
      <w:bookmarkStart w:id="656" w:name="_Toc312677507"/>
      <w:bookmarkStart w:id="657" w:name="_Toc296891239"/>
      <w:bookmarkStart w:id="658" w:name="_Toc297120499"/>
      <w:bookmarkStart w:id="659" w:name="_Toc312678033"/>
      <w:bookmarkStart w:id="660" w:name="_Toc300934997"/>
      <w:bookmarkStart w:id="661" w:name="_Toc303539154"/>
      <w:r>
        <w:rPr>
          <w:rFonts w:ascii="宋体" w:hAnsi="宋体"/>
          <w:color w:val="auto"/>
          <w:szCs w:val="21"/>
        </w:rPr>
        <w:t>0.</w:t>
      </w:r>
      <w:r>
        <w:rPr>
          <w:rFonts w:hint="eastAsia" w:ascii="宋体" w:hAnsi="宋体"/>
          <w:color w:val="auto"/>
          <w:szCs w:val="21"/>
        </w:rPr>
        <w:t>4</w:t>
      </w:r>
      <w:r>
        <w:rPr>
          <w:rFonts w:ascii="宋体" w:hAnsi="宋体"/>
          <w:color w:val="auto"/>
          <w:szCs w:val="21"/>
        </w:rPr>
        <w:t xml:space="preserve"> 暂估价</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14:paraId="6888A6C0">
      <w:pPr>
        <w:spacing w:line="360" w:lineRule="auto"/>
        <w:ind w:firstLine="420" w:firstLineChars="200"/>
        <w:jc w:val="left"/>
        <w:rPr>
          <w:color w:val="auto"/>
          <w:szCs w:val="21"/>
        </w:rPr>
      </w:pPr>
      <w:r>
        <w:rPr>
          <w:color w:val="auto"/>
          <w:szCs w:val="21"/>
        </w:rPr>
        <w:t xml:space="preserve">10.4.1 </w:t>
      </w:r>
      <w:r>
        <w:rPr>
          <w:rFonts w:hAnsi="宋体"/>
          <w:color w:val="auto"/>
          <w:szCs w:val="21"/>
        </w:rPr>
        <w:t>变更估价原则</w:t>
      </w:r>
    </w:p>
    <w:p w14:paraId="225D1A2B">
      <w:pPr>
        <w:spacing w:line="360" w:lineRule="auto"/>
        <w:ind w:firstLine="420" w:firstLineChars="200"/>
        <w:jc w:val="left"/>
        <w:rPr>
          <w:rFonts w:hAnsi="宋体"/>
          <w:bCs/>
          <w:color w:val="auto"/>
          <w:szCs w:val="21"/>
          <w:u w:val="single"/>
        </w:rPr>
      </w:pPr>
      <w:r>
        <w:rPr>
          <w:rFonts w:hAnsi="宋体"/>
          <w:color w:val="auto"/>
          <w:szCs w:val="21"/>
        </w:rPr>
        <w:t>关于变更估价的约定</w:t>
      </w:r>
      <w:r>
        <w:rPr>
          <w:color w:val="auto"/>
          <w:szCs w:val="21"/>
        </w:rPr>
        <w:t xml:space="preserve">: </w:t>
      </w:r>
      <w:bookmarkStart w:id="662" w:name="_Toc251051742"/>
      <w:r>
        <w:rPr>
          <w:rFonts w:hint="eastAsia" w:hAnsi="宋体"/>
          <w:bCs/>
          <w:color w:val="auto"/>
          <w:szCs w:val="21"/>
          <w:u w:val="single"/>
        </w:rPr>
        <w:t>工程</w:t>
      </w:r>
      <w:r>
        <w:rPr>
          <w:rFonts w:hAnsi="宋体"/>
          <w:bCs/>
          <w:color w:val="auto"/>
          <w:szCs w:val="21"/>
          <w:u w:val="single"/>
        </w:rPr>
        <w:t>变更合同价款按下列方法进行：（</w:t>
      </w:r>
      <w:r>
        <w:rPr>
          <w:bCs/>
          <w:color w:val="auto"/>
          <w:szCs w:val="21"/>
          <w:u w:val="single"/>
        </w:rPr>
        <w:t>1</w:t>
      </w:r>
      <w:r>
        <w:rPr>
          <w:rFonts w:hAnsi="宋体"/>
          <w:bCs/>
          <w:color w:val="auto"/>
          <w:szCs w:val="21"/>
          <w:u w:val="single"/>
        </w:rPr>
        <w:t>）合同中已有相同清单项目的，按合同该清单项目价格进行计算</w:t>
      </w:r>
      <w:r>
        <w:rPr>
          <w:rFonts w:hint="eastAsia" w:hAnsi="宋体"/>
          <w:bCs/>
          <w:color w:val="auto"/>
          <w:szCs w:val="21"/>
          <w:u w:val="single"/>
        </w:rPr>
        <w:t>；</w:t>
      </w:r>
      <w:r>
        <w:rPr>
          <w:rFonts w:hAnsi="宋体"/>
          <w:bCs/>
          <w:color w:val="auto"/>
          <w:szCs w:val="21"/>
          <w:u w:val="single"/>
        </w:rPr>
        <w:t>（</w:t>
      </w:r>
      <w:r>
        <w:rPr>
          <w:bCs/>
          <w:color w:val="auto"/>
          <w:szCs w:val="21"/>
          <w:u w:val="single"/>
        </w:rPr>
        <w:t>2</w:t>
      </w:r>
      <w:r>
        <w:rPr>
          <w:rFonts w:hAnsi="宋体"/>
          <w:bCs/>
          <w:color w:val="auto"/>
          <w:szCs w:val="21"/>
          <w:u w:val="single"/>
        </w:rPr>
        <w:t>）合同中只有类似清单项目的，参照该类似清单项目价格进行计算</w:t>
      </w:r>
      <w:r>
        <w:rPr>
          <w:rFonts w:hint="eastAsia" w:hAnsi="宋体"/>
          <w:bCs/>
          <w:color w:val="auto"/>
          <w:szCs w:val="21"/>
          <w:u w:val="single"/>
        </w:rPr>
        <w:t>；</w:t>
      </w:r>
      <w:r>
        <w:rPr>
          <w:rFonts w:hAnsi="宋体"/>
          <w:bCs/>
          <w:color w:val="auto"/>
          <w:szCs w:val="21"/>
          <w:u w:val="single"/>
        </w:rPr>
        <w:t>（</w:t>
      </w:r>
      <w:r>
        <w:rPr>
          <w:bCs/>
          <w:color w:val="auto"/>
          <w:szCs w:val="21"/>
          <w:u w:val="single"/>
        </w:rPr>
        <w:t>3</w:t>
      </w:r>
      <w:r>
        <w:rPr>
          <w:rFonts w:hAnsi="宋体"/>
          <w:bCs/>
          <w:color w:val="auto"/>
          <w:szCs w:val="21"/>
          <w:u w:val="single"/>
        </w:rPr>
        <w:t>）合同中没有适用或类似清单项目的价格计算方法：有定额的套定额，并乘以</w:t>
      </w:r>
      <w:r>
        <w:rPr>
          <w:rFonts w:hint="eastAsia" w:hAnsi="宋体"/>
          <w:bCs/>
          <w:color w:val="auto"/>
          <w:szCs w:val="21"/>
          <w:u w:val="single"/>
        </w:rPr>
        <w:t>（竞标价/采购</w:t>
      </w:r>
      <w:r>
        <w:rPr>
          <w:rFonts w:hAnsi="宋体"/>
          <w:bCs/>
          <w:color w:val="auto"/>
          <w:szCs w:val="21"/>
          <w:u w:val="single"/>
        </w:rPr>
        <w:t>控制价</w:t>
      </w:r>
      <w:r>
        <w:rPr>
          <w:rFonts w:hint="eastAsia" w:hAnsi="宋体"/>
          <w:bCs/>
          <w:color w:val="auto"/>
          <w:szCs w:val="21"/>
          <w:u w:val="single"/>
        </w:rPr>
        <w:t>）</w:t>
      </w:r>
      <w:r>
        <w:rPr>
          <w:rFonts w:hAnsi="宋体"/>
          <w:bCs/>
          <w:color w:val="auto"/>
          <w:szCs w:val="21"/>
          <w:u w:val="single"/>
        </w:rPr>
        <w:t>系数计算，其中材料价格按施工期间的《</w:t>
      </w:r>
      <w:r>
        <w:rPr>
          <w:rFonts w:hint="eastAsia"/>
          <w:bCs/>
          <w:color w:val="auto"/>
          <w:szCs w:val="21"/>
          <w:u w:val="single"/>
        </w:rPr>
        <w:t>钦州</w:t>
      </w:r>
      <w:r>
        <w:rPr>
          <w:rFonts w:hAnsi="宋体"/>
          <w:bCs/>
          <w:color w:val="auto"/>
          <w:szCs w:val="21"/>
          <w:u w:val="single"/>
        </w:rPr>
        <w:t>市建设工程造价信息》相应价格信息进行计算</w:t>
      </w:r>
      <w:r>
        <w:rPr>
          <w:rFonts w:hint="eastAsia" w:hAnsi="宋体"/>
          <w:bCs/>
          <w:color w:val="auto"/>
          <w:szCs w:val="21"/>
          <w:u w:val="single"/>
        </w:rPr>
        <w:t>；</w:t>
      </w:r>
      <w:r>
        <w:rPr>
          <w:rFonts w:hAnsi="宋体"/>
          <w:bCs/>
          <w:color w:val="auto"/>
          <w:szCs w:val="21"/>
          <w:u w:val="single"/>
        </w:rPr>
        <w:t>《</w:t>
      </w:r>
      <w:r>
        <w:rPr>
          <w:rFonts w:hint="eastAsia"/>
          <w:bCs/>
          <w:color w:val="auto"/>
          <w:szCs w:val="21"/>
          <w:u w:val="single"/>
        </w:rPr>
        <w:t>钦州</w:t>
      </w:r>
      <w:r>
        <w:rPr>
          <w:rFonts w:hAnsi="宋体"/>
          <w:bCs/>
          <w:color w:val="auto"/>
          <w:szCs w:val="21"/>
          <w:u w:val="single"/>
        </w:rPr>
        <w:t>市建设工程造价信息》没有相应价格信息的</w:t>
      </w:r>
      <w:r>
        <w:rPr>
          <w:rFonts w:hint="eastAsia" w:hAnsi="宋体"/>
          <w:bCs/>
          <w:color w:val="auto"/>
          <w:szCs w:val="21"/>
          <w:u w:val="single"/>
        </w:rPr>
        <w:t>可</w:t>
      </w:r>
      <w:r>
        <w:rPr>
          <w:rFonts w:hAnsi="宋体"/>
          <w:bCs/>
          <w:color w:val="auto"/>
          <w:szCs w:val="21"/>
          <w:u w:val="single"/>
        </w:rPr>
        <w:t>参照</w:t>
      </w:r>
      <w:r>
        <w:rPr>
          <w:rFonts w:hint="eastAsia" w:hAnsi="宋体"/>
          <w:bCs/>
          <w:color w:val="auto"/>
          <w:szCs w:val="21"/>
          <w:u w:val="single"/>
        </w:rPr>
        <w:t>《</w:t>
      </w:r>
      <w:r>
        <w:rPr>
          <w:rFonts w:hAnsi="宋体"/>
          <w:bCs/>
          <w:color w:val="auto"/>
          <w:szCs w:val="21"/>
          <w:u w:val="single"/>
        </w:rPr>
        <w:t>南宁市</w:t>
      </w:r>
      <w:r>
        <w:rPr>
          <w:rFonts w:hint="eastAsia" w:hAnsi="宋体"/>
          <w:bCs/>
          <w:color w:val="auto"/>
          <w:szCs w:val="21"/>
          <w:u w:val="single"/>
        </w:rPr>
        <w:t>建设工程</w:t>
      </w:r>
      <w:r>
        <w:rPr>
          <w:rFonts w:hAnsi="宋体"/>
          <w:bCs/>
          <w:color w:val="auto"/>
          <w:szCs w:val="21"/>
          <w:u w:val="single"/>
        </w:rPr>
        <w:t>信息价</w:t>
      </w:r>
      <w:r>
        <w:rPr>
          <w:rFonts w:hint="eastAsia" w:hAnsi="宋体"/>
          <w:bCs/>
          <w:color w:val="auto"/>
          <w:szCs w:val="21"/>
          <w:u w:val="single"/>
        </w:rPr>
        <w:t>》</w:t>
      </w:r>
      <w:r>
        <w:rPr>
          <w:rFonts w:hAnsi="宋体"/>
          <w:bCs/>
          <w:color w:val="auto"/>
          <w:szCs w:val="21"/>
          <w:u w:val="single"/>
        </w:rPr>
        <w:t>或</w:t>
      </w:r>
      <w:r>
        <w:rPr>
          <w:rFonts w:hint="eastAsia" w:hAnsi="宋体"/>
          <w:bCs/>
          <w:color w:val="auto"/>
          <w:szCs w:val="21"/>
          <w:u w:val="single"/>
        </w:rPr>
        <w:t>广西壮族自治区</w:t>
      </w:r>
      <w:r>
        <w:rPr>
          <w:rFonts w:hAnsi="宋体"/>
          <w:bCs/>
          <w:color w:val="auto"/>
          <w:szCs w:val="21"/>
          <w:u w:val="single"/>
        </w:rPr>
        <w:t>内其他城市信息价</w:t>
      </w:r>
      <w:r>
        <w:rPr>
          <w:rFonts w:hint="eastAsia" w:hAnsi="宋体"/>
          <w:bCs/>
          <w:color w:val="auto"/>
          <w:szCs w:val="21"/>
          <w:u w:val="single"/>
        </w:rPr>
        <w:t>；</w:t>
      </w:r>
      <w:r>
        <w:rPr>
          <w:rFonts w:hAnsi="宋体"/>
          <w:bCs/>
          <w:color w:val="auto"/>
          <w:szCs w:val="21"/>
          <w:u w:val="single"/>
        </w:rPr>
        <w:t>无定额可套的，根据</w:t>
      </w:r>
      <w:r>
        <w:rPr>
          <w:rFonts w:hint="eastAsia" w:hAnsi="宋体"/>
          <w:bCs/>
          <w:color w:val="auto"/>
          <w:szCs w:val="21"/>
          <w:u w:val="single"/>
        </w:rPr>
        <w:t>经</w:t>
      </w:r>
      <w:r>
        <w:rPr>
          <w:rFonts w:hAnsi="宋体"/>
          <w:bCs/>
          <w:color w:val="auto"/>
          <w:szCs w:val="21"/>
          <w:u w:val="single"/>
        </w:rPr>
        <w:t>市场</w:t>
      </w:r>
      <w:r>
        <w:rPr>
          <w:rFonts w:hint="eastAsia" w:hAnsi="宋体"/>
          <w:bCs/>
          <w:color w:val="auto"/>
          <w:szCs w:val="21"/>
          <w:u w:val="single"/>
        </w:rPr>
        <w:t>询价</w:t>
      </w:r>
      <w:r>
        <w:rPr>
          <w:rFonts w:hAnsi="宋体"/>
          <w:bCs/>
          <w:color w:val="auto"/>
          <w:szCs w:val="21"/>
          <w:u w:val="single"/>
        </w:rPr>
        <w:t>协商确定综合价格</w:t>
      </w:r>
      <w:r>
        <w:rPr>
          <w:rFonts w:hint="eastAsia" w:hAnsi="宋体"/>
          <w:bCs/>
          <w:color w:val="auto"/>
          <w:szCs w:val="21"/>
          <w:u w:val="single"/>
        </w:rPr>
        <w:t>或经采购</w:t>
      </w:r>
      <w:r>
        <w:rPr>
          <w:rFonts w:hAnsi="宋体"/>
          <w:bCs/>
          <w:color w:val="auto"/>
          <w:szCs w:val="21"/>
          <w:u w:val="single"/>
        </w:rPr>
        <w:t>确定材料</w:t>
      </w:r>
      <w:r>
        <w:rPr>
          <w:rFonts w:hint="eastAsia" w:hAnsi="宋体"/>
          <w:bCs/>
          <w:color w:val="auto"/>
          <w:szCs w:val="21"/>
          <w:u w:val="single"/>
        </w:rPr>
        <w:t>单价</w:t>
      </w:r>
      <w:bookmarkEnd w:id="662"/>
      <w:r>
        <w:rPr>
          <w:rFonts w:hint="eastAsia" w:hAnsi="宋体"/>
          <w:bCs/>
          <w:color w:val="auto"/>
          <w:szCs w:val="21"/>
          <w:u w:val="single"/>
        </w:rPr>
        <w:t>。</w:t>
      </w:r>
    </w:p>
    <w:p w14:paraId="188CB6BC">
      <w:pPr>
        <w:spacing w:line="360" w:lineRule="auto"/>
        <w:ind w:firstLine="420" w:firstLineChars="200"/>
        <w:jc w:val="left"/>
        <w:rPr>
          <w:color w:val="auto"/>
          <w:szCs w:val="21"/>
          <w:u w:val="single"/>
        </w:rPr>
      </w:pPr>
      <w:r>
        <w:rPr>
          <w:rFonts w:hint="eastAsia"/>
          <w:color w:val="auto"/>
          <w:szCs w:val="21"/>
          <w:u w:val="single"/>
        </w:rPr>
        <w:t>工程变更导致实际完成的变更工程量与已标价清单或预算书中列明的该项目工程量有偏差时，其综合单价的确定按专用条款“1.13工程量清单错误的修正”执行。</w:t>
      </w:r>
    </w:p>
    <w:p w14:paraId="75C9E9DD">
      <w:pPr>
        <w:spacing w:after="120" w:line="440" w:lineRule="exact"/>
        <w:ind w:firstLine="420" w:firstLineChars="200"/>
        <w:rPr>
          <w:rFonts w:ascii="宋体" w:hAnsi="宋体"/>
          <w:color w:val="auto"/>
          <w:szCs w:val="21"/>
        </w:rPr>
      </w:pPr>
      <w:r>
        <w:rPr>
          <w:rFonts w:ascii="宋体" w:hAnsi="宋体"/>
          <w:color w:val="auto"/>
          <w:szCs w:val="21"/>
        </w:rPr>
        <w:t>10.</w:t>
      </w:r>
      <w:r>
        <w:rPr>
          <w:rFonts w:hint="eastAsia" w:ascii="宋体" w:hAnsi="宋体"/>
          <w:color w:val="auto"/>
          <w:szCs w:val="21"/>
        </w:rPr>
        <w:t>5</w:t>
      </w:r>
      <w:r>
        <w:rPr>
          <w:rFonts w:ascii="宋体" w:hAnsi="宋体"/>
          <w:color w:val="auto"/>
          <w:szCs w:val="21"/>
        </w:rPr>
        <w:t xml:space="preserve"> 暂列金额</w:t>
      </w:r>
    </w:p>
    <w:p w14:paraId="1A21D816">
      <w:pPr>
        <w:spacing w:line="360" w:lineRule="auto"/>
        <w:ind w:firstLine="420" w:firstLineChars="200"/>
        <w:jc w:val="left"/>
        <w:rPr>
          <w:rFonts w:hAnsi="宋体"/>
          <w:color w:val="auto"/>
          <w:kern w:val="0"/>
          <w:szCs w:val="21"/>
        </w:rPr>
      </w:pPr>
      <w:r>
        <w:rPr>
          <w:rFonts w:hint="eastAsia" w:ascii="宋体" w:hAnsi="宋体"/>
          <w:color w:val="auto"/>
          <w:kern w:val="0"/>
          <w:szCs w:val="21"/>
        </w:rPr>
        <w:t>合同当事人关于暂列金额使用的约定：</w:t>
      </w:r>
      <w:r>
        <w:rPr>
          <w:rFonts w:hAnsi="宋体"/>
          <w:color w:val="auto"/>
          <w:kern w:val="0"/>
          <w:szCs w:val="21"/>
        </w:rPr>
        <w:t>暂</w:t>
      </w:r>
      <w:bookmarkStart w:id="663" w:name="_Toc318581176"/>
      <w:bookmarkStart w:id="664" w:name="_Toc312678034"/>
      <w:bookmarkStart w:id="665" w:name="_Toc312677508"/>
      <w:r>
        <w:rPr>
          <w:rFonts w:hAnsi="宋体"/>
          <w:color w:val="auto"/>
          <w:kern w:val="0"/>
          <w:szCs w:val="21"/>
        </w:rPr>
        <w:t>估价材料和工程设备的明细详见</w:t>
      </w:r>
      <w:r>
        <w:rPr>
          <w:rFonts w:hint="eastAsia" w:hAnsi="宋体"/>
          <w:color w:val="auto"/>
          <w:kern w:val="0"/>
          <w:szCs w:val="21"/>
        </w:rPr>
        <w:t>已标价工程量清单《</w:t>
      </w:r>
      <w:r>
        <w:rPr>
          <w:color w:val="auto"/>
          <w:szCs w:val="21"/>
        </w:rPr>
        <w:t>材料（工程设备）暂估价格及调整表</w:t>
      </w:r>
      <w:r>
        <w:rPr>
          <w:rFonts w:hint="eastAsia"/>
          <w:color w:val="auto"/>
          <w:szCs w:val="21"/>
        </w:rPr>
        <w:t>》</w:t>
      </w:r>
      <w:r>
        <w:rPr>
          <w:rFonts w:hint="eastAsia" w:hAnsi="宋体"/>
          <w:color w:val="auto"/>
          <w:kern w:val="0"/>
          <w:szCs w:val="21"/>
        </w:rPr>
        <w:t>（表12-2）和《</w:t>
      </w:r>
      <w:r>
        <w:rPr>
          <w:color w:val="auto"/>
          <w:szCs w:val="21"/>
        </w:rPr>
        <w:t>专业工程暂估价表</w:t>
      </w:r>
      <w:r>
        <w:rPr>
          <w:rFonts w:hint="eastAsia"/>
          <w:color w:val="auto"/>
          <w:szCs w:val="21"/>
        </w:rPr>
        <w:t>》（</w:t>
      </w:r>
      <w:r>
        <w:rPr>
          <w:rFonts w:hint="eastAsia" w:hAnsi="宋体"/>
          <w:color w:val="auto"/>
          <w:kern w:val="0"/>
          <w:szCs w:val="21"/>
        </w:rPr>
        <w:t>表12-3）</w:t>
      </w:r>
      <w:r>
        <w:rPr>
          <w:rFonts w:hAnsi="宋体"/>
          <w:color w:val="auto"/>
          <w:kern w:val="0"/>
          <w:szCs w:val="21"/>
        </w:rPr>
        <w:t>。</w:t>
      </w:r>
    </w:p>
    <w:p w14:paraId="4346769A">
      <w:pPr>
        <w:autoSpaceDE w:val="0"/>
        <w:autoSpaceDN w:val="0"/>
        <w:adjustRightInd w:val="0"/>
        <w:spacing w:line="360" w:lineRule="auto"/>
        <w:ind w:firstLine="420" w:firstLineChars="200"/>
        <w:jc w:val="left"/>
        <w:rPr>
          <w:color w:val="auto"/>
          <w:szCs w:val="21"/>
          <w:u w:val="single"/>
        </w:rPr>
      </w:pPr>
      <w:r>
        <w:rPr>
          <w:rFonts w:hAnsi="宋体"/>
          <w:color w:val="auto"/>
          <w:kern w:val="0"/>
          <w:szCs w:val="21"/>
        </w:rPr>
        <w:t>合同当事人关于暂列金额使用的约定：</w:t>
      </w:r>
      <w:r>
        <w:rPr>
          <w:rFonts w:hint="eastAsia"/>
          <w:color w:val="auto"/>
          <w:szCs w:val="21"/>
          <w:u w:val="single"/>
        </w:rPr>
        <w:t>暂列金额应由监理人报发包人批准后指令全部或部分地使用，或者根本不予动用。承包人有权得到的暂列金额应限于监理人根据本条约定决定动用暂列金额的工程、供应或不可预见费用方面的金额。监理人应将根据本款做出的每项决定报发包人批准并通知承包人。</w:t>
      </w:r>
    </w:p>
    <w:bookmarkEnd w:id="663"/>
    <w:bookmarkEnd w:id="664"/>
    <w:bookmarkEnd w:id="665"/>
    <w:p w14:paraId="3FEB348A">
      <w:pPr>
        <w:keepNext/>
        <w:keepLines/>
        <w:widowControl/>
        <w:spacing w:before="120" w:after="120" w:line="440" w:lineRule="exact"/>
        <w:outlineLvl w:val="3"/>
        <w:rPr>
          <w:rFonts w:ascii="宋体" w:hAnsi="宋体" w:eastAsia="黑体"/>
          <w:b/>
          <w:color w:val="auto"/>
          <w:kern w:val="0"/>
          <w:sz w:val="28"/>
          <w:szCs w:val="21"/>
        </w:rPr>
      </w:pPr>
      <w:bookmarkStart w:id="666" w:name="_Toc351203643"/>
      <w:r>
        <w:rPr>
          <w:rFonts w:ascii="宋体" w:hAnsi="宋体" w:eastAsia="黑体"/>
          <w:b/>
          <w:color w:val="auto"/>
          <w:kern w:val="0"/>
          <w:sz w:val="28"/>
          <w:szCs w:val="21"/>
        </w:rPr>
        <w:t>11. 价格调整</w:t>
      </w:r>
      <w:bookmarkEnd w:id="666"/>
    </w:p>
    <w:p w14:paraId="4CBBD10D">
      <w:pPr>
        <w:spacing w:after="120" w:line="440" w:lineRule="exact"/>
        <w:ind w:firstLine="420" w:firstLineChars="200"/>
        <w:rPr>
          <w:rFonts w:ascii="宋体" w:hAnsi="宋体"/>
          <w:color w:val="auto"/>
          <w:szCs w:val="21"/>
        </w:rPr>
      </w:pPr>
      <w:bookmarkStart w:id="667" w:name="_Toc297120501"/>
      <w:bookmarkStart w:id="668" w:name="_Toc304295577"/>
      <w:bookmarkStart w:id="669" w:name="_Toc312678039"/>
      <w:bookmarkStart w:id="670" w:name="_Toc303539157"/>
      <w:bookmarkStart w:id="671" w:name="_Toc292559406"/>
      <w:bookmarkStart w:id="672" w:name="_Toc296891029"/>
      <w:bookmarkStart w:id="673" w:name="_Toc296944540"/>
      <w:bookmarkStart w:id="674" w:name="_Toc297048387"/>
      <w:bookmarkStart w:id="675" w:name="_Toc292559911"/>
      <w:bookmarkStart w:id="676" w:name="_Toc296346702"/>
      <w:bookmarkStart w:id="677" w:name="_Toc297216209"/>
      <w:bookmarkStart w:id="678" w:name="_Toc297123550"/>
      <w:bookmarkStart w:id="679" w:name="_Toc296347200"/>
      <w:bookmarkStart w:id="680" w:name="_Toc296891241"/>
      <w:bookmarkStart w:id="681" w:name="_Toc300935000"/>
      <w:bookmarkStart w:id="682" w:name="_Toc296503201"/>
      <w:r>
        <w:rPr>
          <w:rFonts w:ascii="宋体" w:hAnsi="宋体"/>
          <w:color w:val="auto"/>
          <w:szCs w:val="21"/>
        </w:rPr>
        <w:t>11.1 市场价格波动引起的调整</w:t>
      </w:r>
    </w:p>
    <w:bookmarkEnd w:id="572"/>
    <w:bookmarkEnd w:id="573"/>
    <w:bookmarkEnd w:id="574"/>
    <w:bookmarkEnd w:id="575"/>
    <w:bookmarkEnd w:id="576"/>
    <w:bookmarkEnd w:id="577"/>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14:paraId="7B48C0E8">
      <w:pPr>
        <w:spacing w:line="440" w:lineRule="exact"/>
        <w:ind w:firstLine="420" w:firstLineChars="200"/>
        <w:jc w:val="left"/>
        <w:rPr>
          <w:rFonts w:ascii="宋体" w:hAnsi="宋体"/>
          <w:color w:val="auto"/>
          <w:szCs w:val="21"/>
        </w:rPr>
      </w:pPr>
      <w:bookmarkStart w:id="683" w:name="_Toc297120505"/>
      <w:bookmarkStart w:id="684" w:name="_Toc296891245"/>
      <w:bookmarkStart w:id="685" w:name="_Toc292559410"/>
      <w:bookmarkStart w:id="686" w:name="_Toc292559915"/>
      <w:bookmarkStart w:id="687" w:name="_Toc296503205"/>
      <w:bookmarkStart w:id="688" w:name="_Toc296346706"/>
      <w:bookmarkStart w:id="689" w:name="_Toc296944544"/>
      <w:bookmarkStart w:id="690" w:name="_Toc296347204"/>
      <w:bookmarkStart w:id="691" w:name="_Toc296891033"/>
      <w:bookmarkStart w:id="692" w:name="_Toc297048391"/>
      <w:bookmarkStart w:id="693" w:name="_Toc351203644"/>
      <w:bookmarkStart w:id="694" w:name="_Toc300935002"/>
      <w:bookmarkStart w:id="695" w:name="_Toc297216211"/>
      <w:bookmarkStart w:id="696" w:name="_Toc304295579"/>
      <w:bookmarkStart w:id="697" w:name="_Toc303539159"/>
      <w:bookmarkStart w:id="698" w:name="_Toc297123552"/>
      <w:bookmarkStart w:id="699" w:name="_Toc312678040"/>
      <w:r>
        <w:rPr>
          <w:rFonts w:hint="eastAsia" w:ascii="宋体" w:hAnsi="宋体"/>
          <w:color w:val="auto"/>
          <w:szCs w:val="21"/>
        </w:rPr>
        <w:t>市场价格波动是否调整合同价格的约定：</w:t>
      </w:r>
      <w:r>
        <w:rPr>
          <w:rFonts w:hint="eastAsia" w:ascii="宋体" w:hAnsi="宋体"/>
          <w:color w:val="auto"/>
          <w:szCs w:val="21"/>
          <w:u w:val="single"/>
        </w:rPr>
        <w:t>可调整</w:t>
      </w:r>
      <w:r>
        <w:rPr>
          <w:rFonts w:hint="eastAsia" w:ascii="宋体" w:hAnsi="宋体"/>
          <w:color w:val="auto"/>
          <w:szCs w:val="21"/>
        </w:rPr>
        <w:t>。</w:t>
      </w:r>
    </w:p>
    <w:p w14:paraId="27B06690">
      <w:pPr>
        <w:spacing w:line="440" w:lineRule="exact"/>
        <w:ind w:firstLine="420" w:firstLineChars="200"/>
        <w:jc w:val="left"/>
        <w:rPr>
          <w:rFonts w:ascii="宋体" w:hAnsi="宋体"/>
          <w:color w:val="auto"/>
          <w:szCs w:val="21"/>
        </w:rPr>
      </w:pPr>
      <w:r>
        <w:rPr>
          <w:rFonts w:hint="eastAsia" w:ascii="宋体" w:hAnsi="宋体"/>
          <w:color w:val="auto"/>
          <w:szCs w:val="21"/>
        </w:rPr>
        <w:t>因市场价格波动调整合同价格，采用以下第</w:t>
      </w:r>
      <w:r>
        <w:rPr>
          <w:rFonts w:hint="eastAsia" w:ascii="宋体" w:hAnsi="宋体"/>
          <w:color w:val="auto"/>
          <w:szCs w:val="21"/>
          <w:u w:val="single"/>
        </w:rPr>
        <w:t>2</w:t>
      </w:r>
      <w:r>
        <w:rPr>
          <w:rFonts w:hint="eastAsia" w:ascii="宋体" w:hAnsi="宋体"/>
          <w:color w:val="auto"/>
          <w:szCs w:val="21"/>
        </w:rPr>
        <w:t>种方式对合同价格进行调整：</w:t>
      </w:r>
    </w:p>
    <w:p w14:paraId="36E4A46E">
      <w:pPr>
        <w:spacing w:line="440" w:lineRule="exact"/>
        <w:ind w:firstLine="420" w:firstLineChars="200"/>
        <w:jc w:val="left"/>
        <w:rPr>
          <w:rFonts w:ascii="宋体" w:hAnsi="宋体"/>
          <w:color w:val="auto"/>
          <w:szCs w:val="21"/>
        </w:rPr>
      </w:pPr>
      <w:r>
        <w:rPr>
          <w:rFonts w:hint="eastAsia" w:ascii="宋体" w:hAnsi="宋体"/>
          <w:color w:val="auto"/>
          <w:szCs w:val="21"/>
        </w:rPr>
        <w:t>第</w:t>
      </w:r>
      <w:r>
        <w:rPr>
          <w:rFonts w:ascii="宋体" w:hAnsi="宋体"/>
          <w:color w:val="auto"/>
          <w:szCs w:val="21"/>
        </w:rPr>
        <w:t>1</w:t>
      </w:r>
      <w:r>
        <w:rPr>
          <w:rFonts w:hint="eastAsia" w:ascii="宋体" w:hAnsi="宋体"/>
          <w:color w:val="auto"/>
          <w:szCs w:val="21"/>
        </w:rPr>
        <w:t>种方式：采用价格指数进行价格调整。</w:t>
      </w:r>
    </w:p>
    <w:p w14:paraId="060CB00B">
      <w:pPr>
        <w:spacing w:line="440" w:lineRule="exact"/>
        <w:ind w:firstLine="420" w:firstLineChars="200"/>
        <w:jc w:val="left"/>
        <w:rPr>
          <w:rFonts w:ascii="宋体" w:hAnsi="宋体"/>
          <w:color w:val="auto"/>
          <w:szCs w:val="21"/>
        </w:rPr>
      </w:pPr>
      <w:r>
        <w:rPr>
          <w:rFonts w:hint="eastAsia" w:ascii="宋体" w:hAnsi="宋体"/>
          <w:color w:val="auto"/>
          <w:szCs w:val="21"/>
        </w:rPr>
        <w:t>关于各可调因子、定值和变值权重，以及基本价格指数及其来源的约定：；</w:t>
      </w:r>
    </w:p>
    <w:p w14:paraId="2F44F77E">
      <w:pPr>
        <w:spacing w:line="400" w:lineRule="exact"/>
        <w:ind w:firstLine="420" w:firstLineChars="200"/>
        <w:jc w:val="left"/>
        <w:rPr>
          <w:rFonts w:ascii="宋体" w:hAnsi="宋体"/>
          <w:color w:val="auto"/>
          <w:szCs w:val="21"/>
        </w:rPr>
      </w:pPr>
      <w:r>
        <w:rPr>
          <w:rFonts w:hint="eastAsia" w:ascii="宋体" w:hAnsi="宋体"/>
          <w:color w:val="auto"/>
          <w:szCs w:val="21"/>
        </w:rPr>
        <w:t>第2种方式：根据《关于加强建筑材料价格风险控制的指导意见》（钦州市住房和城乡建设委员会2010年9月21日文件）规定采用造价信息按算术平均差价进行价格调整。</w:t>
      </w:r>
    </w:p>
    <w:p w14:paraId="6AC0C0CA">
      <w:pPr>
        <w:spacing w:line="400" w:lineRule="exact"/>
        <w:ind w:firstLine="420" w:firstLineChars="200"/>
        <w:jc w:val="left"/>
        <w:rPr>
          <w:rFonts w:ascii="宋体" w:hAnsi="宋体"/>
          <w:color w:val="auto"/>
          <w:szCs w:val="21"/>
          <w:u w:val="single"/>
        </w:rPr>
      </w:pPr>
      <w:r>
        <w:rPr>
          <w:rFonts w:hint="eastAsia" w:ascii="宋体" w:hAnsi="宋体"/>
          <w:color w:val="auto"/>
          <w:szCs w:val="21"/>
        </w:rPr>
        <w:t>（2）关于基准价格的约定：</w:t>
      </w:r>
      <w:r>
        <w:rPr>
          <w:rFonts w:hint="eastAsia" w:ascii="宋体" w:hAnsi="宋体"/>
          <w:color w:val="auto"/>
          <w:szCs w:val="21"/>
          <w:u w:val="single"/>
        </w:rPr>
        <w:t xml:space="preserve">1、采购发包的工程，材料基准价格为采购当期《钦州市建设工程造价信息》发布的材料信息价；采购当期《钦州市建设工程造价信息》没有发布信息价的材料，其基准价为经评审的采购控制价中的材料价格；2、直接发包的工程，主要材料按签订合同当期的《钦州市建设工程造价信息》发布的材料价格为基准价格。签订合同当期没有发布信息价的材料，其基准价为经评审的工程预算书中的材料价格。  </w:t>
      </w:r>
    </w:p>
    <w:p w14:paraId="19D4C132">
      <w:pPr>
        <w:spacing w:line="400" w:lineRule="exact"/>
        <w:ind w:firstLine="420" w:firstLineChars="200"/>
        <w:jc w:val="left"/>
        <w:rPr>
          <w:rFonts w:ascii="宋体" w:hAnsi="宋体"/>
          <w:color w:val="auto"/>
          <w:szCs w:val="21"/>
          <w:u w:val="single"/>
        </w:rPr>
      </w:pPr>
      <w:r>
        <w:rPr>
          <w:rFonts w:hint="eastAsia" w:ascii="宋体" w:hAnsi="宋体"/>
          <w:color w:val="auto"/>
          <w:szCs w:val="21"/>
          <w:u w:val="single"/>
        </w:rPr>
        <w:t>合同履行期间经审核材料单价涨跌幅以基准单价为基础，超过±5%时，其超过±5 %部分据实调整（具体调整办法按钦州市住房和城乡建设委员会文件《关于加强建筑材料价格风险控制的指导意见》[2010年9月21日]的规定执行）。</w:t>
      </w:r>
    </w:p>
    <w:p w14:paraId="19B41905">
      <w:pPr>
        <w:spacing w:line="360" w:lineRule="auto"/>
        <w:ind w:firstLine="525" w:firstLineChars="250"/>
        <w:jc w:val="left"/>
        <w:rPr>
          <w:rFonts w:ascii="宋体" w:hAnsi="宋体"/>
          <w:color w:val="auto"/>
          <w:szCs w:val="21"/>
        </w:rPr>
      </w:pPr>
      <w:r>
        <w:rPr>
          <w:rFonts w:hint="eastAsia" w:ascii="宋体" w:hAnsi="宋体"/>
          <w:color w:val="auto"/>
          <w:szCs w:val="21"/>
        </w:rPr>
        <w:t>第3种方式：其他价格调整方式：</w:t>
      </w:r>
      <w:r>
        <w:rPr>
          <w:rFonts w:hint="eastAsia" w:ascii="宋体" w:hAnsi="宋体"/>
          <w:color w:val="auto"/>
          <w:szCs w:val="21"/>
          <w:u w:val="single"/>
        </w:rPr>
        <w:t xml:space="preserve">  无  </w:t>
      </w:r>
      <w:r>
        <w:rPr>
          <w:rFonts w:hint="eastAsia" w:ascii="宋体" w:hAnsi="宋体"/>
          <w:color w:val="auto"/>
          <w:szCs w:val="21"/>
        </w:rPr>
        <w:t>。</w:t>
      </w:r>
    </w:p>
    <w:p w14:paraId="0C22A3F2">
      <w:pPr>
        <w:adjustRightInd w:val="0"/>
        <w:snapToGrid w:val="0"/>
        <w:spacing w:line="360" w:lineRule="auto"/>
        <w:jc w:val="left"/>
        <w:rPr>
          <w:rFonts w:ascii="宋体" w:hAnsi="宋体"/>
          <w:color w:val="auto"/>
          <w:szCs w:val="21"/>
        </w:rPr>
      </w:pPr>
      <w:r>
        <w:rPr>
          <w:rFonts w:hint="eastAsia" w:ascii="宋体" w:hAnsi="宋体"/>
          <w:color w:val="auto"/>
          <w:szCs w:val="21"/>
        </w:rPr>
        <w:t>11.2</w:t>
      </w:r>
      <w:r>
        <w:rPr>
          <w:rFonts w:hint="eastAsia" w:ascii="宋体" w:hAnsi="宋体"/>
          <w:color w:val="auto"/>
          <w:szCs w:val="21"/>
          <w:u w:val="single"/>
        </w:rPr>
        <w:t>合同履行期间，除专用合同条款第11.3 款约定的增减以外，其他条件引起的综合单价变动均不调整。</w:t>
      </w:r>
    </w:p>
    <w:p w14:paraId="6712F299">
      <w:pPr>
        <w:adjustRightInd w:val="0"/>
        <w:snapToGrid w:val="0"/>
        <w:spacing w:line="360" w:lineRule="auto"/>
        <w:jc w:val="left"/>
        <w:rPr>
          <w:rFonts w:ascii="宋体" w:hAnsi="宋体"/>
          <w:color w:val="auto"/>
          <w:szCs w:val="21"/>
        </w:rPr>
      </w:pPr>
      <w:r>
        <w:rPr>
          <w:rFonts w:hint="eastAsia" w:ascii="宋体" w:hAnsi="宋体"/>
          <w:color w:val="auto"/>
          <w:szCs w:val="21"/>
        </w:rPr>
        <w:t>11.3 综合单价调整：</w:t>
      </w:r>
    </w:p>
    <w:p w14:paraId="78D949E4">
      <w:pPr>
        <w:spacing w:line="360" w:lineRule="auto"/>
        <w:ind w:firstLine="480"/>
        <w:rPr>
          <w:rFonts w:ascii="宋体" w:hAnsi="宋体"/>
          <w:color w:val="auto"/>
          <w:szCs w:val="21"/>
          <w:u w:val="single"/>
        </w:rPr>
      </w:pPr>
      <w:r>
        <w:rPr>
          <w:rFonts w:hint="eastAsia" w:ascii="宋体" w:hAnsi="宋体"/>
          <w:color w:val="auto"/>
          <w:szCs w:val="21"/>
          <w:u w:val="single"/>
        </w:rPr>
        <w:t>（1）由于工程量清单项目漏项（指图纸有而清单无的漏项清单项目），其综合单价，依据2013年《</w:t>
      </w:r>
      <w:r>
        <w:rPr>
          <w:rFonts w:hint="eastAsia"/>
          <w:color w:val="auto"/>
          <w:u w:val="single"/>
        </w:rPr>
        <w:t>广西壮族自治区建筑装饰工程消耗量定额</w:t>
      </w:r>
      <w:r>
        <w:rPr>
          <w:rFonts w:hint="eastAsia" w:ascii="宋体" w:hAnsi="宋体"/>
          <w:color w:val="auto"/>
          <w:szCs w:val="21"/>
          <w:u w:val="single"/>
        </w:rPr>
        <w:t>》、2014版《广西壮族自治区市政工程消耗量定额》</w:t>
      </w:r>
      <w:r>
        <w:rPr>
          <w:rFonts w:hint="eastAsia"/>
          <w:color w:val="auto"/>
          <w:szCs w:val="21"/>
          <w:u w:val="single"/>
        </w:rPr>
        <w:t>、</w:t>
      </w:r>
      <w:r>
        <w:rPr>
          <w:color w:val="auto"/>
          <w:u w:val="single"/>
        </w:rPr>
        <w:t>2015</w:t>
      </w:r>
      <w:r>
        <w:rPr>
          <w:rFonts w:hint="eastAsia"/>
          <w:color w:val="auto"/>
          <w:u w:val="single"/>
        </w:rPr>
        <w:t>版《广西壮族自治区安装工程消耗量定额》、</w:t>
      </w:r>
      <w:r>
        <w:rPr>
          <w:rFonts w:hint="eastAsia"/>
          <w:color w:val="auto"/>
          <w:szCs w:val="21"/>
          <w:u w:val="single"/>
        </w:rPr>
        <w:t>2016年《广西壮族自治区建设工程费用定额》</w:t>
      </w:r>
      <w:r>
        <w:rPr>
          <w:rFonts w:hint="eastAsia" w:ascii="宋体" w:hAnsi="宋体"/>
          <w:color w:val="auto"/>
          <w:szCs w:val="21"/>
          <w:u w:val="single"/>
        </w:rPr>
        <w:t>及承包人的竞标材料单价（新增材料按施工期间的钦州市信息中钦州价格或经发包人、承包人、监理及有关监督部门共同认可的实际购买价）计算出综合单价后，乘以承包人的成交价与工程采购控制价比较得出的系数，确定新的综合单价。</w:t>
      </w:r>
    </w:p>
    <w:p w14:paraId="15440EE5">
      <w:pPr>
        <w:widowControl/>
        <w:adjustRightInd w:val="0"/>
        <w:snapToGrid w:val="0"/>
        <w:spacing w:line="360" w:lineRule="auto"/>
        <w:ind w:firstLine="420" w:firstLineChars="200"/>
        <w:outlineLvl w:val="2"/>
        <w:rPr>
          <w:rFonts w:ascii="宋体" w:hAnsi="宋体"/>
          <w:color w:val="auto"/>
          <w:szCs w:val="21"/>
          <w:u w:val="single"/>
        </w:rPr>
      </w:pPr>
      <w:r>
        <w:rPr>
          <w:rFonts w:hint="eastAsia" w:ascii="宋体" w:hAnsi="宋体"/>
          <w:color w:val="auto"/>
          <w:szCs w:val="21"/>
          <w:u w:val="single"/>
        </w:rPr>
        <w:t>(2) 由于设计变更或工程量清单数量有误引起的工程量增减（指原有清单项目），执行原有的综合单价。</w:t>
      </w:r>
    </w:p>
    <w:p w14:paraId="173E6B25">
      <w:pPr>
        <w:keepNext/>
        <w:keepLines/>
        <w:spacing w:before="120" w:after="120" w:line="360" w:lineRule="auto"/>
        <w:ind w:firstLine="420" w:firstLineChars="200"/>
        <w:outlineLvl w:val="3"/>
        <w:rPr>
          <w:rFonts w:ascii="宋体" w:hAnsi="宋体"/>
          <w:bCs/>
          <w:color w:val="auto"/>
          <w:szCs w:val="28"/>
          <w:u w:val="single"/>
        </w:rPr>
      </w:pPr>
      <w:r>
        <w:rPr>
          <w:rFonts w:hint="eastAsia" w:ascii="宋体" w:hAnsi="宋体"/>
          <w:bCs/>
          <w:color w:val="auto"/>
          <w:szCs w:val="28"/>
          <w:u w:val="single"/>
        </w:rPr>
        <w:t>(3) 材料价格调整：按专用合同条款第11.1项的规定执行。</w:t>
      </w:r>
    </w:p>
    <w:p w14:paraId="15631B10">
      <w:pPr>
        <w:keepNext/>
        <w:keepLines/>
        <w:spacing w:before="120" w:after="120" w:line="360" w:lineRule="auto"/>
        <w:ind w:firstLine="420" w:firstLineChars="200"/>
        <w:outlineLvl w:val="3"/>
        <w:rPr>
          <w:rFonts w:ascii="宋体" w:hAnsi="宋体"/>
          <w:bCs/>
          <w:color w:val="auto"/>
          <w:szCs w:val="28"/>
          <w:u w:val="single"/>
        </w:rPr>
      </w:pPr>
      <w:r>
        <w:rPr>
          <w:rFonts w:hint="eastAsia" w:ascii="宋体" w:hAnsi="宋体"/>
          <w:bCs/>
          <w:color w:val="auto"/>
          <w:szCs w:val="28"/>
          <w:u w:val="single"/>
        </w:rPr>
        <w:t>(4) 由于设计变更引起新的工程量清单项目，按本款第（1）项的办法，确定新的综合单价。</w:t>
      </w:r>
    </w:p>
    <w:p w14:paraId="22A1AA07">
      <w:pPr>
        <w:keepNext/>
        <w:keepLines/>
        <w:spacing w:before="120" w:after="120" w:line="360" w:lineRule="auto"/>
        <w:outlineLvl w:val="3"/>
        <w:rPr>
          <w:rFonts w:ascii="宋体" w:hAnsi="宋体"/>
          <w:bCs/>
          <w:color w:val="auto"/>
          <w:szCs w:val="28"/>
          <w:u w:val="single"/>
        </w:rPr>
      </w:pPr>
      <w:r>
        <w:rPr>
          <w:rFonts w:hint="eastAsia" w:ascii="宋体" w:hAnsi="宋体"/>
          <w:bCs/>
          <w:color w:val="auto"/>
          <w:szCs w:val="28"/>
          <w:u w:val="single"/>
        </w:rPr>
        <w:t xml:space="preserve">    (5) 工程量清单中已有的项目，材料的品种（含颜色、规格等）因发包人的原因发生变更的，只调整该种材料的差价部分及相应税金（发包人采购控制价中的材料价格与经认可的实际购买价差），其他费用不变。</w:t>
      </w:r>
    </w:p>
    <w:p w14:paraId="401BF356">
      <w:pPr>
        <w:keepNext/>
        <w:keepLines/>
        <w:spacing w:before="120" w:after="120" w:line="360" w:lineRule="auto"/>
        <w:ind w:firstLine="420" w:firstLineChars="200"/>
        <w:outlineLvl w:val="3"/>
        <w:rPr>
          <w:rFonts w:ascii="宋体" w:hAnsi="宋体"/>
          <w:bCs/>
          <w:color w:val="auto"/>
          <w:szCs w:val="28"/>
          <w:u w:val="single"/>
        </w:rPr>
      </w:pPr>
      <w:r>
        <w:rPr>
          <w:rFonts w:hint="eastAsia" w:ascii="宋体" w:hAnsi="宋体"/>
          <w:bCs/>
          <w:color w:val="auto"/>
          <w:szCs w:val="28"/>
          <w:u w:val="single"/>
        </w:rPr>
        <w:t>(6) 工程量清单中只有类似于变更工程的综合单价，可以参照类似的综合单价变更合同价款。即其他项目特征、施工方法不变，仅是设计配合化的变更，材料色彩的变更，材料出产地的变更，材料等级的变更，材料规格的变更等，只调整设计配合比及材料的差价部分及相应税金，其他费用不变。</w:t>
      </w:r>
    </w:p>
    <w:p w14:paraId="2C147202">
      <w:pPr>
        <w:keepNext/>
        <w:keepLines/>
        <w:spacing w:before="120" w:after="120" w:line="360" w:lineRule="auto"/>
        <w:ind w:firstLine="315" w:firstLineChars="150"/>
        <w:outlineLvl w:val="3"/>
        <w:rPr>
          <w:rFonts w:ascii="宋体" w:hAnsi="宋体"/>
          <w:bCs/>
          <w:color w:val="auto"/>
          <w:szCs w:val="28"/>
          <w:u w:val="single"/>
        </w:rPr>
      </w:pPr>
      <w:r>
        <w:rPr>
          <w:rFonts w:hint="eastAsia" w:ascii="宋体" w:hAnsi="宋体"/>
          <w:bCs/>
          <w:color w:val="auto"/>
          <w:szCs w:val="28"/>
          <w:u w:val="single"/>
        </w:rPr>
        <w:t>（7）按桂建标[2015]5号、桂建标[2016]16号、桂建标[2016]17号文件规定进行调整，如专用合同条款合同履行期间计价依据有调整的，按调整文件规定执行。</w:t>
      </w:r>
    </w:p>
    <w:p w14:paraId="5BD4BE12">
      <w:pPr>
        <w:keepNext/>
        <w:keepLines/>
        <w:widowControl/>
        <w:spacing w:before="120" w:after="120" w:line="440" w:lineRule="exact"/>
        <w:outlineLvl w:val="3"/>
        <w:rPr>
          <w:rFonts w:ascii="宋体" w:hAnsi="宋体" w:eastAsia="黑体"/>
          <w:b/>
          <w:color w:val="auto"/>
          <w:kern w:val="0"/>
          <w:sz w:val="28"/>
          <w:szCs w:val="21"/>
        </w:rPr>
      </w:pPr>
      <w:r>
        <w:rPr>
          <w:rFonts w:ascii="宋体" w:hAnsi="宋体" w:eastAsia="黑体"/>
          <w:color w:val="auto"/>
          <w:kern w:val="0"/>
          <w:sz w:val="28"/>
          <w:szCs w:val="21"/>
        </w:rPr>
        <w:t>1</w:t>
      </w:r>
      <w:r>
        <w:rPr>
          <w:rFonts w:ascii="宋体" w:hAnsi="宋体" w:eastAsia="黑体"/>
          <w:b/>
          <w:color w:val="auto"/>
          <w:kern w:val="0"/>
          <w:sz w:val="28"/>
          <w:szCs w:val="21"/>
        </w:rPr>
        <w:t xml:space="preserve">2. </w:t>
      </w:r>
      <w:bookmarkEnd w:id="683"/>
      <w:bookmarkEnd w:id="684"/>
      <w:bookmarkEnd w:id="685"/>
      <w:bookmarkEnd w:id="686"/>
      <w:bookmarkEnd w:id="687"/>
      <w:bookmarkEnd w:id="688"/>
      <w:bookmarkEnd w:id="689"/>
      <w:bookmarkEnd w:id="690"/>
      <w:bookmarkEnd w:id="691"/>
      <w:bookmarkEnd w:id="692"/>
      <w:r>
        <w:rPr>
          <w:rFonts w:ascii="宋体" w:hAnsi="宋体" w:eastAsia="黑体"/>
          <w:b/>
          <w:color w:val="auto"/>
          <w:kern w:val="0"/>
          <w:sz w:val="28"/>
          <w:szCs w:val="21"/>
        </w:rPr>
        <w:t>合同价格、计量与支付</w:t>
      </w:r>
      <w:bookmarkEnd w:id="693"/>
    </w:p>
    <w:bookmarkEnd w:id="694"/>
    <w:bookmarkEnd w:id="695"/>
    <w:bookmarkEnd w:id="696"/>
    <w:bookmarkEnd w:id="697"/>
    <w:bookmarkEnd w:id="698"/>
    <w:bookmarkEnd w:id="699"/>
    <w:p w14:paraId="24951A8E">
      <w:pPr>
        <w:spacing w:after="120" w:line="440" w:lineRule="exact"/>
        <w:ind w:firstLine="420" w:firstLineChars="200"/>
        <w:rPr>
          <w:rFonts w:ascii="宋体" w:hAnsi="宋体"/>
          <w:color w:val="auto"/>
          <w:szCs w:val="21"/>
        </w:rPr>
      </w:pPr>
      <w:bookmarkStart w:id="700" w:name="_Toc292559916"/>
      <w:bookmarkStart w:id="701" w:name="_Toc267251461"/>
      <w:bookmarkStart w:id="702" w:name="_Toc292559411"/>
      <w:bookmarkStart w:id="703" w:name="_Toc297048392"/>
      <w:bookmarkStart w:id="704" w:name="_Toc296944545"/>
      <w:bookmarkStart w:id="705" w:name="_Toc296891034"/>
      <w:bookmarkStart w:id="706" w:name="_Toc296346707"/>
      <w:bookmarkStart w:id="707" w:name="_Toc296503206"/>
      <w:bookmarkStart w:id="708" w:name="_Toc296347205"/>
      <w:bookmarkStart w:id="709" w:name="_Toc296891246"/>
      <w:bookmarkStart w:id="710" w:name="_Toc297120506"/>
      <w:bookmarkStart w:id="711" w:name="_Toc303539160"/>
      <w:bookmarkStart w:id="712" w:name="_Toc300935003"/>
      <w:bookmarkStart w:id="713" w:name="_Toc312678041"/>
      <w:bookmarkStart w:id="714" w:name="_Toc297216212"/>
      <w:bookmarkStart w:id="715" w:name="_Toc297123553"/>
      <w:bookmarkStart w:id="716" w:name="_Toc304295580"/>
      <w:r>
        <w:rPr>
          <w:rFonts w:ascii="宋体" w:hAnsi="宋体"/>
          <w:color w:val="auto"/>
          <w:szCs w:val="21"/>
        </w:rPr>
        <w:t>12.1 合</w:t>
      </w:r>
      <w:bookmarkEnd w:id="700"/>
      <w:bookmarkEnd w:id="701"/>
      <w:bookmarkEnd w:id="702"/>
      <w:r>
        <w:rPr>
          <w:rFonts w:ascii="宋体" w:hAnsi="宋体"/>
          <w:color w:val="auto"/>
          <w:szCs w:val="21"/>
        </w:rPr>
        <w:t>同价</w:t>
      </w:r>
      <w:bookmarkEnd w:id="703"/>
      <w:bookmarkEnd w:id="704"/>
      <w:bookmarkEnd w:id="705"/>
      <w:bookmarkEnd w:id="706"/>
      <w:bookmarkEnd w:id="707"/>
      <w:bookmarkEnd w:id="708"/>
      <w:bookmarkEnd w:id="709"/>
      <w:bookmarkEnd w:id="710"/>
      <w:r>
        <w:rPr>
          <w:rFonts w:ascii="宋体" w:hAnsi="宋体"/>
          <w:color w:val="auto"/>
          <w:szCs w:val="21"/>
        </w:rPr>
        <w:t>格形式</w:t>
      </w:r>
    </w:p>
    <w:bookmarkEnd w:id="711"/>
    <w:bookmarkEnd w:id="712"/>
    <w:bookmarkEnd w:id="713"/>
    <w:bookmarkEnd w:id="714"/>
    <w:bookmarkEnd w:id="715"/>
    <w:bookmarkEnd w:id="716"/>
    <w:p w14:paraId="1806CED1">
      <w:pPr>
        <w:spacing w:line="440" w:lineRule="exact"/>
        <w:ind w:firstLine="420" w:firstLineChars="200"/>
        <w:jc w:val="left"/>
        <w:rPr>
          <w:rFonts w:ascii="宋体" w:hAnsi="宋体"/>
          <w:color w:val="auto"/>
          <w:szCs w:val="21"/>
        </w:rPr>
      </w:pPr>
      <w:r>
        <w:rPr>
          <w:rFonts w:ascii="宋体" w:hAnsi="宋体"/>
          <w:color w:val="auto"/>
          <w:szCs w:val="21"/>
        </w:rPr>
        <w:t>1</w:t>
      </w:r>
      <w:r>
        <w:rPr>
          <w:rFonts w:hint="eastAsia" w:ascii="宋体" w:hAnsi="宋体"/>
          <w:color w:val="auto"/>
          <w:szCs w:val="21"/>
        </w:rPr>
        <w:t>.</w:t>
      </w:r>
      <w:r>
        <w:rPr>
          <w:rFonts w:ascii="宋体" w:hAnsi="宋体"/>
          <w:color w:val="auto"/>
          <w:szCs w:val="21"/>
        </w:rPr>
        <w:t>单价合同。</w:t>
      </w:r>
    </w:p>
    <w:p w14:paraId="4B74070A">
      <w:pPr>
        <w:spacing w:line="440" w:lineRule="exact"/>
        <w:ind w:firstLine="420" w:firstLineChars="200"/>
        <w:jc w:val="left"/>
        <w:rPr>
          <w:rFonts w:ascii="宋体" w:hAnsi="宋体"/>
          <w:color w:val="auto"/>
          <w:szCs w:val="21"/>
        </w:rPr>
      </w:pPr>
      <w:r>
        <w:rPr>
          <w:rFonts w:ascii="宋体" w:hAnsi="宋体"/>
          <w:color w:val="auto"/>
          <w:szCs w:val="21"/>
        </w:rPr>
        <w:t>综合单价包含的风险范围：。</w:t>
      </w:r>
    </w:p>
    <w:p w14:paraId="6D57D474">
      <w:pPr>
        <w:spacing w:line="440" w:lineRule="exact"/>
        <w:ind w:firstLine="420" w:firstLineChars="200"/>
        <w:jc w:val="left"/>
        <w:rPr>
          <w:rFonts w:ascii="宋体" w:hAnsi="宋体"/>
          <w:color w:val="auto"/>
          <w:szCs w:val="21"/>
        </w:rPr>
      </w:pPr>
      <w:r>
        <w:rPr>
          <w:rFonts w:ascii="宋体" w:hAnsi="宋体"/>
          <w:color w:val="auto"/>
          <w:szCs w:val="21"/>
        </w:rPr>
        <w:t>风险费用的计算方法：。</w:t>
      </w:r>
    </w:p>
    <w:p w14:paraId="6303AF7A">
      <w:pPr>
        <w:spacing w:line="440" w:lineRule="exact"/>
        <w:ind w:firstLine="420" w:firstLineChars="200"/>
        <w:rPr>
          <w:rFonts w:ascii="宋体" w:hAnsi="宋体"/>
          <w:color w:val="auto"/>
          <w:szCs w:val="21"/>
        </w:rPr>
      </w:pPr>
      <w:r>
        <w:rPr>
          <w:rFonts w:ascii="宋体" w:hAnsi="宋体"/>
          <w:color w:val="auto"/>
          <w:szCs w:val="21"/>
        </w:rPr>
        <w:t>风险范围以外合同价格的调整方法：</w:t>
      </w:r>
    </w:p>
    <w:p w14:paraId="749400A5">
      <w:pPr>
        <w:spacing w:line="440" w:lineRule="exact"/>
        <w:ind w:firstLine="420" w:firstLineChars="200"/>
        <w:rPr>
          <w:rFonts w:ascii="宋体" w:hAnsi="宋体"/>
          <w:color w:val="auto"/>
          <w:szCs w:val="21"/>
          <w:u w:val="single"/>
        </w:rPr>
      </w:pPr>
      <w:r>
        <w:rPr>
          <w:rFonts w:hint="eastAsia" w:ascii="宋体" w:hAnsi="宋体"/>
          <w:color w:val="auto"/>
          <w:szCs w:val="21"/>
        </w:rPr>
        <w:t>(1)</w:t>
      </w:r>
      <w:r>
        <w:rPr>
          <w:rFonts w:hint="eastAsia" w:ascii="宋体" w:hAnsi="宋体"/>
          <w:color w:val="auto"/>
          <w:szCs w:val="21"/>
          <w:u w:val="single"/>
        </w:rPr>
        <w:t>因设计变更引起工程项目、工程量变化的，工程量清单报价表中有相同细目的按竞标人竞标时的成交单价进行结算，工程量清单报价表中有类似细目的参考类似成交单价结算；新增项目有定额的套定额计算，其中材料价格有信息的按信息价，无信息的按市场价；新增项目无定额可套的，由发包人、承包人根据市场价格协商决定；新增项目的单价应经有政府审计中心审定。</w:t>
      </w:r>
    </w:p>
    <w:p w14:paraId="7DF99C9D">
      <w:pPr>
        <w:spacing w:line="440" w:lineRule="exact"/>
        <w:ind w:firstLine="420" w:firstLineChars="200"/>
        <w:rPr>
          <w:rFonts w:ascii="宋体" w:hAnsi="宋体"/>
          <w:color w:val="auto"/>
          <w:szCs w:val="21"/>
          <w:u w:val="single"/>
        </w:rPr>
      </w:pPr>
      <w:r>
        <w:rPr>
          <w:rFonts w:hint="eastAsia" w:ascii="宋体" w:hAnsi="宋体"/>
          <w:color w:val="auto"/>
          <w:szCs w:val="21"/>
        </w:rPr>
        <w:t>(2)</w:t>
      </w:r>
      <w:r>
        <w:rPr>
          <w:rFonts w:hint="eastAsia" w:ascii="宋体" w:hAnsi="宋体"/>
          <w:color w:val="auto"/>
          <w:szCs w:val="21"/>
          <w:u w:val="single"/>
        </w:rPr>
        <w:t>国家和自治区政策性调整有关费用标准的，按文件规定执行。</w:t>
      </w:r>
    </w:p>
    <w:p w14:paraId="69695D66">
      <w:pPr>
        <w:spacing w:after="120" w:line="440" w:lineRule="exact"/>
        <w:ind w:firstLine="420" w:firstLineChars="200"/>
        <w:rPr>
          <w:rFonts w:ascii="宋体" w:hAnsi="宋体"/>
          <w:color w:val="auto"/>
          <w:szCs w:val="21"/>
        </w:rPr>
      </w:pPr>
      <w:bookmarkStart w:id="717" w:name="_Toc297216213"/>
      <w:bookmarkStart w:id="718" w:name="_Toc297120507"/>
      <w:bookmarkStart w:id="719" w:name="_Toc292559917"/>
      <w:bookmarkStart w:id="720" w:name="_Toc296891035"/>
      <w:bookmarkStart w:id="721" w:name="_Toc296346708"/>
      <w:bookmarkStart w:id="722" w:name="_Toc312678042"/>
      <w:bookmarkStart w:id="723" w:name="_Toc304295581"/>
      <w:bookmarkStart w:id="724" w:name="_Toc296347206"/>
      <w:bookmarkStart w:id="725" w:name="_Toc297123554"/>
      <w:bookmarkStart w:id="726" w:name="_Toc297048393"/>
      <w:bookmarkStart w:id="727" w:name="_Toc296891247"/>
      <w:bookmarkStart w:id="728" w:name="_Toc296944546"/>
      <w:bookmarkStart w:id="729" w:name="_Toc303539161"/>
      <w:bookmarkStart w:id="730" w:name="_Toc300935004"/>
      <w:bookmarkStart w:id="731" w:name="_Toc296503207"/>
      <w:bookmarkStart w:id="732" w:name="_Toc292559412"/>
      <w:r>
        <w:rPr>
          <w:rFonts w:ascii="宋体" w:hAnsi="宋体"/>
          <w:color w:val="auto"/>
          <w:szCs w:val="21"/>
        </w:rPr>
        <w:t>12.2 预付款</w:t>
      </w:r>
    </w:p>
    <w:bookmarkEnd w:id="578"/>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14:paraId="56B28716">
      <w:pPr>
        <w:spacing w:line="440" w:lineRule="exact"/>
        <w:ind w:firstLine="420" w:firstLineChars="200"/>
        <w:jc w:val="left"/>
        <w:rPr>
          <w:rFonts w:ascii="宋体" w:hAnsi="宋体"/>
          <w:color w:val="auto"/>
          <w:szCs w:val="21"/>
        </w:rPr>
      </w:pPr>
      <w:bookmarkStart w:id="733" w:name="_Toc351203646"/>
      <w:bookmarkStart w:id="734" w:name="_Toc280868709"/>
      <w:bookmarkStart w:id="735" w:name="_Toc267251475"/>
      <w:bookmarkStart w:id="736" w:name="_Toc267251471"/>
      <w:bookmarkStart w:id="737" w:name="_Toc267251474"/>
      <w:bookmarkStart w:id="738" w:name="_Toc267251470"/>
      <w:bookmarkStart w:id="739" w:name="_Toc267251473"/>
      <w:bookmarkStart w:id="740" w:name="_Toc267251472"/>
      <w:bookmarkStart w:id="741" w:name="_Toc267251476"/>
      <w:r>
        <w:rPr>
          <w:rFonts w:ascii="宋体" w:hAnsi="宋体"/>
          <w:color w:val="auto"/>
          <w:szCs w:val="21"/>
        </w:rPr>
        <w:t>12.2.1 预付款的支付</w:t>
      </w:r>
    </w:p>
    <w:p w14:paraId="1A125309">
      <w:pPr>
        <w:spacing w:line="440" w:lineRule="exact"/>
        <w:ind w:firstLine="420" w:firstLineChars="200"/>
        <w:jc w:val="left"/>
        <w:rPr>
          <w:rFonts w:ascii="宋体" w:hAnsi="宋体"/>
          <w:color w:val="auto"/>
          <w:szCs w:val="21"/>
        </w:rPr>
      </w:pPr>
      <w:r>
        <w:rPr>
          <w:rFonts w:ascii="宋体" w:hAnsi="宋体"/>
          <w:color w:val="auto"/>
          <w:szCs w:val="21"/>
        </w:rPr>
        <w:t>预付款支付比例或金额：</w:t>
      </w:r>
      <w:r>
        <w:rPr>
          <w:rFonts w:hint="eastAsia" w:ascii="宋体" w:hAnsi="宋体"/>
          <w:color w:val="auto"/>
          <w:szCs w:val="21"/>
          <w:u w:val="single"/>
        </w:rPr>
        <w:t>无</w:t>
      </w:r>
      <w:r>
        <w:rPr>
          <w:rFonts w:ascii="宋体" w:hAnsi="宋体"/>
          <w:color w:val="auto"/>
          <w:szCs w:val="21"/>
        </w:rPr>
        <w:t>。</w:t>
      </w:r>
    </w:p>
    <w:p w14:paraId="03145DCF">
      <w:pPr>
        <w:spacing w:line="440" w:lineRule="exact"/>
        <w:ind w:firstLine="420" w:firstLineChars="200"/>
        <w:jc w:val="left"/>
        <w:rPr>
          <w:rFonts w:ascii="宋体" w:hAnsi="宋体"/>
          <w:color w:val="auto"/>
          <w:szCs w:val="21"/>
        </w:rPr>
      </w:pPr>
      <w:r>
        <w:rPr>
          <w:rFonts w:ascii="宋体" w:hAnsi="宋体"/>
          <w:color w:val="auto"/>
          <w:szCs w:val="21"/>
        </w:rPr>
        <w:t>预付款支付期限：</w:t>
      </w:r>
      <w:r>
        <w:rPr>
          <w:rFonts w:hint="eastAsia"/>
          <w:color w:val="auto"/>
          <w:szCs w:val="21"/>
          <w:u w:val="single"/>
        </w:rPr>
        <w:t>合同签订后5个工作日内</w:t>
      </w:r>
      <w:r>
        <w:rPr>
          <w:rFonts w:ascii="宋体" w:hAnsi="宋体"/>
          <w:color w:val="auto"/>
          <w:szCs w:val="21"/>
        </w:rPr>
        <w:t>。</w:t>
      </w:r>
    </w:p>
    <w:p w14:paraId="4332F272">
      <w:pPr>
        <w:spacing w:line="360" w:lineRule="auto"/>
        <w:ind w:firstLine="420" w:firstLineChars="200"/>
        <w:jc w:val="left"/>
        <w:rPr>
          <w:rFonts w:hAnsi="宋体"/>
          <w:color w:val="auto"/>
          <w:szCs w:val="21"/>
          <w:u w:val="single"/>
        </w:rPr>
      </w:pPr>
      <w:r>
        <w:rPr>
          <w:rFonts w:ascii="宋体" w:hAnsi="宋体"/>
          <w:color w:val="auto"/>
          <w:szCs w:val="21"/>
        </w:rPr>
        <w:t>预付款扣回的方式：</w:t>
      </w:r>
      <w:r>
        <w:rPr>
          <w:rFonts w:hint="eastAsia"/>
          <w:color w:val="auto"/>
          <w:szCs w:val="21"/>
          <w:u w:val="single"/>
        </w:rPr>
        <w:t>/</w:t>
      </w:r>
      <w:r>
        <w:rPr>
          <w:rFonts w:hAnsi="宋体"/>
          <w:color w:val="auto"/>
          <w:szCs w:val="21"/>
          <w:u w:val="single"/>
        </w:rPr>
        <w:t>。</w:t>
      </w:r>
    </w:p>
    <w:p w14:paraId="6EB0AEFF">
      <w:pPr>
        <w:spacing w:line="440" w:lineRule="exact"/>
        <w:ind w:firstLine="420" w:firstLineChars="200"/>
        <w:jc w:val="left"/>
        <w:rPr>
          <w:rFonts w:ascii="宋体" w:hAnsi="宋体"/>
          <w:color w:val="auto"/>
          <w:szCs w:val="21"/>
        </w:rPr>
      </w:pPr>
      <w:r>
        <w:rPr>
          <w:rFonts w:ascii="宋体" w:hAnsi="宋体"/>
          <w:color w:val="auto"/>
          <w:szCs w:val="21"/>
        </w:rPr>
        <w:t>12.2.2 预付款担保</w:t>
      </w:r>
    </w:p>
    <w:p w14:paraId="5E0CA8C8">
      <w:pPr>
        <w:spacing w:line="440" w:lineRule="exact"/>
        <w:ind w:firstLine="420" w:firstLineChars="200"/>
        <w:jc w:val="left"/>
        <w:rPr>
          <w:rFonts w:ascii="宋体" w:hAnsi="宋体"/>
          <w:color w:val="auto"/>
          <w:szCs w:val="21"/>
        </w:rPr>
      </w:pPr>
      <w:r>
        <w:rPr>
          <w:rFonts w:ascii="宋体" w:hAnsi="宋体"/>
          <w:color w:val="auto"/>
          <w:szCs w:val="21"/>
        </w:rPr>
        <w:t>承包人提交预付款担保的期限：</w:t>
      </w:r>
      <w:r>
        <w:rPr>
          <w:rFonts w:hint="eastAsia" w:ascii="宋体" w:hAnsi="宋体"/>
          <w:color w:val="auto"/>
          <w:szCs w:val="21"/>
          <w:u w:val="single"/>
        </w:rPr>
        <w:t>无</w:t>
      </w:r>
      <w:r>
        <w:rPr>
          <w:rFonts w:ascii="宋体" w:hAnsi="宋体"/>
          <w:color w:val="auto"/>
          <w:szCs w:val="21"/>
        </w:rPr>
        <w:t>。</w:t>
      </w:r>
    </w:p>
    <w:p w14:paraId="3C25135B">
      <w:pPr>
        <w:spacing w:line="440" w:lineRule="exact"/>
        <w:ind w:firstLine="420" w:firstLineChars="200"/>
        <w:jc w:val="left"/>
        <w:rPr>
          <w:rFonts w:ascii="宋体" w:hAnsi="宋体"/>
          <w:color w:val="auto"/>
          <w:szCs w:val="21"/>
        </w:rPr>
      </w:pPr>
      <w:r>
        <w:rPr>
          <w:rFonts w:ascii="宋体" w:hAnsi="宋体"/>
          <w:color w:val="auto"/>
          <w:szCs w:val="21"/>
        </w:rPr>
        <w:t>预付款担保的形式为：</w:t>
      </w:r>
      <w:r>
        <w:rPr>
          <w:rFonts w:hint="eastAsia" w:ascii="宋体" w:hAnsi="宋体"/>
          <w:color w:val="auto"/>
          <w:szCs w:val="21"/>
          <w:u w:val="single"/>
        </w:rPr>
        <w:t>无</w:t>
      </w:r>
      <w:r>
        <w:rPr>
          <w:rFonts w:ascii="宋体" w:hAnsi="宋体"/>
          <w:color w:val="auto"/>
          <w:szCs w:val="21"/>
        </w:rPr>
        <w:t>。</w:t>
      </w:r>
    </w:p>
    <w:p w14:paraId="0EB24497">
      <w:pPr>
        <w:spacing w:after="120" w:line="440" w:lineRule="exact"/>
        <w:ind w:firstLine="420" w:firstLineChars="200"/>
        <w:rPr>
          <w:rFonts w:ascii="宋体" w:hAnsi="宋体"/>
          <w:color w:val="auto"/>
          <w:szCs w:val="21"/>
        </w:rPr>
      </w:pPr>
      <w:r>
        <w:rPr>
          <w:rFonts w:ascii="宋体" w:hAnsi="宋体"/>
          <w:color w:val="auto"/>
          <w:szCs w:val="21"/>
        </w:rPr>
        <w:t>12.3 计量</w:t>
      </w:r>
    </w:p>
    <w:p w14:paraId="58BFE191">
      <w:pPr>
        <w:spacing w:line="440" w:lineRule="exact"/>
        <w:ind w:firstLine="420" w:firstLineChars="200"/>
        <w:jc w:val="left"/>
        <w:rPr>
          <w:rFonts w:ascii="宋体" w:hAnsi="宋体"/>
          <w:color w:val="auto"/>
          <w:szCs w:val="21"/>
        </w:rPr>
      </w:pPr>
      <w:r>
        <w:rPr>
          <w:rFonts w:ascii="宋体" w:hAnsi="宋体"/>
          <w:color w:val="auto"/>
          <w:szCs w:val="21"/>
        </w:rPr>
        <w:t>12.3.1 计量原则</w:t>
      </w:r>
    </w:p>
    <w:p w14:paraId="7CEBB2BC">
      <w:pPr>
        <w:spacing w:line="440" w:lineRule="exact"/>
        <w:ind w:firstLine="420" w:firstLineChars="200"/>
        <w:jc w:val="left"/>
        <w:rPr>
          <w:rFonts w:ascii="宋体" w:hAnsi="宋体"/>
          <w:color w:val="auto"/>
          <w:szCs w:val="21"/>
        </w:rPr>
      </w:pPr>
      <w:r>
        <w:rPr>
          <w:rFonts w:ascii="宋体" w:hAnsi="宋体"/>
          <w:color w:val="auto"/>
          <w:szCs w:val="21"/>
        </w:rPr>
        <w:t>工程量计算规则：</w:t>
      </w:r>
      <w:r>
        <w:rPr>
          <w:b/>
          <w:color w:val="auto"/>
          <w:szCs w:val="21"/>
          <w:u w:val="single"/>
        </w:rPr>
        <w:t>工程的计量均以国家标准《建设工程工程量</w:t>
      </w:r>
      <w:r>
        <w:rPr>
          <w:rFonts w:hint="eastAsia"/>
          <w:b/>
          <w:color w:val="auto"/>
          <w:szCs w:val="21"/>
          <w:u w:val="single"/>
        </w:rPr>
        <w:t>计算</w:t>
      </w:r>
      <w:r>
        <w:rPr>
          <w:b/>
          <w:color w:val="auto"/>
          <w:szCs w:val="21"/>
          <w:u w:val="single"/>
        </w:rPr>
        <w:t>规范》（GB50</w:t>
      </w:r>
      <w:r>
        <w:rPr>
          <w:rFonts w:hint="eastAsia"/>
          <w:b/>
          <w:color w:val="auto"/>
          <w:szCs w:val="21"/>
          <w:u w:val="single"/>
        </w:rPr>
        <w:t>854～50862</w:t>
      </w:r>
      <w:r>
        <w:rPr>
          <w:b/>
          <w:color w:val="auto"/>
          <w:szCs w:val="21"/>
          <w:u w:val="single"/>
        </w:rPr>
        <w:t>－20</w:t>
      </w:r>
      <w:r>
        <w:rPr>
          <w:rFonts w:hint="eastAsia"/>
          <w:b/>
          <w:color w:val="auto"/>
          <w:szCs w:val="21"/>
          <w:u w:val="single"/>
        </w:rPr>
        <w:t>13</w:t>
      </w:r>
      <w:r>
        <w:rPr>
          <w:b/>
          <w:color w:val="auto"/>
          <w:szCs w:val="21"/>
          <w:u w:val="single"/>
        </w:rPr>
        <w:t>）和</w:t>
      </w:r>
      <w:r>
        <w:rPr>
          <w:rFonts w:hint="eastAsia"/>
          <w:b/>
          <w:color w:val="auto"/>
          <w:szCs w:val="21"/>
          <w:u w:val="single"/>
        </w:rPr>
        <w:t>《建设工程工程量计算规范（GB50854～50862-2013）广西壮族自治区实施细则》</w:t>
      </w:r>
      <w:r>
        <w:rPr>
          <w:b/>
          <w:color w:val="auto"/>
          <w:szCs w:val="21"/>
          <w:u w:val="single"/>
        </w:rPr>
        <w:t>计算的净值为准，如有不明之处，应以监理工程师或造价管理部门指定的计量方法为准</w:t>
      </w:r>
      <w:r>
        <w:rPr>
          <w:rFonts w:ascii="宋体" w:hAnsi="宋体"/>
          <w:color w:val="auto"/>
          <w:szCs w:val="21"/>
        </w:rPr>
        <w:t>。</w:t>
      </w:r>
    </w:p>
    <w:p w14:paraId="58750EB2">
      <w:pPr>
        <w:spacing w:line="440" w:lineRule="exact"/>
        <w:ind w:firstLine="420" w:firstLineChars="200"/>
        <w:jc w:val="left"/>
        <w:rPr>
          <w:rFonts w:ascii="宋体" w:hAnsi="宋体"/>
          <w:color w:val="auto"/>
          <w:szCs w:val="21"/>
        </w:rPr>
      </w:pPr>
      <w:r>
        <w:rPr>
          <w:rFonts w:ascii="宋体" w:hAnsi="宋体"/>
          <w:color w:val="auto"/>
          <w:szCs w:val="21"/>
        </w:rPr>
        <w:t>12.3.2 计量周期</w:t>
      </w:r>
    </w:p>
    <w:p w14:paraId="75188B10">
      <w:pPr>
        <w:spacing w:line="440" w:lineRule="exact"/>
        <w:ind w:firstLine="420" w:firstLineChars="200"/>
        <w:jc w:val="left"/>
        <w:rPr>
          <w:rFonts w:ascii="宋体" w:hAnsi="宋体"/>
          <w:color w:val="auto"/>
          <w:szCs w:val="21"/>
        </w:rPr>
      </w:pPr>
      <w:r>
        <w:rPr>
          <w:rFonts w:ascii="宋体" w:hAnsi="宋体"/>
          <w:color w:val="auto"/>
          <w:szCs w:val="21"/>
        </w:rPr>
        <w:t>关于计量周期的约定：</w:t>
      </w:r>
      <w:r>
        <w:rPr>
          <w:rFonts w:hint="eastAsia" w:ascii="宋体" w:hAnsi="宋体"/>
          <w:b/>
          <w:color w:val="auto"/>
          <w:szCs w:val="21"/>
          <w:u w:val="single"/>
        </w:rPr>
        <w:t>按实际完成工程量计量</w:t>
      </w:r>
      <w:r>
        <w:rPr>
          <w:rFonts w:ascii="宋体" w:hAnsi="宋体"/>
          <w:color w:val="auto"/>
          <w:szCs w:val="21"/>
        </w:rPr>
        <w:t>。</w:t>
      </w:r>
    </w:p>
    <w:p w14:paraId="67DABA85">
      <w:pPr>
        <w:spacing w:line="440" w:lineRule="exact"/>
        <w:ind w:firstLine="420" w:firstLineChars="200"/>
        <w:jc w:val="left"/>
        <w:rPr>
          <w:rFonts w:ascii="宋体" w:hAnsi="宋体"/>
          <w:color w:val="auto"/>
          <w:szCs w:val="21"/>
        </w:rPr>
      </w:pPr>
      <w:r>
        <w:rPr>
          <w:rFonts w:ascii="宋体" w:hAnsi="宋体"/>
          <w:color w:val="auto"/>
          <w:szCs w:val="21"/>
        </w:rPr>
        <w:t>12.3.3 单价合同的计量</w:t>
      </w:r>
    </w:p>
    <w:p w14:paraId="1BA34CDB">
      <w:pPr>
        <w:spacing w:line="440" w:lineRule="exact"/>
        <w:ind w:firstLine="420" w:firstLineChars="200"/>
        <w:jc w:val="left"/>
        <w:rPr>
          <w:rFonts w:ascii="宋体" w:hAnsi="宋体"/>
          <w:color w:val="auto"/>
          <w:szCs w:val="21"/>
          <w:u w:val="single"/>
        </w:rPr>
      </w:pPr>
      <w:r>
        <w:rPr>
          <w:rFonts w:ascii="宋体" w:hAnsi="宋体"/>
          <w:color w:val="auto"/>
          <w:szCs w:val="21"/>
        </w:rPr>
        <w:t>关于单价合同计量的约定：</w:t>
      </w:r>
      <w:r>
        <w:rPr>
          <w:rFonts w:hint="eastAsia" w:ascii="宋体" w:hAnsi="宋体"/>
          <w:b/>
          <w:color w:val="auto"/>
          <w:szCs w:val="21"/>
          <w:u w:val="single"/>
        </w:rPr>
        <w:t xml:space="preserve">(1) </w:t>
      </w:r>
      <w:r>
        <w:rPr>
          <w:rFonts w:ascii="宋体" w:hAnsi="宋体"/>
          <w:b/>
          <w:color w:val="auto"/>
          <w:szCs w:val="21"/>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b/>
          <w:color w:val="auto"/>
          <w:szCs w:val="21"/>
          <w:u w:val="single"/>
        </w:rPr>
        <w:t>(2)</w:t>
      </w:r>
      <w:r>
        <w:rPr>
          <w:rFonts w:ascii="宋体" w:hAnsi="宋体"/>
          <w:b/>
          <w:color w:val="auto"/>
          <w:szCs w:val="21"/>
          <w:u w:val="single"/>
        </w:rPr>
        <w:t xml:space="preserve"> 除另有规定外，工程师应按照合同通过计量来核实确定已完成的工程量和价值，承包人应得到该价值扣除保留金后的价款。当工程师要对已完工的工程量进行计量时，应适时地通知承包人参加。</w:t>
      </w:r>
    </w:p>
    <w:p w14:paraId="7DDCF4BE">
      <w:pPr>
        <w:spacing w:line="440" w:lineRule="exact"/>
        <w:ind w:firstLine="420" w:firstLineChars="200"/>
        <w:jc w:val="left"/>
        <w:rPr>
          <w:rFonts w:ascii="宋体" w:hAnsi="宋体"/>
          <w:color w:val="auto"/>
          <w:szCs w:val="21"/>
        </w:rPr>
      </w:pPr>
      <w:r>
        <w:rPr>
          <w:rFonts w:ascii="宋体" w:hAnsi="宋体"/>
          <w:color w:val="auto"/>
          <w:szCs w:val="21"/>
        </w:rPr>
        <w:t>12.3.4 总价合同的计量</w:t>
      </w:r>
    </w:p>
    <w:p w14:paraId="30432263">
      <w:pPr>
        <w:spacing w:line="440" w:lineRule="exact"/>
        <w:ind w:firstLine="420" w:firstLineChars="200"/>
        <w:jc w:val="left"/>
        <w:rPr>
          <w:rFonts w:ascii="宋体" w:hAnsi="宋体"/>
          <w:color w:val="auto"/>
          <w:szCs w:val="21"/>
        </w:rPr>
      </w:pPr>
      <w:r>
        <w:rPr>
          <w:rFonts w:ascii="宋体" w:hAnsi="宋体"/>
          <w:color w:val="auto"/>
          <w:szCs w:val="21"/>
        </w:rPr>
        <w:t>关于总价合同计量的约定：。</w:t>
      </w:r>
    </w:p>
    <w:p w14:paraId="5FC56FDC">
      <w:pPr>
        <w:spacing w:line="440" w:lineRule="exact"/>
        <w:ind w:firstLine="420" w:firstLineChars="200"/>
        <w:jc w:val="left"/>
        <w:rPr>
          <w:rFonts w:ascii="宋体" w:hAnsi="宋体"/>
          <w:color w:val="auto"/>
          <w:szCs w:val="21"/>
        </w:rPr>
      </w:pPr>
      <w:r>
        <w:rPr>
          <w:rFonts w:ascii="宋体" w:hAnsi="宋体"/>
          <w:color w:val="auto"/>
          <w:szCs w:val="21"/>
        </w:rPr>
        <w:t>12.3.5总价合同采用支付分解表计量支付的，是否适用第</w:t>
      </w:r>
      <w:r>
        <w:rPr>
          <w:rFonts w:ascii="宋体" w:hAnsi="宋体"/>
          <w:color w:val="auto"/>
          <w:kern w:val="0"/>
          <w:szCs w:val="21"/>
        </w:rPr>
        <w:t xml:space="preserve">12.3.4 </w:t>
      </w:r>
      <w:r>
        <w:rPr>
          <w:rFonts w:ascii="宋体" w:hAnsi="宋体"/>
          <w:color w:val="auto"/>
          <w:szCs w:val="21"/>
        </w:rPr>
        <w:t>项</w:t>
      </w:r>
      <w:r>
        <w:rPr>
          <w:rFonts w:hint="eastAsia" w:ascii="宋体" w:hAnsi="宋体"/>
          <w:color w:val="auto"/>
          <w:kern w:val="0"/>
          <w:szCs w:val="21"/>
        </w:rPr>
        <w:t>〔</w:t>
      </w:r>
      <w:r>
        <w:rPr>
          <w:rFonts w:ascii="宋体" w:hAnsi="宋体"/>
          <w:color w:val="auto"/>
          <w:kern w:val="0"/>
          <w:szCs w:val="21"/>
        </w:rPr>
        <w:t>总价合同的计量</w:t>
      </w:r>
      <w:r>
        <w:rPr>
          <w:rFonts w:hint="eastAsia" w:ascii="宋体" w:hAnsi="宋体"/>
          <w:color w:val="auto"/>
          <w:kern w:val="0"/>
          <w:szCs w:val="21"/>
        </w:rPr>
        <w:t>〕</w:t>
      </w:r>
      <w:r>
        <w:rPr>
          <w:rFonts w:ascii="宋体" w:hAnsi="宋体"/>
          <w:color w:val="auto"/>
          <w:szCs w:val="21"/>
        </w:rPr>
        <w:t>约定</w:t>
      </w:r>
      <w:r>
        <w:rPr>
          <w:rFonts w:hint="eastAsia" w:ascii="宋体" w:hAnsi="宋体"/>
          <w:color w:val="auto"/>
          <w:szCs w:val="21"/>
        </w:rPr>
        <w:t>进行计量：</w:t>
      </w:r>
      <w:r>
        <w:rPr>
          <w:rFonts w:ascii="宋体" w:hAnsi="宋体"/>
          <w:color w:val="auto"/>
          <w:szCs w:val="21"/>
        </w:rPr>
        <w:t>。</w:t>
      </w:r>
    </w:p>
    <w:p w14:paraId="69AB7B6D">
      <w:pPr>
        <w:spacing w:line="440" w:lineRule="exact"/>
        <w:ind w:firstLine="420" w:firstLineChars="200"/>
        <w:jc w:val="left"/>
        <w:rPr>
          <w:rFonts w:ascii="宋体" w:hAnsi="宋体"/>
          <w:color w:val="auto"/>
          <w:szCs w:val="21"/>
        </w:rPr>
      </w:pPr>
      <w:r>
        <w:rPr>
          <w:rFonts w:ascii="宋体" w:hAnsi="宋体"/>
          <w:color w:val="auto"/>
          <w:szCs w:val="21"/>
        </w:rPr>
        <w:t>12.3.6 其他价格形式合同的计量</w:t>
      </w:r>
    </w:p>
    <w:p w14:paraId="24756F41">
      <w:pPr>
        <w:spacing w:line="440" w:lineRule="exact"/>
        <w:ind w:firstLine="420" w:firstLineChars="200"/>
        <w:jc w:val="left"/>
        <w:rPr>
          <w:rFonts w:ascii="宋体" w:hAnsi="宋体"/>
          <w:color w:val="auto"/>
          <w:szCs w:val="21"/>
        </w:rPr>
      </w:pPr>
      <w:r>
        <w:rPr>
          <w:rFonts w:ascii="宋体" w:hAnsi="宋体"/>
          <w:color w:val="auto"/>
          <w:szCs w:val="21"/>
        </w:rPr>
        <w:t>其他价格形式的计量方式和程序：。</w:t>
      </w:r>
    </w:p>
    <w:p w14:paraId="245DBFD3">
      <w:pPr>
        <w:spacing w:after="120" w:line="440" w:lineRule="exact"/>
        <w:ind w:firstLine="420" w:firstLineChars="200"/>
        <w:rPr>
          <w:rFonts w:ascii="宋体" w:hAnsi="宋体"/>
          <w:color w:val="auto"/>
          <w:szCs w:val="21"/>
        </w:rPr>
      </w:pPr>
      <w:r>
        <w:rPr>
          <w:rFonts w:ascii="宋体" w:hAnsi="宋体"/>
          <w:color w:val="auto"/>
          <w:szCs w:val="21"/>
        </w:rPr>
        <w:t>12.4 工程进度款支付</w:t>
      </w:r>
    </w:p>
    <w:p w14:paraId="6E22717A">
      <w:pPr>
        <w:spacing w:line="360" w:lineRule="auto"/>
        <w:ind w:firstLine="420" w:firstLineChars="200"/>
        <w:jc w:val="left"/>
        <w:rPr>
          <w:rFonts w:hAnsi="宋体"/>
          <w:bCs/>
          <w:color w:val="auto"/>
          <w:szCs w:val="21"/>
          <w:u w:val="single"/>
        </w:rPr>
      </w:pPr>
      <w:bookmarkStart w:id="742" w:name="_Toc296346712"/>
      <w:bookmarkStart w:id="743" w:name="_Toc296347210"/>
      <w:bookmarkStart w:id="744" w:name="_Toc296891251"/>
      <w:bookmarkStart w:id="745" w:name="_Toc303539163"/>
      <w:bookmarkStart w:id="746" w:name="_Toc297216215"/>
      <w:bookmarkStart w:id="747" w:name="_Toc296944550"/>
      <w:bookmarkStart w:id="748" w:name="_Toc297123556"/>
      <w:bookmarkStart w:id="749" w:name="_Toc297048397"/>
      <w:bookmarkStart w:id="750" w:name="_Toc292559921"/>
      <w:bookmarkStart w:id="751" w:name="_Toc300935006"/>
      <w:bookmarkStart w:id="752" w:name="_Toc296503211"/>
      <w:bookmarkStart w:id="753" w:name="_Toc297120511"/>
      <w:bookmarkStart w:id="754" w:name="_Toc292559416"/>
      <w:bookmarkStart w:id="755" w:name="_Toc296891039"/>
      <w:r>
        <w:rPr>
          <w:rFonts w:ascii="宋体" w:hAnsi="宋体"/>
          <w:color w:val="auto"/>
          <w:szCs w:val="21"/>
        </w:rPr>
        <w:t>12.4.1</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r>
        <w:rPr>
          <w:rFonts w:hint="eastAsia" w:ascii="宋体" w:hAnsi="宋体"/>
          <w:b/>
          <w:color w:val="auto"/>
          <w:szCs w:val="21"/>
        </w:rPr>
        <w:t>双方约定工程款的支付方式和时间</w:t>
      </w:r>
      <w:r>
        <w:rPr>
          <w:rFonts w:hint="eastAsia" w:ascii="宋体" w:hAnsi="宋体"/>
          <w:color w:val="auto"/>
          <w:szCs w:val="21"/>
        </w:rPr>
        <w:t>：</w:t>
      </w:r>
      <w:bookmarkStart w:id="756" w:name="_Toc351203645"/>
      <w:bookmarkStart w:id="757" w:name="_Toc297216223"/>
      <w:bookmarkStart w:id="758" w:name="_Toc296891047"/>
      <w:bookmarkStart w:id="759" w:name="_Toc297120519"/>
      <w:bookmarkStart w:id="760" w:name="_Toc297048405"/>
      <w:bookmarkStart w:id="761" w:name="_Toc296944558"/>
      <w:bookmarkStart w:id="762" w:name="_Toc292559424"/>
      <w:bookmarkStart w:id="763" w:name="_Toc312678053"/>
      <w:bookmarkStart w:id="764" w:name="_Toc292559929"/>
      <w:bookmarkStart w:id="765" w:name="_Toc300935015"/>
      <w:bookmarkStart w:id="766" w:name="_Toc303539172"/>
      <w:bookmarkStart w:id="767" w:name="_Toc296503219"/>
      <w:bookmarkStart w:id="768" w:name="_Toc296346720"/>
      <w:bookmarkStart w:id="769" w:name="_Toc304295593"/>
      <w:bookmarkStart w:id="770" w:name="_Toc296347218"/>
      <w:bookmarkStart w:id="771" w:name="_Toc296891259"/>
      <w:bookmarkStart w:id="772" w:name="_Toc297123564"/>
      <w:r>
        <w:rPr>
          <w:rFonts w:hint="eastAsia" w:hAnsi="宋体"/>
          <w:bCs/>
          <w:color w:val="auto"/>
          <w:szCs w:val="21"/>
          <w:u w:val="single"/>
        </w:rPr>
        <w:t>工程进度完成工程量的30%支付至合同总价款的30%；工程竣工验收合格20个工作日内，工程进度款支付至完成合同总价款的80%；竣工结算经审计部门审计后，工程款支付至项目审定结算价款的97%，预留结算总价的3%作为质量保证金，待工程缺陷责任期满后由成交供应商申请退还，采购人一次性无息返还。采购人每次付款前，成交供应商应向采购人开具同等金额的增值税专用发票，否则，采购人有权顺延付款。成交供应商知晓采购人的费用来源于财政拨付及支付项目款项流程，如因财政拨付的原因导致延迟支付，成交供应商承诺不因进度款延迟支付而停工，承诺放弃向采购人主张违约金或赔偿款之请求。</w:t>
      </w:r>
    </w:p>
    <w:p w14:paraId="5D3F074D">
      <w:pPr>
        <w:spacing w:line="440" w:lineRule="exact"/>
        <w:ind w:firstLine="422" w:firstLineChars="200"/>
        <w:jc w:val="left"/>
        <w:rPr>
          <w:rFonts w:ascii="宋体" w:hAnsi="宋体"/>
          <w:b/>
          <w:color w:val="auto"/>
          <w:szCs w:val="21"/>
        </w:rPr>
      </w:pPr>
      <w:r>
        <w:rPr>
          <w:rFonts w:ascii="宋体" w:hAnsi="宋体"/>
          <w:b/>
          <w:color w:val="auto"/>
          <w:szCs w:val="21"/>
        </w:rPr>
        <w:t>13.验收和工程试车</w:t>
      </w:r>
      <w:bookmarkEnd w:id="756"/>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7EB29B34">
      <w:pPr>
        <w:spacing w:after="120" w:line="400" w:lineRule="exact"/>
        <w:ind w:firstLine="420" w:firstLineChars="200"/>
        <w:rPr>
          <w:rFonts w:ascii="宋体" w:hAnsi="宋体"/>
          <w:color w:val="auto"/>
          <w:szCs w:val="21"/>
        </w:rPr>
      </w:pPr>
      <w:r>
        <w:rPr>
          <w:rFonts w:ascii="宋体" w:hAnsi="宋体"/>
          <w:color w:val="auto"/>
          <w:szCs w:val="21"/>
        </w:rPr>
        <w:t>13.1 分部分项工程验收</w:t>
      </w:r>
    </w:p>
    <w:p w14:paraId="5ECCC9A1">
      <w:pPr>
        <w:spacing w:line="400" w:lineRule="exact"/>
        <w:ind w:firstLine="420" w:firstLineChars="200"/>
        <w:jc w:val="left"/>
        <w:rPr>
          <w:rFonts w:ascii="宋体" w:hAnsi="宋体"/>
          <w:color w:val="auto"/>
          <w:szCs w:val="21"/>
        </w:rPr>
      </w:pPr>
      <w:r>
        <w:rPr>
          <w:rFonts w:ascii="宋体" w:hAnsi="宋体"/>
          <w:color w:val="auto"/>
          <w:szCs w:val="21"/>
        </w:rPr>
        <w:t>13.1.2监理人不能按时进行验收时，应提前小时提交书面延期要求。</w:t>
      </w:r>
    </w:p>
    <w:p w14:paraId="0B38DAC0">
      <w:pPr>
        <w:spacing w:line="400" w:lineRule="exact"/>
        <w:ind w:firstLine="420" w:firstLineChars="200"/>
        <w:jc w:val="left"/>
        <w:rPr>
          <w:rFonts w:ascii="宋体" w:hAnsi="宋体"/>
          <w:b/>
          <w:color w:val="auto"/>
          <w:szCs w:val="21"/>
        </w:rPr>
      </w:pPr>
      <w:r>
        <w:rPr>
          <w:rFonts w:ascii="宋体" w:hAnsi="宋体"/>
          <w:color w:val="auto"/>
          <w:szCs w:val="21"/>
        </w:rPr>
        <w:t>关于延期最长不得超过：小时。</w:t>
      </w:r>
    </w:p>
    <w:p w14:paraId="6C9C9D16">
      <w:pPr>
        <w:spacing w:after="120" w:line="400" w:lineRule="exact"/>
        <w:ind w:firstLine="420" w:firstLineChars="200"/>
        <w:rPr>
          <w:rFonts w:ascii="宋体" w:hAnsi="宋体"/>
          <w:color w:val="auto"/>
          <w:szCs w:val="21"/>
        </w:rPr>
      </w:pPr>
      <w:bookmarkStart w:id="773" w:name="_Toc296891051"/>
      <w:bookmarkStart w:id="774" w:name="_Toc296891263"/>
      <w:bookmarkStart w:id="775" w:name="_Toc303539173"/>
      <w:bookmarkStart w:id="776" w:name="_Toc300935016"/>
      <w:bookmarkStart w:id="777" w:name="_Toc292559428"/>
      <w:bookmarkStart w:id="778" w:name="_Toc304295596"/>
      <w:bookmarkStart w:id="779" w:name="_Toc296347222"/>
      <w:bookmarkStart w:id="780" w:name="_Toc297216224"/>
      <w:bookmarkStart w:id="781" w:name="_Toc296944562"/>
      <w:bookmarkStart w:id="782" w:name="_Toc297123565"/>
      <w:bookmarkStart w:id="783" w:name="_Toc292559933"/>
      <w:bookmarkStart w:id="784" w:name="_Toc312678056"/>
      <w:bookmarkStart w:id="785" w:name="_Toc297048409"/>
      <w:bookmarkStart w:id="786" w:name="_Toc297120523"/>
      <w:bookmarkStart w:id="787" w:name="_Toc296503223"/>
      <w:bookmarkStart w:id="788" w:name="_Toc296346724"/>
      <w:r>
        <w:rPr>
          <w:rFonts w:ascii="宋体" w:hAnsi="宋体"/>
          <w:color w:val="auto"/>
          <w:szCs w:val="21"/>
        </w:rPr>
        <w:t>13.2 竣工验收</w:t>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14:paraId="552EBCA7">
      <w:pPr>
        <w:spacing w:line="400" w:lineRule="exact"/>
        <w:ind w:firstLine="420" w:firstLineChars="200"/>
        <w:jc w:val="left"/>
        <w:rPr>
          <w:rFonts w:ascii="宋体" w:hAnsi="宋体"/>
          <w:color w:val="auto"/>
          <w:szCs w:val="21"/>
        </w:rPr>
      </w:pPr>
      <w:bookmarkStart w:id="789" w:name="_Toc280868704"/>
      <w:bookmarkStart w:id="790" w:name="_Toc280868705"/>
      <w:bookmarkStart w:id="791" w:name="_Toc280868706"/>
      <w:bookmarkStart w:id="792" w:name="_Toc280868707"/>
      <w:bookmarkStart w:id="793" w:name="_Toc280868708"/>
      <w:r>
        <w:rPr>
          <w:rFonts w:ascii="宋体" w:hAnsi="宋体"/>
          <w:color w:val="auto"/>
          <w:szCs w:val="21"/>
        </w:rPr>
        <w:t>13.2.</w:t>
      </w:r>
      <w:r>
        <w:rPr>
          <w:rFonts w:hint="eastAsia" w:ascii="宋体" w:hAnsi="宋体"/>
          <w:color w:val="auto"/>
          <w:szCs w:val="21"/>
        </w:rPr>
        <w:t>1</w:t>
      </w:r>
      <w:r>
        <w:rPr>
          <w:rFonts w:ascii="宋体" w:hAnsi="宋体"/>
          <w:color w:val="auto"/>
          <w:szCs w:val="21"/>
        </w:rPr>
        <w:t>竣工验收程序</w:t>
      </w:r>
    </w:p>
    <w:bookmarkEnd w:id="789"/>
    <w:p w14:paraId="2745EDBB">
      <w:pPr>
        <w:spacing w:line="400" w:lineRule="exact"/>
        <w:ind w:left="4376" w:leftChars="284" w:hanging="3780" w:hangingChars="1800"/>
        <w:jc w:val="left"/>
        <w:rPr>
          <w:rFonts w:ascii="宋体" w:hAnsi="宋体"/>
          <w:color w:val="auto"/>
          <w:szCs w:val="21"/>
        </w:rPr>
      </w:pPr>
      <w:r>
        <w:rPr>
          <w:rFonts w:ascii="宋体" w:hAnsi="宋体"/>
          <w:color w:val="auto"/>
          <w:kern w:val="0"/>
          <w:szCs w:val="21"/>
        </w:rPr>
        <w:t>关于竣工验收程序的约定：</w:t>
      </w:r>
      <w:r>
        <w:rPr>
          <w:rFonts w:hint="eastAsia" w:ascii="宋体" w:hAnsi="宋体"/>
          <w:color w:val="auto"/>
          <w:kern w:val="0"/>
          <w:szCs w:val="21"/>
          <w:u w:val="single"/>
        </w:rPr>
        <w:t>按《通用合同条款》执行</w:t>
      </w:r>
      <w:r>
        <w:rPr>
          <w:rFonts w:ascii="宋体" w:hAnsi="宋体"/>
          <w:color w:val="auto"/>
          <w:szCs w:val="21"/>
        </w:rPr>
        <w:t>。</w:t>
      </w:r>
    </w:p>
    <w:p w14:paraId="58019DE6">
      <w:pPr>
        <w:spacing w:line="400" w:lineRule="exact"/>
        <w:ind w:firstLine="420" w:firstLineChars="200"/>
        <w:jc w:val="left"/>
        <w:rPr>
          <w:rFonts w:ascii="宋体" w:hAnsi="宋体"/>
          <w:color w:val="auto"/>
          <w:szCs w:val="21"/>
        </w:rPr>
      </w:pPr>
      <w:r>
        <w:rPr>
          <w:rFonts w:ascii="宋体" w:hAnsi="宋体"/>
          <w:color w:val="auto"/>
          <w:kern w:val="0"/>
          <w:szCs w:val="21"/>
        </w:rPr>
        <w:t>发包人不按照本项约定组织竣工验收、颁发工程接收证书的违约金的计算方法：</w:t>
      </w:r>
      <w:r>
        <w:rPr>
          <w:rFonts w:ascii="宋体" w:hAnsi="宋体"/>
          <w:color w:val="auto"/>
          <w:szCs w:val="21"/>
        </w:rPr>
        <w:t>。</w:t>
      </w:r>
    </w:p>
    <w:bookmarkEnd w:id="790"/>
    <w:p w14:paraId="06912BE4">
      <w:pPr>
        <w:spacing w:line="400" w:lineRule="exact"/>
        <w:ind w:firstLine="420" w:firstLineChars="200"/>
        <w:jc w:val="left"/>
        <w:rPr>
          <w:rFonts w:ascii="宋体" w:hAnsi="宋体"/>
          <w:color w:val="auto"/>
          <w:szCs w:val="21"/>
        </w:rPr>
      </w:pPr>
      <w:r>
        <w:rPr>
          <w:rFonts w:ascii="宋体" w:hAnsi="宋体"/>
          <w:color w:val="auto"/>
          <w:szCs w:val="21"/>
        </w:rPr>
        <w:t>13.2.</w:t>
      </w:r>
      <w:r>
        <w:rPr>
          <w:rFonts w:hint="eastAsia" w:ascii="宋体" w:hAnsi="宋体"/>
          <w:color w:val="auto"/>
          <w:szCs w:val="21"/>
        </w:rPr>
        <w:t>2</w:t>
      </w:r>
      <w:r>
        <w:rPr>
          <w:rFonts w:ascii="宋体" w:hAnsi="宋体"/>
          <w:color w:val="auto"/>
          <w:szCs w:val="21"/>
        </w:rPr>
        <w:t>移交、接收全部与部分工程</w:t>
      </w:r>
    </w:p>
    <w:bookmarkEnd w:id="791"/>
    <w:p w14:paraId="3DDF2112">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承包人向发包人移交工程的期限：</w:t>
      </w:r>
      <w:r>
        <w:rPr>
          <w:rFonts w:hint="eastAsia" w:ascii="宋体" w:hAnsi="宋体"/>
          <w:color w:val="auto"/>
          <w:kern w:val="0"/>
          <w:szCs w:val="21"/>
          <w:u w:val="single"/>
        </w:rPr>
        <w:t>按《通用合同条款》执行</w:t>
      </w:r>
      <w:r>
        <w:rPr>
          <w:rFonts w:hint="eastAsia" w:ascii="宋体" w:hAnsi="宋体"/>
          <w:color w:val="auto"/>
          <w:szCs w:val="21"/>
        </w:rPr>
        <w:t>。</w:t>
      </w:r>
    </w:p>
    <w:p w14:paraId="1DF14F75">
      <w:pPr>
        <w:spacing w:line="360" w:lineRule="auto"/>
        <w:ind w:firstLine="420" w:firstLineChars="200"/>
        <w:jc w:val="left"/>
        <w:rPr>
          <w:color w:val="auto"/>
          <w:szCs w:val="21"/>
          <w:u w:val="single"/>
        </w:rPr>
      </w:pPr>
      <w:r>
        <w:rPr>
          <w:rFonts w:ascii="宋体" w:hAnsi="宋体"/>
          <w:color w:val="auto"/>
          <w:kern w:val="0"/>
          <w:szCs w:val="21"/>
        </w:rPr>
        <w:t>发包人未按本合同约定接收全部或部分工程的，违约金的计算方法为：</w:t>
      </w:r>
      <w:r>
        <w:rPr>
          <w:rFonts w:hint="eastAsia"/>
          <w:color w:val="auto"/>
          <w:szCs w:val="21"/>
          <w:u w:val="single"/>
        </w:rPr>
        <w:t>承担承包人</w:t>
      </w:r>
      <w:r>
        <w:rPr>
          <w:color w:val="auto"/>
          <w:szCs w:val="21"/>
          <w:u w:val="single"/>
        </w:rPr>
        <w:t>未能</w:t>
      </w:r>
      <w:r>
        <w:rPr>
          <w:rFonts w:hint="eastAsia"/>
          <w:color w:val="auto"/>
          <w:szCs w:val="21"/>
          <w:u w:val="single"/>
        </w:rPr>
        <w:t>按约定</w:t>
      </w:r>
      <w:r>
        <w:rPr>
          <w:color w:val="auto"/>
          <w:szCs w:val="21"/>
          <w:u w:val="single"/>
        </w:rPr>
        <w:t>退场造成</w:t>
      </w:r>
      <w:r>
        <w:rPr>
          <w:rFonts w:hint="eastAsia"/>
          <w:color w:val="auto"/>
          <w:szCs w:val="21"/>
          <w:u w:val="single"/>
        </w:rPr>
        <w:t>的</w:t>
      </w:r>
      <w:r>
        <w:rPr>
          <w:color w:val="auto"/>
          <w:szCs w:val="21"/>
          <w:u w:val="single"/>
        </w:rPr>
        <w:t xml:space="preserve">全部损失  </w:t>
      </w:r>
      <w:r>
        <w:rPr>
          <w:rFonts w:ascii="宋体" w:hAnsi="宋体"/>
          <w:color w:val="auto"/>
          <w:szCs w:val="21"/>
        </w:rPr>
        <w:t>。</w:t>
      </w:r>
    </w:p>
    <w:bookmarkEnd w:id="792"/>
    <w:p w14:paraId="32729919">
      <w:pPr>
        <w:spacing w:line="400" w:lineRule="exact"/>
        <w:ind w:firstLine="420" w:firstLineChars="200"/>
        <w:jc w:val="left"/>
        <w:rPr>
          <w:rFonts w:ascii="宋体" w:hAnsi="宋体"/>
          <w:color w:val="auto"/>
          <w:szCs w:val="21"/>
        </w:rPr>
      </w:pPr>
      <w:r>
        <w:rPr>
          <w:rFonts w:ascii="宋体" w:hAnsi="宋体"/>
          <w:color w:val="auto"/>
          <w:szCs w:val="21"/>
        </w:rPr>
        <w:t>承包人未按时移交工程的，违约金的计算方法为：</w:t>
      </w:r>
      <w:r>
        <w:rPr>
          <w:rFonts w:hint="eastAsia" w:ascii="宋体" w:hAnsi="宋体"/>
          <w:color w:val="auto"/>
          <w:szCs w:val="21"/>
          <w:u w:val="single"/>
        </w:rPr>
        <w:t>承担发包人不能按接收期投入使用所造成全部的损失。</w:t>
      </w:r>
    </w:p>
    <w:p w14:paraId="62978BCF">
      <w:pPr>
        <w:spacing w:after="120" w:line="400" w:lineRule="exact"/>
        <w:ind w:firstLine="420" w:firstLineChars="200"/>
        <w:rPr>
          <w:rFonts w:ascii="宋体" w:hAnsi="宋体"/>
          <w:color w:val="auto"/>
          <w:szCs w:val="21"/>
        </w:rPr>
      </w:pPr>
      <w:r>
        <w:rPr>
          <w:rFonts w:ascii="宋体" w:hAnsi="宋体"/>
          <w:color w:val="auto"/>
          <w:szCs w:val="21"/>
        </w:rPr>
        <w:t>13.3 工程试车</w:t>
      </w:r>
    </w:p>
    <w:bookmarkEnd w:id="793"/>
    <w:p w14:paraId="46C1ECA0">
      <w:pPr>
        <w:spacing w:line="400" w:lineRule="exact"/>
        <w:ind w:firstLine="420" w:firstLineChars="200"/>
        <w:jc w:val="left"/>
        <w:rPr>
          <w:rFonts w:ascii="宋体" w:hAnsi="宋体"/>
          <w:color w:val="auto"/>
          <w:kern w:val="0"/>
          <w:szCs w:val="21"/>
        </w:rPr>
      </w:pPr>
      <w:r>
        <w:rPr>
          <w:rFonts w:ascii="宋体" w:hAnsi="宋体"/>
          <w:color w:val="auto"/>
          <w:kern w:val="0"/>
          <w:szCs w:val="21"/>
        </w:rPr>
        <w:t>13.3.1 试车程序</w:t>
      </w:r>
    </w:p>
    <w:p w14:paraId="29485EDE">
      <w:pPr>
        <w:spacing w:line="400" w:lineRule="exact"/>
        <w:ind w:firstLine="420" w:firstLineChars="200"/>
        <w:jc w:val="left"/>
        <w:rPr>
          <w:rFonts w:ascii="宋体" w:hAnsi="宋体"/>
          <w:color w:val="auto"/>
          <w:kern w:val="0"/>
          <w:szCs w:val="21"/>
        </w:rPr>
      </w:pPr>
      <w:r>
        <w:rPr>
          <w:rFonts w:ascii="宋体" w:hAnsi="宋体"/>
          <w:color w:val="auto"/>
          <w:kern w:val="0"/>
          <w:szCs w:val="21"/>
        </w:rPr>
        <w:t>工程试车内容：</w:t>
      </w:r>
      <w:r>
        <w:rPr>
          <w:rFonts w:hint="eastAsia" w:ascii="宋体" w:hAnsi="宋体"/>
          <w:color w:val="auto"/>
          <w:szCs w:val="21"/>
          <w:u w:val="single"/>
        </w:rPr>
        <w:t>按《通用合同条款》执行</w:t>
      </w:r>
      <w:r>
        <w:rPr>
          <w:rFonts w:ascii="宋体" w:hAnsi="宋体"/>
          <w:color w:val="auto"/>
          <w:szCs w:val="21"/>
        </w:rPr>
        <w:t>。</w:t>
      </w:r>
    </w:p>
    <w:p w14:paraId="71741E1A">
      <w:pPr>
        <w:spacing w:line="400" w:lineRule="exact"/>
        <w:ind w:firstLine="420" w:firstLineChars="200"/>
        <w:jc w:val="left"/>
        <w:rPr>
          <w:rFonts w:ascii="宋体" w:hAnsi="宋体"/>
          <w:color w:val="auto"/>
          <w:kern w:val="0"/>
          <w:szCs w:val="21"/>
        </w:rPr>
      </w:pPr>
      <w:r>
        <w:rPr>
          <w:rFonts w:ascii="宋体" w:hAnsi="宋体"/>
          <w:color w:val="auto"/>
          <w:kern w:val="0"/>
          <w:szCs w:val="21"/>
        </w:rPr>
        <w:t>（1）单机无负荷试车费用由</w:t>
      </w:r>
      <w:r>
        <w:rPr>
          <w:rFonts w:hint="eastAsia"/>
          <w:color w:val="auto"/>
          <w:szCs w:val="21"/>
          <w:u w:val="single"/>
        </w:rPr>
        <w:t>承包人</w:t>
      </w:r>
      <w:r>
        <w:rPr>
          <w:rFonts w:ascii="宋体" w:hAnsi="宋体"/>
          <w:color w:val="auto"/>
          <w:kern w:val="0"/>
          <w:szCs w:val="21"/>
        </w:rPr>
        <w:t>承担</w:t>
      </w:r>
      <w:r>
        <w:rPr>
          <w:rFonts w:hint="eastAsia" w:ascii="宋体" w:hAnsi="宋体"/>
          <w:color w:val="auto"/>
          <w:kern w:val="0"/>
          <w:szCs w:val="21"/>
        </w:rPr>
        <w:t>；</w:t>
      </w:r>
    </w:p>
    <w:p w14:paraId="30F00153">
      <w:pPr>
        <w:spacing w:line="400" w:lineRule="exact"/>
        <w:ind w:firstLine="420" w:firstLineChars="200"/>
        <w:jc w:val="left"/>
        <w:rPr>
          <w:rFonts w:ascii="宋体" w:hAnsi="宋体"/>
          <w:color w:val="auto"/>
          <w:kern w:val="0"/>
          <w:szCs w:val="21"/>
        </w:rPr>
      </w:pPr>
      <w:r>
        <w:rPr>
          <w:rFonts w:ascii="宋体" w:hAnsi="宋体"/>
          <w:color w:val="auto"/>
          <w:kern w:val="0"/>
          <w:szCs w:val="21"/>
        </w:rPr>
        <w:t>（2）无负荷联动试车费用由</w:t>
      </w:r>
      <w:r>
        <w:rPr>
          <w:rFonts w:hint="eastAsia"/>
          <w:color w:val="auto"/>
          <w:szCs w:val="21"/>
          <w:u w:val="single"/>
        </w:rPr>
        <w:t>承包人</w:t>
      </w:r>
      <w:r>
        <w:rPr>
          <w:rFonts w:ascii="宋体" w:hAnsi="宋体"/>
          <w:color w:val="auto"/>
          <w:kern w:val="0"/>
          <w:szCs w:val="21"/>
        </w:rPr>
        <w:t>承担。</w:t>
      </w:r>
    </w:p>
    <w:p w14:paraId="6F7DB360">
      <w:pPr>
        <w:spacing w:line="400" w:lineRule="exact"/>
        <w:ind w:firstLine="420" w:firstLineChars="200"/>
        <w:jc w:val="left"/>
        <w:rPr>
          <w:rFonts w:ascii="宋体" w:hAnsi="宋体"/>
          <w:color w:val="auto"/>
          <w:kern w:val="0"/>
          <w:szCs w:val="21"/>
        </w:rPr>
      </w:pPr>
      <w:r>
        <w:rPr>
          <w:rFonts w:ascii="宋体" w:hAnsi="宋体"/>
          <w:color w:val="auto"/>
          <w:kern w:val="0"/>
          <w:szCs w:val="21"/>
        </w:rPr>
        <w:t>13.3.</w:t>
      </w:r>
      <w:r>
        <w:rPr>
          <w:rFonts w:hint="eastAsia" w:ascii="宋体" w:hAnsi="宋体"/>
          <w:color w:val="auto"/>
          <w:kern w:val="0"/>
          <w:szCs w:val="21"/>
        </w:rPr>
        <w:t>3</w:t>
      </w:r>
      <w:r>
        <w:rPr>
          <w:rFonts w:ascii="宋体" w:hAnsi="宋体"/>
          <w:color w:val="auto"/>
          <w:kern w:val="0"/>
          <w:szCs w:val="21"/>
        </w:rPr>
        <w:t xml:space="preserve"> 投料试车</w:t>
      </w:r>
    </w:p>
    <w:p w14:paraId="60E5B900">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关于投料试车相关事项的约定：</w:t>
      </w:r>
      <w:r>
        <w:rPr>
          <w:rFonts w:ascii="宋体" w:hAnsi="宋体"/>
          <w:color w:val="auto"/>
          <w:szCs w:val="21"/>
        </w:rPr>
        <w:t>。</w:t>
      </w:r>
    </w:p>
    <w:p w14:paraId="646D0ACC">
      <w:pPr>
        <w:spacing w:after="120" w:line="400" w:lineRule="exact"/>
        <w:ind w:firstLine="420" w:firstLineChars="200"/>
        <w:rPr>
          <w:rFonts w:ascii="宋体" w:hAnsi="宋体"/>
          <w:color w:val="auto"/>
          <w:szCs w:val="21"/>
        </w:rPr>
      </w:pPr>
      <w:r>
        <w:rPr>
          <w:rFonts w:ascii="宋体" w:hAnsi="宋体"/>
          <w:color w:val="auto"/>
          <w:szCs w:val="21"/>
        </w:rPr>
        <w:t>13.</w:t>
      </w:r>
      <w:r>
        <w:rPr>
          <w:rFonts w:hint="eastAsia" w:ascii="宋体" w:hAnsi="宋体"/>
          <w:color w:val="auto"/>
          <w:szCs w:val="21"/>
        </w:rPr>
        <w:t>4</w:t>
      </w:r>
      <w:r>
        <w:rPr>
          <w:rFonts w:ascii="宋体" w:hAnsi="宋体"/>
          <w:color w:val="auto"/>
          <w:szCs w:val="21"/>
        </w:rPr>
        <w:t xml:space="preserve"> 竣工退场</w:t>
      </w:r>
    </w:p>
    <w:p w14:paraId="0872DF4B">
      <w:pPr>
        <w:spacing w:line="400" w:lineRule="exact"/>
        <w:ind w:firstLine="420" w:firstLineChars="200"/>
        <w:jc w:val="left"/>
        <w:rPr>
          <w:rFonts w:ascii="宋体" w:hAnsi="宋体"/>
          <w:color w:val="auto"/>
          <w:kern w:val="0"/>
          <w:szCs w:val="21"/>
        </w:rPr>
      </w:pPr>
      <w:r>
        <w:rPr>
          <w:rFonts w:ascii="宋体" w:hAnsi="宋体"/>
          <w:color w:val="auto"/>
          <w:kern w:val="0"/>
          <w:szCs w:val="21"/>
        </w:rPr>
        <w:t>13.</w:t>
      </w:r>
      <w:r>
        <w:rPr>
          <w:rFonts w:hint="eastAsia" w:ascii="宋体" w:hAnsi="宋体"/>
          <w:color w:val="auto"/>
          <w:kern w:val="0"/>
          <w:szCs w:val="21"/>
        </w:rPr>
        <w:t>4</w:t>
      </w:r>
      <w:r>
        <w:rPr>
          <w:rFonts w:ascii="宋体" w:hAnsi="宋体"/>
          <w:color w:val="auto"/>
          <w:kern w:val="0"/>
          <w:szCs w:val="21"/>
        </w:rPr>
        <w:t>.1 竣工退场</w:t>
      </w:r>
    </w:p>
    <w:p w14:paraId="0BB96E1F">
      <w:pPr>
        <w:spacing w:line="400" w:lineRule="exact"/>
        <w:ind w:firstLine="420" w:firstLineChars="200"/>
        <w:jc w:val="left"/>
        <w:rPr>
          <w:rFonts w:ascii="宋体" w:hAnsi="宋体"/>
          <w:color w:val="auto"/>
          <w:kern w:val="0"/>
          <w:szCs w:val="21"/>
        </w:rPr>
      </w:pPr>
      <w:r>
        <w:rPr>
          <w:rFonts w:ascii="宋体" w:hAnsi="宋体"/>
          <w:color w:val="auto"/>
          <w:kern w:val="0"/>
          <w:szCs w:val="21"/>
        </w:rPr>
        <w:t>承包人完成竣工退场的期限：</w:t>
      </w:r>
      <w:r>
        <w:rPr>
          <w:rFonts w:hint="eastAsia" w:ascii="宋体" w:hAnsi="宋体"/>
          <w:color w:val="auto"/>
          <w:szCs w:val="21"/>
          <w:u w:val="single"/>
        </w:rPr>
        <w:t xml:space="preserve"> 20天  </w:t>
      </w:r>
      <w:r>
        <w:rPr>
          <w:rFonts w:ascii="宋体" w:hAnsi="宋体"/>
          <w:color w:val="auto"/>
          <w:kern w:val="0"/>
          <w:szCs w:val="21"/>
        </w:rPr>
        <w:t>。</w:t>
      </w:r>
    </w:p>
    <w:p w14:paraId="1E52F38D">
      <w:pPr>
        <w:keepNext/>
        <w:keepLines/>
        <w:widowControl/>
        <w:spacing w:before="120" w:after="120" w:line="400" w:lineRule="exact"/>
        <w:outlineLvl w:val="3"/>
        <w:rPr>
          <w:rFonts w:ascii="宋体" w:hAnsi="宋体" w:eastAsia="黑体"/>
          <w:b/>
          <w:color w:val="auto"/>
          <w:kern w:val="0"/>
          <w:sz w:val="28"/>
          <w:szCs w:val="21"/>
        </w:rPr>
      </w:pPr>
      <w:r>
        <w:rPr>
          <w:rFonts w:ascii="宋体" w:hAnsi="宋体" w:eastAsia="黑体"/>
          <w:b/>
          <w:color w:val="auto"/>
          <w:kern w:val="0"/>
          <w:sz w:val="28"/>
          <w:szCs w:val="21"/>
        </w:rPr>
        <w:t>14. 竣工结算</w:t>
      </w:r>
      <w:bookmarkEnd w:id="733"/>
    </w:p>
    <w:p w14:paraId="363A0ECF">
      <w:pPr>
        <w:spacing w:after="120" w:line="400" w:lineRule="exact"/>
        <w:ind w:firstLine="420" w:firstLineChars="200"/>
        <w:rPr>
          <w:rFonts w:ascii="宋体" w:hAnsi="宋体"/>
          <w:color w:val="auto"/>
          <w:szCs w:val="21"/>
        </w:rPr>
      </w:pPr>
      <w:r>
        <w:rPr>
          <w:rFonts w:ascii="宋体" w:hAnsi="宋体"/>
          <w:color w:val="auto"/>
          <w:szCs w:val="21"/>
        </w:rPr>
        <w:t>14.1 竣工付款申请</w:t>
      </w:r>
    </w:p>
    <w:p w14:paraId="37C2B77E">
      <w:pPr>
        <w:spacing w:after="120" w:line="400" w:lineRule="exact"/>
        <w:ind w:firstLine="420" w:firstLineChars="200"/>
        <w:rPr>
          <w:rFonts w:ascii="宋体" w:hAnsi="宋体"/>
          <w:color w:val="auto"/>
          <w:szCs w:val="21"/>
        </w:rPr>
      </w:pPr>
      <w:r>
        <w:rPr>
          <w:rFonts w:ascii="宋体" w:hAnsi="宋体"/>
          <w:color w:val="auto"/>
          <w:szCs w:val="21"/>
        </w:rPr>
        <w:t>承包人提交竣工付款申请单的期限：</w:t>
      </w:r>
      <w:r>
        <w:rPr>
          <w:rFonts w:hint="eastAsia" w:ascii="宋体" w:hAnsi="宋体"/>
          <w:color w:val="auto"/>
          <w:szCs w:val="21"/>
          <w:u w:val="single"/>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给造价咨询审核结算部门审核，由此产生的责任由承包人自负；除此之外，承包人还应就延迟提交工程竣工结算资料向发包人支付违约金。</w:t>
      </w:r>
    </w:p>
    <w:p w14:paraId="47DA1FCE">
      <w:pPr>
        <w:spacing w:after="120" w:line="400" w:lineRule="exact"/>
        <w:ind w:firstLine="420" w:firstLineChars="200"/>
        <w:rPr>
          <w:rFonts w:ascii="宋体" w:hAnsi="宋体"/>
          <w:color w:val="auto"/>
          <w:szCs w:val="21"/>
        </w:rPr>
      </w:pPr>
      <w:r>
        <w:rPr>
          <w:rFonts w:ascii="宋体" w:hAnsi="宋体"/>
          <w:color w:val="auto"/>
          <w:szCs w:val="21"/>
        </w:rPr>
        <w:t>竣工付款申请单应包括的内容：</w:t>
      </w:r>
      <w:r>
        <w:rPr>
          <w:rFonts w:hint="eastAsia" w:ascii="宋体" w:hAnsi="宋体"/>
          <w:color w:val="auto"/>
          <w:szCs w:val="21"/>
          <w:u w:val="single"/>
        </w:rPr>
        <w:t>竣工结算合同价格、发包人已支付承包人的工程价款、应扣留的质量保证金、应支付的竣工付款金额</w:t>
      </w:r>
      <w:r>
        <w:rPr>
          <w:rFonts w:ascii="宋体" w:hAnsi="宋体"/>
          <w:color w:val="auto"/>
          <w:szCs w:val="21"/>
        </w:rPr>
        <w:t xml:space="preserve"> 。</w:t>
      </w:r>
    </w:p>
    <w:p w14:paraId="1651F572">
      <w:pPr>
        <w:spacing w:after="120" w:line="400" w:lineRule="exact"/>
        <w:ind w:firstLine="420" w:firstLineChars="200"/>
        <w:rPr>
          <w:rFonts w:ascii="宋体" w:hAnsi="宋体"/>
          <w:color w:val="auto"/>
          <w:szCs w:val="21"/>
        </w:rPr>
      </w:pPr>
      <w:r>
        <w:rPr>
          <w:rFonts w:ascii="宋体" w:hAnsi="宋体"/>
          <w:color w:val="auto"/>
          <w:szCs w:val="21"/>
        </w:rPr>
        <w:t>14.2 竣工结算审核</w:t>
      </w:r>
    </w:p>
    <w:p w14:paraId="720B4FB7">
      <w:pPr>
        <w:spacing w:after="120" w:line="440" w:lineRule="exact"/>
        <w:ind w:firstLine="420" w:firstLineChars="200"/>
        <w:rPr>
          <w:rFonts w:ascii="宋体" w:hAnsi="宋体"/>
          <w:color w:val="auto"/>
          <w:szCs w:val="21"/>
        </w:rPr>
      </w:pPr>
      <w:r>
        <w:rPr>
          <w:rFonts w:ascii="宋体" w:hAnsi="宋体"/>
          <w:color w:val="auto"/>
          <w:szCs w:val="21"/>
        </w:rPr>
        <w:t>发包人</w:t>
      </w:r>
      <w:r>
        <w:rPr>
          <w:rFonts w:hint="eastAsia" w:ascii="宋体" w:hAnsi="宋体"/>
          <w:color w:val="auto"/>
          <w:szCs w:val="21"/>
        </w:rPr>
        <w:t>审批</w:t>
      </w:r>
      <w:r>
        <w:rPr>
          <w:rFonts w:ascii="宋体" w:hAnsi="宋体"/>
          <w:color w:val="auto"/>
          <w:szCs w:val="21"/>
        </w:rPr>
        <w:t>竣工付款申请单的期限：</w:t>
      </w:r>
      <w:r>
        <w:rPr>
          <w:rFonts w:hint="eastAsia" w:ascii="宋体" w:hAnsi="宋体"/>
          <w:color w:val="auto"/>
          <w:szCs w:val="21"/>
          <w:u w:val="single"/>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送审计部门或第三方有资质的审计机构出具审核报告后，由此产生的责任由承包人自负；除此之外，承包人还应就延迟提交工程竣工结算资料向发包人支付违约金。</w:t>
      </w:r>
    </w:p>
    <w:p w14:paraId="421D2281">
      <w:pPr>
        <w:spacing w:after="120" w:line="440" w:lineRule="exact"/>
        <w:ind w:firstLine="420" w:firstLineChars="200"/>
        <w:rPr>
          <w:rFonts w:ascii="宋体" w:hAnsi="宋体"/>
          <w:color w:val="auto"/>
          <w:szCs w:val="21"/>
        </w:rPr>
      </w:pPr>
      <w:r>
        <w:rPr>
          <w:rFonts w:ascii="宋体" w:hAnsi="宋体"/>
          <w:color w:val="auto"/>
          <w:szCs w:val="21"/>
        </w:rPr>
        <w:t>发包人完成竣工付款的期限：</w:t>
      </w:r>
      <w:r>
        <w:rPr>
          <w:rFonts w:ascii="宋体" w:hAnsi="宋体" w:cs="楷体_GB2312"/>
          <w:color w:val="auto"/>
          <w:szCs w:val="21"/>
          <w:u w:val="single"/>
        </w:rPr>
        <w:t>56</w:t>
      </w:r>
      <w:r>
        <w:rPr>
          <w:rFonts w:hint="eastAsia" w:ascii="宋体" w:hAnsi="宋体" w:cs="楷体_GB2312"/>
          <w:color w:val="auto"/>
          <w:szCs w:val="21"/>
          <w:u w:val="single"/>
        </w:rPr>
        <w:t>天（超过</w:t>
      </w:r>
      <w:r>
        <w:rPr>
          <w:rFonts w:ascii="宋体" w:hAnsi="宋体" w:cs="楷体_GB2312"/>
          <w:color w:val="auto"/>
          <w:szCs w:val="21"/>
          <w:u w:val="single"/>
        </w:rPr>
        <w:t>56天</w:t>
      </w:r>
      <w:r>
        <w:rPr>
          <w:rFonts w:hint="eastAsia" w:ascii="宋体" w:hAnsi="宋体" w:cs="楷体_GB2312"/>
          <w:color w:val="auto"/>
          <w:szCs w:val="21"/>
          <w:u w:val="single"/>
        </w:rPr>
        <w:t>以上按中国人民银行同期贷款基准利率计算）</w:t>
      </w:r>
      <w:r>
        <w:rPr>
          <w:rFonts w:hint="eastAsia" w:hAnsi="宋体"/>
          <w:color w:val="auto"/>
          <w:szCs w:val="21"/>
        </w:rPr>
        <w:t>。</w:t>
      </w:r>
    </w:p>
    <w:p w14:paraId="1206D3DB">
      <w:pPr>
        <w:spacing w:after="120" w:line="440" w:lineRule="exact"/>
        <w:ind w:firstLine="420" w:firstLineChars="200"/>
        <w:rPr>
          <w:rFonts w:ascii="宋体" w:hAnsi="宋体"/>
          <w:color w:val="auto"/>
          <w:szCs w:val="21"/>
        </w:rPr>
      </w:pPr>
      <w:r>
        <w:rPr>
          <w:rFonts w:hint="eastAsia" w:ascii="宋体" w:hAnsi="宋体"/>
          <w:color w:val="auto"/>
          <w:szCs w:val="21"/>
        </w:rPr>
        <w:t>关于竣工付款证书异议部分复核的方式和程序：</w:t>
      </w:r>
      <w:r>
        <w:rPr>
          <w:rFonts w:hint="eastAsia" w:ascii="宋体" w:hAnsi="宋体"/>
          <w:color w:val="auto"/>
          <w:szCs w:val="21"/>
          <w:u w:val="single"/>
        </w:rPr>
        <w:t>按《通用合同条款》</w:t>
      </w:r>
      <w:r>
        <w:rPr>
          <w:rFonts w:ascii="宋体" w:hAnsi="宋体"/>
          <w:color w:val="auto"/>
          <w:szCs w:val="21"/>
        </w:rPr>
        <w:t>。</w:t>
      </w:r>
    </w:p>
    <w:p w14:paraId="6D4BF62C">
      <w:pPr>
        <w:spacing w:after="120" w:line="440" w:lineRule="exact"/>
        <w:ind w:firstLine="420" w:firstLineChars="200"/>
        <w:rPr>
          <w:rFonts w:ascii="宋体" w:hAnsi="宋体"/>
          <w:color w:val="auto"/>
          <w:szCs w:val="21"/>
        </w:rPr>
      </w:pPr>
      <w:r>
        <w:rPr>
          <w:rFonts w:ascii="宋体" w:hAnsi="宋体"/>
          <w:color w:val="auto"/>
          <w:szCs w:val="21"/>
        </w:rPr>
        <w:t>14.</w:t>
      </w:r>
      <w:r>
        <w:rPr>
          <w:rFonts w:hint="eastAsia" w:ascii="宋体" w:hAnsi="宋体"/>
          <w:color w:val="auto"/>
          <w:szCs w:val="21"/>
        </w:rPr>
        <w:t>3</w:t>
      </w:r>
      <w:r>
        <w:rPr>
          <w:rFonts w:ascii="宋体" w:hAnsi="宋体"/>
          <w:color w:val="auto"/>
          <w:szCs w:val="21"/>
        </w:rPr>
        <w:t xml:space="preserve"> 最终结清</w:t>
      </w:r>
    </w:p>
    <w:p w14:paraId="306509DE">
      <w:pPr>
        <w:spacing w:after="120" w:line="440" w:lineRule="exact"/>
        <w:ind w:firstLine="420" w:firstLineChars="200"/>
        <w:rPr>
          <w:rFonts w:ascii="宋体" w:hAnsi="宋体"/>
          <w:color w:val="auto"/>
          <w:szCs w:val="21"/>
        </w:rPr>
      </w:pPr>
      <w:r>
        <w:rPr>
          <w:rFonts w:ascii="宋体" w:hAnsi="宋体"/>
          <w:color w:val="auto"/>
          <w:szCs w:val="21"/>
        </w:rPr>
        <w:t>14.</w:t>
      </w:r>
      <w:r>
        <w:rPr>
          <w:rFonts w:hint="eastAsia" w:ascii="宋体" w:hAnsi="宋体"/>
          <w:color w:val="auto"/>
          <w:szCs w:val="21"/>
        </w:rPr>
        <w:t>3</w:t>
      </w:r>
      <w:r>
        <w:rPr>
          <w:rFonts w:ascii="宋体" w:hAnsi="宋体"/>
          <w:color w:val="auto"/>
          <w:szCs w:val="21"/>
        </w:rPr>
        <w:t>.1 最终结清申请单</w:t>
      </w:r>
    </w:p>
    <w:p w14:paraId="274FCE2B">
      <w:pPr>
        <w:spacing w:after="120" w:line="440" w:lineRule="exact"/>
        <w:ind w:firstLine="420" w:firstLineChars="200"/>
        <w:rPr>
          <w:rFonts w:ascii="宋体" w:hAnsi="宋体"/>
          <w:color w:val="auto"/>
          <w:szCs w:val="21"/>
        </w:rPr>
      </w:pPr>
      <w:r>
        <w:rPr>
          <w:rFonts w:ascii="宋体" w:hAnsi="宋体"/>
          <w:color w:val="auto"/>
          <w:szCs w:val="21"/>
        </w:rPr>
        <w:t>承包人提交最终结清申请单的份数：</w:t>
      </w:r>
      <w:r>
        <w:rPr>
          <w:rFonts w:hint="eastAsia" w:ascii="宋体" w:hAnsi="宋体"/>
          <w:color w:val="auto"/>
          <w:szCs w:val="21"/>
          <w:u w:val="single"/>
        </w:rPr>
        <w:t>提交最终结清申请书一式五份</w:t>
      </w:r>
      <w:r>
        <w:rPr>
          <w:rFonts w:ascii="宋体" w:hAnsi="宋体"/>
          <w:color w:val="auto"/>
          <w:szCs w:val="21"/>
        </w:rPr>
        <w:t>。</w:t>
      </w:r>
    </w:p>
    <w:p w14:paraId="517916E2">
      <w:pPr>
        <w:spacing w:after="120" w:line="440" w:lineRule="exact"/>
        <w:ind w:firstLine="420" w:firstLineChars="200"/>
        <w:rPr>
          <w:rFonts w:ascii="宋体" w:hAnsi="宋体"/>
          <w:color w:val="auto"/>
          <w:szCs w:val="21"/>
        </w:rPr>
      </w:pPr>
      <w:r>
        <w:rPr>
          <w:rFonts w:ascii="宋体" w:hAnsi="宋体"/>
          <w:color w:val="auto"/>
          <w:szCs w:val="21"/>
        </w:rPr>
        <w:t>承包人提交最终结算申请单的期限：</w:t>
      </w:r>
      <w:r>
        <w:rPr>
          <w:rFonts w:hint="eastAsia" w:ascii="宋体" w:hAnsi="宋体"/>
          <w:color w:val="auto"/>
          <w:szCs w:val="21"/>
          <w:u w:val="single"/>
        </w:rPr>
        <w:t>缺陷责任期终止证书签发后56天</w:t>
      </w:r>
      <w:r>
        <w:rPr>
          <w:rFonts w:ascii="宋体" w:hAnsi="宋体"/>
          <w:color w:val="auto"/>
          <w:szCs w:val="21"/>
          <w:u w:val="single"/>
        </w:rPr>
        <w:t>内</w:t>
      </w:r>
      <w:r>
        <w:rPr>
          <w:rFonts w:hAnsi="宋体"/>
          <w:color w:val="auto"/>
          <w:szCs w:val="21"/>
        </w:rPr>
        <w:t>。</w:t>
      </w:r>
      <w:r>
        <w:rPr>
          <w:rFonts w:ascii="宋体" w:hAnsi="宋体"/>
          <w:color w:val="auto"/>
          <w:szCs w:val="21"/>
        </w:rPr>
        <w:t xml:space="preserve">。 </w:t>
      </w:r>
    </w:p>
    <w:p w14:paraId="491D3EDD">
      <w:pPr>
        <w:spacing w:after="120" w:line="440" w:lineRule="exact"/>
        <w:ind w:firstLine="420" w:firstLineChars="200"/>
        <w:rPr>
          <w:rFonts w:ascii="宋体" w:hAnsi="宋体"/>
          <w:color w:val="auto"/>
          <w:szCs w:val="21"/>
        </w:rPr>
      </w:pPr>
      <w:r>
        <w:rPr>
          <w:rFonts w:ascii="宋体" w:hAnsi="宋体"/>
          <w:color w:val="auto"/>
          <w:szCs w:val="21"/>
        </w:rPr>
        <w:t>14.</w:t>
      </w:r>
      <w:r>
        <w:rPr>
          <w:rFonts w:hint="eastAsia" w:ascii="宋体" w:hAnsi="宋体"/>
          <w:color w:val="auto"/>
          <w:szCs w:val="21"/>
        </w:rPr>
        <w:t>3</w:t>
      </w:r>
      <w:r>
        <w:rPr>
          <w:rFonts w:ascii="宋体" w:hAnsi="宋体"/>
          <w:color w:val="auto"/>
          <w:szCs w:val="21"/>
        </w:rPr>
        <w:t>.2 最终结清证书和支付</w:t>
      </w:r>
    </w:p>
    <w:p w14:paraId="0FCBA685">
      <w:pPr>
        <w:spacing w:after="120" w:line="440" w:lineRule="exact"/>
        <w:ind w:firstLine="420" w:firstLineChars="200"/>
        <w:rPr>
          <w:rFonts w:ascii="宋体" w:hAnsi="宋体"/>
          <w:color w:val="auto"/>
          <w:szCs w:val="21"/>
        </w:rPr>
      </w:pPr>
      <w:r>
        <w:rPr>
          <w:rFonts w:ascii="宋体" w:hAnsi="宋体"/>
          <w:color w:val="auto"/>
          <w:szCs w:val="21"/>
        </w:rPr>
        <w:t>（1）发包人完成最终结清申请单的</w:t>
      </w:r>
      <w:r>
        <w:rPr>
          <w:rFonts w:hint="eastAsia" w:ascii="宋体" w:hAnsi="宋体"/>
          <w:color w:val="auto"/>
          <w:szCs w:val="21"/>
        </w:rPr>
        <w:t>审批</w:t>
      </w:r>
      <w:r>
        <w:rPr>
          <w:rFonts w:ascii="宋体" w:hAnsi="宋体"/>
          <w:color w:val="auto"/>
          <w:szCs w:val="21"/>
        </w:rPr>
        <w:t>并颁发最终结清证书的期限：</w:t>
      </w:r>
      <w:r>
        <w:rPr>
          <w:color w:val="auto"/>
          <w:szCs w:val="21"/>
          <w:u w:val="single"/>
        </w:rPr>
        <w:t>28</w:t>
      </w:r>
      <w:r>
        <w:rPr>
          <w:rFonts w:hint="eastAsia"/>
          <w:color w:val="auto"/>
          <w:szCs w:val="21"/>
          <w:u w:val="single"/>
        </w:rPr>
        <w:t>天</w:t>
      </w:r>
      <w:r>
        <w:rPr>
          <w:rFonts w:ascii="宋体" w:hAnsi="宋体"/>
          <w:color w:val="auto"/>
          <w:szCs w:val="21"/>
        </w:rPr>
        <w:t xml:space="preserve"> 。</w:t>
      </w:r>
    </w:p>
    <w:p w14:paraId="3A6D7912">
      <w:pPr>
        <w:spacing w:after="120" w:line="440" w:lineRule="exact"/>
        <w:ind w:firstLine="420" w:firstLineChars="200"/>
        <w:rPr>
          <w:rFonts w:ascii="宋体" w:hAnsi="宋体"/>
          <w:color w:val="auto"/>
          <w:szCs w:val="21"/>
        </w:rPr>
      </w:pPr>
      <w:r>
        <w:rPr>
          <w:rFonts w:ascii="宋体" w:hAnsi="宋体"/>
          <w:color w:val="auto"/>
          <w:szCs w:val="21"/>
        </w:rPr>
        <w:t>（2）发包人完成支付的期限：</w:t>
      </w:r>
      <w:r>
        <w:rPr>
          <w:color w:val="auto"/>
          <w:szCs w:val="21"/>
          <w:u w:val="single"/>
        </w:rPr>
        <w:t>28</w:t>
      </w:r>
      <w:r>
        <w:rPr>
          <w:rFonts w:hint="eastAsia"/>
          <w:color w:val="auto"/>
          <w:szCs w:val="21"/>
          <w:u w:val="single"/>
        </w:rPr>
        <w:t>天</w:t>
      </w:r>
      <w:r>
        <w:rPr>
          <w:rFonts w:hint="eastAsia" w:hAnsi="宋体"/>
          <w:color w:val="auto"/>
          <w:szCs w:val="21"/>
        </w:rPr>
        <w:t>。</w:t>
      </w:r>
    </w:p>
    <w:bookmarkEnd w:id="734"/>
    <w:bookmarkEnd w:id="735"/>
    <w:bookmarkEnd w:id="736"/>
    <w:bookmarkEnd w:id="737"/>
    <w:bookmarkEnd w:id="738"/>
    <w:bookmarkEnd w:id="739"/>
    <w:bookmarkEnd w:id="740"/>
    <w:bookmarkEnd w:id="741"/>
    <w:p w14:paraId="46C32A61">
      <w:pPr>
        <w:keepNext/>
        <w:keepLines/>
        <w:widowControl/>
        <w:spacing w:before="120" w:after="120" w:line="440" w:lineRule="exact"/>
        <w:outlineLvl w:val="3"/>
        <w:rPr>
          <w:rFonts w:ascii="宋体" w:hAnsi="宋体" w:eastAsia="黑体"/>
          <w:b/>
          <w:color w:val="auto"/>
          <w:kern w:val="0"/>
          <w:sz w:val="28"/>
          <w:szCs w:val="21"/>
        </w:rPr>
      </w:pPr>
      <w:bookmarkStart w:id="794" w:name="_Toc351203647"/>
      <w:bookmarkStart w:id="795" w:name="_Toc267251483"/>
      <w:bookmarkStart w:id="796" w:name="_Toc267251484"/>
      <w:bookmarkStart w:id="797" w:name="_Toc267251482"/>
      <w:bookmarkStart w:id="798" w:name="_Toc267251485"/>
      <w:bookmarkStart w:id="799" w:name="_Toc267251489"/>
      <w:bookmarkStart w:id="800" w:name="_Toc267251490"/>
      <w:bookmarkStart w:id="801" w:name="_Toc267251486"/>
      <w:bookmarkStart w:id="802" w:name="_Toc267251488"/>
      <w:bookmarkStart w:id="803" w:name="_Toc267251499"/>
      <w:bookmarkStart w:id="804" w:name="_Toc267251502"/>
      <w:bookmarkStart w:id="805" w:name="_Toc267251494"/>
      <w:bookmarkStart w:id="806" w:name="_Toc267251493"/>
      <w:bookmarkStart w:id="807" w:name="_Toc267251501"/>
      <w:bookmarkStart w:id="808" w:name="_Toc267251497"/>
      <w:bookmarkStart w:id="809" w:name="_Toc267251491"/>
      <w:bookmarkStart w:id="810" w:name="_Toc267251492"/>
      <w:bookmarkStart w:id="811" w:name="_Toc267251495"/>
      <w:bookmarkStart w:id="812" w:name="_Toc267251503"/>
      <w:bookmarkStart w:id="813" w:name="_Toc267251496"/>
      <w:bookmarkStart w:id="814" w:name="_Toc267251498"/>
      <w:bookmarkStart w:id="815" w:name="_Toc267251506"/>
      <w:bookmarkStart w:id="816" w:name="_Toc267251504"/>
      <w:bookmarkStart w:id="817" w:name="_Toc267251507"/>
      <w:bookmarkStart w:id="818" w:name="_Toc267251508"/>
      <w:bookmarkStart w:id="819" w:name="_Toc267251514"/>
      <w:bookmarkStart w:id="820" w:name="_Toc267251510"/>
      <w:bookmarkStart w:id="821" w:name="_Toc267251513"/>
      <w:bookmarkStart w:id="822" w:name="_Toc267251515"/>
      <w:bookmarkStart w:id="823" w:name="_Toc267251511"/>
      <w:bookmarkStart w:id="824" w:name="_Toc267251509"/>
      <w:r>
        <w:rPr>
          <w:rFonts w:ascii="宋体" w:hAnsi="宋体" w:eastAsia="黑体"/>
          <w:b/>
          <w:color w:val="auto"/>
          <w:kern w:val="0"/>
          <w:sz w:val="28"/>
          <w:szCs w:val="21"/>
        </w:rPr>
        <w:t>15. 缺陷责任期与保修</w:t>
      </w:r>
      <w:bookmarkEnd w:id="794"/>
    </w:p>
    <w:p w14:paraId="6B96B070">
      <w:pPr>
        <w:spacing w:after="120" w:line="440" w:lineRule="exact"/>
        <w:ind w:firstLine="420" w:firstLineChars="200"/>
        <w:rPr>
          <w:rFonts w:ascii="宋体" w:hAnsi="宋体"/>
          <w:color w:val="auto"/>
          <w:szCs w:val="21"/>
        </w:rPr>
      </w:pPr>
      <w:r>
        <w:rPr>
          <w:rFonts w:ascii="宋体" w:hAnsi="宋体"/>
          <w:color w:val="auto"/>
          <w:szCs w:val="21"/>
        </w:rPr>
        <w:t>15.</w:t>
      </w:r>
      <w:r>
        <w:rPr>
          <w:rFonts w:hint="eastAsia" w:ascii="宋体" w:hAnsi="宋体"/>
          <w:color w:val="auto"/>
          <w:szCs w:val="21"/>
        </w:rPr>
        <w:t>1</w:t>
      </w:r>
      <w:r>
        <w:rPr>
          <w:rFonts w:ascii="宋体" w:hAnsi="宋体"/>
          <w:color w:val="auto"/>
          <w:szCs w:val="21"/>
        </w:rPr>
        <w:t>缺陷责任期</w:t>
      </w:r>
      <w:bookmarkEnd w:id="795"/>
    </w:p>
    <w:p w14:paraId="60977E83">
      <w:pPr>
        <w:spacing w:line="440" w:lineRule="exact"/>
        <w:ind w:firstLine="420" w:firstLineChars="200"/>
        <w:jc w:val="left"/>
        <w:rPr>
          <w:rFonts w:ascii="宋体" w:hAnsi="宋体"/>
          <w:color w:val="auto"/>
          <w:szCs w:val="21"/>
        </w:rPr>
      </w:pPr>
      <w:r>
        <w:rPr>
          <w:rFonts w:ascii="宋体" w:hAnsi="宋体"/>
          <w:color w:val="auto"/>
          <w:szCs w:val="21"/>
        </w:rPr>
        <w:t>缺陷责任期的具体期限：</w:t>
      </w:r>
      <w:r>
        <w:rPr>
          <w:rFonts w:hint="eastAsia" w:ascii="宋体" w:hAnsi="宋体"/>
          <w:color w:val="auto"/>
          <w:szCs w:val="21"/>
        </w:rPr>
        <w:t>12个月</w:t>
      </w:r>
      <w:r>
        <w:rPr>
          <w:rFonts w:ascii="宋体" w:hAnsi="宋体"/>
          <w:color w:val="auto"/>
          <w:szCs w:val="21"/>
        </w:rPr>
        <w:t>。</w:t>
      </w:r>
    </w:p>
    <w:p w14:paraId="4F9ABBD8">
      <w:pPr>
        <w:spacing w:after="120" w:line="440" w:lineRule="exact"/>
        <w:ind w:firstLine="420" w:firstLineChars="200"/>
        <w:rPr>
          <w:rFonts w:ascii="宋体" w:hAnsi="宋体"/>
          <w:color w:val="auto"/>
          <w:szCs w:val="21"/>
        </w:rPr>
      </w:pPr>
      <w:r>
        <w:rPr>
          <w:rFonts w:ascii="宋体" w:hAnsi="宋体"/>
          <w:color w:val="auto"/>
          <w:szCs w:val="21"/>
        </w:rPr>
        <w:t>15.</w:t>
      </w:r>
      <w:r>
        <w:rPr>
          <w:rFonts w:hint="eastAsia" w:ascii="宋体" w:hAnsi="宋体"/>
          <w:color w:val="auto"/>
          <w:szCs w:val="21"/>
        </w:rPr>
        <w:t>2</w:t>
      </w:r>
      <w:r>
        <w:rPr>
          <w:rFonts w:ascii="宋体" w:hAnsi="宋体"/>
          <w:color w:val="auto"/>
          <w:szCs w:val="21"/>
        </w:rPr>
        <w:t xml:space="preserve"> 质量保证金</w:t>
      </w:r>
    </w:p>
    <w:p w14:paraId="2DFED600">
      <w:pPr>
        <w:spacing w:line="440" w:lineRule="exact"/>
        <w:ind w:firstLine="420" w:firstLineChars="200"/>
        <w:jc w:val="left"/>
        <w:rPr>
          <w:rFonts w:ascii="宋体" w:hAnsi="宋体"/>
          <w:color w:val="auto"/>
          <w:szCs w:val="21"/>
        </w:rPr>
      </w:pPr>
      <w:r>
        <w:rPr>
          <w:rFonts w:hint="eastAsia" w:ascii="宋体" w:hAnsi="宋体"/>
          <w:color w:val="auto"/>
          <w:szCs w:val="21"/>
        </w:rPr>
        <w:t>关于质量保证金的约定：预留结算总价的3%作为质量保证金</w:t>
      </w:r>
      <w:r>
        <w:rPr>
          <w:rFonts w:hint="eastAsia" w:ascii="宋体" w:hAnsi="宋体"/>
          <w:color w:val="auto"/>
          <w:szCs w:val="21"/>
          <w:u w:val="single"/>
        </w:rPr>
        <w:t xml:space="preserve"> </w:t>
      </w:r>
      <w:r>
        <w:rPr>
          <w:rFonts w:ascii="宋体" w:hAnsi="宋体"/>
          <w:color w:val="auto"/>
          <w:szCs w:val="21"/>
        </w:rPr>
        <w:t>。</w:t>
      </w:r>
    </w:p>
    <w:p w14:paraId="5853AB09">
      <w:pPr>
        <w:spacing w:line="440" w:lineRule="exact"/>
        <w:ind w:firstLine="420" w:firstLineChars="200"/>
        <w:jc w:val="left"/>
        <w:rPr>
          <w:rFonts w:ascii="宋体" w:hAnsi="宋体"/>
          <w:color w:val="auto"/>
          <w:szCs w:val="21"/>
        </w:rPr>
      </w:pPr>
      <w:r>
        <w:rPr>
          <w:rFonts w:ascii="宋体" w:hAnsi="宋体"/>
          <w:color w:val="auto"/>
          <w:szCs w:val="21"/>
        </w:rPr>
        <w:t>15.</w:t>
      </w:r>
      <w:r>
        <w:rPr>
          <w:rFonts w:hint="eastAsia" w:ascii="宋体" w:hAnsi="宋体"/>
          <w:color w:val="auto"/>
          <w:szCs w:val="21"/>
        </w:rPr>
        <w:t>2</w:t>
      </w:r>
      <w:r>
        <w:rPr>
          <w:rFonts w:ascii="宋体" w:hAnsi="宋体"/>
          <w:color w:val="auto"/>
          <w:szCs w:val="21"/>
        </w:rPr>
        <w:t xml:space="preserve">.1 </w:t>
      </w:r>
      <w:r>
        <w:rPr>
          <w:rFonts w:hint="eastAsia" w:ascii="宋体" w:hAnsi="宋体"/>
          <w:color w:val="auto"/>
          <w:szCs w:val="21"/>
        </w:rPr>
        <w:t>承包人提供</w:t>
      </w:r>
      <w:r>
        <w:rPr>
          <w:rFonts w:ascii="宋体" w:hAnsi="宋体"/>
          <w:color w:val="auto"/>
          <w:szCs w:val="21"/>
        </w:rPr>
        <w:t>质量保证金的</w:t>
      </w:r>
      <w:r>
        <w:rPr>
          <w:rFonts w:hint="eastAsia" w:ascii="宋体" w:hAnsi="宋体"/>
          <w:color w:val="auto"/>
          <w:szCs w:val="21"/>
        </w:rPr>
        <w:t>方</w:t>
      </w:r>
      <w:r>
        <w:rPr>
          <w:rFonts w:ascii="宋体" w:hAnsi="宋体"/>
          <w:color w:val="auto"/>
          <w:szCs w:val="21"/>
        </w:rPr>
        <w:t>式</w:t>
      </w:r>
    </w:p>
    <w:p w14:paraId="34969026">
      <w:pPr>
        <w:spacing w:line="440" w:lineRule="exact"/>
        <w:ind w:firstLine="420" w:firstLineChars="200"/>
        <w:jc w:val="left"/>
        <w:rPr>
          <w:rFonts w:ascii="宋体" w:hAnsi="宋体"/>
          <w:color w:val="auto"/>
          <w:szCs w:val="21"/>
        </w:rPr>
      </w:pPr>
      <w:r>
        <w:rPr>
          <w:rFonts w:ascii="宋体" w:hAnsi="宋体"/>
          <w:color w:val="auto"/>
          <w:szCs w:val="21"/>
        </w:rPr>
        <w:t>质量保证金采用以下第</w:t>
      </w:r>
      <w:r>
        <w:rPr>
          <w:rFonts w:hint="eastAsia" w:ascii="宋体" w:hAnsi="宋体"/>
          <w:color w:val="auto"/>
          <w:szCs w:val="21"/>
          <w:u w:val="single"/>
        </w:rPr>
        <w:t>2</w:t>
      </w:r>
      <w:r>
        <w:rPr>
          <w:rFonts w:ascii="宋体" w:hAnsi="宋体"/>
          <w:color w:val="auto"/>
          <w:szCs w:val="21"/>
        </w:rPr>
        <w:t>种方式：</w:t>
      </w:r>
    </w:p>
    <w:p w14:paraId="122AAE14">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 xml:space="preserve">（1）质量保证金保函，保证金额为： </w:t>
      </w:r>
    </w:p>
    <w:p w14:paraId="7BB3DEE0">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（2）</w:t>
      </w:r>
      <w:r>
        <w:rPr>
          <w:rFonts w:hint="eastAsia" w:hAnsi="宋体"/>
          <w:bCs/>
          <w:color w:val="auto"/>
          <w:szCs w:val="21"/>
        </w:rPr>
        <w:t>预留</w:t>
      </w:r>
      <w:r>
        <w:rPr>
          <w:rFonts w:hAnsi="宋体"/>
          <w:bCs/>
          <w:color w:val="auto"/>
          <w:szCs w:val="21"/>
        </w:rPr>
        <w:t>结算总价</w:t>
      </w:r>
      <w:r>
        <w:rPr>
          <w:rFonts w:hint="eastAsia" w:hAnsi="宋体"/>
          <w:bCs/>
          <w:color w:val="auto"/>
          <w:szCs w:val="21"/>
        </w:rPr>
        <w:t>的</w:t>
      </w:r>
      <w:r>
        <w:rPr>
          <w:rFonts w:hint="eastAsia"/>
          <w:bCs/>
          <w:color w:val="auto"/>
          <w:szCs w:val="21"/>
        </w:rPr>
        <w:t>3%作为质量</w:t>
      </w:r>
      <w:r>
        <w:rPr>
          <w:rFonts w:hint="eastAsia" w:hAnsi="宋体"/>
          <w:bCs/>
          <w:color w:val="auto"/>
          <w:szCs w:val="21"/>
        </w:rPr>
        <w:t>保证金</w:t>
      </w:r>
      <w:r>
        <w:rPr>
          <w:rFonts w:hint="eastAsia" w:ascii="宋体" w:hAnsi="宋体"/>
          <w:color w:val="auto"/>
          <w:kern w:val="0"/>
          <w:szCs w:val="21"/>
        </w:rPr>
        <w:t>；</w:t>
      </w:r>
    </w:p>
    <w:p w14:paraId="0B1D97B4">
      <w:pPr>
        <w:autoSpaceDE w:val="0"/>
        <w:autoSpaceDN w:val="0"/>
        <w:adjustRightInd w:val="0"/>
        <w:spacing w:line="440" w:lineRule="exact"/>
        <w:ind w:firstLine="420" w:firstLineChars="200"/>
        <w:jc w:val="left"/>
        <w:rPr>
          <w:rFonts w:ascii="宋体" w:hAnsi="宋体"/>
          <w:color w:val="auto"/>
          <w:kern w:val="0"/>
          <w:szCs w:val="21"/>
          <w:u w:val="single"/>
        </w:rPr>
      </w:pPr>
      <w:r>
        <w:rPr>
          <w:rFonts w:hint="eastAsia" w:ascii="宋体" w:hAnsi="宋体"/>
          <w:color w:val="auto"/>
          <w:kern w:val="0"/>
          <w:szCs w:val="21"/>
        </w:rPr>
        <w:t>（3）</w:t>
      </w:r>
      <w:r>
        <w:rPr>
          <w:rFonts w:ascii="宋体" w:hAnsi="宋体"/>
          <w:color w:val="auto"/>
          <w:kern w:val="0"/>
          <w:szCs w:val="21"/>
        </w:rPr>
        <w:t>其他</w:t>
      </w:r>
      <w:r>
        <w:rPr>
          <w:rFonts w:hint="eastAsia" w:ascii="宋体" w:hAnsi="宋体"/>
          <w:color w:val="auto"/>
          <w:kern w:val="0"/>
          <w:szCs w:val="21"/>
        </w:rPr>
        <w:t>方</w:t>
      </w:r>
      <w:r>
        <w:rPr>
          <w:rFonts w:ascii="宋体" w:hAnsi="宋体"/>
          <w:color w:val="auto"/>
          <w:kern w:val="0"/>
          <w:szCs w:val="21"/>
        </w:rPr>
        <w:t>式:</w:t>
      </w:r>
      <w:r>
        <w:rPr>
          <w:rFonts w:hint="eastAsia" w:ascii="宋体" w:hAnsi="宋体"/>
          <w:bCs/>
          <w:color w:val="auto"/>
          <w:kern w:val="0"/>
          <w:szCs w:val="21"/>
          <w:u w:val="single"/>
        </w:rPr>
        <w:t>待工程质量</w:t>
      </w:r>
      <w:r>
        <w:rPr>
          <w:rFonts w:ascii="宋体" w:hAnsi="宋体"/>
          <w:color w:val="auto"/>
          <w:szCs w:val="21"/>
          <w:u w:val="single"/>
        </w:rPr>
        <w:t>缺陷责任期</w:t>
      </w:r>
      <w:r>
        <w:rPr>
          <w:rFonts w:hint="eastAsia" w:ascii="宋体" w:hAnsi="宋体"/>
          <w:bCs/>
          <w:color w:val="auto"/>
          <w:kern w:val="0"/>
          <w:szCs w:val="21"/>
          <w:u w:val="single"/>
        </w:rPr>
        <w:t>满后返还。</w:t>
      </w:r>
    </w:p>
    <w:p w14:paraId="55A3B2A1">
      <w:pPr>
        <w:spacing w:line="440" w:lineRule="exact"/>
        <w:ind w:firstLine="420" w:firstLineChars="200"/>
        <w:jc w:val="left"/>
        <w:rPr>
          <w:rFonts w:ascii="宋体" w:hAnsi="宋体"/>
          <w:color w:val="auto"/>
          <w:szCs w:val="21"/>
        </w:rPr>
      </w:pPr>
      <w:r>
        <w:rPr>
          <w:rFonts w:ascii="宋体" w:hAnsi="宋体"/>
          <w:color w:val="auto"/>
          <w:szCs w:val="21"/>
        </w:rPr>
        <w:t>15.</w:t>
      </w:r>
      <w:r>
        <w:rPr>
          <w:rFonts w:hint="eastAsia" w:ascii="宋体" w:hAnsi="宋体"/>
          <w:color w:val="auto"/>
          <w:szCs w:val="21"/>
        </w:rPr>
        <w:t>2</w:t>
      </w:r>
      <w:r>
        <w:rPr>
          <w:rFonts w:ascii="宋体" w:hAnsi="宋体"/>
          <w:color w:val="auto"/>
          <w:szCs w:val="21"/>
        </w:rPr>
        <w:t xml:space="preserve">.2 质量保证金的扣留 </w:t>
      </w:r>
    </w:p>
    <w:p w14:paraId="72385739">
      <w:pPr>
        <w:spacing w:line="440" w:lineRule="exact"/>
        <w:ind w:firstLine="420" w:firstLineChars="200"/>
        <w:jc w:val="left"/>
        <w:rPr>
          <w:rFonts w:ascii="宋体" w:hAnsi="宋体"/>
          <w:color w:val="auto"/>
          <w:szCs w:val="21"/>
        </w:rPr>
      </w:pPr>
      <w:r>
        <w:rPr>
          <w:rFonts w:ascii="宋体" w:hAnsi="宋体"/>
          <w:color w:val="auto"/>
          <w:szCs w:val="21"/>
        </w:rPr>
        <w:t>质量保证金的扣留采取以下第</w:t>
      </w:r>
      <w:r>
        <w:rPr>
          <w:rFonts w:hint="eastAsia" w:ascii="宋体" w:hAnsi="宋体"/>
          <w:color w:val="auto"/>
          <w:szCs w:val="21"/>
          <w:u w:val="single"/>
        </w:rPr>
        <w:t xml:space="preserve"> 2</w:t>
      </w:r>
      <w:r>
        <w:rPr>
          <w:rFonts w:ascii="宋体" w:hAnsi="宋体"/>
          <w:color w:val="auto"/>
          <w:szCs w:val="21"/>
        </w:rPr>
        <w:t>种方式：</w:t>
      </w:r>
    </w:p>
    <w:p w14:paraId="70FAB8BA">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（1）在支付工程进度款时逐次扣留，在此情形下，质量保证金的计算基数不包括预付款的支付、扣回以及价格调整的金额</w:t>
      </w:r>
      <w:r>
        <w:rPr>
          <w:rFonts w:hint="eastAsia" w:ascii="宋体" w:hAnsi="宋体"/>
          <w:color w:val="auto"/>
          <w:kern w:val="0"/>
          <w:szCs w:val="21"/>
        </w:rPr>
        <w:t>；</w:t>
      </w:r>
    </w:p>
    <w:p w14:paraId="387FB6D2">
      <w:pPr>
        <w:autoSpaceDE w:val="0"/>
        <w:autoSpaceDN w:val="0"/>
        <w:adjustRightInd w:val="0"/>
        <w:spacing w:line="440" w:lineRule="exact"/>
        <w:ind w:firstLine="420" w:firstLineChars="200"/>
        <w:jc w:val="left"/>
        <w:rPr>
          <w:rFonts w:ascii="宋体" w:hAnsi="宋体"/>
          <w:color w:val="auto"/>
          <w:kern w:val="0"/>
          <w:szCs w:val="21"/>
        </w:rPr>
      </w:pPr>
      <w:r>
        <w:rPr>
          <w:rFonts w:ascii="宋体" w:hAnsi="宋体"/>
          <w:color w:val="auto"/>
          <w:kern w:val="0"/>
          <w:szCs w:val="21"/>
        </w:rPr>
        <w:t>（2）</w:t>
      </w:r>
      <w:r>
        <w:rPr>
          <w:rFonts w:hint="eastAsia" w:hAnsi="宋体"/>
          <w:bCs/>
          <w:color w:val="auto"/>
          <w:szCs w:val="21"/>
        </w:rPr>
        <w:t>预留</w:t>
      </w:r>
      <w:r>
        <w:rPr>
          <w:rFonts w:hAnsi="宋体"/>
          <w:bCs/>
          <w:color w:val="auto"/>
          <w:szCs w:val="21"/>
        </w:rPr>
        <w:t>结算总价</w:t>
      </w:r>
      <w:r>
        <w:rPr>
          <w:rFonts w:hint="eastAsia" w:hAnsi="宋体"/>
          <w:bCs/>
          <w:color w:val="auto"/>
          <w:szCs w:val="21"/>
        </w:rPr>
        <w:t>的</w:t>
      </w:r>
      <w:r>
        <w:rPr>
          <w:rFonts w:hint="eastAsia"/>
          <w:bCs/>
          <w:color w:val="auto"/>
          <w:szCs w:val="21"/>
        </w:rPr>
        <w:t>3%作为质量</w:t>
      </w:r>
      <w:r>
        <w:rPr>
          <w:rFonts w:hint="eastAsia" w:hAnsi="宋体"/>
          <w:bCs/>
          <w:color w:val="auto"/>
          <w:szCs w:val="21"/>
        </w:rPr>
        <w:t>保证金</w:t>
      </w:r>
      <w:r>
        <w:rPr>
          <w:rFonts w:hint="eastAsia" w:ascii="宋体" w:hAnsi="宋体"/>
          <w:color w:val="auto"/>
          <w:kern w:val="0"/>
          <w:szCs w:val="21"/>
        </w:rPr>
        <w:t>。</w:t>
      </w:r>
    </w:p>
    <w:p w14:paraId="4EA40512">
      <w:pPr>
        <w:spacing w:line="440" w:lineRule="exact"/>
        <w:ind w:firstLine="420" w:firstLineChars="200"/>
        <w:jc w:val="left"/>
        <w:rPr>
          <w:rFonts w:ascii="宋体" w:hAnsi="宋体"/>
          <w:color w:val="auto"/>
          <w:szCs w:val="21"/>
        </w:rPr>
      </w:pPr>
      <w:r>
        <w:rPr>
          <w:rFonts w:ascii="宋体" w:hAnsi="宋体"/>
          <w:color w:val="auto"/>
          <w:szCs w:val="21"/>
        </w:rPr>
        <w:t>关于质量保证金的补充约定：</w:t>
      </w:r>
      <w:r>
        <w:rPr>
          <w:rFonts w:ascii="宋体" w:hAnsi="宋体"/>
          <w:color w:val="auto"/>
          <w:kern w:val="0"/>
          <w:szCs w:val="21"/>
        </w:rPr>
        <w:t>。</w:t>
      </w:r>
    </w:p>
    <w:bookmarkEnd w:id="796"/>
    <w:bookmarkEnd w:id="797"/>
    <w:p w14:paraId="1832BCB5">
      <w:pPr>
        <w:spacing w:after="120" w:line="440" w:lineRule="exact"/>
        <w:ind w:firstLine="420" w:firstLineChars="200"/>
        <w:rPr>
          <w:rFonts w:ascii="宋体" w:hAnsi="宋体"/>
          <w:color w:val="auto"/>
          <w:szCs w:val="21"/>
        </w:rPr>
      </w:pPr>
      <w:r>
        <w:rPr>
          <w:rFonts w:ascii="宋体" w:hAnsi="宋体"/>
          <w:color w:val="auto"/>
          <w:szCs w:val="21"/>
        </w:rPr>
        <w:t>15.</w:t>
      </w:r>
      <w:r>
        <w:rPr>
          <w:rFonts w:hint="eastAsia" w:ascii="宋体" w:hAnsi="宋体"/>
          <w:color w:val="auto"/>
          <w:szCs w:val="21"/>
        </w:rPr>
        <w:t>3</w:t>
      </w:r>
      <w:r>
        <w:rPr>
          <w:rFonts w:ascii="宋体" w:hAnsi="宋体"/>
          <w:color w:val="auto"/>
          <w:szCs w:val="21"/>
        </w:rPr>
        <w:t>保修</w:t>
      </w:r>
    </w:p>
    <w:bookmarkEnd w:id="798"/>
    <w:p w14:paraId="53880288">
      <w:pPr>
        <w:spacing w:line="440" w:lineRule="exact"/>
        <w:ind w:firstLine="420" w:firstLineChars="200"/>
        <w:jc w:val="left"/>
        <w:rPr>
          <w:rFonts w:ascii="宋体" w:hAnsi="宋体"/>
          <w:color w:val="auto"/>
          <w:szCs w:val="21"/>
        </w:rPr>
      </w:pPr>
      <w:r>
        <w:rPr>
          <w:rFonts w:hint="eastAsia" w:ascii="宋体" w:hAnsi="宋体"/>
          <w:color w:val="auto"/>
          <w:szCs w:val="21"/>
        </w:rPr>
        <w:t>质量保修期从工程实际竣工之日算起。分单项竣工验收的工程，按单项工程分别计算质量保修期。</w:t>
      </w:r>
    </w:p>
    <w:p w14:paraId="53847CAD">
      <w:pPr>
        <w:spacing w:line="440" w:lineRule="exact"/>
        <w:ind w:firstLine="420" w:firstLineChars="200"/>
        <w:jc w:val="left"/>
        <w:rPr>
          <w:rFonts w:ascii="宋体" w:hAnsi="宋体"/>
          <w:color w:val="auto"/>
          <w:szCs w:val="21"/>
        </w:rPr>
      </w:pPr>
      <w:r>
        <w:rPr>
          <w:rFonts w:hint="eastAsia" w:ascii="宋体" w:hAnsi="宋体"/>
          <w:color w:val="auto"/>
          <w:szCs w:val="21"/>
        </w:rPr>
        <w:t>双方根据国家有关规定，结合具体工程约定质量保修期如下：</w:t>
      </w:r>
    </w:p>
    <w:p w14:paraId="642A8A10">
      <w:pPr>
        <w:spacing w:line="440" w:lineRule="exact"/>
        <w:ind w:firstLine="420" w:firstLineChars="200"/>
        <w:jc w:val="left"/>
        <w:rPr>
          <w:rFonts w:ascii="宋体" w:hAnsi="宋体"/>
          <w:color w:val="auto"/>
          <w:szCs w:val="21"/>
        </w:rPr>
      </w:pPr>
      <w:r>
        <w:rPr>
          <w:rFonts w:hint="eastAsia" w:ascii="宋体" w:hAnsi="宋体"/>
          <w:color w:val="auto"/>
          <w:szCs w:val="21"/>
        </w:rPr>
        <w:t>(1)地基基础工程、主体结构工程为设计文件规定的合理使用年限;</w:t>
      </w:r>
    </w:p>
    <w:p w14:paraId="57C0E1F4">
      <w:pPr>
        <w:spacing w:line="440" w:lineRule="exact"/>
        <w:ind w:firstLine="420" w:firstLineChars="200"/>
        <w:jc w:val="left"/>
        <w:rPr>
          <w:rFonts w:ascii="宋体" w:hAnsi="宋体"/>
          <w:color w:val="auto"/>
          <w:szCs w:val="21"/>
        </w:rPr>
      </w:pPr>
      <w:r>
        <w:rPr>
          <w:rFonts w:hint="eastAsia" w:ascii="宋体" w:hAnsi="宋体"/>
          <w:color w:val="auto"/>
          <w:szCs w:val="21"/>
        </w:rPr>
        <w:t>(2)屋面防水工程、有防水要求的卫生间、房间和外墙面的防渗漏：</w:t>
      </w:r>
      <w:r>
        <w:rPr>
          <w:rFonts w:hint="eastAsia" w:ascii="宋体" w:hAnsi="宋体"/>
          <w:color w:val="auto"/>
          <w:szCs w:val="21"/>
          <w:u w:val="single"/>
        </w:rPr>
        <w:t>5</w:t>
      </w:r>
      <w:r>
        <w:rPr>
          <w:rFonts w:hint="eastAsia" w:ascii="宋体" w:hAnsi="宋体"/>
          <w:color w:val="auto"/>
          <w:szCs w:val="21"/>
        </w:rPr>
        <w:t>年;</w:t>
      </w:r>
    </w:p>
    <w:p w14:paraId="29BB1D1B">
      <w:pPr>
        <w:spacing w:line="440" w:lineRule="exact"/>
        <w:ind w:firstLine="420" w:firstLineChars="200"/>
        <w:jc w:val="left"/>
        <w:rPr>
          <w:rFonts w:ascii="宋体" w:hAnsi="宋体"/>
          <w:color w:val="auto"/>
          <w:szCs w:val="21"/>
        </w:rPr>
      </w:pPr>
      <w:r>
        <w:rPr>
          <w:rFonts w:hint="eastAsia" w:ascii="宋体" w:hAnsi="宋体"/>
          <w:color w:val="auto"/>
          <w:szCs w:val="21"/>
        </w:rPr>
        <w:t xml:space="preserve">(3)供热及供冷系统为 </w:t>
      </w:r>
      <w:r>
        <w:rPr>
          <w:rFonts w:hint="eastAsia" w:ascii="宋体" w:hAnsi="宋体"/>
          <w:color w:val="auto"/>
          <w:szCs w:val="21"/>
          <w:u w:val="single"/>
        </w:rPr>
        <w:t>2</w:t>
      </w:r>
      <w:r>
        <w:rPr>
          <w:rFonts w:hint="eastAsia" w:ascii="宋体" w:hAnsi="宋体"/>
          <w:color w:val="auto"/>
          <w:szCs w:val="21"/>
        </w:rPr>
        <w:t>个采暖期及供冷期；</w:t>
      </w:r>
    </w:p>
    <w:p w14:paraId="72855F22">
      <w:pPr>
        <w:spacing w:line="440" w:lineRule="exact"/>
        <w:ind w:firstLine="420" w:firstLineChars="200"/>
        <w:jc w:val="left"/>
        <w:rPr>
          <w:rFonts w:ascii="宋体" w:hAnsi="宋体"/>
          <w:color w:val="auto"/>
          <w:szCs w:val="21"/>
        </w:rPr>
      </w:pPr>
      <w:r>
        <w:rPr>
          <w:rFonts w:hint="eastAsia" w:ascii="宋体" w:hAnsi="宋体"/>
          <w:color w:val="auto"/>
          <w:szCs w:val="21"/>
        </w:rPr>
        <w:t>(4)电气管线、给排水管道、设备安装为</w:t>
      </w:r>
      <w:r>
        <w:rPr>
          <w:rFonts w:hint="eastAsia" w:ascii="宋体" w:hAnsi="宋体"/>
          <w:color w:val="auto"/>
          <w:szCs w:val="21"/>
          <w:u w:val="single"/>
        </w:rPr>
        <w:t xml:space="preserve"> 2</w:t>
      </w:r>
      <w:r>
        <w:rPr>
          <w:rFonts w:hint="eastAsia" w:ascii="宋体" w:hAnsi="宋体"/>
          <w:color w:val="auto"/>
          <w:szCs w:val="21"/>
        </w:rPr>
        <w:t xml:space="preserve"> 年；</w:t>
      </w:r>
    </w:p>
    <w:p w14:paraId="50F7F7B2">
      <w:pPr>
        <w:spacing w:line="440" w:lineRule="exact"/>
        <w:ind w:firstLine="420" w:firstLineChars="200"/>
        <w:jc w:val="left"/>
        <w:rPr>
          <w:rFonts w:ascii="宋体" w:hAnsi="宋体"/>
          <w:color w:val="auto"/>
          <w:szCs w:val="21"/>
        </w:rPr>
      </w:pPr>
      <w:r>
        <w:rPr>
          <w:rFonts w:hint="eastAsia" w:ascii="宋体" w:hAnsi="宋体"/>
          <w:color w:val="auto"/>
          <w:szCs w:val="21"/>
        </w:rPr>
        <w:t xml:space="preserve">(5)装修工程为 </w:t>
      </w:r>
      <w:r>
        <w:rPr>
          <w:rFonts w:hint="eastAsia" w:ascii="宋体" w:hAnsi="宋体"/>
          <w:color w:val="auto"/>
          <w:szCs w:val="21"/>
          <w:u w:val="single"/>
        </w:rPr>
        <w:t>2</w:t>
      </w:r>
      <w:r>
        <w:rPr>
          <w:rFonts w:hint="eastAsia" w:ascii="宋体" w:hAnsi="宋体"/>
          <w:color w:val="auto"/>
          <w:szCs w:val="21"/>
        </w:rPr>
        <w:t>年；</w:t>
      </w:r>
    </w:p>
    <w:p w14:paraId="2BDDBD1E">
      <w:pPr>
        <w:spacing w:line="440" w:lineRule="exact"/>
        <w:ind w:firstLine="420" w:firstLineChars="200"/>
        <w:jc w:val="left"/>
        <w:rPr>
          <w:rFonts w:ascii="宋体" w:hAnsi="宋体"/>
          <w:color w:val="auto"/>
          <w:szCs w:val="21"/>
        </w:rPr>
      </w:pPr>
      <w:r>
        <w:rPr>
          <w:rFonts w:hint="eastAsia" w:ascii="宋体" w:hAnsi="宋体"/>
          <w:color w:val="auto"/>
          <w:szCs w:val="21"/>
        </w:rPr>
        <w:t xml:space="preserve">(6)室外的上下水和小区道路等市政公用工程为 </w:t>
      </w:r>
      <w:r>
        <w:rPr>
          <w:rFonts w:hint="eastAsia" w:ascii="宋体" w:hAnsi="宋体"/>
          <w:color w:val="auto"/>
          <w:szCs w:val="21"/>
          <w:u w:val="single"/>
        </w:rPr>
        <w:t xml:space="preserve"> 2 </w:t>
      </w:r>
      <w:r>
        <w:rPr>
          <w:rFonts w:hint="eastAsia" w:ascii="宋体" w:hAnsi="宋体"/>
          <w:color w:val="auto"/>
          <w:szCs w:val="21"/>
        </w:rPr>
        <w:t xml:space="preserve"> 年；</w:t>
      </w:r>
    </w:p>
    <w:p w14:paraId="1816672B">
      <w:pPr>
        <w:spacing w:line="440" w:lineRule="exact"/>
        <w:ind w:firstLine="420" w:firstLineChars="200"/>
        <w:jc w:val="left"/>
        <w:rPr>
          <w:rFonts w:ascii="宋体" w:hAnsi="宋体"/>
          <w:color w:val="auto"/>
          <w:szCs w:val="21"/>
        </w:rPr>
      </w:pPr>
      <w:r>
        <w:rPr>
          <w:rFonts w:hint="eastAsia" w:ascii="宋体" w:hAnsi="宋体"/>
          <w:color w:val="auto"/>
          <w:szCs w:val="21"/>
        </w:rPr>
        <w:t>(7)在没有明文规定下，参照建设工程质量保修条例，双方协商为设计文件规定的该工程的合理使用年限内保修；</w:t>
      </w:r>
    </w:p>
    <w:p w14:paraId="3CA18550">
      <w:pPr>
        <w:spacing w:line="440" w:lineRule="exact"/>
        <w:ind w:firstLine="420" w:firstLineChars="200"/>
        <w:jc w:val="left"/>
        <w:rPr>
          <w:rFonts w:ascii="宋体" w:hAnsi="宋体"/>
          <w:color w:val="auto"/>
          <w:szCs w:val="21"/>
        </w:rPr>
      </w:pPr>
      <w:r>
        <w:rPr>
          <w:rFonts w:hint="eastAsia" w:ascii="宋体" w:hAnsi="宋体"/>
          <w:color w:val="auto"/>
          <w:szCs w:val="21"/>
        </w:rPr>
        <w:t>(8)其他约定：</w:t>
      </w:r>
    </w:p>
    <w:bookmarkEnd w:id="799"/>
    <w:bookmarkEnd w:id="800"/>
    <w:bookmarkEnd w:id="801"/>
    <w:bookmarkEnd w:id="802"/>
    <w:p w14:paraId="7C05E7B3">
      <w:pPr>
        <w:keepNext/>
        <w:keepLines/>
        <w:widowControl/>
        <w:spacing w:before="120" w:after="120" w:line="440" w:lineRule="exact"/>
        <w:outlineLvl w:val="3"/>
        <w:rPr>
          <w:rFonts w:ascii="宋体" w:hAnsi="宋体" w:eastAsia="黑体"/>
          <w:b/>
          <w:color w:val="auto"/>
          <w:kern w:val="0"/>
          <w:sz w:val="28"/>
          <w:szCs w:val="21"/>
        </w:rPr>
      </w:pPr>
      <w:bookmarkStart w:id="825" w:name="_Toc351203648"/>
      <w:bookmarkStart w:id="826" w:name="_Toc280868717"/>
      <w:bookmarkStart w:id="827" w:name="_Toc280868718"/>
      <w:r>
        <w:rPr>
          <w:rFonts w:ascii="宋体" w:hAnsi="宋体" w:eastAsia="黑体"/>
          <w:b/>
          <w:color w:val="auto"/>
          <w:kern w:val="0"/>
          <w:sz w:val="28"/>
          <w:szCs w:val="21"/>
        </w:rPr>
        <w:t>16. 违约</w:t>
      </w:r>
      <w:bookmarkEnd w:id="825"/>
    </w:p>
    <w:p w14:paraId="663CA0A0">
      <w:pPr>
        <w:spacing w:after="120" w:line="440" w:lineRule="exact"/>
        <w:ind w:firstLine="420" w:firstLineChars="200"/>
        <w:rPr>
          <w:rFonts w:ascii="宋体" w:hAnsi="宋体"/>
          <w:color w:val="auto"/>
          <w:szCs w:val="21"/>
        </w:rPr>
      </w:pPr>
      <w:r>
        <w:rPr>
          <w:rFonts w:ascii="宋体" w:hAnsi="宋体"/>
          <w:color w:val="auto"/>
          <w:szCs w:val="21"/>
        </w:rPr>
        <w:t>16.1 发包人违约</w:t>
      </w:r>
    </w:p>
    <w:p w14:paraId="173B14EF">
      <w:pPr>
        <w:keepNext/>
        <w:keepLines/>
        <w:spacing w:before="260" w:after="260" w:line="24" w:lineRule="auto"/>
        <w:outlineLvl w:val="2"/>
        <w:rPr>
          <w:rFonts w:ascii="宋体" w:hAnsi="宋体"/>
          <w:b/>
          <w:bCs/>
          <w:color w:val="auto"/>
          <w:kern w:val="0"/>
          <w:sz w:val="24"/>
          <w:szCs w:val="32"/>
        </w:rPr>
      </w:pPr>
      <w:bookmarkStart w:id="828" w:name="_Toc465114927"/>
      <w:bookmarkStart w:id="829" w:name="_Toc373478414"/>
      <w:bookmarkStart w:id="830" w:name="_Toc373227767"/>
      <w:bookmarkStart w:id="831" w:name="_Toc389065332"/>
      <w:bookmarkStart w:id="832" w:name="_Toc351203649"/>
      <w:r>
        <w:rPr>
          <w:rFonts w:ascii="宋体" w:hAnsi="宋体"/>
          <w:b/>
          <w:bCs/>
          <w:color w:val="auto"/>
          <w:kern w:val="0"/>
          <w:sz w:val="24"/>
          <w:szCs w:val="32"/>
        </w:rPr>
        <w:t>16.1 发包人违约</w:t>
      </w:r>
      <w:bookmarkEnd w:id="828"/>
      <w:bookmarkEnd w:id="829"/>
      <w:bookmarkEnd w:id="830"/>
      <w:bookmarkEnd w:id="831"/>
    </w:p>
    <w:p w14:paraId="0368278E">
      <w:pPr>
        <w:spacing w:line="360" w:lineRule="auto"/>
        <w:ind w:firstLine="420" w:firstLineChars="200"/>
        <w:jc w:val="left"/>
        <w:rPr>
          <w:color w:val="auto"/>
          <w:szCs w:val="21"/>
        </w:rPr>
      </w:pPr>
      <w:r>
        <w:rPr>
          <w:color w:val="auto"/>
          <w:szCs w:val="21"/>
        </w:rPr>
        <w:t>16.1.1</w:t>
      </w:r>
      <w:r>
        <w:rPr>
          <w:rFonts w:hAnsi="宋体"/>
          <w:color w:val="auto"/>
          <w:szCs w:val="21"/>
        </w:rPr>
        <w:t>发包人违约的情形</w:t>
      </w:r>
    </w:p>
    <w:p w14:paraId="5B620FF9">
      <w:pPr>
        <w:spacing w:line="360" w:lineRule="auto"/>
        <w:ind w:firstLine="420" w:firstLineChars="200"/>
        <w:jc w:val="left"/>
        <w:rPr>
          <w:rFonts w:hAnsi="宋体"/>
          <w:color w:val="auto"/>
          <w:kern w:val="0"/>
          <w:szCs w:val="21"/>
        </w:rPr>
      </w:pPr>
      <w:r>
        <w:rPr>
          <w:rFonts w:hAnsi="宋体"/>
          <w:color w:val="auto"/>
          <w:kern w:val="0"/>
          <w:szCs w:val="21"/>
        </w:rPr>
        <w:t>发包人违约的其他情形：</w:t>
      </w:r>
      <w:r>
        <w:rPr>
          <w:rFonts w:hint="eastAsia"/>
          <w:color w:val="auto"/>
          <w:kern w:val="0"/>
          <w:szCs w:val="21"/>
          <w:u w:val="single"/>
        </w:rPr>
        <w:t>无</w:t>
      </w:r>
      <w:r>
        <w:rPr>
          <w:rFonts w:hAnsi="宋体"/>
          <w:color w:val="auto"/>
          <w:kern w:val="0"/>
          <w:szCs w:val="21"/>
        </w:rPr>
        <w:t>。</w:t>
      </w:r>
    </w:p>
    <w:p w14:paraId="74B672D4">
      <w:pPr>
        <w:spacing w:line="360" w:lineRule="auto"/>
        <w:ind w:firstLine="420" w:firstLineChars="200"/>
        <w:jc w:val="left"/>
        <w:rPr>
          <w:color w:val="auto"/>
          <w:kern w:val="0"/>
          <w:szCs w:val="21"/>
        </w:rPr>
      </w:pPr>
      <w:r>
        <w:rPr>
          <w:color w:val="auto"/>
          <w:kern w:val="0"/>
          <w:szCs w:val="21"/>
        </w:rPr>
        <w:t xml:space="preserve">16.1.2 </w:t>
      </w:r>
      <w:r>
        <w:rPr>
          <w:rFonts w:hAnsi="宋体"/>
          <w:color w:val="auto"/>
          <w:kern w:val="0"/>
          <w:szCs w:val="21"/>
        </w:rPr>
        <w:t>发包人违约的责任</w:t>
      </w:r>
    </w:p>
    <w:p w14:paraId="2215ADA8">
      <w:pPr>
        <w:spacing w:line="360" w:lineRule="auto"/>
        <w:ind w:firstLine="420" w:firstLineChars="200"/>
        <w:jc w:val="left"/>
        <w:rPr>
          <w:color w:val="auto"/>
          <w:kern w:val="0"/>
          <w:szCs w:val="21"/>
        </w:rPr>
      </w:pPr>
      <w:r>
        <w:rPr>
          <w:rFonts w:hAnsi="宋体"/>
          <w:color w:val="auto"/>
          <w:kern w:val="0"/>
          <w:szCs w:val="21"/>
        </w:rPr>
        <w:t>发包人违约责任的承担方式和计算方法：</w:t>
      </w:r>
    </w:p>
    <w:p w14:paraId="65175892">
      <w:pPr>
        <w:spacing w:line="400" w:lineRule="exact"/>
        <w:ind w:firstLine="420" w:firstLineChars="200"/>
        <w:jc w:val="left"/>
        <w:rPr>
          <w:rFonts w:ascii="宋体" w:hAnsi="宋体"/>
          <w:color w:val="auto"/>
          <w:kern w:val="0"/>
          <w:szCs w:val="21"/>
        </w:rPr>
      </w:pPr>
      <w:r>
        <w:rPr>
          <w:rFonts w:hAnsi="宋体"/>
          <w:color w:val="auto"/>
          <w:kern w:val="0"/>
          <w:szCs w:val="21"/>
        </w:rPr>
        <w:t>（</w:t>
      </w:r>
      <w:r>
        <w:rPr>
          <w:color w:val="auto"/>
          <w:kern w:val="0"/>
          <w:szCs w:val="21"/>
        </w:rPr>
        <w:t>1</w:t>
      </w:r>
      <w:r>
        <w:rPr>
          <w:rFonts w:hAnsi="宋体"/>
          <w:color w:val="auto"/>
          <w:kern w:val="0"/>
          <w:szCs w:val="21"/>
        </w:rPr>
        <w:t>）因发包人原因未能在计划开工日期前</w:t>
      </w:r>
      <w:r>
        <w:rPr>
          <w:color w:val="auto"/>
          <w:kern w:val="0"/>
          <w:szCs w:val="21"/>
        </w:rPr>
        <w:t>7</w:t>
      </w:r>
      <w:r>
        <w:rPr>
          <w:rFonts w:hAnsi="宋体"/>
          <w:color w:val="auto"/>
          <w:kern w:val="0"/>
          <w:szCs w:val="21"/>
        </w:rPr>
        <w:t>天内下达开工通知的违约责任：</w:t>
      </w:r>
      <w:r>
        <w:rPr>
          <w:rFonts w:hint="eastAsia" w:ascii="宋体" w:hAnsi="宋体"/>
          <w:color w:val="auto"/>
          <w:kern w:val="0"/>
          <w:szCs w:val="21"/>
        </w:rPr>
        <w:t>开工时间相应顺延 。</w:t>
      </w:r>
    </w:p>
    <w:p w14:paraId="0D48E477">
      <w:pPr>
        <w:spacing w:line="360" w:lineRule="auto"/>
        <w:ind w:firstLine="420" w:firstLineChars="200"/>
        <w:jc w:val="left"/>
        <w:rPr>
          <w:color w:val="auto"/>
          <w:kern w:val="0"/>
          <w:szCs w:val="21"/>
        </w:rPr>
      </w:pPr>
      <w:r>
        <w:rPr>
          <w:rFonts w:hAnsi="宋体"/>
          <w:color w:val="auto"/>
          <w:kern w:val="0"/>
          <w:szCs w:val="21"/>
        </w:rPr>
        <w:t>（</w:t>
      </w:r>
      <w:r>
        <w:rPr>
          <w:color w:val="auto"/>
          <w:kern w:val="0"/>
          <w:szCs w:val="21"/>
        </w:rPr>
        <w:t>2</w:t>
      </w:r>
      <w:r>
        <w:rPr>
          <w:rFonts w:hAnsi="宋体"/>
          <w:color w:val="auto"/>
          <w:kern w:val="0"/>
          <w:szCs w:val="21"/>
        </w:rPr>
        <w:t>）因发包人原因未能按合同约定支付合同价款的违约责任：</w:t>
      </w:r>
      <w:r>
        <w:rPr>
          <w:rFonts w:hint="eastAsia" w:ascii="宋体" w:hAnsi="宋体"/>
          <w:color w:val="auto"/>
          <w:kern w:val="0"/>
          <w:szCs w:val="21"/>
        </w:rPr>
        <w:t>每逾期一天，发包人应以逾期付款额为基数，按中国人民银行发布的同期同类贷款基准利率支付违约金</w:t>
      </w:r>
      <w:r>
        <w:rPr>
          <w:rFonts w:hAnsi="宋体"/>
          <w:color w:val="auto"/>
          <w:kern w:val="0"/>
          <w:szCs w:val="21"/>
        </w:rPr>
        <w:t>。</w:t>
      </w:r>
    </w:p>
    <w:p w14:paraId="74734F72">
      <w:pPr>
        <w:spacing w:line="360" w:lineRule="auto"/>
        <w:ind w:firstLine="420" w:firstLineChars="200"/>
        <w:jc w:val="left"/>
        <w:rPr>
          <w:rFonts w:ascii="宋体" w:hAnsi="宋体"/>
          <w:color w:val="auto"/>
          <w:kern w:val="0"/>
          <w:szCs w:val="21"/>
        </w:rPr>
      </w:pPr>
      <w:r>
        <w:rPr>
          <w:rFonts w:hAnsi="宋体"/>
          <w:color w:val="auto"/>
          <w:kern w:val="0"/>
          <w:szCs w:val="21"/>
        </w:rPr>
        <w:t>（</w:t>
      </w:r>
      <w:r>
        <w:rPr>
          <w:color w:val="auto"/>
          <w:kern w:val="0"/>
          <w:szCs w:val="21"/>
        </w:rPr>
        <w:t>3</w:t>
      </w:r>
      <w:r>
        <w:rPr>
          <w:rFonts w:hAnsi="宋体"/>
          <w:color w:val="auto"/>
          <w:kern w:val="0"/>
          <w:szCs w:val="21"/>
        </w:rPr>
        <w:t>）发包人违反第</w:t>
      </w:r>
      <w:r>
        <w:rPr>
          <w:color w:val="auto"/>
          <w:kern w:val="0"/>
          <w:szCs w:val="21"/>
        </w:rPr>
        <w:t>10.1</w:t>
      </w:r>
      <w:r>
        <w:rPr>
          <w:rFonts w:hAnsi="宋体"/>
          <w:color w:val="auto"/>
          <w:kern w:val="0"/>
          <w:szCs w:val="21"/>
        </w:rPr>
        <w:t>款〔变更的范围〕第（</w:t>
      </w:r>
      <w:r>
        <w:rPr>
          <w:color w:val="auto"/>
          <w:kern w:val="0"/>
          <w:szCs w:val="21"/>
        </w:rPr>
        <w:t>2</w:t>
      </w:r>
      <w:r>
        <w:rPr>
          <w:rFonts w:hAnsi="宋体"/>
          <w:color w:val="auto"/>
          <w:kern w:val="0"/>
          <w:szCs w:val="21"/>
        </w:rPr>
        <w:t>）项约定，自行实施被取消的工作或转由他人实施的违约责任：</w:t>
      </w:r>
      <w:r>
        <w:rPr>
          <w:rFonts w:hint="eastAsia"/>
          <w:color w:val="auto"/>
          <w:kern w:val="0"/>
          <w:szCs w:val="21"/>
        </w:rPr>
        <w:t>双</w:t>
      </w:r>
      <w:r>
        <w:rPr>
          <w:rFonts w:hint="eastAsia" w:ascii="宋体" w:hAnsi="宋体"/>
          <w:color w:val="auto"/>
          <w:kern w:val="0"/>
          <w:szCs w:val="21"/>
        </w:rPr>
        <w:t>方另行商定，如承包人不同意实施的除外。</w:t>
      </w:r>
    </w:p>
    <w:p w14:paraId="4B6BB491">
      <w:pPr>
        <w:spacing w:line="400" w:lineRule="exact"/>
        <w:ind w:firstLine="420" w:firstLineChars="200"/>
        <w:jc w:val="left"/>
        <w:rPr>
          <w:rFonts w:ascii="宋体" w:hAnsi="宋体"/>
          <w:color w:val="auto"/>
          <w:kern w:val="0"/>
          <w:szCs w:val="21"/>
        </w:rPr>
      </w:pPr>
      <w:r>
        <w:rPr>
          <w:rFonts w:hAnsi="宋体"/>
          <w:color w:val="auto"/>
          <w:kern w:val="0"/>
          <w:szCs w:val="21"/>
        </w:rPr>
        <w:t>（</w:t>
      </w:r>
      <w:r>
        <w:rPr>
          <w:color w:val="auto"/>
          <w:kern w:val="0"/>
          <w:szCs w:val="21"/>
        </w:rPr>
        <w:t>4</w:t>
      </w:r>
      <w:r>
        <w:rPr>
          <w:rFonts w:hAnsi="宋体"/>
          <w:color w:val="auto"/>
          <w:kern w:val="0"/>
          <w:szCs w:val="21"/>
        </w:rPr>
        <w:t>）发包人提供的材料、工程设备的规格、数量或质量不符合合同约定，或因发包人原因导致交货日期延误或交货地点变更等情况的违约责任：</w:t>
      </w:r>
      <w:r>
        <w:rPr>
          <w:rFonts w:hint="eastAsia" w:ascii="宋体" w:hAnsi="宋体"/>
          <w:color w:val="auto"/>
          <w:kern w:val="0"/>
          <w:szCs w:val="21"/>
        </w:rPr>
        <w:t>发包人提供的材料、工程设备的规格、数量或质量不符合合同约定，如影响工期的，工期相应顺延由发包人负责；如造成承包人返工的，发包人应负责承担返工费用。</w:t>
      </w:r>
    </w:p>
    <w:p w14:paraId="4FE00323">
      <w:pPr>
        <w:spacing w:line="360" w:lineRule="auto"/>
        <w:ind w:firstLine="420" w:firstLineChars="200"/>
        <w:jc w:val="left"/>
        <w:rPr>
          <w:color w:val="auto"/>
          <w:kern w:val="0"/>
          <w:szCs w:val="21"/>
          <w:u w:val="single"/>
        </w:rPr>
      </w:pPr>
      <w:r>
        <w:rPr>
          <w:rFonts w:hAnsi="宋体"/>
          <w:color w:val="auto"/>
          <w:kern w:val="0"/>
          <w:szCs w:val="21"/>
        </w:rPr>
        <w:t>（</w:t>
      </w:r>
      <w:r>
        <w:rPr>
          <w:color w:val="auto"/>
          <w:kern w:val="0"/>
          <w:szCs w:val="21"/>
        </w:rPr>
        <w:t>5</w:t>
      </w:r>
      <w:r>
        <w:rPr>
          <w:rFonts w:hAnsi="宋体"/>
          <w:color w:val="auto"/>
          <w:kern w:val="0"/>
          <w:szCs w:val="21"/>
        </w:rPr>
        <w:t>）因发包人违反合同约定造成暂停施工的违约责任：</w:t>
      </w:r>
      <w:r>
        <w:rPr>
          <w:rFonts w:hint="eastAsia"/>
          <w:color w:val="auto"/>
          <w:kern w:val="0"/>
          <w:szCs w:val="21"/>
        </w:rPr>
        <w:t>工期顺延</w:t>
      </w:r>
      <w:r>
        <w:rPr>
          <w:rFonts w:hAnsi="宋体"/>
          <w:color w:val="auto"/>
          <w:kern w:val="0"/>
          <w:szCs w:val="21"/>
        </w:rPr>
        <w:t>。</w:t>
      </w:r>
    </w:p>
    <w:p w14:paraId="67B3ABAB">
      <w:pPr>
        <w:spacing w:line="360" w:lineRule="auto"/>
        <w:ind w:firstLine="420" w:firstLineChars="200"/>
        <w:jc w:val="left"/>
        <w:rPr>
          <w:color w:val="auto"/>
          <w:kern w:val="0"/>
          <w:szCs w:val="21"/>
        </w:rPr>
      </w:pPr>
      <w:r>
        <w:rPr>
          <w:rFonts w:hAnsi="宋体"/>
          <w:color w:val="auto"/>
          <w:kern w:val="0"/>
          <w:szCs w:val="21"/>
        </w:rPr>
        <w:t>（</w:t>
      </w:r>
      <w:r>
        <w:rPr>
          <w:color w:val="auto"/>
          <w:kern w:val="0"/>
          <w:szCs w:val="21"/>
        </w:rPr>
        <w:t>6</w:t>
      </w:r>
      <w:r>
        <w:rPr>
          <w:rFonts w:hAnsi="宋体"/>
          <w:color w:val="auto"/>
          <w:kern w:val="0"/>
          <w:szCs w:val="21"/>
        </w:rPr>
        <w:t>）发包人无正当理由没有在约定期限内发出复工指示，导致承包人无法复工的违约责任：</w:t>
      </w:r>
      <w:r>
        <w:rPr>
          <w:rFonts w:hint="eastAsia"/>
          <w:color w:val="auto"/>
          <w:kern w:val="0"/>
          <w:szCs w:val="21"/>
          <w:u w:val="single"/>
        </w:rPr>
        <w:t>工期顺延</w:t>
      </w:r>
      <w:r>
        <w:rPr>
          <w:rFonts w:hAnsi="宋体"/>
          <w:color w:val="auto"/>
          <w:kern w:val="0"/>
          <w:szCs w:val="21"/>
        </w:rPr>
        <w:t>。</w:t>
      </w:r>
    </w:p>
    <w:p w14:paraId="1D3D47FF">
      <w:pPr>
        <w:spacing w:line="360" w:lineRule="auto"/>
        <w:ind w:firstLine="420" w:firstLineChars="200"/>
        <w:jc w:val="left"/>
        <w:rPr>
          <w:color w:val="auto"/>
          <w:kern w:val="0"/>
          <w:szCs w:val="21"/>
        </w:rPr>
      </w:pPr>
      <w:r>
        <w:rPr>
          <w:rFonts w:hAnsi="宋体"/>
          <w:color w:val="auto"/>
          <w:kern w:val="0"/>
          <w:szCs w:val="21"/>
        </w:rPr>
        <w:t>（</w:t>
      </w:r>
      <w:r>
        <w:rPr>
          <w:color w:val="auto"/>
          <w:kern w:val="0"/>
          <w:szCs w:val="21"/>
        </w:rPr>
        <w:t>7</w:t>
      </w:r>
      <w:r>
        <w:rPr>
          <w:rFonts w:hAnsi="宋体"/>
          <w:color w:val="auto"/>
          <w:kern w:val="0"/>
          <w:szCs w:val="21"/>
        </w:rPr>
        <w:t>）其他：</w:t>
      </w:r>
      <w:r>
        <w:rPr>
          <w:rFonts w:hint="eastAsia"/>
          <w:color w:val="auto"/>
          <w:kern w:val="0"/>
          <w:szCs w:val="21"/>
          <w:u w:val="single"/>
        </w:rPr>
        <w:t>无</w:t>
      </w:r>
      <w:r>
        <w:rPr>
          <w:rFonts w:hAnsi="宋体"/>
          <w:color w:val="auto"/>
          <w:kern w:val="0"/>
          <w:szCs w:val="21"/>
        </w:rPr>
        <w:t>。</w:t>
      </w:r>
    </w:p>
    <w:p w14:paraId="49BA8807">
      <w:pPr>
        <w:spacing w:line="360" w:lineRule="auto"/>
        <w:ind w:firstLine="420" w:firstLineChars="200"/>
        <w:jc w:val="left"/>
        <w:rPr>
          <w:color w:val="auto"/>
          <w:szCs w:val="21"/>
        </w:rPr>
      </w:pPr>
      <w:r>
        <w:rPr>
          <w:color w:val="auto"/>
          <w:szCs w:val="21"/>
        </w:rPr>
        <w:t xml:space="preserve">16.1.3 </w:t>
      </w:r>
      <w:r>
        <w:rPr>
          <w:rFonts w:hAnsi="宋体"/>
          <w:color w:val="auto"/>
          <w:szCs w:val="21"/>
        </w:rPr>
        <w:t>因发包人违约解除合同</w:t>
      </w:r>
    </w:p>
    <w:p w14:paraId="5274BC00">
      <w:pPr>
        <w:autoSpaceDE w:val="0"/>
        <w:autoSpaceDN w:val="0"/>
        <w:adjustRightInd w:val="0"/>
        <w:spacing w:line="360" w:lineRule="auto"/>
        <w:ind w:firstLine="420" w:firstLineChars="200"/>
        <w:jc w:val="left"/>
        <w:rPr>
          <w:color w:val="auto"/>
          <w:kern w:val="0"/>
          <w:szCs w:val="21"/>
        </w:rPr>
      </w:pPr>
      <w:r>
        <w:rPr>
          <w:rFonts w:hAnsi="宋体"/>
          <w:color w:val="auto"/>
          <w:kern w:val="0"/>
          <w:szCs w:val="21"/>
        </w:rPr>
        <w:t>承包人按</w:t>
      </w:r>
      <w:r>
        <w:rPr>
          <w:color w:val="auto"/>
          <w:kern w:val="0"/>
          <w:szCs w:val="21"/>
        </w:rPr>
        <w:t>16.1.1</w:t>
      </w:r>
      <w:r>
        <w:rPr>
          <w:rFonts w:hAnsi="宋体"/>
          <w:color w:val="auto"/>
          <w:kern w:val="0"/>
          <w:szCs w:val="21"/>
        </w:rPr>
        <w:t>项〔发包人违约的情形〕约定暂停施工满</w:t>
      </w:r>
      <w:r>
        <w:rPr>
          <w:color w:val="auto"/>
          <w:kern w:val="0"/>
          <w:szCs w:val="21"/>
          <w:u w:val="single"/>
        </w:rPr>
        <w:t xml:space="preserve"> 90 </w:t>
      </w:r>
      <w:r>
        <w:rPr>
          <w:rFonts w:hAnsi="宋体"/>
          <w:color w:val="auto"/>
          <w:kern w:val="0"/>
          <w:szCs w:val="21"/>
        </w:rPr>
        <w:t>天后发包人仍不纠正其违约行为并致使合同目的不能实现的，承包人有权</w:t>
      </w:r>
      <w:r>
        <w:rPr>
          <w:rFonts w:hint="eastAsia" w:hAnsi="宋体"/>
          <w:color w:val="auto"/>
          <w:kern w:val="0"/>
          <w:szCs w:val="21"/>
        </w:rPr>
        <w:t>依法</w:t>
      </w:r>
      <w:r>
        <w:rPr>
          <w:rFonts w:hAnsi="宋体"/>
          <w:color w:val="auto"/>
          <w:kern w:val="0"/>
          <w:szCs w:val="21"/>
        </w:rPr>
        <w:t>解除合同。</w:t>
      </w:r>
    </w:p>
    <w:p w14:paraId="33E25166">
      <w:pPr>
        <w:keepNext/>
        <w:keepLines/>
        <w:spacing w:before="260" w:after="260" w:line="24" w:lineRule="auto"/>
        <w:outlineLvl w:val="2"/>
        <w:rPr>
          <w:rFonts w:ascii="宋体" w:hAnsi="宋体"/>
          <w:b/>
          <w:bCs/>
          <w:color w:val="auto"/>
          <w:kern w:val="0"/>
          <w:sz w:val="24"/>
          <w:szCs w:val="32"/>
        </w:rPr>
      </w:pPr>
      <w:bookmarkStart w:id="833" w:name="_Toc373478415"/>
      <w:bookmarkStart w:id="834" w:name="_Toc465114928"/>
      <w:bookmarkStart w:id="835" w:name="_Toc373227768"/>
      <w:bookmarkStart w:id="836" w:name="_Toc389065333"/>
      <w:r>
        <w:rPr>
          <w:rFonts w:ascii="宋体" w:hAnsi="宋体"/>
          <w:b/>
          <w:bCs/>
          <w:color w:val="auto"/>
          <w:kern w:val="0"/>
          <w:sz w:val="24"/>
          <w:szCs w:val="32"/>
        </w:rPr>
        <w:t>16.2 承包人违约</w:t>
      </w:r>
      <w:bookmarkEnd w:id="833"/>
      <w:bookmarkEnd w:id="834"/>
      <w:bookmarkEnd w:id="835"/>
      <w:bookmarkEnd w:id="836"/>
    </w:p>
    <w:p w14:paraId="64B87572">
      <w:pPr>
        <w:spacing w:line="360" w:lineRule="auto"/>
        <w:ind w:firstLine="420" w:firstLineChars="200"/>
        <w:jc w:val="left"/>
        <w:rPr>
          <w:color w:val="auto"/>
          <w:kern w:val="0"/>
          <w:szCs w:val="21"/>
        </w:rPr>
      </w:pPr>
      <w:r>
        <w:rPr>
          <w:color w:val="auto"/>
          <w:kern w:val="0"/>
          <w:szCs w:val="21"/>
        </w:rPr>
        <w:t xml:space="preserve">16.2.1 </w:t>
      </w:r>
      <w:r>
        <w:rPr>
          <w:rFonts w:hAnsi="宋体"/>
          <w:color w:val="auto"/>
          <w:kern w:val="0"/>
          <w:szCs w:val="21"/>
        </w:rPr>
        <w:t>承包人违约的情形</w:t>
      </w:r>
    </w:p>
    <w:p w14:paraId="552B2AC4">
      <w:pPr>
        <w:spacing w:line="360" w:lineRule="auto"/>
        <w:ind w:firstLine="420" w:firstLineChars="200"/>
        <w:jc w:val="left"/>
        <w:rPr>
          <w:color w:val="auto"/>
          <w:kern w:val="0"/>
          <w:szCs w:val="21"/>
          <w:u w:val="single"/>
        </w:rPr>
      </w:pPr>
      <w:r>
        <w:rPr>
          <w:rFonts w:hAnsi="宋体"/>
          <w:color w:val="auto"/>
          <w:kern w:val="0"/>
          <w:szCs w:val="21"/>
        </w:rPr>
        <w:t>承包人违约的其他情形：</w:t>
      </w:r>
      <w:r>
        <w:rPr>
          <w:rFonts w:hint="eastAsia"/>
          <w:color w:val="auto"/>
          <w:kern w:val="0"/>
          <w:szCs w:val="21"/>
          <w:u w:val="single"/>
        </w:rPr>
        <w:t>承包人未在约定的时间内提供完整的工程竣工结算资料，经发包人书面催促后28天内仍未提交。</w:t>
      </w:r>
    </w:p>
    <w:p w14:paraId="3FDB5E92">
      <w:pPr>
        <w:spacing w:line="360" w:lineRule="auto"/>
        <w:ind w:firstLine="420" w:firstLineChars="200"/>
        <w:jc w:val="left"/>
        <w:rPr>
          <w:color w:val="auto"/>
          <w:kern w:val="0"/>
          <w:szCs w:val="21"/>
        </w:rPr>
      </w:pPr>
      <w:r>
        <w:rPr>
          <w:color w:val="auto"/>
          <w:kern w:val="0"/>
          <w:szCs w:val="21"/>
        </w:rPr>
        <w:t>16.2.2</w:t>
      </w:r>
      <w:r>
        <w:rPr>
          <w:rFonts w:hAnsi="宋体"/>
          <w:color w:val="auto"/>
          <w:kern w:val="0"/>
          <w:szCs w:val="21"/>
        </w:rPr>
        <w:t>承包人违约的责任</w:t>
      </w:r>
    </w:p>
    <w:p w14:paraId="21A50609">
      <w:pPr>
        <w:spacing w:line="360" w:lineRule="auto"/>
        <w:ind w:firstLine="420" w:firstLineChars="200"/>
        <w:jc w:val="left"/>
        <w:rPr>
          <w:color w:val="auto"/>
          <w:kern w:val="0"/>
          <w:szCs w:val="21"/>
        </w:rPr>
      </w:pPr>
      <w:r>
        <w:rPr>
          <w:rFonts w:hAnsi="宋体"/>
          <w:color w:val="auto"/>
          <w:kern w:val="0"/>
          <w:szCs w:val="21"/>
        </w:rPr>
        <w:t>承包人违约责任的承担方式和计算方法：</w:t>
      </w:r>
    </w:p>
    <w:p w14:paraId="62C48AC6">
      <w:pPr>
        <w:spacing w:line="360" w:lineRule="auto"/>
        <w:ind w:firstLine="420" w:firstLineChars="200"/>
        <w:jc w:val="left"/>
        <w:rPr>
          <w:rFonts w:hAnsi="宋体"/>
          <w:color w:val="auto"/>
          <w:kern w:val="0"/>
          <w:szCs w:val="21"/>
        </w:rPr>
      </w:pPr>
      <w:r>
        <w:rPr>
          <w:rFonts w:hAnsi="宋体"/>
          <w:color w:val="auto"/>
          <w:kern w:val="0"/>
          <w:szCs w:val="21"/>
        </w:rPr>
        <w:t>（</w:t>
      </w:r>
      <w:r>
        <w:rPr>
          <w:color w:val="auto"/>
          <w:kern w:val="0"/>
          <w:szCs w:val="21"/>
        </w:rPr>
        <w:t>1</w:t>
      </w:r>
      <w:r>
        <w:rPr>
          <w:rFonts w:hAnsi="宋体"/>
          <w:color w:val="auto"/>
          <w:kern w:val="0"/>
          <w:szCs w:val="21"/>
        </w:rPr>
        <w:t>）承包人未按本合同通用条款第</w:t>
      </w:r>
      <w:r>
        <w:rPr>
          <w:color w:val="auto"/>
          <w:kern w:val="0"/>
          <w:szCs w:val="21"/>
        </w:rPr>
        <w:t>16.2.1</w:t>
      </w:r>
      <w:r>
        <w:rPr>
          <w:rFonts w:hAnsi="宋体"/>
          <w:color w:val="auto"/>
          <w:kern w:val="0"/>
          <w:szCs w:val="21"/>
        </w:rPr>
        <w:t>（</w:t>
      </w:r>
      <w:r>
        <w:rPr>
          <w:color w:val="auto"/>
          <w:kern w:val="0"/>
          <w:szCs w:val="21"/>
        </w:rPr>
        <w:t>2</w:t>
      </w:r>
      <w:r>
        <w:rPr>
          <w:rFonts w:hAnsi="宋体"/>
          <w:color w:val="auto"/>
          <w:kern w:val="0"/>
          <w:szCs w:val="21"/>
        </w:rPr>
        <w:t>）</w:t>
      </w:r>
      <w:r>
        <w:rPr>
          <w:rFonts w:hint="eastAsia" w:hAnsi="宋体"/>
          <w:color w:val="auto"/>
          <w:kern w:val="0"/>
          <w:szCs w:val="21"/>
        </w:rPr>
        <w:t>、</w:t>
      </w:r>
      <w:r>
        <w:rPr>
          <w:rFonts w:hAnsi="宋体"/>
          <w:color w:val="auto"/>
          <w:kern w:val="0"/>
          <w:szCs w:val="21"/>
        </w:rPr>
        <w:t>（</w:t>
      </w:r>
      <w:r>
        <w:rPr>
          <w:color w:val="auto"/>
          <w:kern w:val="0"/>
          <w:szCs w:val="21"/>
        </w:rPr>
        <w:t>3</w:t>
      </w:r>
      <w:r>
        <w:rPr>
          <w:rFonts w:hAnsi="宋体"/>
          <w:color w:val="auto"/>
          <w:kern w:val="0"/>
          <w:szCs w:val="21"/>
        </w:rPr>
        <w:t>）条内容完成的，承包人无条件返工处理，修复至工程质量要求并承担相关费用，并在发包人规定的时间内完成返工，否则发包人有权扣罚该分项工程</w:t>
      </w:r>
      <w:r>
        <w:rPr>
          <w:color w:val="auto"/>
          <w:kern w:val="0"/>
          <w:szCs w:val="21"/>
        </w:rPr>
        <w:t>%</w:t>
      </w:r>
      <w:r>
        <w:rPr>
          <w:rFonts w:hAnsi="宋体"/>
          <w:color w:val="auto"/>
          <w:kern w:val="0"/>
          <w:szCs w:val="21"/>
        </w:rPr>
        <w:t>的工程款作为处罚。</w:t>
      </w:r>
    </w:p>
    <w:p w14:paraId="01009693">
      <w:pPr>
        <w:spacing w:line="360" w:lineRule="auto"/>
        <w:ind w:firstLine="420" w:firstLineChars="200"/>
        <w:jc w:val="left"/>
        <w:rPr>
          <w:rFonts w:hAnsi="宋体"/>
          <w:color w:val="auto"/>
          <w:kern w:val="0"/>
          <w:szCs w:val="21"/>
        </w:rPr>
      </w:pPr>
      <w:r>
        <w:rPr>
          <w:rFonts w:hAnsi="宋体"/>
          <w:color w:val="auto"/>
          <w:kern w:val="0"/>
          <w:szCs w:val="21"/>
        </w:rPr>
        <w:t>（</w:t>
      </w:r>
      <w:r>
        <w:rPr>
          <w:color w:val="auto"/>
          <w:kern w:val="0"/>
          <w:szCs w:val="21"/>
        </w:rPr>
        <w:t>2</w:t>
      </w:r>
      <w:r>
        <w:rPr>
          <w:rFonts w:hAnsi="宋体"/>
          <w:color w:val="auto"/>
          <w:kern w:val="0"/>
          <w:szCs w:val="21"/>
        </w:rPr>
        <w:t>）承包人有本合同通用条款第</w:t>
      </w:r>
      <w:r>
        <w:rPr>
          <w:color w:val="auto"/>
          <w:kern w:val="0"/>
          <w:szCs w:val="21"/>
        </w:rPr>
        <w:t>16.2.1</w:t>
      </w:r>
      <w:r>
        <w:rPr>
          <w:rFonts w:hAnsi="宋体"/>
          <w:color w:val="auto"/>
          <w:kern w:val="0"/>
          <w:szCs w:val="21"/>
        </w:rPr>
        <w:t>（</w:t>
      </w:r>
      <w:r>
        <w:rPr>
          <w:color w:val="auto"/>
          <w:kern w:val="0"/>
          <w:szCs w:val="21"/>
        </w:rPr>
        <w:t>6</w:t>
      </w:r>
      <w:r>
        <w:rPr>
          <w:rFonts w:hAnsi="宋体"/>
          <w:color w:val="auto"/>
          <w:kern w:val="0"/>
          <w:szCs w:val="21"/>
        </w:rPr>
        <w:t>）条情形的，或经监理人检验认为修复质量不合格而承包人拒绝再进行修补的，发包人将扣除承包人全部质量保修金。</w:t>
      </w:r>
    </w:p>
    <w:p w14:paraId="07475408">
      <w:pPr>
        <w:spacing w:line="360" w:lineRule="auto"/>
        <w:ind w:firstLine="420" w:firstLineChars="200"/>
        <w:jc w:val="left"/>
        <w:rPr>
          <w:rFonts w:hAnsi="宋体"/>
          <w:color w:val="auto"/>
          <w:kern w:val="0"/>
          <w:szCs w:val="21"/>
        </w:rPr>
      </w:pPr>
      <w:r>
        <w:rPr>
          <w:rFonts w:hAnsi="宋体"/>
          <w:color w:val="auto"/>
          <w:kern w:val="0"/>
          <w:szCs w:val="21"/>
        </w:rPr>
        <w:t>（</w:t>
      </w:r>
      <w:r>
        <w:rPr>
          <w:color w:val="auto"/>
          <w:kern w:val="0"/>
          <w:szCs w:val="21"/>
        </w:rPr>
        <w:t>3</w:t>
      </w:r>
      <w:r>
        <w:rPr>
          <w:rFonts w:hAnsi="宋体"/>
          <w:color w:val="auto"/>
          <w:kern w:val="0"/>
          <w:szCs w:val="21"/>
        </w:rPr>
        <w:t>）承包人有本专用合同条款</w:t>
      </w:r>
      <w:r>
        <w:rPr>
          <w:color w:val="auto"/>
          <w:kern w:val="0"/>
          <w:szCs w:val="21"/>
        </w:rPr>
        <w:t>3.2</w:t>
      </w:r>
      <w:r>
        <w:rPr>
          <w:rFonts w:hAnsi="宋体"/>
          <w:color w:val="auto"/>
          <w:kern w:val="0"/>
          <w:szCs w:val="21"/>
        </w:rPr>
        <w:t>、</w:t>
      </w:r>
      <w:r>
        <w:rPr>
          <w:color w:val="auto"/>
          <w:kern w:val="0"/>
          <w:szCs w:val="21"/>
        </w:rPr>
        <w:t>3.3</w:t>
      </w:r>
      <w:r>
        <w:rPr>
          <w:rFonts w:hAnsi="宋体"/>
          <w:color w:val="auto"/>
          <w:kern w:val="0"/>
          <w:szCs w:val="21"/>
        </w:rPr>
        <w:t>条违约责任的，发包人有权扣除承包人的违约金。违约金金额均在承包人的计量支付款内扣除。监理人预先下发含有罚款意向的指令，如承包人不及时采取措施纠正，则在指令下达后十五天下发罚款通知书（不再陈述罚款理由）。承包人在合同期内，完成合同规定的全部工程，且质量合格，在本工程施工竣工验收后十五天内可申请返还全部或部分罚款，返还金额由监理人审核，发包人批准。罚款金额返还时不包括银行利息。</w:t>
      </w:r>
    </w:p>
    <w:p w14:paraId="7696237F">
      <w:pPr>
        <w:spacing w:line="360" w:lineRule="auto"/>
        <w:ind w:firstLine="420" w:firstLineChars="200"/>
        <w:jc w:val="left"/>
        <w:rPr>
          <w:rFonts w:hAnsi="宋体"/>
          <w:color w:val="auto"/>
          <w:szCs w:val="21"/>
        </w:rPr>
      </w:pPr>
      <w:r>
        <w:rPr>
          <w:color w:val="auto"/>
          <w:szCs w:val="21"/>
        </w:rPr>
        <w:t xml:space="preserve">16.2.3 </w:t>
      </w:r>
      <w:r>
        <w:rPr>
          <w:rFonts w:hAnsi="宋体"/>
          <w:color w:val="auto"/>
          <w:szCs w:val="21"/>
        </w:rPr>
        <w:t>因承包人违约解除合同</w:t>
      </w:r>
    </w:p>
    <w:p w14:paraId="09C23A34">
      <w:pPr>
        <w:spacing w:line="360" w:lineRule="auto"/>
        <w:ind w:firstLine="420" w:firstLineChars="200"/>
        <w:jc w:val="left"/>
        <w:rPr>
          <w:rFonts w:hAnsi="宋体"/>
          <w:color w:val="auto"/>
          <w:kern w:val="0"/>
          <w:szCs w:val="21"/>
        </w:rPr>
      </w:pPr>
      <w:r>
        <w:rPr>
          <w:rFonts w:hAnsi="宋体"/>
          <w:color w:val="auto"/>
          <w:kern w:val="0"/>
          <w:szCs w:val="21"/>
        </w:rPr>
        <w:t>关于承包人违约解除合同的特别约定：</w:t>
      </w:r>
      <w:r>
        <w:rPr>
          <w:rFonts w:hAnsi="宋体"/>
          <w:color w:val="auto"/>
          <w:kern w:val="0"/>
          <w:szCs w:val="21"/>
          <w:u w:val="single"/>
        </w:rPr>
        <w:t>承包人有违反以下情况之一的，发包人有权</w:t>
      </w:r>
      <w:r>
        <w:rPr>
          <w:rFonts w:hint="eastAsia"/>
          <w:color w:val="auto"/>
          <w:u w:val="single"/>
        </w:rPr>
        <w:t>依法</w:t>
      </w:r>
      <w:r>
        <w:rPr>
          <w:rFonts w:hAnsi="宋体"/>
          <w:color w:val="auto"/>
          <w:kern w:val="0"/>
          <w:szCs w:val="21"/>
          <w:u w:val="single"/>
        </w:rPr>
        <w:t>解除合同</w:t>
      </w:r>
      <w:r>
        <w:rPr>
          <w:rFonts w:hAnsi="宋体"/>
          <w:color w:val="auto"/>
          <w:kern w:val="0"/>
          <w:szCs w:val="21"/>
        </w:rPr>
        <w:t>。</w:t>
      </w:r>
    </w:p>
    <w:p w14:paraId="7EFB5C7C">
      <w:pPr>
        <w:spacing w:line="360" w:lineRule="auto"/>
        <w:ind w:firstLine="420" w:firstLineChars="200"/>
        <w:jc w:val="left"/>
        <w:rPr>
          <w:rFonts w:hAnsi="宋体"/>
          <w:color w:val="auto"/>
          <w:kern w:val="0"/>
          <w:szCs w:val="21"/>
        </w:rPr>
      </w:pPr>
      <w:r>
        <w:rPr>
          <w:color w:val="auto"/>
          <w:kern w:val="0"/>
          <w:szCs w:val="21"/>
        </w:rPr>
        <w:t>(1)</w:t>
      </w:r>
      <w:r>
        <w:rPr>
          <w:rFonts w:hAnsi="宋体"/>
          <w:color w:val="auto"/>
          <w:kern w:val="0"/>
          <w:szCs w:val="21"/>
        </w:rPr>
        <w:t>承包人无正当理由不按开工通知的要求及时进场组织施工和不按签订协议书时商</w:t>
      </w:r>
      <w:r>
        <w:rPr>
          <w:rFonts w:hint="eastAsia" w:hAnsi="宋体"/>
          <w:color w:val="auto"/>
          <w:kern w:val="0"/>
          <w:szCs w:val="21"/>
        </w:rPr>
        <w:t>定</w:t>
      </w:r>
      <w:r>
        <w:rPr>
          <w:rFonts w:hAnsi="宋体"/>
          <w:color w:val="auto"/>
          <w:kern w:val="0"/>
          <w:szCs w:val="21"/>
        </w:rPr>
        <w:t>的进度计划有效地开展施工准备，造成工期延误的</w:t>
      </w:r>
      <w:r>
        <w:rPr>
          <w:rFonts w:hint="eastAsia" w:hAnsi="宋体"/>
          <w:color w:val="auto"/>
          <w:kern w:val="0"/>
          <w:szCs w:val="21"/>
        </w:rPr>
        <w:t>；</w:t>
      </w:r>
    </w:p>
    <w:p w14:paraId="66847372">
      <w:pPr>
        <w:spacing w:line="360" w:lineRule="auto"/>
        <w:ind w:firstLine="420" w:firstLineChars="200"/>
        <w:jc w:val="left"/>
        <w:rPr>
          <w:rFonts w:hAnsi="宋体"/>
          <w:color w:val="auto"/>
          <w:kern w:val="0"/>
          <w:szCs w:val="21"/>
        </w:rPr>
      </w:pPr>
      <w:r>
        <w:rPr>
          <w:color w:val="auto"/>
          <w:kern w:val="0"/>
          <w:szCs w:val="21"/>
        </w:rPr>
        <w:t>(2)</w:t>
      </w:r>
      <w:r>
        <w:rPr>
          <w:rFonts w:hAnsi="宋体"/>
          <w:color w:val="auto"/>
          <w:kern w:val="0"/>
          <w:szCs w:val="21"/>
        </w:rPr>
        <w:t>承包人违反本合同通用条款第</w:t>
      </w:r>
      <w:r>
        <w:rPr>
          <w:color w:val="auto"/>
          <w:kern w:val="0"/>
          <w:szCs w:val="21"/>
        </w:rPr>
        <w:t>3.5</w:t>
      </w:r>
      <w:r>
        <w:rPr>
          <w:rFonts w:hAnsi="宋体"/>
          <w:color w:val="auto"/>
          <w:kern w:val="0"/>
          <w:szCs w:val="21"/>
        </w:rPr>
        <w:t>条规定私自将合同或合同的任何部分或任何权利转让给其他人，或私自将工程或工程的一部分分包出去的</w:t>
      </w:r>
      <w:r>
        <w:rPr>
          <w:rFonts w:hint="eastAsia" w:hAnsi="宋体"/>
          <w:color w:val="auto"/>
          <w:kern w:val="0"/>
          <w:szCs w:val="21"/>
        </w:rPr>
        <w:t>；</w:t>
      </w:r>
    </w:p>
    <w:p w14:paraId="21C4A89A">
      <w:pPr>
        <w:spacing w:line="360" w:lineRule="auto"/>
        <w:ind w:firstLine="420" w:firstLineChars="200"/>
        <w:jc w:val="left"/>
        <w:rPr>
          <w:rFonts w:hAnsi="宋体"/>
          <w:color w:val="auto"/>
          <w:kern w:val="0"/>
          <w:szCs w:val="21"/>
        </w:rPr>
      </w:pPr>
      <w:r>
        <w:rPr>
          <w:color w:val="auto"/>
          <w:kern w:val="0"/>
          <w:szCs w:val="21"/>
        </w:rPr>
        <w:t>(3)</w:t>
      </w:r>
      <w:r>
        <w:rPr>
          <w:rFonts w:hAnsi="宋体"/>
          <w:color w:val="auto"/>
          <w:kern w:val="0"/>
          <w:szCs w:val="21"/>
        </w:rPr>
        <w:t>未经监理人批准，承包人私自将已按</w:t>
      </w:r>
      <w:r>
        <w:rPr>
          <w:rFonts w:hint="eastAsia" w:hAnsi="宋体"/>
          <w:color w:val="auto"/>
          <w:kern w:val="0"/>
          <w:szCs w:val="21"/>
          <w:lang w:eastAsia="zh-CN"/>
        </w:rPr>
        <w:t>响应文件</w:t>
      </w:r>
      <w:r>
        <w:rPr>
          <w:rFonts w:hAnsi="宋体"/>
          <w:color w:val="auto"/>
          <w:kern w:val="0"/>
          <w:szCs w:val="21"/>
        </w:rPr>
        <w:t>承诺进入工地的工程设备、施工设备、临时工程或材料撤离工地的</w:t>
      </w:r>
      <w:r>
        <w:rPr>
          <w:rFonts w:hint="eastAsia" w:hAnsi="宋体"/>
          <w:color w:val="auto"/>
          <w:kern w:val="0"/>
          <w:szCs w:val="21"/>
        </w:rPr>
        <w:t>；</w:t>
      </w:r>
    </w:p>
    <w:p w14:paraId="17F64CB2">
      <w:pPr>
        <w:spacing w:line="360" w:lineRule="auto"/>
        <w:ind w:firstLine="420" w:firstLineChars="200"/>
        <w:jc w:val="left"/>
        <w:rPr>
          <w:color w:val="auto"/>
          <w:kern w:val="0"/>
          <w:szCs w:val="21"/>
        </w:rPr>
      </w:pPr>
      <w:r>
        <w:rPr>
          <w:color w:val="auto"/>
          <w:kern w:val="0"/>
          <w:szCs w:val="21"/>
        </w:rPr>
        <w:t>(4)</w:t>
      </w:r>
      <w:r>
        <w:rPr>
          <w:rFonts w:hAnsi="宋体"/>
          <w:color w:val="auto"/>
          <w:kern w:val="0"/>
          <w:szCs w:val="21"/>
        </w:rPr>
        <w:t>由于承包人原因拒绝按合同进度计划及时完成合同规定的工程，而又未采取有效措施赶上进度，造成工期</w:t>
      </w:r>
      <w:r>
        <w:rPr>
          <w:rFonts w:hint="eastAsia" w:hAnsi="宋体"/>
          <w:color w:val="auto"/>
          <w:kern w:val="0"/>
          <w:szCs w:val="21"/>
        </w:rPr>
        <w:t>严重</w:t>
      </w:r>
      <w:r>
        <w:rPr>
          <w:rFonts w:hAnsi="宋体"/>
          <w:color w:val="auto"/>
          <w:kern w:val="0"/>
          <w:szCs w:val="21"/>
        </w:rPr>
        <w:t>延误的</w:t>
      </w:r>
      <w:r>
        <w:rPr>
          <w:rFonts w:hint="eastAsia" w:hAnsi="宋体"/>
          <w:color w:val="auto"/>
          <w:kern w:val="0"/>
          <w:szCs w:val="21"/>
        </w:rPr>
        <w:t>；</w:t>
      </w:r>
    </w:p>
    <w:p w14:paraId="69D67A5A">
      <w:pPr>
        <w:spacing w:line="360" w:lineRule="auto"/>
        <w:ind w:firstLine="420" w:firstLineChars="200"/>
        <w:rPr>
          <w:color w:val="auto"/>
          <w:kern w:val="0"/>
          <w:szCs w:val="21"/>
        </w:rPr>
      </w:pPr>
      <w:r>
        <w:rPr>
          <w:color w:val="auto"/>
          <w:kern w:val="0"/>
          <w:szCs w:val="21"/>
        </w:rPr>
        <w:t>(5)</w:t>
      </w:r>
      <w:r>
        <w:rPr>
          <w:rFonts w:hAnsi="宋体"/>
          <w:color w:val="auto"/>
          <w:kern w:val="0"/>
          <w:szCs w:val="21"/>
        </w:rPr>
        <w:t>承包人否认合同有效或拒绝履行合同规定的承包人义务，或由于法律、财务等原因导致承包人无法继续履行或实质上已停止履行合同的义务的</w:t>
      </w:r>
      <w:r>
        <w:rPr>
          <w:rFonts w:hint="eastAsia" w:hAnsi="宋体"/>
          <w:color w:val="auto"/>
          <w:kern w:val="0"/>
          <w:szCs w:val="21"/>
        </w:rPr>
        <w:t>；</w:t>
      </w:r>
    </w:p>
    <w:p w14:paraId="62495652">
      <w:pPr>
        <w:spacing w:line="360" w:lineRule="auto"/>
        <w:ind w:firstLine="420" w:firstLineChars="200"/>
        <w:rPr>
          <w:color w:val="auto"/>
          <w:kern w:val="0"/>
          <w:szCs w:val="21"/>
        </w:rPr>
      </w:pPr>
      <w:r>
        <w:rPr>
          <w:color w:val="auto"/>
          <w:kern w:val="0"/>
          <w:szCs w:val="21"/>
        </w:rPr>
        <w:t>(6)</w:t>
      </w:r>
      <w:r>
        <w:rPr>
          <w:rFonts w:hAnsi="宋体"/>
          <w:color w:val="auto"/>
          <w:kern w:val="0"/>
          <w:szCs w:val="21"/>
        </w:rPr>
        <w:t>合同签订之日起十五日内，承包人无法按合同规定及</w:t>
      </w:r>
      <w:r>
        <w:rPr>
          <w:rFonts w:hint="eastAsia" w:hAnsi="宋体"/>
          <w:color w:val="auto"/>
          <w:kern w:val="0"/>
          <w:szCs w:val="21"/>
          <w:lang w:eastAsia="zh-CN"/>
        </w:rPr>
        <w:t>响应文件</w:t>
      </w:r>
      <w:r>
        <w:rPr>
          <w:rFonts w:hAnsi="宋体"/>
          <w:color w:val="auto"/>
          <w:kern w:val="0"/>
          <w:szCs w:val="21"/>
        </w:rPr>
        <w:t>的承诺进场经监理工程师认可的全部人员和机械的。</w:t>
      </w:r>
    </w:p>
    <w:p w14:paraId="4911D6AC">
      <w:pPr>
        <w:spacing w:line="360" w:lineRule="auto"/>
        <w:ind w:firstLine="420" w:firstLineChars="200"/>
        <w:rPr>
          <w:color w:val="auto"/>
          <w:kern w:val="0"/>
          <w:szCs w:val="21"/>
        </w:rPr>
      </w:pPr>
      <w:r>
        <w:rPr>
          <w:rFonts w:hAnsi="宋体"/>
          <w:color w:val="auto"/>
          <w:kern w:val="0"/>
          <w:szCs w:val="21"/>
        </w:rPr>
        <w:t>发包人继续使用承包人在施工现场的材料、设备、临时工程、承包人文件和由承包人或以其名义编制的其他文件的费用承担方式：</w:t>
      </w:r>
      <w:r>
        <w:rPr>
          <w:rFonts w:hint="eastAsia" w:ascii="宋体" w:hAnsi="宋体"/>
          <w:color w:val="auto"/>
          <w:kern w:val="0"/>
          <w:szCs w:val="21"/>
        </w:rPr>
        <w:t>发包人应支付相应的费用</w:t>
      </w:r>
      <w:r>
        <w:rPr>
          <w:rFonts w:hAnsi="宋体"/>
          <w:color w:val="auto"/>
          <w:kern w:val="0"/>
          <w:szCs w:val="21"/>
        </w:rPr>
        <w:t>。</w:t>
      </w:r>
    </w:p>
    <w:p w14:paraId="066527C3">
      <w:pPr>
        <w:keepNext/>
        <w:keepLines/>
        <w:widowControl/>
        <w:spacing w:before="120" w:after="120" w:line="440" w:lineRule="exact"/>
        <w:outlineLvl w:val="3"/>
        <w:rPr>
          <w:rFonts w:ascii="宋体" w:hAnsi="宋体" w:eastAsia="黑体"/>
          <w:b/>
          <w:color w:val="auto"/>
          <w:kern w:val="0"/>
          <w:sz w:val="28"/>
          <w:szCs w:val="21"/>
        </w:rPr>
      </w:pPr>
      <w:r>
        <w:rPr>
          <w:rFonts w:ascii="宋体" w:hAnsi="宋体" w:eastAsia="黑体"/>
          <w:b/>
          <w:color w:val="auto"/>
          <w:kern w:val="0"/>
          <w:sz w:val="28"/>
          <w:szCs w:val="21"/>
        </w:rPr>
        <w:t>17. 不可抗力</w:t>
      </w:r>
      <w:bookmarkEnd w:id="826"/>
      <w:bookmarkEnd w:id="832"/>
    </w:p>
    <w:p w14:paraId="5E27B68D">
      <w:pPr>
        <w:spacing w:after="120" w:line="440" w:lineRule="exact"/>
        <w:ind w:firstLine="420" w:firstLineChars="200"/>
        <w:rPr>
          <w:rFonts w:ascii="宋体" w:hAnsi="宋体"/>
          <w:color w:val="auto"/>
          <w:szCs w:val="21"/>
        </w:rPr>
      </w:pPr>
      <w:r>
        <w:rPr>
          <w:rFonts w:ascii="宋体" w:hAnsi="宋体"/>
          <w:color w:val="auto"/>
          <w:szCs w:val="21"/>
        </w:rPr>
        <w:t>17.1 不可抗力的确认</w:t>
      </w:r>
    </w:p>
    <w:p w14:paraId="048CC9DC">
      <w:pPr>
        <w:spacing w:line="440" w:lineRule="exact"/>
        <w:ind w:firstLine="420" w:firstLineChars="200"/>
        <w:jc w:val="left"/>
        <w:rPr>
          <w:rFonts w:ascii="宋体" w:hAnsi="宋体"/>
          <w:color w:val="auto"/>
          <w:kern w:val="0"/>
          <w:szCs w:val="21"/>
          <w:u w:val="single"/>
        </w:rPr>
      </w:pPr>
      <w:r>
        <w:rPr>
          <w:rFonts w:ascii="宋体" w:hAnsi="宋体"/>
          <w:color w:val="auto"/>
          <w:szCs w:val="21"/>
        </w:rPr>
        <w:t xml:space="preserve">除通用合同条款约定的不可抗力事件之外，视为不可抗力的其他情形： </w:t>
      </w:r>
      <w:r>
        <w:rPr>
          <w:rFonts w:ascii="宋体" w:hAnsi="宋体"/>
          <w:color w:val="auto"/>
          <w:kern w:val="0"/>
          <w:szCs w:val="21"/>
        </w:rPr>
        <w:t>。</w:t>
      </w:r>
    </w:p>
    <w:p w14:paraId="6E6074B7">
      <w:pPr>
        <w:spacing w:after="120" w:line="440" w:lineRule="exact"/>
        <w:ind w:firstLine="420" w:firstLineChars="200"/>
        <w:rPr>
          <w:rFonts w:ascii="宋体" w:hAnsi="宋体"/>
          <w:color w:val="auto"/>
          <w:szCs w:val="21"/>
        </w:rPr>
      </w:pPr>
      <w:r>
        <w:rPr>
          <w:rFonts w:ascii="宋体" w:hAnsi="宋体"/>
          <w:color w:val="auto"/>
          <w:szCs w:val="21"/>
        </w:rPr>
        <w:t>17.</w:t>
      </w:r>
      <w:r>
        <w:rPr>
          <w:rFonts w:hint="eastAsia" w:ascii="宋体" w:hAnsi="宋体"/>
          <w:color w:val="auto"/>
          <w:szCs w:val="21"/>
        </w:rPr>
        <w:t>2</w:t>
      </w:r>
      <w:r>
        <w:rPr>
          <w:rFonts w:ascii="宋体" w:hAnsi="宋体"/>
          <w:color w:val="auto"/>
          <w:szCs w:val="21"/>
        </w:rPr>
        <w:t xml:space="preserve"> 因不可抗力解除合同</w:t>
      </w:r>
    </w:p>
    <w:p w14:paraId="7DB079E7">
      <w:pPr>
        <w:spacing w:line="440" w:lineRule="exact"/>
        <w:ind w:firstLine="420" w:firstLineChars="200"/>
        <w:jc w:val="left"/>
        <w:rPr>
          <w:rFonts w:ascii="宋体" w:hAnsi="宋体"/>
          <w:color w:val="auto"/>
          <w:szCs w:val="21"/>
        </w:rPr>
      </w:pPr>
      <w:r>
        <w:rPr>
          <w:rFonts w:ascii="宋体" w:hAnsi="宋体"/>
          <w:color w:val="auto"/>
          <w:szCs w:val="21"/>
        </w:rPr>
        <w:t>合同解除后，发包人应在商定或确定发包人应支付款项后天内完成款项的支付。</w:t>
      </w:r>
    </w:p>
    <w:p w14:paraId="0DB106B0">
      <w:pPr>
        <w:keepNext/>
        <w:keepLines/>
        <w:widowControl/>
        <w:spacing w:before="120" w:after="120" w:line="440" w:lineRule="exact"/>
        <w:outlineLvl w:val="3"/>
        <w:rPr>
          <w:rFonts w:ascii="宋体" w:hAnsi="宋体" w:eastAsia="黑体"/>
          <w:b/>
          <w:color w:val="auto"/>
          <w:kern w:val="0"/>
          <w:sz w:val="28"/>
          <w:szCs w:val="21"/>
        </w:rPr>
      </w:pPr>
      <w:bookmarkStart w:id="837" w:name="_Toc351203650"/>
      <w:r>
        <w:rPr>
          <w:rFonts w:ascii="宋体" w:hAnsi="宋体" w:eastAsia="黑体"/>
          <w:b/>
          <w:color w:val="auto"/>
          <w:kern w:val="0"/>
          <w:sz w:val="28"/>
          <w:szCs w:val="21"/>
        </w:rPr>
        <w:t>18. 保险</w:t>
      </w:r>
      <w:bookmarkEnd w:id="837"/>
    </w:p>
    <w:bookmarkEnd w:id="827"/>
    <w:p w14:paraId="5A5FB709">
      <w:pPr>
        <w:spacing w:after="120" w:line="440" w:lineRule="exact"/>
        <w:ind w:firstLine="420" w:firstLineChars="200"/>
        <w:rPr>
          <w:rFonts w:ascii="宋体" w:hAnsi="宋体"/>
          <w:color w:val="auto"/>
          <w:szCs w:val="21"/>
        </w:rPr>
      </w:pPr>
      <w:r>
        <w:rPr>
          <w:rFonts w:ascii="宋体" w:hAnsi="宋体"/>
          <w:color w:val="auto"/>
          <w:szCs w:val="21"/>
        </w:rPr>
        <w:t>18.1 工程保险</w:t>
      </w:r>
    </w:p>
    <w:p w14:paraId="391A6AF3">
      <w:pPr>
        <w:spacing w:line="440" w:lineRule="exact"/>
        <w:ind w:firstLine="420" w:firstLineChars="200"/>
        <w:jc w:val="left"/>
        <w:rPr>
          <w:rFonts w:ascii="宋体" w:hAnsi="宋体"/>
          <w:color w:val="auto"/>
          <w:szCs w:val="21"/>
        </w:rPr>
      </w:pPr>
      <w:r>
        <w:rPr>
          <w:rFonts w:ascii="宋体" w:hAnsi="宋体"/>
          <w:color w:val="auto"/>
          <w:szCs w:val="21"/>
        </w:rPr>
        <w:t>关于其他保险的约定：</w:t>
      </w:r>
      <w:r>
        <w:rPr>
          <w:rFonts w:ascii="宋体" w:hAnsi="宋体"/>
          <w:b/>
          <w:bCs/>
          <w:color w:val="auto"/>
          <w:szCs w:val="21"/>
          <w:u w:val="single"/>
        </w:rPr>
        <w:t>承包人必须为施工现场从事施工的所有作业人员和管理人员办理意外伤害保险，</w:t>
      </w:r>
      <w:r>
        <w:rPr>
          <w:rFonts w:hint="eastAsia" w:ascii="宋体" w:hAnsi="宋体"/>
          <w:b/>
          <w:bCs/>
          <w:color w:val="auto"/>
          <w:szCs w:val="21"/>
          <w:u w:val="single"/>
        </w:rPr>
        <w:t>并</w:t>
      </w:r>
      <w:r>
        <w:rPr>
          <w:rFonts w:ascii="宋体" w:hAnsi="宋体"/>
          <w:b/>
          <w:bCs/>
          <w:color w:val="auto"/>
          <w:szCs w:val="21"/>
          <w:u w:val="single"/>
        </w:rPr>
        <w:t>支付保险费。</w:t>
      </w:r>
    </w:p>
    <w:p w14:paraId="53ABCC4C">
      <w:pPr>
        <w:spacing w:after="120" w:line="440" w:lineRule="exact"/>
        <w:ind w:firstLine="420" w:firstLineChars="200"/>
        <w:rPr>
          <w:rFonts w:ascii="宋体" w:hAnsi="宋体"/>
          <w:color w:val="auto"/>
          <w:szCs w:val="21"/>
        </w:rPr>
      </w:pPr>
      <w:r>
        <w:rPr>
          <w:rFonts w:ascii="宋体" w:hAnsi="宋体"/>
          <w:color w:val="auto"/>
          <w:szCs w:val="21"/>
        </w:rPr>
        <w:t>18.</w:t>
      </w:r>
      <w:r>
        <w:rPr>
          <w:rFonts w:hint="eastAsia" w:ascii="宋体" w:hAnsi="宋体"/>
          <w:color w:val="auto"/>
          <w:szCs w:val="21"/>
        </w:rPr>
        <w:t>2</w:t>
      </w:r>
      <w:r>
        <w:rPr>
          <w:rFonts w:ascii="宋体" w:hAnsi="宋体"/>
          <w:color w:val="auto"/>
          <w:szCs w:val="21"/>
        </w:rPr>
        <w:t>其他保险</w:t>
      </w:r>
    </w:p>
    <w:p w14:paraId="590A94EA">
      <w:pPr>
        <w:spacing w:line="440" w:lineRule="exact"/>
        <w:ind w:firstLine="420" w:firstLineChars="200"/>
        <w:jc w:val="left"/>
        <w:rPr>
          <w:rFonts w:ascii="宋体" w:hAnsi="宋体"/>
          <w:color w:val="auto"/>
          <w:kern w:val="0"/>
          <w:szCs w:val="21"/>
        </w:rPr>
      </w:pPr>
      <w:r>
        <w:rPr>
          <w:rFonts w:ascii="宋体" w:hAnsi="宋体"/>
          <w:color w:val="auto"/>
          <w:szCs w:val="21"/>
        </w:rPr>
        <w:t>关于其他保险的约定：</w:t>
      </w:r>
      <w:r>
        <w:rPr>
          <w:rFonts w:ascii="宋体" w:hAnsi="宋体"/>
          <w:color w:val="auto"/>
          <w:kern w:val="0"/>
          <w:szCs w:val="21"/>
        </w:rPr>
        <w:t>。</w:t>
      </w:r>
    </w:p>
    <w:p w14:paraId="10150A6F">
      <w:pPr>
        <w:spacing w:line="440" w:lineRule="exact"/>
        <w:ind w:firstLine="420" w:firstLineChars="200"/>
        <w:jc w:val="left"/>
        <w:rPr>
          <w:rFonts w:ascii="宋体" w:hAnsi="宋体"/>
          <w:color w:val="auto"/>
          <w:kern w:val="0"/>
          <w:szCs w:val="21"/>
        </w:rPr>
      </w:pPr>
      <w:r>
        <w:rPr>
          <w:rFonts w:ascii="宋体" w:hAnsi="宋体"/>
          <w:color w:val="auto"/>
          <w:szCs w:val="21"/>
        </w:rPr>
        <w:t>承包人是否应为其施工设备等办理财产保险：。</w:t>
      </w:r>
    </w:p>
    <w:p w14:paraId="4E3607B4">
      <w:pPr>
        <w:spacing w:after="120" w:line="440" w:lineRule="exact"/>
        <w:ind w:firstLine="420" w:firstLineChars="200"/>
        <w:rPr>
          <w:rFonts w:ascii="宋体" w:hAnsi="宋体"/>
          <w:color w:val="auto"/>
          <w:szCs w:val="21"/>
        </w:rPr>
      </w:pPr>
      <w:r>
        <w:rPr>
          <w:rFonts w:ascii="宋体" w:hAnsi="宋体"/>
          <w:color w:val="auto"/>
          <w:szCs w:val="21"/>
        </w:rPr>
        <w:t>18.</w:t>
      </w:r>
      <w:r>
        <w:rPr>
          <w:rFonts w:hint="eastAsia" w:ascii="宋体" w:hAnsi="宋体"/>
          <w:color w:val="auto"/>
          <w:szCs w:val="21"/>
        </w:rPr>
        <w:t>3</w:t>
      </w:r>
      <w:r>
        <w:rPr>
          <w:rFonts w:ascii="宋体" w:hAnsi="宋体"/>
          <w:color w:val="auto"/>
          <w:szCs w:val="21"/>
        </w:rPr>
        <w:t xml:space="preserve"> 通知义务</w:t>
      </w:r>
    </w:p>
    <w:p w14:paraId="6A331B37">
      <w:pPr>
        <w:spacing w:line="440" w:lineRule="exact"/>
        <w:ind w:firstLine="420" w:firstLineChars="200"/>
        <w:jc w:val="left"/>
        <w:rPr>
          <w:rFonts w:ascii="宋体" w:hAnsi="宋体"/>
          <w:color w:val="auto"/>
          <w:szCs w:val="21"/>
        </w:rPr>
      </w:pPr>
      <w:r>
        <w:rPr>
          <w:rFonts w:ascii="宋体" w:hAnsi="宋体"/>
          <w:color w:val="auto"/>
          <w:kern w:val="0"/>
          <w:szCs w:val="21"/>
        </w:rPr>
        <w:t>关于变更保险合同时的通知义务的约定：</w:t>
      </w:r>
      <w:r>
        <w:rPr>
          <w:rFonts w:ascii="宋体" w:hAnsi="宋体"/>
          <w:color w:val="auto"/>
          <w:szCs w:val="21"/>
        </w:rPr>
        <w:t>。</w:t>
      </w:r>
    </w:p>
    <w:bookmarkEnd w:id="803"/>
    <w:bookmarkEnd w:id="804"/>
    <w:bookmarkEnd w:id="805"/>
    <w:bookmarkEnd w:id="806"/>
    <w:bookmarkEnd w:id="807"/>
    <w:bookmarkEnd w:id="808"/>
    <w:bookmarkEnd w:id="809"/>
    <w:bookmarkEnd w:id="810"/>
    <w:bookmarkEnd w:id="811"/>
    <w:bookmarkEnd w:id="812"/>
    <w:bookmarkEnd w:id="813"/>
    <w:bookmarkEnd w:id="814"/>
    <w:p w14:paraId="5BB2DE2A">
      <w:pPr>
        <w:keepNext/>
        <w:keepLines/>
        <w:widowControl/>
        <w:spacing w:before="120" w:after="120" w:line="440" w:lineRule="exact"/>
        <w:outlineLvl w:val="3"/>
        <w:rPr>
          <w:rFonts w:ascii="宋体" w:hAnsi="宋体" w:eastAsia="黑体"/>
          <w:b/>
          <w:color w:val="auto"/>
          <w:kern w:val="0"/>
          <w:sz w:val="28"/>
          <w:szCs w:val="21"/>
        </w:rPr>
      </w:pPr>
      <w:bookmarkStart w:id="838" w:name="_Toc351203651"/>
      <w:r>
        <w:rPr>
          <w:rFonts w:hint="eastAsia" w:ascii="宋体" w:hAnsi="宋体" w:eastAsia="黑体"/>
          <w:b/>
          <w:color w:val="auto"/>
          <w:kern w:val="0"/>
          <w:sz w:val="28"/>
          <w:szCs w:val="21"/>
        </w:rPr>
        <w:t>19</w:t>
      </w:r>
      <w:r>
        <w:rPr>
          <w:rFonts w:ascii="宋体" w:hAnsi="宋体" w:eastAsia="黑体"/>
          <w:b/>
          <w:color w:val="auto"/>
          <w:kern w:val="0"/>
          <w:sz w:val="28"/>
          <w:szCs w:val="21"/>
        </w:rPr>
        <w:t>. 争议解决</w:t>
      </w:r>
      <w:bookmarkEnd w:id="838"/>
    </w:p>
    <w:bookmarkEnd w:id="815"/>
    <w:bookmarkEnd w:id="816"/>
    <w:p w14:paraId="43AA6F6C">
      <w:pPr>
        <w:spacing w:after="120" w:line="440" w:lineRule="exact"/>
        <w:ind w:firstLine="420" w:firstLineChars="200"/>
        <w:rPr>
          <w:rFonts w:ascii="宋体" w:hAnsi="宋体"/>
          <w:color w:val="auto"/>
          <w:szCs w:val="21"/>
        </w:rPr>
      </w:pPr>
      <w:r>
        <w:rPr>
          <w:rFonts w:hint="eastAsia" w:ascii="宋体" w:hAnsi="宋体"/>
          <w:color w:val="auto"/>
          <w:szCs w:val="21"/>
        </w:rPr>
        <w:t>19.1</w:t>
      </w:r>
      <w:r>
        <w:rPr>
          <w:rFonts w:ascii="宋体" w:hAnsi="宋体"/>
          <w:color w:val="auto"/>
          <w:szCs w:val="21"/>
        </w:rPr>
        <w:t xml:space="preserve"> 争</w:t>
      </w:r>
      <w:bookmarkEnd w:id="817"/>
      <w:r>
        <w:rPr>
          <w:rFonts w:ascii="宋体" w:hAnsi="宋体"/>
          <w:color w:val="auto"/>
          <w:szCs w:val="21"/>
        </w:rPr>
        <w:t>议评审</w:t>
      </w:r>
    </w:p>
    <w:p w14:paraId="4292445A">
      <w:pPr>
        <w:spacing w:line="440" w:lineRule="exact"/>
        <w:ind w:firstLine="420" w:firstLineChars="200"/>
        <w:jc w:val="left"/>
        <w:rPr>
          <w:rFonts w:ascii="宋体" w:hAnsi="宋体"/>
          <w:color w:val="auto"/>
          <w:szCs w:val="21"/>
        </w:rPr>
      </w:pPr>
      <w:r>
        <w:rPr>
          <w:rFonts w:ascii="宋体" w:hAnsi="宋体"/>
          <w:color w:val="auto"/>
          <w:szCs w:val="21"/>
        </w:rPr>
        <w:t>合同当事人是否同意将工程争议提交争议评审小组决</w:t>
      </w:r>
      <w:r>
        <w:rPr>
          <w:rFonts w:hint="eastAsia" w:ascii="宋体" w:hAnsi="宋体"/>
          <w:color w:val="auto"/>
          <w:szCs w:val="21"/>
        </w:rPr>
        <w:t xml:space="preserve">定：。  </w:t>
      </w:r>
    </w:p>
    <w:p w14:paraId="3FBC31DC">
      <w:pPr>
        <w:spacing w:line="440" w:lineRule="exact"/>
        <w:ind w:firstLine="420" w:firstLineChars="200"/>
        <w:jc w:val="left"/>
        <w:rPr>
          <w:rFonts w:ascii="宋体" w:hAnsi="宋体"/>
          <w:color w:val="auto"/>
          <w:szCs w:val="21"/>
        </w:rPr>
      </w:pPr>
      <w:r>
        <w:rPr>
          <w:rFonts w:hint="eastAsia" w:ascii="宋体" w:hAnsi="宋体"/>
          <w:color w:val="auto"/>
          <w:szCs w:val="21"/>
        </w:rPr>
        <w:t>19.1.1</w:t>
      </w:r>
      <w:r>
        <w:rPr>
          <w:rFonts w:ascii="宋体" w:hAnsi="宋体"/>
          <w:color w:val="auto"/>
          <w:szCs w:val="21"/>
        </w:rPr>
        <w:t xml:space="preserve"> 争议评审小组的确定</w:t>
      </w:r>
    </w:p>
    <w:p w14:paraId="58A590FA">
      <w:pPr>
        <w:spacing w:line="440" w:lineRule="exact"/>
        <w:ind w:firstLine="420" w:firstLineChars="200"/>
        <w:jc w:val="left"/>
        <w:rPr>
          <w:rFonts w:ascii="宋体" w:hAnsi="宋体"/>
          <w:color w:val="auto"/>
          <w:szCs w:val="21"/>
          <w:u w:val="single"/>
        </w:rPr>
      </w:pPr>
      <w:r>
        <w:rPr>
          <w:rFonts w:ascii="宋体" w:hAnsi="宋体"/>
          <w:color w:val="auto"/>
          <w:szCs w:val="21"/>
        </w:rPr>
        <w:t>争议评审小组成员的确定：。</w:t>
      </w:r>
    </w:p>
    <w:p w14:paraId="1B504340">
      <w:pPr>
        <w:spacing w:line="440" w:lineRule="exact"/>
        <w:ind w:firstLine="420" w:firstLineChars="200"/>
        <w:jc w:val="left"/>
        <w:rPr>
          <w:rFonts w:ascii="宋体" w:hAnsi="宋体"/>
          <w:color w:val="auto"/>
          <w:szCs w:val="21"/>
        </w:rPr>
      </w:pPr>
      <w:r>
        <w:rPr>
          <w:rFonts w:ascii="宋体" w:hAnsi="宋体"/>
          <w:color w:val="auto"/>
          <w:szCs w:val="21"/>
        </w:rPr>
        <w:t>选定争议评审员的期限：。</w:t>
      </w:r>
    </w:p>
    <w:p w14:paraId="3BD29FE3">
      <w:pPr>
        <w:spacing w:line="440" w:lineRule="exact"/>
        <w:ind w:firstLine="420" w:firstLineChars="200"/>
        <w:jc w:val="left"/>
        <w:rPr>
          <w:rFonts w:ascii="宋体" w:hAnsi="宋体"/>
          <w:color w:val="auto"/>
          <w:szCs w:val="21"/>
        </w:rPr>
      </w:pPr>
      <w:r>
        <w:rPr>
          <w:rFonts w:ascii="宋体" w:hAnsi="宋体"/>
          <w:color w:val="auto"/>
          <w:szCs w:val="21"/>
        </w:rPr>
        <w:t>争议评审小组成员的报酬承担方式：。</w:t>
      </w:r>
    </w:p>
    <w:p w14:paraId="63A4061C">
      <w:pPr>
        <w:spacing w:line="440" w:lineRule="exact"/>
        <w:ind w:firstLine="420" w:firstLineChars="200"/>
        <w:jc w:val="left"/>
        <w:rPr>
          <w:rFonts w:ascii="宋体" w:hAnsi="宋体"/>
          <w:color w:val="auto"/>
          <w:szCs w:val="21"/>
        </w:rPr>
      </w:pPr>
      <w:r>
        <w:rPr>
          <w:rFonts w:ascii="宋体" w:hAnsi="宋体"/>
          <w:color w:val="auto"/>
          <w:szCs w:val="21"/>
        </w:rPr>
        <w:t>其他事项的约定：。</w:t>
      </w:r>
    </w:p>
    <w:p w14:paraId="3748EDB3">
      <w:pPr>
        <w:autoSpaceDE w:val="0"/>
        <w:autoSpaceDN w:val="0"/>
        <w:adjustRightInd w:val="0"/>
        <w:spacing w:line="440" w:lineRule="exact"/>
        <w:ind w:firstLine="420" w:firstLineChars="200"/>
        <w:jc w:val="left"/>
        <w:rPr>
          <w:rFonts w:ascii="宋体" w:hAnsi="宋体"/>
          <w:color w:val="auto"/>
          <w:kern w:val="0"/>
          <w:szCs w:val="21"/>
        </w:rPr>
      </w:pPr>
      <w:r>
        <w:rPr>
          <w:rFonts w:hint="eastAsia" w:ascii="宋体" w:hAnsi="宋体"/>
          <w:color w:val="auto"/>
          <w:kern w:val="0"/>
          <w:szCs w:val="21"/>
        </w:rPr>
        <w:t>19.1.2</w:t>
      </w:r>
      <w:r>
        <w:rPr>
          <w:rFonts w:ascii="宋体" w:hAnsi="宋体"/>
          <w:color w:val="auto"/>
          <w:kern w:val="0"/>
          <w:szCs w:val="21"/>
        </w:rPr>
        <w:t xml:space="preserve"> 争议评审小组的决定</w:t>
      </w:r>
    </w:p>
    <w:p w14:paraId="71065BC6">
      <w:pPr>
        <w:spacing w:line="440" w:lineRule="exact"/>
        <w:ind w:firstLine="420" w:firstLineChars="200"/>
        <w:jc w:val="left"/>
        <w:rPr>
          <w:rFonts w:ascii="宋体" w:hAnsi="宋体"/>
          <w:color w:val="auto"/>
          <w:szCs w:val="21"/>
        </w:rPr>
      </w:pPr>
      <w:r>
        <w:rPr>
          <w:rFonts w:ascii="宋体" w:hAnsi="宋体"/>
          <w:color w:val="auto"/>
          <w:szCs w:val="21"/>
        </w:rPr>
        <w:t>合同当事人关于本项的约定：。</w:t>
      </w:r>
    </w:p>
    <w:p w14:paraId="0C457EC8">
      <w:pPr>
        <w:spacing w:after="120" w:line="440" w:lineRule="exact"/>
        <w:ind w:firstLine="420" w:firstLineChars="200"/>
        <w:rPr>
          <w:rFonts w:ascii="宋体" w:hAnsi="宋体"/>
          <w:color w:val="auto"/>
          <w:szCs w:val="21"/>
        </w:rPr>
      </w:pPr>
      <w:r>
        <w:rPr>
          <w:rFonts w:hint="eastAsia" w:ascii="宋体" w:hAnsi="宋体"/>
          <w:color w:val="auto"/>
          <w:szCs w:val="21"/>
        </w:rPr>
        <w:t>19</w:t>
      </w:r>
      <w:r>
        <w:rPr>
          <w:rFonts w:ascii="宋体" w:hAnsi="宋体"/>
          <w:color w:val="auto"/>
          <w:szCs w:val="21"/>
        </w:rPr>
        <w:t>.</w:t>
      </w:r>
      <w:r>
        <w:rPr>
          <w:rFonts w:hint="eastAsia" w:ascii="宋体" w:hAnsi="宋体"/>
          <w:color w:val="auto"/>
          <w:szCs w:val="21"/>
        </w:rPr>
        <w:t>2</w:t>
      </w:r>
      <w:r>
        <w:rPr>
          <w:rFonts w:ascii="宋体" w:hAnsi="宋体"/>
          <w:color w:val="auto"/>
          <w:szCs w:val="21"/>
        </w:rPr>
        <w:t>仲裁或诉讼</w:t>
      </w:r>
      <w:bookmarkEnd w:id="818"/>
    </w:p>
    <w:p w14:paraId="7317D4B6">
      <w:pPr>
        <w:spacing w:after="120" w:line="440" w:lineRule="exact"/>
        <w:ind w:firstLine="420" w:firstLineChars="200"/>
        <w:rPr>
          <w:rFonts w:ascii="宋体" w:hAnsi="宋体"/>
          <w:color w:val="auto"/>
          <w:szCs w:val="21"/>
        </w:rPr>
      </w:pPr>
      <w:r>
        <w:rPr>
          <w:rFonts w:ascii="宋体" w:hAnsi="宋体"/>
          <w:color w:val="auto"/>
          <w:szCs w:val="21"/>
        </w:rPr>
        <w:t>因合同及合同有关事项发生的争议，按下列第</w:t>
      </w:r>
      <w:r>
        <w:rPr>
          <w:rFonts w:hint="eastAsia" w:ascii="宋体" w:hAnsi="宋体"/>
          <w:color w:val="auto"/>
          <w:szCs w:val="21"/>
          <w:u w:val="single"/>
        </w:rPr>
        <w:t>2</w:t>
      </w:r>
      <w:r>
        <w:rPr>
          <w:rFonts w:ascii="宋体" w:hAnsi="宋体"/>
          <w:color w:val="auto"/>
          <w:szCs w:val="21"/>
        </w:rPr>
        <w:t>种方式</w:t>
      </w:r>
      <w:r>
        <w:rPr>
          <w:rFonts w:hint="eastAsia" w:ascii="宋体" w:hAnsi="宋体"/>
          <w:color w:val="auto"/>
          <w:szCs w:val="21"/>
        </w:rPr>
        <w:t>解</w:t>
      </w:r>
      <w:r>
        <w:rPr>
          <w:rFonts w:ascii="宋体" w:hAnsi="宋体"/>
          <w:color w:val="auto"/>
          <w:szCs w:val="21"/>
        </w:rPr>
        <w:t>决：</w:t>
      </w:r>
    </w:p>
    <w:p w14:paraId="1DDC48CC">
      <w:pPr>
        <w:spacing w:line="440" w:lineRule="exact"/>
        <w:ind w:firstLine="420" w:firstLineChars="200"/>
        <w:jc w:val="left"/>
        <w:rPr>
          <w:rFonts w:ascii="宋体" w:hAnsi="宋体"/>
          <w:color w:val="auto"/>
          <w:szCs w:val="21"/>
        </w:rPr>
      </w:pPr>
      <w:r>
        <w:rPr>
          <w:rFonts w:ascii="宋体" w:hAnsi="宋体"/>
          <w:color w:val="auto"/>
          <w:szCs w:val="21"/>
        </w:rPr>
        <w:t>（1）向</w:t>
      </w:r>
      <w:r>
        <w:rPr>
          <w:rFonts w:hint="eastAsia" w:ascii="宋体" w:hAnsi="宋体"/>
          <w:color w:val="auto"/>
          <w:szCs w:val="21"/>
          <w:u w:val="single"/>
        </w:rPr>
        <w:t>钦州市</w:t>
      </w:r>
      <w:r>
        <w:rPr>
          <w:rFonts w:ascii="宋体" w:hAnsi="宋体"/>
          <w:color w:val="auto"/>
          <w:szCs w:val="21"/>
        </w:rPr>
        <w:t>仲裁委员会申请仲裁</w:t>
      </w:r>
      <w:r>
        <w:rPr>
          <w:rFonts w:hint="eastAsia" w:ascii="宋体" w:hAnsi="宋体"/>
          <w:color w:val="auto"/>
          <w:szCs w:val="21"/>
        </w:rPr>
        <w:t>；</w:t>
      </w:r>
    </w:p>
    <w:p w14:paraId="4FB74253">
      <w:pPr>
        <w:spacing w:line="440" w:lineRule="exact"/>
        <w:ind w:firstLine="420" w:firstLineChars="200"/>
        <w:jc w:val="left"/>
        <w:rPr>
          <w:rFonts w:ascii="宋体" w:hAnsi="宋体"/>
          <w:color w:val="auto"/>
          <w:szCs w:val="21"/>
        </w:rPr>
      </w:pPr>
      <w:r>
        <w:rPr>
          <w:rFonts w:ascii="宋体" w:hAnsi="宋体"/>
          <w:color w:val="auto"/>
          <w:szCs w:val="21"/>
        </w:rPr>
        <w:t>（2）</w:t>
      </w:r>
      <w:bookmarkEnd w:id="819"/>
      <w:bookmarkEnd w:id="820"/>
      <w:bookmarkEnd w:id="821"/>
      <w:bookmarkEnd w:id="822"/>
      <w:bookmarkEnd w:id="823"/>
      <w:bookmarkEnd w:id="824"/>
      <w:r>
        <w:rPr>
          <w:rFonts w:ascii="宋体" w:hAnsi="宋体"/>
          <w:color w:val="auto"/>
          <w:szCs w:val="21"/>
        </w:rPr>
        <w:t>向</w:t>
      </w:r>
      <w:r>
        <w:rPr>
          <w:rFonts w:hint="eastAsia" w:ascii="宋体" w:hAnsi="宋体"/>
          <w:color w:val="auto"/>
          <w:szCs w:val="21"/>
        </w:rPr>
        <w:t>工程所在地钦州市钦北区</w:t>
      </w:r>
      <w:r>
        <w:rPr>
          <w:rFonts w:ascii="宋体" w:hAnsi="宋体"/>
          <w:color w:val="auto"/>
          <w:szCs w:val="21"/>
        </w:rPr>
        <w:t>人民法院起诉。</w:t>
      </w:r>
    </w:p>
    <w:p w14:paraId="534F941B">
      <w:pPr>
        <w:keepNext/>
        <w:keepLines/>
        <w:widowControl/>
        <w:spacing w:before="120" w:after="120" w:line="440" w:lineRule="exact"/>
        <w:outlineLvl w:val="3"/>
        <w:rPr>
          <w:rFonts w:ascii="宋体" w:hAnsi="宋体" w:eastAsia="黑体"/>
          <w:b/>
          <w:color w:val="auto"/>
          <w:kern w:val="0"/>
          <w:sz w:val="28"/>
          <w:szCs w:val="21"/>
        </w:rPr>
      </w:pPr>
      <w:r>
        <w:rPr>
          <w:rFonts w:hint="eastAsia" w:ascii="宋体" w:hAnsi="宋体" w:eastAsia="黑体"/>
          <w:b/>
          <w:color w:val="auto"/>
          <w:kern w:val="0"/>
          <w:sz w:val="28"/>
          <w:szCs w:val="21"/>
        </w:rPr>
        <w:t>20</w:t>
      </w:r>
      <w:r>
        <w:rPr>
          <w:rFonts w:ascii="宋体" w:hAnsi="宋体" w:eastAsia="黑体"/>
          <w:b/>
          <w:color w:val="auto"/>
          <w:kern w:val="0"/>
          <w:sz w:val="28"/>
          <w:szCs w:val="21"/>
        </w:rPr>
        <w:t>.</w:t>
      </w:r>
      <w:r>
        <w:rPr>
          <w:rFonts w:hint="eastAsia" w:ascii="宋体" w:hAnsi="宋体" w:eastAsia="黑体"/>
          <w:b/>
          <w:color w:val="auto"/>
          <w:kern w:val="0"/>
          <w:sz w:val="28"/>
          <w:szCs w:val="21"/>
        </w:rPr>
        <w:t>补充条款</w:t>
      </w:r>
    </w:p>
    <w:p w14:paraId="33694D58">
      <w:pPr>
        <w:keepNext/>
        <w:keepLines/>
        <w:widowControl/>
        <w:spacing w:before="260" w:after="260" w:line="360" w:lineRule="auto"/>
        <w:jc w:val="left"/>
        <w:outlineLvl w:val="1"/>
        <w:rPr>
          <w:rFonts w:ascii="宋体" w:hAnsi="宋体"/>
          <w:color w:val="auto"/>
          <w:kern w:val="0"/>
          <w:szCs w:val="21"/>
        </w:rPr>
      </w:pPr>
      <w:r>
        <w:rPr>
          <w:rFonts w:hint="eastAsia" w:ascii="宋体" w:hAnsi="宋体"/>
          <w:color w:val="auto"/>
          <w:kern w:val="0"/>
          <w:szCs w:val="21"/>
        </w:rPr>
        <w:t>20.1实行农民工工资保障制度，承包人应按《不拖欠农民工工资保障金承诺书》履行，承包人向发包人保证不拖欠农民工工资。并按有关规定交纳农民工工资保证金，否则发包人有权依法解除合同。</w:t>
      </w:r>
    </w:p>
    <w:p w14:paraId="4F95BA61">
      <w:pPr>
        <w:keepNext/>
        <w:keepLines/>
        <w:widowControl/>
        <w:spacing w:before="260" w:after="260" w:line="360" w:lineRule="auto"/>
        <w:jc w:val="left"/>
        <w:outlineLvl w:val="1"/>
        <w:rPr>
          <w:rFonts w:ascii="宋体" w:hAnsi="宋体"/>
          <w:color w:val="auto"/>
          <w:kern w:val="0"/>
          <w:szCs w:val="21"/>
        </w:rPr>
      </w:pPr>
      <w:r>
        <w:rPr>
          <w:rFonts w:hint="eastAsia" w:ascii="宋体" w:hAnsi="宋体"/>
          <w:color w:val="auto"/>
          <w:kern w:val="0"/>
          <w:szCs w:val="21"/>
        </w:rPr>
        <w:t>20.2承包人应根据钦州市建管规定【2017】49号文以及《钦州市建设领域农民工工资支付监管暂行办法》等相关规定，设立农民工工资支付专用账户，并遵照规定做好农民工工资支付管理及劳动用工管理工资，并接受监理工程师、发包人及相关职能部门的监督检查。发包人在支付工程进度款时，将工人工资从进度款中单独分开拨付到承包人开设的农民工工资专用账户，其中拨付的工程进度款中工人工资所占的比例为工程进度款应付金额的20%。承包人必须通过农民工工资支付账户，已发按时足额将农民工工资支付明细报发包人和当地劳动保障检查部门备案。</w:t>
      </w:r>
    </w:p>
    <w:p w14:paraId="5B5D4E99">
      <w:pPr>
        <w:spacing w:line="360" w:lineRule="auto"/>
        <w:rPr>
          <w:rFonts w:ascii="宋体" w:hAnsi="宋体"/>
          <w:color w:val="auto"/>
          <w:szCs w:val="21"/>
        </w:rPr>
      </w:pPr>
      <w:r>
        <w:rPr>
          <w:rFonts w:hint="eastAsia" w:ascii="宋体" w:hAnsi="宋体"/>
          <w:color w:val="auto"/>
          <w:szCs w:val="21"/>
        </w:rPr>
        <w:t>20.3承包人应据实编制工程项目结算资料，承包人报送工程结算价超过发包人送钦州市公共投资审计中心或委托有资质的造价咨询机构最终审定的结果正负11%的，构成承包人违约，承包人应向发包人支付违约金。违约金按本工程结算审核委托造价咨询机构产生的审核费用（包括发包人直接委托或审计部门委托产生的费用）全部由承包人承担，并由发包人在支付承包人的工程款中代扣支付给造价咨询机构。</w:t>
      </w:r>
    </w:p>
    <w:p w14:paraId="3FA2EDB4">
      <w:pPr>
        <w:spacing w:line="360" w:lineRule="auto"/>
        <w:rPr>
          <w:color w:val="auto"/>
          <w:szCs w:val="21"/>
        </w:rPr>
      </w:pPr>
      <w:r>
        <w:rPr>
          <w:color w:val="auto"/>
          <w:szCs w:val="21"/>
        </w:rPr>
        <w:t>2</w:t>
      </w:r>
      <w:r>
        <w:rPr>
          <w:rFonts w:hint="eastAsia"/>
          <w:color w:val="auto"/>
          <w:szCs w:val="21"/>
        </w:rPr>
        <w:t>0</w:t>
      </w:r>
      <w:r>
        <w:rPr>
          <w:color w:val="auto"/>
          <w:szCs w:val="21"/>
        </w:rPr>
        <w:t>.</w:t>
      </w:r>
      <w:r>
        <w:rPr>
          <w:rFonts w:hint="eastAsia"/>
          <w:color w:val="auto"/>
          <w:szCs w:val="21"/>
        </w:rPr>
        <w:t>4</w:t>
      </w:r>
      <w:r>
        <w:rPr>
          <w:rFonts w:hAnsi="宋体"/>
          <w:color w:val="auto"/>
          <w:szCs w:val="21"/>
        </w:rPr>
        <w:t>凡进入本工程工作的妇女应持有计生证、否则不准安排工作，禁止使用童工。</w:t>
      </w:r>
    </w:p>
    <w:p w14:paraId="73536056">
      <w:pPr>
        <w:widowControl/>
        <w:jc w:val="left"/>
        <w:rPr>
          <w:rFonts w:hAnsi="宋体" w:cs="宋体"/>
          <w:color w:val="auto"/>
          <w:sz w:val="30"/>
          <w:szCs w:val="30"/>
        </w:rPr>
      </w:pPr>
      <w:r>
        <w:rPr>
          <w:rFonts w:hAnsi="宋体" w:cs="宋体"/>
          <w:color w:val="auto"/>
          <w:sz w:val="30"/>
          <w:szCs w:val="30"/>
        </w:rPr>
        <w:br w:type="page"/>
      </w:r>
    </w:p>
    <w:p w14:paraId="3ADBB0E1">
      <w:pPr>
        <w:spacing w:line="440" w:lineRule="exact"/>
        <w:rPr>
          <w:color w:val="auto"/>
          <w:sz w:val="30"/>
          <w:szCs w:val="30"/>
        </w:rPr>
      </w:pPr>
      <w:r>
        <w:rPr>
          <w:rFonts w:hint="eastAsia" w:hAnsi="宋体" w:cs="宋体"/>
          <w:color w:val="auto"/>
          <w:sz w:val="30"/>
          <w:szCs w:val="30"/>
        </w:rPr>
        <w:t>附件1：</w:t>
      </w:r>
    </w:p>
    <w:p w14:paraId="2B9C832D">
      <w:pPr>
        <w:spacing w:before="156" w:beforeLines="50" w:after="156" w:afterLines="50" w:line="440" w:lineRule="exact"/>
        <w:jc w:val="center"/>
        <w:rPr>
          <w:rFonts w:ascii="黑体" w:eastAsia="黑体"/>
          <w:color w:val="auto"/>
          <w:sz w:val="32"/>
          <w:szCs w:val="32"/>
        </w:rPr>
      </w:pPr>
      <w:r>
        <w:rPr>
          <w:rFonts w:hint="eastAsia" w:ascii="黑体" w:hAnsi="宋体" w:eastAsia="黑体" w:cs="黑体"/>
          <w:color w:val="auto"/>
          <w:sz w:val="32"/>
          <w:szCs w:val="32"/>
        </w:rPr>
        <w:t>工程质量保修书（房屋建筑工程）</w:t>
      </w:r>
    </w:p>
    <w:p w14:paraId="0A2A6C1D">
      <w:pPr>
        <w:spacing w:line="440" w:lineRule="exact"/>
        <w:ind w:firstLine="420" w:firstLineChars="200"/>
        <w:rPr>
          <w:color w:val="auto"/>
        </w:rPr>
      </w:pPr>
      <w:r>
        <w:rPr>
          <w:rFonts w:hint="eastAsia" w:hAnsi="宋体" w:cs="宋体"/>
          <w:color w:val="auto"/>
        </w:rPr>
        <w:t>发包人（全称）：</w:t>
      </w:r>
    </w:p>
    <w:p w14:paraId="48EB332E">
      <w:pPr>
        <w:spacing w:line="440" w:lineRule="exact"/>
        <w:ind w:firstLine="420" w:firstLineChars="200"/>
        <w:rPr>
          <w:color w:val="auto"/>
        </w:rPr>
      </w:pPr>
      <w:r>
        <w:rPr>
          <w:rFonts w:hint="eastAsia" w:hAnsi="宋体" w:cs="宋体"/>
          <w:color w:val="auto"/>
        </w:rPr>
        <w:t>承包人（全称）：</w:t>
      </w:r>
    </w:p>
    <w:p w14:paraId="4D30C6CE">
      <w:pPr>
        <w:spacing w:line="440" w:lineRule="exact"/>
        <w:rPr>
          <w:color w:val="auto"/>
        </w:rPr>
      </w:pPr>
    </w:p>
    <w:p w14:paraId="088D49E3">
      <w:pPr>
        <w:spacing w:line="360" w:lineRule="auto"/>
        <w:ind w:firstLine="420" w:firstLineChars="200"/>
        <w:rPr>
          <w:rFonts w:hAnsi="宋体"/>
          <w:color w:val="auto"/>
        </w:rPr>
      </w:pPr>
      <w:r>
        <w:rPr>
          <w:rFonts w:hint="eastAsia" w:hAnsi="宋体" w:cs="宋体"/>
          <w:color w:val="auto"/>
        </w:rPr>
        <w:t>发包人和承包人根据《中华人民共和国建筑法》和《建设工程质量管理条例》，经协商一致就（工程全称：</w:t>
      </w:r>
      <w:r>
        <w:rPr>
          <w:rFonts w:hint="eastAsia" w:hAnsi="宋体" w:cs="宋体"/>
          <w:color w:val="auto"/>
          <w:lang w:eastAsia="zh-CN"/>
        </w:rPr>
        <w:t>钦州市公安局反恐怖和特巡警支队营房改造修缮项目</w:t>
      </w:r>
      <w:r>
        <w:rPr>
          <w:rFonts w:hint="eastAsia" w:hAnsi="宋体" w:cs="宋体"/>
          <w:color w:val="auto"/>
        </w:rPr>
        <w:t>）签订工程质量保修书。</w:t>
      </w:r>
    </w:p>
    <w:p w14:paraId="3B5DE569">
      <w:pPr>
        <w:spacing w:line="360" w:lineRule="auto"/>
        <w:ind w:firstLine="420" w:firstLineChars="200"/>
        <w:rPr>
          <w:rFonts w:ascii="黑体" w:hAnsi="宋体" w:eastAsia="黑体"/>
          <w:color w:val="auto"/>
        </w:rPr>
      </w:pPr>
      <w:r>
        <w:rPr>
          <w:rFonts w:hint="eastAsia" w:ascii="黑体" w:hAnsi="宋体" w:eastAsia="黑体" w:cs="黑体"/>
          <w:color w:val="auto"/>
        </w:rPr>
        <w:t>一、工程质量保修范围和内容</w:t>
      </w:r>
    </w:p>
    <w:p w14:paraId="7C311561">
      <w:pPr>
        <w:spacing w:line="360" w:lineRule="auto"/>
        <w:ind w:firstLine="420" w:firstLineChars="200"/>
        <w:rPr>
          <w:color w:val="auto"/>
        </w:rPr>
      </w:pPr>
      <w:r>
        <w:rPr>
          <w:rFonts w:hint="eastAsia" w:hAnsi="宋体" w:cs="宋体"/>
          <w:color w:val="auto"/>
        </w:rPr>
        <w:t>承包人在质量保修期内，按照有关法律规定和合同约定，承担工程质量保修责任。</w:t>
      </w:r>
    </w:p>
    <w:p w14:paraId="6BF367BE">
      <w:pPr>
        <w:spacing w:line="360" w:lineRule="auto"/>
        <w:ind w:firstLine="420"/>
        <w:rPr>
          <w:rFonts w:hAnsi="宋体"/>
          <w:color w:val="auto"/>
        </w:rPr>
      </w:pPr>
      <w:r>
        <w:rPr>
          <w:rFonts w:hint="eastAsia" w:hAnsi="宋体" w:cs="宋体"/>
          <w:color w:val="auto"/>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D4B680B">
      <w:pPr>
        <w:spacing w:line="360" w:lineRule="auto"/>
        <w:ind w:firstLine="420"/>
        <w:rPr>
          <w:rFonts w:ascii="黑体" w:hAnsi="宋体" w:eastAsia="黑体"/>
          <w:color w:val="auto"/>
        </w:rPr>
      </w:pPr>
      <w:r>
        <w:rPr>
          <w:rFonts w:hint="eastAsia" w:ascii="黑体" w:hAnsi="宋体" w:eastAsia="黑体" w:cs="黑体"/>
          <w:color w:val="auto"/>
        </w:rPr>
        <w:t>二、质量保修期</w:t>
      </w:r>
    </w:p>
    <w:p w14:paraId="17F9B237">
      <w:pPr>
        <w:spacing w:line="360" w:lineRule="auto"/>
        <w:ind w:firstLine="420"/>
        <w:rPr>
          <w:rFonts w:hAnsi="宋体"/>
          <w:color w:val="auto"/>
        </w:rPr>
      </w:pPr>
      <w:r>
        <w:rPr>
          <w:rFonts w:hint="eastAsia" w:hAnsi="宋体" w:cs="宋体"/>
          <w:color w:val="auto"/>
        </w:rPr>
        <w:t>根据《建设工程质量管理条例》及有关规定，工程的质量保修期如下：</w:t>
      </w:r>
    </w:p>
    <w:p w14:paraId="604C169E">
      <w:pPr>
        <w:wordWrap w:val="0"/>
        <w:spacing w:line="400" w:lineRule="exact"/>
        <w:ind w:firstLine="420" w:firstLineChars="200"/>
        <w:rPr>
          <w:rFonts w:ascii="宋体" w:hAnsi="宋体" w:cs="宋体"/>
          <w:color w:val="auto"/>
          <w:szCs w:val="21"/>
        </w:rPr>
      </w:pPr>
      <w:r>
        <w:rPr>
          <w:rFonts w:hint="eastAsia" w:ascii="宋体" w:hAnsi="宋体" w:cs="宋体"/>
          <w:color w:val="auto"/>
          <w:szCs w:val="21"/>
        </w:rPr>
        <w:t>保修期限约定如下：</w:t>
      </w:r>
      <w:r>
        <w:rPr>
          <w:rFonts w:hint="eastAsia" w:ascii="宋体" w:hAnsi="宋体" w:cs="宋体"/>
          <w:color w:val="auto"/>
          <w:szCs w:val="21"/>
          <w:u w:val="single"/>
        </w:rPr>
        <w:t>2年。</w:t>
      </w:r>
    </w:p>
    <w:p w14:paraId="104ED152">
      <w:pPr>
        <w:spacing w:line="360" w:lineRule="auto"/>
        <w:ind w:firstLine="420"/>
        <w:rPr>
          <w:rFonts w:hAnsi="宋体"/>
          <w:color w:val="auto"/>
        </w:rPr>
      </w:pPr>
      <w:r>
        <w:rPr>
          <w:rFonts w:hint="eastAsia" w:hAnsi="宋体" w:cs="宋体"/>
          <w:color w:val="auto"/>
        </w:rPr>
        <w:t>质量保修期自工程竣工验收合格之日起计算。</w:t>
      </w:r>
    </w:p>
    <w:p w14:paraId="2853424B">
      <w:pPr>
        <w:spacing w:line="360" w:lineRule="auto"/>
        <w:ind w:firstLine="420"/>
        <w:rPr>
          <w:rFonts w:ascii="黑体" w:hAnsi="宋体" w:eastAsia="黑体"/>
          <w:color w:val="auto"/>
        </w:rPr>
      </w:pPr>
      <w:r>
        <w:rPr>
          <w:rFonts w:hint="eastAsia" w:ascii="黑体" w:hAnsi="宋体" w:eastAsia="黑体" w:cs="黑体"/>
          <w:color w:val="auto"/>
        </w:rPr>
        <w:t>三、缺陷责任期</w:t>
      </w:r>
    </w:p>
    <w:p w14:paraId="71C01A73">
      <w:pPr>
        <w:spacing w:line="360" w:lineRule="auto"/>
        <w:ind w:firstLine="420"/>
        <w:rPr>
          <w:rFonts w:hAnsi="宋体"/>
          <w:color w:val="auto"/>
        </w:rPr>
      </w:pPr>
      <w:r>
        <w:rPr>
          <w:rFonts w:hint="eastAsia" w:hAnsi="宋体" w:cs="宋体"/>
          <w:color w:val="auto"/>
        </w:rPr>
        <w:t>工程缺陷责任期为24个月（最长不超过</w:t>
      </w:r>
      <w:r>
        <w:rPr>
          <w:rFonts w:hAnsi="宋体"/>
          <w:color w:val="auto"/>
        </w:rPr>
        <w:t>24</w:t>
      </w:r>
      <w:r>
        <w:rPr>
          <w:rFonts w:hint="eastAsia" w:hAnsi="宋体" w:cs="宋体"/>
          <w:color w:val="auto"/>
        </w:rPr>
        <w:t>个月），缺陷责任期自工程竣工验收合格之日起计算。单位工程先于全部工程进行验收，单位工程缺陷责任期自单位工程验收合格之日起算。</w:t>
      </w:r>
    </w:p>
    <w:p w14:paraId="3BAEB212">
      <w:pPr>
        <w:spacing w:line="360" w:lineRule="auto"/>
        <w:ind w:firstLine="420"/>
        <w:rPr>
          <w:rFonts w:hAnsi="宋体"/>
          <w:color w:val="auto"/>
        </w:rPr>
      </w:pPr>
      <w:r>
        <w:rPr>
          <w:rFonts w:hint="eastAsia" w:hAnsi="宋体" w:cs="宋体"/>
          <w:color w:val="auto"/>
        </w:rPr>
        <w:t>缺陷责任期</w:t>
      </w:r>
      <w:r>
        <w:rPr>
          <w:rFonts w:hint="eastAsia" w:hAnsi="宋体" w:cs="宋体"/>
          <w:color w:val="auto"/>
          <w:u w:val="single"/>
        </w:rPr>
        <w:t>满</w:t>
      </w:r>
      <w:r>
        <w:rPr>
          <w:rFonts w:hint="eastAsia" w:ascii="仿宋_GB2312" w:hAnsi="宋体"/>
          <w:color w:val="auto"/>
        </w:rPr>
        <w:t>之日起天</w:t>
      </w:r>
      <w:r>
        <w:rPr>
          <w:rFonts w:hint="eastAsia" w:hAnsi="宋体" w:cs="宋体"/>
          <w:color w:val="auto"/>
          <w:u w:val="single"/>
        </w:rPr>
        <w:t>（按</w:t>
      </w:r>
      <w:r>
        <w:rPr>
          <w:rFonts w:hAnsi="宋体" w:cs="宋体"/>
          <w:color w:val="auto"/>
          <w:u w:val="single"/>
        </w:rPr>
        <w:t>合同约定期限）</w:t>
      </w:r>
      <w:r>
        <w:rPr>
          <w:rFonts w:hint="eastAsia" w:hAnsi="宋体" w:cs="宋体"/>
          <w:color w:val="auto"/>
          <w:u w:val="single"/>
        </w:rPr>
        <w:t>，</w:t>
      </w:r>
      <w:r>
        <w:rPr>
          <w:rFonts w:hint="eastAsia" w:hAnsi="宋体" w:cs="宋体"/>
          <w:color w:val="auto"/>
        </w:rPr>
        <w:t>发包人应退还剩余的质量保证金。</w:t>
      </w:r>
    </w:p>
    <w:p w14:paraId="20CED0B5">
      <w:pPr>
        <w:spacing w:line="360" w:lineRule="auto"/>
        <w:ind w:firstLine="420"/>
        <w:rPr>
          <w:rFonts w:ascii="黑体" w:hAnsi="宋体" w:eastAsia="黑体"/>
          <w:color w:val="auto"/>
        </w:rPr>
      </w:pPr>
      <w:r>
        <w:rPr>
          <w:rFonts w:hint="eastAsia" w:ascii="黑体" w:hAnsi="宋体" w:eastAsia="黑体" w:cs="黑体"/>
          <w:color w:val="auto"/>
        </w:rPr>
        <w:t>四、质量保修责任</w:t>
      </w:r>
    </w:p>
    <w:p w14:paraId="2D040B74">
      <w:pPr>
        <w:spacing w:line="360" w:lineRule="auto"/>
        <w:ind w:left="105" w:leftChars="50" w:firstLine="430" w:firstLineChars="205"/>
        <w:rPr>
          <w:rFonts w:hAnsi="宋体"/>
          <w:color w:val="auto"/>
        </w:rPr>
      </w:pPr>
      <w:r>
        <w:rPr>
          <w:color w:val="auto"/>
        </w:rPr>
        <w:t>1</w:t>
      </w:r>
      <w:r>
        <w:rPr>
          <w:rFonts w:hint="eastAsia" w:hAnsi="宋体" w:cs="宋体"/>
          <w:color w:val="auto"/>
        </w:rPr>
        <w:t>．属于保修范围、内容的项目，承包人应当在接到保修通知之日起</w:t>
      </w:r>
      <w:r>
        <w:rPr>
          <w:rFonts w:hint="eastAsia"/>
          <w:color w:val="auto"/>
          <w:u w:val="single"/>
        </w:rPr>
        <w:t>5</w:t>
      </w:r>
      <w:r>
        <w:rPr>
          <w:rFonts w:hint="eastAsia" w:hAnsi="宋体" w:cs="宋体"/>
          <w:color w:val="auto"/>
        </w:rPr>
        <w:t>天内派人保修。承包人不在约定期限内派人保修的，发包人可以委托他人修理，修理费用从质量保证金内扣除。</w:t>
      </w:r>
    </w:p>
    <w:p w14:paraId="4F1BF206">
      <w:pPr>
        <w:spacing w:line="360" w:lineRule="auto"/>
        <w:ind w:firstLine="420"/>
        <w:rPr>
          <w:rFonts w:hAnsi="宋体"/>
          <w:color w:val="auto"/>
        </w:rPr>
      </w:pPr>
      <w:r>
        <w:rPr>
          <w:color w:val="auto"/>
        </w:rPr>
        <w:t>2</w:t>
      </w:r>
      <w:r>
        <w:rPr>
          <w:rFonts w:hint="eastAsia" w:hAnsi="宋体" w:cs="宋体"/>
          <w:color w:val="auto"/>
        </w:rPr>
        <w:t>．发生紧急事故需抢修的，承包人在接到事故通知后，应当立即到达事故现场抢修。</w:t>
      </w:r>
    </w:p>
    <w:p w14:paraId="5B091B91">
      <w:pPr>
        <w:spacing w:line="360" w:lineRule="auto"/>
        <w:ind w:firstLine="420"/>
        <w:rPr>
          <w:rFonts w:hAnsi="宋体"/>
          <w:color w:val="auto"/>
        </w:rPr>
      </w:pPr>
      <w:r>
        <w:rPr>
          <w:color w:val="auto"/>
        </w:rPr>
        <w:t>3</w:t>
      </w:r>
      <w:r>
        <w:rPr>
          <w:rFonts w:hint="eastAsia" w:hAnsi="宋体" w:cs="宋体"/>
          <w:color w:val="auto"/>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A1731B4">
      <w:pPr>
        <w:spacing w:line="360" w:lineRule="auto"/>
        <w:ind w:firstLine="420"/>
        <w:rPr>
          <w:rFonts w:hAnsi="宋体"/>
          <w:color w:val="auto"/>
        </w:rPr>
      </w:pPr>
      <w:r>
        <w:rPr>
          <w:color w:val="auto"/>
        </w:rPr>
        <w:t>4</w:t>
      </w:r>
      <w:r>
        <w:rPr>
          <w:rFonts w:hint="eastAsia" w:hAnsi="宋体" w:cs="宋体"/>
          <w:color w:val="auto"/>
        </w:rPr>
        <w:t>．质量保修完成后，由发包人组织验收。</w:t>
      </w:r>
    </w:p>
    <w:p w14:paraId="210CCDE0">
      <w:pPr>
        <w:spacing w:line="360" w:lineRule="auto"/>
        <w:ind w:firstLine="420"/>
        <w:rPr>
          <w:rFonts w:ascii="黑体" w:hAnsi="宋体" w:eastAsia="黑体"/>
          <w:color w:val="auto"/>
        </w:rPr>
      </w:pPr>
      <w:r>
        <w:rPr>
          <w:rFonts w:hint="eastAsia" w:ascii="黑体" w:hAnsi="宋体" w:eastAsia="黑体" w:cs="黑体"/>
          <w:color w:val="auto"/>
        </w:rPr>
        <w:t>五、保修费用</w:t>
      </w:r>
    </w:p>
    <w:p w14:paraId="4FF13D97">
      <w:pPr>
        <w:tabs>
          <w:tab w:val="left" w:pos="7380"/>
        </w:tabs>
        <w:spacing w:line="360" w:lineRule="auto"/>
        <w:ind w:firstLine="420"/>
        <w:rPr>
          <w:rFonts w:hAnsi="宋体"/>
          <w:color w:val="auto"/>
        </w:rPr>
      </w:pPr>
      <w:r>
        <w:rPr>
          <w:rFonts w:hint="eastAsia" w:hAnsi="宋体" w:cs="宋体"/>
          <w:color w:val="auto"/>
        </w:rPr>
        <w:t>保修费用由造成质量缺陷的责任方承担。</w:t>
      </w:r>
    </w:p>
    <w:p w14:paraId="3509ACEC">
      <w:pPr>
        <w:spacing w:line="360" w:lineRule="auto"/>
        <w:ind w:firstLine="420"/>
        <w:rPr>
          <w:color w:val="auto"/>
        </w:rPr>
      </w:pPr>
      <w:r>
        <w:rPr>
          <w:rFonts w:hint="eastAsia" w:ascii="黑体" w:hAnsi="宋体" w:eastAsia="黑体" w:cs="黑体"/>
          <w:color w:val="auto"/>
        </w:rPr>
        <w:t>六、双方约定的其他工程质量保修事项：</w:t>
      </w:r>
      <w:r>
        <w:rPr>
          <w:rFonts w:hint="eastAsia" w:hAnsi="宋体" w:cs="宋体"/>
          <w:color w:val="auto"/>
        </w:rPr>
        <w:t>。</w:t>
      </w:r>
    </w:p>
    <w:p w14:paraId="541300CE">
      <w:pPr>
        <w:spacing w:line="360" w:lineRule="auto"/>
        <w:ind w:firstLine="399" w:firstLineChars="190"/>
        <w:rPr>
          <w:color w:val="auto"/>
        </w:rPr>
      </w:pPr>
      <w:r>
        <w:rPr>
          <w:rFonts w:hint="eastAsia" w:hAnsi="宋体" w:cs="宋体"/>
          <w:color w:val="auto"/>
        </w:rPr>
        <w:t>工程质量保修书由发包人、承包人在工程竣工验收前共同签署，作为施工合同附件，其有效期限至保修期满。</w:t>
      </w:r>
    </w:p>
    <w:p w14:paraId="5E55D50E">
      <w:pPr>
        <w:spacing w:line="360" w:lineRule="auto"/>
        <w:ind w:firstLine="420"/>
        <w:rPr>
          <w:color w:val="auto"/>
        </w:rPr>
      </w:pPr>
    </w:p>
    <w:p w14:paraId="68B47C26">
      <w:pPr>
        <w:spacing w:line="360" w:lineRule="auto"/>
        <w:rPr>
          <w:color w:val="auto"/>
        </w:rPr>
      </w:pPr>
      <w:r>
        <w:rPr>
          <w:rFonts w:hAnsi="宋体"/>
          <w:color w:val="auto"/>
        </w:rPr>
        <w:t>发包人</w:t>
      </w:r>
      <w:r>
        <w:rPr>
          <w:rFonts w:hint="eastAsia"/>
          <w:color w:val="auto"/>
        </w:rPr>
        <w:t>（</w:t>
      </w:r>
      <w:r>
        <w:rPr>
          <w:rFonts w:hAnsi="宋体"/>
          <w:color w:val="auto"/>
        </w:rPr>
        <w:t>公章</w:t>
      </w:r>
      <w:r>
        <w:rPr>
          <w:rFonts w:hint="eastAsia"/>
          <w:color w:val="auto"/>
        </w:rPr>
        <w:t>）</w:t>
      </w:r>
      <w:r>
        <w:rPr>
          <w:rFonts w:hAnsi="宋体"/>
          <w:color w:val="auto"/>
        </w:rPr>
        <w:t>：</w:t>
      </w:r>
      <w:r>
        <w:rPr>
          <w:rFonts w:ascii="宋体" w:hAnsi="宋体"/>
          <w:color w:val="auto"/>
          <w:u w:val="single"/>
        </w:rPr>
        <w:t></w:t>
      </w:r>
      <w:r>
        <w:rPr>
          <w:rFonts w:hAnsi="宋体"/>
          <w:color w:val="auto"/>
        </w:rPr>
        <w:t>承包人</w:t>
      </w:r>
      <w:r>
        <w:rPr>
          <w:rFonts w:hint="eastAsia"/>
          <w:color w:val="auto"/>
        </w:rPr>
        <w:t>（</w:t>
      </w:r>
      <w:r>
        <w:rPr>
          <w:rFonts w:hAnsi="宋体"/>
          <w:color w:val="auto"/>
        </w:rPr>
        <w:t>公章</w:t>
      </w:r>
      <w:r>
        <w:rPr>
          <w:rFonts w:hint="eastAsia"/>
          <w:color w:val="auto"/>
        </w:rPr>
        <w:t>）</w:t>
      </w:r>
      <w:r>
        <w:rPr>
          <w:rFonts w:hAnsi="宋体"/>
          <w:color w:val="auto"/>
        </w:rPr>
        <w:t>：</w:t>
      </w:r>
      <w:r>
        <w:rPr>
          <w:rFonts w:ascii="宋体" w:hAnsi="宋体"/>
          <w:color w:val="auto"/>
          <w:u w:val="single"/>
        </w:rPr>
        <w:t></w:t>
      </w:r>
    </w:p>
    <w:p w14:paraId="442A499C">
      <w:pPr>
        <w:spacing w:line="360" w:lineRule="auto"/>
        <w:rPr>
          <w:color w:val="auto"/>
        </w:rPr>
      </w:pPr>
      <w:r>
        <w:rPr>
          <w:rFonts w:hAnsi="宋体"/>
          <w:color w:val="auto"/>
        </w:rPr>
        <w:t>地址：</w:t>
      </w:r>
      <w:r>
        <w:rPr>
          <w:rFonts w:ascii="宋体" w:hAnsi="宋体"/>
          <w:color w:val="auto"/>
          <w:u w:val="single"/>
        </w:rPr>
        <w:t></w:t>
      </w:r>
      <w:r>
        <w:rPr>
          <w:rFonts w:hAnsi="宋体"/>
          <w:color w:val="auto"/>
        </w:rPr>
        <w:t>地址：</w:t>
      </w:r>
      <w:r>
        <w:rPr>
          <w:rFonts w:ascii="宋体" w:hAnsi="宋体"/>
          <w:color w:val="auto"/>
          <w:u w:val="single"/>
        </w:rPr>
        <w:t></w:t>
      </w:r>
    </w:p>
    <w:p w14:paraId="73B28A5A">
      <w:pPr>
        <w:spacing w:line="360" w:lineRule="auto"/>
        <w:rPr>
          <w:color w:val="auto"/>
        </w:rPr>
      </w:pPr>
      <w:r>
        <w:rPr>
          <w:rFonts w:hAnsi="宋体"/>
          <w:color w:val="auto"/>
        </w:rPr>
        <w:t>法定代表人</w:t>
      </w:r>
      <w:r>
        <w:rPr>
          <w:rFonts w:hint="eastAsia"/>
          <w:color w:val="auto"/>
        </w:rPr>
        <w:t>（</w:t>
      </w:r>
      <w:r>
        <w:rPr>
          <w:rFonts w:hAnsi="宋体"/>
          <w:color w:val="auto"/>
        </w:rPr>
        <w:t>签字</w:t>
      </w:r>
      <w:r>
        <w:rPr>
          <w:rFonts w:hint="eastAsia"/>
          <w:color w:val="auto"/>
        </w:rPr>
        <w:t>）</w:t>
      </w:r>
      <w:r>
        <w:rPr>
          <w:rFonts w:hAnsi="宋体"/>
          <w:color w:val="auto"/>
        </w:rPr>
        <w:t>：</w:t>
      </w:r>
      <w:r>
        <w:rPr>
          <w:rFonts w:ascii="宋体" w:hAnsi="宋体"/>
          <w:color w:val="auto"/>
          <w:u w:val="single"/>
        </w:rPr>
        <w:t></w:t>
      </w:r>
      <w:r>
        <w:rPr>
          <w:rFonts w:hAnsi="宋体"/>
          <w:color w:val="auto"/>
        </w:rPr>
        <w:t>法定代表人</w:t>
      </w:r>
      <w:r>
        <w:rPr>
          <w:rFonts w:hint="eastAsia"/>
          <w:color w:val="auto"/>
        </w:rPr>
        <w:t>（</w:t>
      </w:r>
      <w:r>
        <w:rPr>
          <w:rFonts w:hAnsi="宋体"/>
          <w:color w:val="auto"/>
        </w:rPr>
        <w:t>签字</w:t>
      </w:r>
      <w:r>
        <w:rPr>
          <w:rFonts w:hint="eastAsia"/>
          <w:color w:val="auto"/>
        </w:rPr>
        <w:t>）</w:t>
      </w:r>
      <w:r>
        <w:rPr>
          <w:rFonts w:hAnsi="宋体"/>
          <w:color w:val="auto"/>
        </w:rPr>
        <w:t>：</w:t>
      </w:r>
      <w:r>
        <w:rPr>
          <w:rFonts w:ascii="宋体" w:hAnsi="宋体"/>
          <w:color w:val="auto"/>
          <w:u w:val="single"/>
        </w:rPr>
        <w:t></w:t>
      </w:r>
    </w:p>
    <w:p w14:paraId="36F1D2D8">
      <w:pPr>
        <w:spacing w:line="360" w:lineRule="auto"/>
        <w:rPr>
          <w:color w:val="auto"/>
        </w:rPr>
      </w:pPr>
      <w:r>
        <w:rPr>
          <w:rFonts w:hAnsi="宋体"/>
          <w:color w:val="auto"/>
        </w:rPr>
        <w:t>委托代理人</w:t>
      </w:r>
      <w:r>
        <w:rPr>
          <w:rFonts w:hint="eastAsia"/>
          <w:color w:val="auto"/>
        </w:rPr>
        <w:t>（</w:t>
      </w:r>
      <w:r>
        <w:rPr>
          <w:rFonts w:hAnsi="宋体"/>
          <w:color w:val="auto"/>
        </w:rPr>
        <w:t>签字</w:t>
      </w:r>
      <w:r>
        <w:rPr>
          <w:rFonts w:hint="eastAsia"/>
          <w:color w:val="auto"/>
        </w:rPr>
        <w:t>）</w:t>
      </w:r>
      <w:r>
        <w:rPr>
          <w:rFonts w:hAnsi="宋体"/>
          <w:color w:val="auto"/>
        </w:rPr>
        <w:t>：</w:t>
      </w:r>
      <w:r>
        <w:rPr>
          <w:rFonts w:ascii="宋体" w:hAnsi="宋体"/>
          <w:color w:val="auto"/>
          <w:u w:val="single"/>
        </w:rPr>
        <w:t></w:t>
      </w:r>
      <w:r>
        <w:rPr>
          <w:rFonts w:hAnsi="宋体"/>
          <w:color w:val="auto"/>
        </w:rPr>
        <w:t>委托代理人</w:t>
      </w:r>
      <w:r>
        <w:rPr>
          <w:rFonts w:hint="eastAsia"/>
          <w:color w:val="auto"/>
        </w:rPr>
        <w:t>（</w:t>
      </w:r>
      <w:r>
        <w:rPr>
          <w:rFonts w:hAnsi="宋体"/>
          <w:color w:val="auto"/>
        </w:rPr>
        <w:t>签字</w:t>
      </w:r>
      <w:r>
        <w:rPr>
          <w:rFonts w:hint="eastAsia"/>
          <w:color w:val="auto"/>
        </w:rPr>
        <w:t>）</w:t>
      </w:r>
      <w:r>
        <w:rPr>
          <w:rFonts w:hAnsi="宋体"/>
          <w:color w:val="auto"/>
        </w:rPr>
        <w:t>：</w:t>
      </w:r>
      <w:r>
        <w:rPr>
          <w:rFonts w:ascii="宋体" w:hAnsi="宋体"/>
          <w:color w:val="auto"/>
          <w:u w:val="single"/>
        </w:rPr>
        <w:t></w:t>
      </w:r>
    </w:p>
    <w:p w14:paraId="01857B28">
      <w:pPr>
        <w:spacing w:line="360" w:lineRule="auto"/>
        <w:rPr>
          <w:color w:val="auto"/>
        </w:rPr>
      </w:pPr>
      <w:r>
        <w:rPr>
          <w:rFonts w:hAnsi="宋体"/>
          <w:color w:val="auto"/>
        </w:rPr>
        <w:t>电话：</w:t>
      </w:r>
      <w:r>
        <w:rPr>
          <w:rFonts w:ascii="宋体" w:hAnsi="宋体"/>
          <w:color w:val="auto"/>
          <w:u w:val="single"/>
        </w:rPr>
        <w:t></w:t>
      </w:r>
      <w:r>
        <w:rPr>
          <w:rFonts w:hAnsi="宋体"/>
          <w:color w:val="auto"/>
        </w:rPr>
        <w:t>电话：</w:t>
      </w:r>
      <w:r>
        <w:rPr>
          <w:rFonts w:ascii="宋体" w:hAnsi="宋体"/>
          <w:color w:val="auto"/>
          <w:u w:val="single"/>
        </w:rPr>
        <w:t></w:t>
      </w:r>
    </w:p>
    <w:p w14:paraId="7F7ADFE6">
      <w:pPr>
        <w:spacing w:line="360" w:lineRule="auto"/>
        <w:rPr>
          <w:color w:val="auto"/>
        </w:rPr>
      </w:pPr>
      <w:r>
        <w:rPr>
          <w:rFonts w:hAnsi="宋体"/>
          <w:color w:val="auto"/>
        </w:rPr>
        <w:t>传真：</w:t>
      </w:r>
      <w:r>
        <w:rPr>
          <w:rFonts w:ascii="宋体" w:hAnsi="宋体"/>
          <w:color w:val="auto"/>
          <w:u w:val="single"/>
        </w:rPr>
        <w:t></w:t>
      </w:r>
      <w:r>
        <w:rPr>
          <w:rFonts w:hAnsi="宋体"/>
          <w:color w:val="auto"/>
        </w:rPr>
        <w:t>传真：</w:t>
      </w:r>
      <w:r>
        <w:rPr>
          <w:rFonts w:ascii="宋体" w:hAnsi="宋体"/>
          <w:color w:val="auto"/>
          <w:u w:val="single"/>
        </w:rPr>
        <w:t></w:t>
      </w:r>
    </w:p>
    <w:p w14:paraId="24539EE0">
      <w:pPr>
        <w:spacing w:line="360" w:lineRule="auto"/>
        <w:rPr>
          <w:color w:val="auto"/>
        </w:rPr>
      </w:pPr>
      <w:r>
        <w:rPr>
          <w:rFonts w:hAnsi="宋体"/>
          <w:color w:val="auto"/>
        </w:rPr>
        <w:t>开户银行：</w:t>
      </w:r>
      <w:r>
        <w:rPr>
          <w:rFonts w:ascii="宋体" w:hAnsi="宋体"/>
          <w:color w:val="auto"/>
          <w:u w:val="single"/>
        </w:rPr>
        <w:t></w:t>
      </w:r>
      <w:r>
        <w:rPr>
          <w:rFonts w:hAnsi="宋体"/>
          <w:color w:val="auto"/>
        </w:rPr>
        <w:t>开户银行：</w:t>
      </w:r>
      <w:r>
        <w:rPr>
          <w:rFonts w:ascii="宋体" w:hAnsi="宋体"/>
          <w:color w:val="auto"/>
          <w:u w:val="single"/>
        </w:rPr>
        <w:t></w:t>
      </w:r>
    </w:p>
    <w:p w14:paraId="296E5EFB">
      <w:pPr>
        <w:tabs>
          <w:tab w:val="left" w:pos="2880"/>
          <w:tab w:val="left" w:pos="3060"/>
          <w:tab w:val="left" w:pos="4500"/>
        </w:tabs>
        <w:spacing w:line="360" w:lineRule="auto"/>
        <w:rPr>
          <w:color w:val="auto"/>
        </w:rPr>
      </w:pPr>
      <w:r>
        <w:rPr>
          <w:rFonts w:hAnsi="宋体"/>
          <w:color w:val="auto"/>
        </w:rPr>
        <w:t>账号：</w:t>
      </w:r>
      <w:r>
        <w:rPr>
          <w:rFonts w:ascii="宋体" w:hAnsi="宋体"/>
          <w:color w:val="auto"/>
          <w:u w:val="single"/>
        </w:rPr>
        <w:t></w:t>
      </w:r>
      <w:r>
        <w:rPr>
          <w:rFonts w:hAnsi="宋体"/>
          <w:color w:val="auto"/>
        </w:rPr>
        <w:t>账号：</w:t>
      </w:r>
      <w:r>
        <w:rPr>
          <w:rFonts w:ascii="宋体" w:hAnsi="宋体"/>
          <w:color w:val="auto"/>
          <w:u w:val="single"/>
        </w:rPr>
        <w:t></w:t>
      </w:r>
    </w:p>
    <w:p w14:paraId="51CC4C28">
      <w:pPr>
        <w:tabs>
          <w:tab w:val="left" w:pos="7200"/>
          <w:tab w:val="left" w:pos="7380"/>
          <w:tab w:val="left" w:pos="7560"/>
        </w:tabs>
        <w:spacing w:line="360" w:lineRule="auto"/>
        <w:rPr>
          <w:color w:val="auto"/>
        </w:rPr>
      </w:pPr>
      <w:r>
        <w:rPr>
          <w:rFonts w:hAnsi="宋体"/>
          <w:color w:val="auto"/>
        </w:rPr>
        <w:t>邮政编码：</w:t>
      </w:r>
      <w:r>
        <w:rPr>
          <w:rFonts w:ascii="宋体" w:hAnsi="宋体"/>
          <w:color w:val="auto"/>
          <w:u w:val="single"/>
        </w:rPr>
        <w:t></w:t>
      </w:r>
      <w:r>
        <w:rPr>
          <w:rFonts w:hAnsi="宋体"/>
          <w:color w:val="auto"/>
        </w:rPr>
        <w:t>邮政编码：</w:t>
      </w:r>
      <w:r>
        <w:rPr>
          <w:rFonts w:ascii="宋体" w:hAnsi="宋体"/>
          <w:color w:val="auto"/>
          <w:u w:val="single"/>
        </w:rPr>
        <w:t></w:t>
      </w:r>
    </w:p>
    <w:p w14:paraId="5BD601CF">
      <w:pPr>
        <w:spacing w:before="156" w:beforeLines="50" w:after="156" w:afterLines="50" w:line="440" w:lineRule="exact"/>
        <w:jc w:val="center"/>
        <w:rPr>
          <w:rFonts w:ascii="黑体" w:hAnsi="宋体" w:eastAsia="黑体"/>
          <w:color w:val="auto"/>
          <w:sz w:val="32"/>
          <w:szCs w:val="32"/>
        </w:rPr>
      </w:pPr>
    </w:p>
    <w:p w14:paraId="669B5A06">
      <w:pPr>
        <w:spacing w:before="156" w:beforeLines="50" w:after="156" w:afterLines="50" w:line="440" w:lineRule="exact"/>
        <w:jc w:val="center"/>
        <w:rPr>
          <w:rFonts w:ascii="黑体" w:hAnsi="宋体" w:eastAsia="黑体"/>
          <w:color w:val="auto"/>
          <w:sz w:val="32"/>
          <w:szCs w:val="32"/>
        </w:rPr>
      </w:pPr>
      <w:r>
        <w:rPr>
          <w:rFonts w:ascii="黑体" w:hAnsi="宋体" w:eastAsia="黑体"/>
          <w:color w:val="auto"/>
          <w:sz w:val="32"/>
          <w:szCs w:val="32"/>
        </w:rPr>
        <w:br w:type="page"/>
      </w:r>
    </w:p>
    <w:p w14:paraId="1E62A508">
      <w:pPr>
        <w:widowControl/>
        <w:jc w:val="left"/>
        <w:rPr>
          <w:rFonts w:hAnsi="宋体" w:cs="宋体"/>
          <w:color w:val="auto"/>
          <w:sz w:val="30"/>
          <w:szCs w:val="30"/>
        </w:rPr>
      </w:pPr>
      <w:r>
        <w:rPr>
          <w:rFonts w:hint="eastAsia" w:hAnsi="宋体" w:cs="宋体"/>
          <w:color w:val="auto"/>
          <w:sz w:val="30"/>
          <w:szCs w:val="30"/>
        </w:rPr>
        <w:t>附件2：</w:t>
      </w:r>
    </w:p>
    <w:p w14:paraId="43A2D708">
      <w:pPr>
        <w:spacing w:line="360" w:lineRule="auto"/>
        <w:jc w:val="center"/>
        <w:rPr>
          <w:rFonts w:ascii="宋体" w:hAnsi="宋体"/>
          <w:b/>
          <w:bCs/>
          <w:color w:val="auto"/>
          <w:sz w:val="32"/>
          <w:szCs w:val="32"/>
        </w:rPr>
      </w:pPr>
      <w:r>
        <w:rPr>
          <w:rFonts w:hint="eastAsia" w:ascii="宋体" w:hAnsi="宋体"/>
          <w:b/>
          <w:bCs/>
          <w:color w:val="auto"/>
          <w:sz w:val="32"/>
          <w:szCs w:val="32"/>
        </w:rPr>
        <w:t>履约保函示范文本</w:t>
      </w:r>
    </w:p>
    <w:p w14:paraId="67490039">
      <w:pPr>
        <w:spacing w:line="360" w:lineRule="auto"/>
        <w:jc w:val="center"/>
        <w:rPr>
          <w:rFonts w:ascii="宋体" w:hAnsi="宋体"/>
          <w:b/>
          <w:bCs/>
          <w:color w:val="auto"/>
          <w:sz w:val="32"/>
          <w:szCs w:val="32"/>
        </w:rPr>
      </w:pPr>
      <w:r>
        <w:rPr>
          <w:rFonts w:hint="eastAsia" w:ascii="宋体" w:hAnsi="宋体"/>
          <w:b/>
          <w:bCs/>
          <w:color w:val="auto"/>
          <w:sz w:val="32"/>
          <w:szCs w:val="32"/>
        </w:rPr>
        <w:t>（独立保函）</w:t>
      </w:r>
    </w:p>
    <w:p w14:paraId="451737A7">
      <w:pPr>
        <w:wordWrap w:val="0"/>
        <w:spacing w:line="360" w:lineRule="auto"/>
        <w:jc w:val="right"/>
        <w:rPr>
          <w:rFonts w:ascii="宋体" w:hAnsi="宋体"/>
          <w:color w:val="auto"/>
          <w:szCs w:val="21"/>
        </w:rPr>
      </w:pPr>
      <w:r>
        <w:rPr>
          <w:rFonts w:hint="eastAsia" w:ascii="宋体" w:hAnsi="宋体"/>
          <w:color w:val="auto"/>
        </w:rPr>
        <w:t xml:space="preserve">编号：           </w:t>
      </w:r>
    </w:p>
    <w:p w14:paraId="49BF5BEC">
      <w:pPr>
        <w:spacing w:line="360" w:lineRule="auto"/>
        <w:rPr>
          <w:rFonts w:ascii="宋体" w:hAnsi="宋体"/>
          <w:color w:val="auto"/>
          <w:sz w:val="24"/>
        </w:rPr>
      </w:pPr>
      <w:r>
        <w:rPr>
          <w:rFonts w:hint="eastAsia" w:ascii="宋体" w:hAnsi="宋体"/>
          <w:color w:val="auto"/>
          <w:sz w:val="24"/>
        </w:rPr>
        <w:t>申请人：</w:t>
      </w:r>
    </w:p>
    <w:p w14:paraId="55129A5E">
      <w:pPr>
        <w:spacing w:line="360" w:lineRule="auto"/>
        <w:rPr>
          <w:rFonts w:ascii="宋体" w:hAnsi="宋体"/>
          <w:color w:val="auto"/>
          <w:sz w:val="24"/>
        </w:rPr>
      </w:pPr>
      <w:r>
        <w:rPr>
          <w:rFonts w:hint="eastAsia" w:ascii="宋体" w:hAnsi="宋体"/>
          <w:color w:val="auto"/>
          <w:sz w:val="24"/>
        </w:rPr>
        <w:t xml:space="preserve">  地址：</w:t>
      </w:r>
    </w:p>
    <w:p w14:paraId="31D13AD0">
      <w:pPr>
        <w:spacing w:line="360" w:lineRule="auto"/>
        <w:rPr>
          <w:rFonts w:ascii="宋体" w:hAnsi="宋体"/>
          <w:color w:val="auto"/>
          <w:sz w:val="24"/>
        </w:rPr>
      </w:pPr>
      <w:r>
        <w:rPr>
          <w:rFonts w:hint="eastAsia" w:ascii="宋体" w:hAnsi="宋体"/>
          <w:color w:val="auto"/>
          <w:sz w:val="24"/>
        </w:rPr>
        <w:t>受益人：</w:t>
      </w:r>
    </w:p>
    <w:p w14:paraId="0A8456C6">
      <w:pPr>
        <w:spacing w:line="360" w:lineRule="auto"/>
        <w:rPr>
          <w:rFonts w:ascii="宋体" w:hAnsi="宋体"/>
          <w:color w:val="auto"/>
          <w:sz w:val="24"/>
        </w:rPr>
      </w:pPr>
      <w:r>
        <w:rPr>
          <w:rFonts w:hint="eastAsia" w:ascii="宋体" w:hAnsi="宋体"/>
          <w:color w:val="auto"/>
          <w:sz w:val="24"/>
        </w:rPr>
        <w:t xml:space="preserve">  地址：</w:t>
      </w:r>
    </w:p>
    <w:p w14:paraId="5CF2752F">
      <w:pPr>
        <w:spacing w:line="360" w:lineRule="auto"/>
        <w:rPr>
          <w:rFonts w:ascii="宋体" w:hAnsi="宋体"/>
          <w:color w:val="auto"/>
          <w:sz w:val="24"/>
        </w:rPr>
      </w:pPr>
      <w:r>
        <w:rPr>
          <w:rFonts w:hint="eastAsia" w:ascii="宋体" w:hAnsi="宋体"/>
          <w:color w:val="auto"/>
          <w:sz w:val="24"/>
        </w:rPr>
        <w:t>开立人：</w:t>
      </w:r>
    </w:p>
    <w:p w14:paraId="69EFDEFA">
      <w:pPr>
        <w:spacing w:line="360" w:lineRule="auto"/>
        <w:rPr>
          <w:rFonts w:ascii="宋体" w:hAnsi="宋体"/>
          <w:color w:val="auto"/>
          <w:sz w:val="24"/>
        </w:rPr>
      </w:pPr>
      <w:r>
        <w:rPr>
          <w:rFonts w:hint="eastAsia" w:ascii="宋体" w:hAnsi="宋体"/>
          <w:color w:val="auto"/>
          <w:sz w:val="24"/>
        </w:rPr>
        <w:t xml:space="preserve">  地址：</w:t>
      </w:r>
    </w:p>
    <w:p w14:paraId="38513354">
      <w:pPr>
        <w:spacing w:line="360" w:lineRule="auto"/>
        <w:rPr>
          <w:rFonts w:ascii="宋体" w:hAnsi="宋体"/>
          <w:color w:val="auto"/>
          <w:sz w:val="24"/>
        </w:rPr>
      </w:pPr>
    </w:p>
    <w:p w14:paraId="65593268">
      <w:pPr>
        <w:spacing w:line="360" w:lineRule="auto"/>
        <w:rPr>
          <w:rFonts w:ascii="宋体" w:hAnsi="宋体"/>
          <w:color w:val="auto"/>
          <w:sz w:val="24"/>
        </w:rPr>
      </w:pPr>
      <w:r>
        <w:rPr>
          <w:rFonts w:hint="eastAsia" w:ascii="宋体" w:hAnsi="宋体"/>
          <w:color w:val="auto"/>
          <w:sz w:val="24"/>
        </w:rPr>
        <w:t xml:space="preserve">（受益人名称）： </w:t>
      </w:r>
    </w:p>
    <w:p w14:paraId="1B2D0E26">
      <w:pPr>
        <w:spacing w:line="360" w:lineRule="auto"/>
        <w:ind w:firstLine="480" w:firstLineChars="200"/>
        <w:rPr>
          <w:rFonts w:ascii="宋体" w:hAnsi="宋体"/>
          <w:color w:val="auto"/>
          <w:sz w:val="24"/>
        </w:rPr>
      </w:pPr>
      <w:r>
        <w:rPr>
          <w:rFonts w:hint="eastAsia" w:ascii="宋体" w:hAnsi="宋体"/>
          <w:color w:val="auto"/>
          <w:sz w:val="24"/>
        </w:rPr>
        <w:t>鉴于（以下简称“受益人”）与（以下简称“申请人”）于年月日就工程（以下简称“本工程”）施工和有关事项协商一致共同签订</w:t>
      </w:r>
      <w:r>
        <w:rPr>
          <w:rFonts w:hint="eastAsia" w:ascii="宋体" w:hAnsi="宋体"/>
          <w:color w:val="auto"/>
          <w:sz w:val="24"/>
          <w:u w:val="single"/>
        </w:rPr>
        <w:t>《        》</w:t>
      </w:r>
      <w:r>
        <w:rPr>
          <w:rFonts w:hint="eastAsia" w:ascii="宋体" w:hAnsi="宋体"/>
          <w:color w:val="auto"/>
          <w:sz w:val="24"/>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31CC6919">
      <w:pPr>
        <w:spacing w:line="360" w:lineRule="auto"/>
        <w:ind w:firstLine="480" w:firstLineChars="200"/>
        <w:rPr>
          <w:rFonts w:ascii="宋体" w:hAnsi="宋体"/>
          <w:color w:val="auto"/>
          <w:sz w:val="24"/>
        </w:rPr>
      </w:pPr>
      <w:r>
        <w:rPr>
          <w:rFonts w:hint="eastAsia" w:ascii="宋体" w:hAnsi="宋体"/>
          <w:color w:val="auto"/>
          <w:sz w:val="24"/>
        </w:rPr>
        <w:t>一、本保函担保范围：承包人未按照基础合同的约定履行义务，应当向贵方承担的违约责任和赔偿因此造成的损失、利息、律师费、诉讼费用等实现债权的费用。</w:t>
      </w:r>
    </w:p>
    <w:p w14:paraId="1A4058CA">
      <w:pPr>
        <w:spacing w:line="360" w:lineRule="auto"/>
        <w:ind w:firstLine="480" w:firstLineChars="200"/>
        <w:rPr>
          <w:rFonts w:ascii="宋体" w:hAnsi="宋体"/>
          <w:color w:val="auto"/>
          <w:sz w:val="24"/>
        </w:rPr>
      </w:pPr>
      <w:r>
        <w:rPr>
          <w:rFonts w:hint="eastAsia" w:ascii="宋体" w:hAnsi="宋体"/>
          <w:color w:val="auto"/>
          <w:sz w:val="24"/>
        </w:rPr>
        <w:t xml:space="preserve">二、本保函担保金额最高不超过人民币（大写）元（¥）。 </w:t>
      </w:r>
    </w:p>
    <w:p w14:paraId="0838FF5B">
      <w:pPr>
        <w:spacing w:line="360" w:lineRule="auto"/>
        <w:ind w:firstLine="480" w:firstLineChars="200"/>
        <w:rPr>
          <w:rFonts w:ascii="宋体" w:hAnsi="宋体"/>
          <w:color w:val="auto"/>
          <w:sz w:val="24"/>
        </w:rPr>
      </w:pPr>
      <w:r>
        <w:rPr>
          <w:rFonts w:hint="eastAsia" w:ascii="宋体" w:hAnsi="宋体"/>
          <w:color w:val="auto"/>
          <w:sz w:val="24"/>
        </w:rPr>
        <w:t xml:space="preserve">三、本保函有效期自开立之日起至基础合同约定的缺陷责任期后日止，最迟不超过年月日。 </w:t>
      </w:r>
    </w:p>
    <w:p w14:paraId="62651804">
      <w:pPr>
        <w:spacing w:line="360" w:lineRule="auto"/>
        <w:ind w:firstLine="480"/>
        <w:rPr>
          <w:rFonts w:ascii="宋体" w:hAnsi="宋体"/>
          <w:color w:val="auto"/>
          <w:sz w:val="24"/>
        </w:rPr>
      </w:pPr>
      <w:r>
        <w:rPr>
          <w:rFonts w:hint="eastAsia" w:ascii="宋体" w:hAnsi="宋体"/>
          <w:color w:val="auto"/>
          <w:sz w:val="24"/>
        </w:rPr>
        <w:t>四、我方承诺，在收到受益人发来的书面付款通知后的日内无条件支付，前述书面付款通知即为付款要求之单据，且应满足以下要求：</w:t>
      </w:r>
    </w:p>
    <w:p w14:paraId="2B2BD9E3">
      <w:pPr>
        <w:spacing w:line="360" w:lineRule="auto"/>
        <w:ind w:firstLine="480" w:firstLineChars="200"/>
        <w:rPr>
          <w:rFonts w:ascii="宋体" w:hAnsi="宋体"/>
          <w:color w:val="auto"/>
          <w:sz w:val="24"/>
        </w:rPr>
      </w:pPr>
      <w:r>
        <w:rPr>
          <w:rFonts w:hint="eastAsia" w:ascii="宋体" w:hAnsi="宋体"/>
          <w:color w:val="auto"/>
          <w:sz w:val="24"/>
        </w:rPr>
        <w:t>（1）付款通知到达的日期在本保函的有效期内；</w:t>
      </w:r>
    </w:p>
    <w:p w14:paraId="64654AA8">
      <w:pPr>
        <w:spacing w:line="360" w:lineRule="auto"/>
        <w:ind w:firstLine="480" w:firstLineChars="200"/>
        <w:rPr>
          <w:rFonts w:ascii="宋体" w:hAnsi="宋体"/>
          <w:color w:val="auto"/>
          <w:sz w:val="24"/>
        </w:rPr>
      </w:pPr>
      <w:r>
        <w:rPr>
          <w:rFonts w:hint="eastAsia" w:ascii="宋体" w:hAnsi="宋体"/>
          <w:color w:val="auto"/>
          <w:sz w:val="24"/>
        </w:rPr>
        <w:t>（2）载明要求支付的金额；</w:t>
      </w:r>
    </w:p>
    <w:p w14:paraId="4730C1E7">
      <w:pPr>
        <w:spacing w:line="360" w:lineRule="auto"/>
        <w:ind w:firstLine="480" w:firstLineChars="200"/>
        <w:rPr>
          <w:rFonts w:ascii="宋体" w:hAnsi="宋体"/>
          <w:color w:val="auto"/>
          <w:sz w:val="24"/>
        </w:rPr>
      </w:pPr>
      <w:r>
        <w:rPr>
          <w:rFonts w:hint="eastAsia" w:ascii="宋体" w:hAnsi="宋体"/>
          <w:color w:val="auto"/>
          <w:sz w:val="24"/>
        </w:rPr>
        <w:t>（3）载明申请人违反合同义务的条款和内容；</w:t>
      </w:r>
    </w:p>
    <w:p w14:paraId="6E1DAC01">
      <w:pPr>
        <w:spacing w:line="360" w:lineRule="auto"/>
        <w:ind w:firstLine="480" w:firstLineChars="200"/>
        <w:rPr>
          <w:rFonts w:ascii="宋体" w:hAnsi="宋体"/>
          <w:color w:val="auto"/>
          <w:sz w:val="24"/>
        </w:rPr>
      </w:pPr>
      <w:r>
        <w:rPr>
          <w:rFonts w:hint="eastAsia" w:ascii="宋体" w:hAnsi="宋体"/>
          <w:color w:val="auto"/>
          <w:sz w:val="24"/>
        </w:rPr>
        <w:t>（4）声明不存在合同文件约定或我国法律规定免除申请人或开立人支付责任的情形；</w:t>
      </w:r>
    </w:p>
    <w:p w14:paraId="2D184300">
      <w:pPr>
        <w:spacing w:line="360" w:lineRule="auto"/>
        <w:ind w:firstLine="480" w:firstLineChars="200"/>
        <w:rPr>
          <w:rFonts w:ascii="宋体" w:hAnsi="宋体"/>
          <w:color w:val="auto"/>
          <w:sz w:val="24"/>
        </w:rPr>
      </w:pPr>
      <w:r>
        <w:rPr>
          <w:rFonts w:hint="eastAsia" w:ascii="宋体" w:hAnsi="宋体"/>
          <w:color w:val="auto"/>
          <w:sz w:val="24"/>
        </w:rPr>
        <w:t>（5）付款通知应在本保函有效期内到达的地址是：。</w:t>
      </w:r>
    </w:p>
    <w:p w14:paraId="3A40B573">
      <w:pPr>
        <w:spacing w:line="360" w:lineRule="auto"/>
        <w:ind w:firstLine="480" w:firstLineChars="200"/>
        <w:rPr>
          <w:rFonts w:ascii="宋体" w:hAnsi="宋体"/>
          <w:color w:val="auto"/>
          <w:sz w:val="24"/>
        </w:rPr>
      </w:pPr>
      <w:r>
        <w:rPr>
          <w:rFonts w:hint="eastAsia" w:ascii="宋体" w:hAnsi="宋体"/>
          <w:color w:val="auto"/>
          <w:sz w:val="24"/>
        </w:rPr>
        <w:t>受益人发出的书面付款通知应由其为鉴明受益人法定代表人（负责人）或授权代理人签字并加盖公章。</w:t>
      </w:r>
    </w:p>
    <w:p w14:paraId="51320188">
      <w:pPr>
        <w:spacing w:line="360" w:lineRule="auto"/>
        <w:ind w:firstLine="480" w:firstLineChars="200"/>
        <w:rPr>
          <w:rFonts w:ascii="宋体" w:hAnsi="宋体"/>
          <w:color w:val="auto"/>
          <w:sz w:val="24"/>
        </w:rPr>
      </w:pPr>
      <w:r>
        <w:rPr>
          <w:rFonts w:hint="eastAsia" w:ascii="宋体" w:hAnsi="宋体"/>
          <w:color w:val="auto"/>
          <w:sz w:val="24"/>
        </w:rPr>
        <w:t xml:space="preserve">五、本保函项下的权利不得转让，不得设定担保。贵方未经我方书面同意转 让本保函或其项下任何权利，对我方不发生法律效力。 </w:t>
      </w:r>
    </w:p>
    <w:p w14:paraId="63E69A37">
      <w:pPr>
        <w:spacing w:line="360" w:lineRule="auto"/>
        <w:ind w:firstLine="480" w:firstLineChars="200"/>
        <w:rPr>
          <w:rFonts w:ascii="宋体" w:hAnsi="宋体"/>
          <w:color w:val="auto"/>
          <w:sz w:val="24"/>
        </w:rPr>
      </w:pPr>
      <w:r>
        <w:rPr>
          <w:rFonts w:hint="eastAsia" w:ascii="宋体" w:hAnsi="宋体"/>
          <w:color w:val="auto"/>
          <w:sz w:val="24"/>
        </w:rPr>
        <w:t xml:space="preserve">六、与本保函有关的基础合同不成立、不生效、无效、被撤销、被解除，不影响本保函的独立有效。 </w:t>
      </w:r>
    </w:p>
    <w:p w14:paraId="2F0452DB">
      <w:pPr>
        <w:spacing w:line="360" w:lineRule="auto"/>
        <w:ind w:firstLine="480" w:firstLineChars="200"/>
        <w:rPr>
          <w:rFonts w:ascii="宋体" w:hAnsi="宋体"/>
          <w:color w:val="auto"/>
          <w:sz w:val="24"/>
        </w:rPr>
      </w:pPr>
      <w:r>
        <w:rPr>
          <w:rFonts w:hint="eastAsia" w:ascii="宋体" w:hAnsi="宋体"/>
          <w:color w:val="auto"/>
          <w:sz w:val="24"/>
        </w:rPr>
        <w:t xml:space="preserve">七、贵方应在本保函到期后的七日内将本保函正本退回我方注销，但是不论贵方是否按此要求将本保函正本退回我方，我方在本保函项下的义务和责任均在保函有效期到期后自动消灭。 </w:t>
      </w:r>
    </w:p>
    <w:p w14:paraId="3F0FACED">
      <w:pPr>
        <w:spacing w:line="360" w:lineRule="auto"/>
        <w:ind w:firstLine="480" w:firstLineChars="200"/>
        <w:rPr>
          <w:rFonts w:ascii="宋体" w:hAnsi="宋体"/>
          <w:color w:val="auto"/>
          <w:sz w:val="24"/>
        </w:rPr>
      </w:pPr>
      <w:r>
        <w:rPr>
          <w:rFonts w:hint="eastAsia" w:ascii="宋体" w:hAnsi="宋体"/>
          <w:color w:val="auto"/>
          <w:sz w:val="24"/>
        </w:rPr>
        <w:t xml:space="preserve">八、本保函适用的法律为中华人民共和国法律，争议裁判管辖地为中华人民共和国。 </w:t>
      </w:r>
    </w:p>
    <w:p w14:paraId="75B58341">
      <w:pPr>
        <w:spacing w:line="360" w:lineRule="auto"/>
        <w:ind w:firstLine="480" w:firstLineChars="200"/>
        <w:rPr>
          <w:rFonts w:ascii="宋体" w:hAnsi="宋体"/>
          <w:color w:val="auto"/>
          <w:sz w:val="24"/>
        </w:rPr>
      </w:pPr>
      <w:r>
        <w:rPr>
          <w:rFonts w:hint="eastAsia" w:ascii="宋体" w:hAnsi="宋体"/>
          <w:color w:val="auto"/>
          <w:sz w:val="24"/>
        </w:rPr>
        <w:t xml:space="preserve">九、本保函自我方法定代表人或授权代表签字并加盖公章之日起生效。 </w:t>
      </w:r>
    </w:p>
    <w:p w14:paraId="602EDFE0">
      <w:pPr>
        <w:spacing w:line="360" w:lineRule="auto"/>
        <w:ind w:firstLine="480" w:firstLineChars="200"/>
        <w:rPr>
          <w:rFonts w:ascii="宋体" w:hAnsi="宋体"/>
          <w:color w:val="auto"/>
          <w:sz w:val="24"/>
        </w:rPr>
      </w:pPr>
      <w:r>
        <w:rPr>
          <w:rFonts w:hint="eastAsia" w:ascii="宋体" w:hAnsi="宋体"/>
          <w:color w:val="auto"/>
          <w:sz w:val="24"/>
        </w:rPr>
        <w:t xml:space="preserve">开 立 人：                              （公章） </w:t>
      </w:r>
    </w:p>
    <w:p w14:paraId="124D94A9">
      <w:pPr>
        <w:spacing w:line="360" w:lineRule="auto"/>
        <w:ind w:firstLine="480" w:firstLineChars="200"/>
        <w:rPr>
          <w:rFonts w:ascii="宋体" w:hAnsi="宋体"/>
          <w:color w:val="auto"/>
          <w:sz w:val="24"/>
        </w:rPr>
      </w:pPr>
      <w:r>
        <w:rPr>
          <w:rFonts w:hint="eastAsia" w:ascii="宋体" w:hAnsi="宋体"/>
          <w:color w:val="auto"/>
          <w:sz w:val="24"/>
        </w:rPr>
        <w:t xml:space="preserve">法定代表人（或授权代表）：               （签字） </w:t>
      </w:r>
    </w:p>
    <w:p w14:paraId="11DE18F7">
      <w:pPr>
        <w:spacing w:line="360" w:lineRule="auto"/>
        <w:ind w:firstLine="480" w:firstLineChars="200"/>
        <w:rPr>
          <w:rFonts w:ascii="宋体" w:hAnsi="宋体"/>
          <w:color w:val="auto"/>
          <w:sz w:val="24"/>
        </w:rPr>
      </w:pPr>
      <w:r>
        <w:rPr>
          <w:rFonts w:hint="eastAsia" w:ascii="宋体" w:hAnsi="宋体"/>
          <w:color w:val="auto"/>
          <w:sz w:val="24"/>
        </w:rPr>
        <w:t xml:space="preserve">地    址：                                       </w:t>
      </w:r>
    </w:p>
    <w:p w14:paraId="1762E8DC">
      <w:pPr>
        <w:spacing w:line="360" w:lineRule="auto"/>
        <w:ind w:firstLine="480" w:firstLineChars="200"/>
        <w:rPr>
          <w:rFonts w:ascii="宋体" w:hAnsi="宋体"/>
          <w:color w:val="auto"/>
          <w:sz w:val="24"/>
        </w:rPr>
      </w:pPr>
      <w:r>
        <w:rPr>
          <w:rFonts w:hint="eastAsia" w:ascii="宋体" w:hAnsi="宋体"/>
          <w:color w:val="auto"/>
          <w:sz w:val="24"/>
        </w:rPr>
        <w:t xml:space="preserve">邮政编码：                 </w:t>
      </w:r>
    </w:p>
    <w:p w14:paraId="541C0B97">
      <w:pPr>
        <w:spacing w:line="360" w:lineRule="auto"/>
        <w:ind w:firstLine="480" w:firstLineChars="200"/>
        <w:rPr>
          <w:rFonts w:ascii="宋体" w:hAnsi="宋体"/>
          <w:color w:val="auto"/>
          <w:sz w:val="24"/>
        </w:rPr>
      </w:pPr>
      <w:r>
        <w:rPr>
          <w:rFonts w:hint="eastAsia" w:ascii="宋体" w:hAnsi="宋体"/>
          <w:color w:val="auto"/>
          <w:sz w:val="24"/>
        </w:rPr>
        <w:t xml:space="preserve">电    话：                 </w:t>
      </w:r>
    </w:p>
    <w:p w14:paraId="2EFC3394">
      <w:pPr>
        <w:spacing w:line="360" w:lineRule="auto"/>
        <w:ind w:firstLine="480" w:firstLineChars="200"/>
        <w:rPr>
          <w:rFonts w:ascii="宋体" w:hAnsi="宋体"/>
          <w:color w:val="auto"/>
          <w:sz w:val="24"/>
        </w:rPr>
      </w:pPr>
      <w:r>
        <w:rPr>
          <w:rFonts w:hint="eastAsia" w:ascii="宋体" w:hAnsi="宋体"/>
          <w:color w:val="auto"/>
          <w:sz w:val="24"/>
        </w:rPr>
        <w:t xml:space="preserve">传    真：                 </w:t>
      </w:r>
    </w:p>
    <w:p w14:paraId="06263902">
      <w:pPr>
        <w:spacing w:line="360" w:lineRule="auto"/>
        <w:ind w:firstLine="480" w:firstLineChars="200"/>
        <w:rPr>
          <w:color w:val="auto"/>
          <w:szCs w:val="21"/>
        </w:rPr>
      </w:pPr>
      <w:r>
        <w:rPr>
          <w:rFonts w:hint="eastAsia" w:ascii="宋体" w:hAnsi="宋体"/>
          <w:color w:val="auto"/>
          <w:sz w:val="24"/>
        </w:rPr>
        <w:t xml:space="preserve">开立时间：      年      月    </w:t>
      </w:r>
    </w:p>
    <w:p w14:paraId="50A5294E">
      <w:pPr>
        <w:spacing w:line="360" w:lineRule="auto"/>
        <w:jc w:val="left"/>
        <w:rPr>
          <w:rFonts w:eastAsia="仿宋_GB2312"/>
          <w:color w:val="auto"/>
          <w:sz w:val="30"/>
          <w:szCs w:val="30"/>
        </w:rPr>
      </w:pPr>
    </w:p>
    <w:p w14:paraId="36316F87">
      <w:pPr>
        <w:spacing w:line="360" w:lineRule="auto"/>
        <w:rPr>
          <w:rFonts w:ascii="宋体" w:hAnsi="宋体"/>
          <w:b/>
          <w:bCs/>
          <w:color w:val="auto"/>
          <w:sz w:val="32"/>
          <w:szCs w:val="32"/>
        </w:rPr>
      </w:pPr>
    </w:p>
    <w:p w14:paraId="6310214B">
      <w:pPr>
        <w:spacing w:line="360" w:lineRule="auto"/>
        <w:jc w:val="center"/>
        <w:rPr>
          <w:rFonts w:ascii="宋体" w:hAnsi="宋体"/>
          <w:b/>
          <w:bCs/>
          <w:color w:val="auto"/>
          <w:sz w:val="32"/>
          <w:szCs w:val="32"/>
        </w:rPr>
      </w:pPr>
      <w:r>
        <w:rPr>
          <w:rFonts w:ascii="宋体" w:hAnsi="宋体"/>
          <w:b/>
          <w:bCs/>
          <w:color w:val="auto"/>
          <w:sz w:val="32"/>
          <w:szCs w:val="32"/>
        </w:rPr>
        <w:br w:type="page"/>
      </w:r>
      <w:r>
        <w:rPr>
          <w:rFonts w:hint="eastAsia" w:ascii="宋体" w:hAnsi="宋体"/>
          <w:b/>
          <w:bCs/>
          <w:color w:val="auto"/>
          <w:sz w:val="32"/>
          <w:szCs w:val="32"/>
        </w:rPr>
        <w:t>履约保函示范文本</w:t>
      </w:r>
    </w:p>
    <w:p w14:paraId="59FCC9D8">
      <w:pPr>
        <w:spacing w:line="360" w:lineRule="auto"/>
        <w:jc w:val="center"/>
        <w:rPr>
          <w:rFonts w:ascii="宋体" w:hAnsi="宋体"/>
          <w:b/>
          <w:bCs/>
          <w:color w:val="auto"/>
          <w:sz w:val="32"/>
          <w:szCs w:val="32"/>
        </w:rPr>
      </w:pPr>
      <w:r>
        <w:rPr>
          <w:rFonts w:hint="eastAsia" w:ascii="宋体" w:hAnsi="宋体"/>
          <w:b/>
          <w:bCs/>
          <w:color w:val="auto"/>
          <w:sz w:val="32"/>
          <w:szCs w:val="32"/>
        </w:rPr>
        <w:t>（非独立保函）</w:t>
      </w:r>
    </w:p>
    <w:p w14:paraId="635E8EA9">
      <w:pPr>
        <w:spacing w:line="360" w:lineRule="auto"/>
        <w:jc w:val="center"/>
        <w:rPr>
          <w:rFonts w:ascii="宋体" w:hAnsi="宋体"/>
          <w:b/>
          <w:bCs/>
          <w:color w:val="auto"/>
          <w:sz w:val="32"/>
          <w:szCs w:val="32"/>
        </w:rPr>
      </w:pPr>
    </w:p>
    <w:p w14:paraId="428B9FE9">
      <w:pPr>
        <w:wordWrap w:val="0"/>
        <w:spacing w:line="360" w:lineRule="auto"/>
        <w:jc w:val="right"/>
        <w:rPr>
          <w:rFonts w:ascii="宋体" w:hAnsi="宋体"/>
          <w:color w:val="auto"/>
          <w:szCs w:val="21"/>
        </w:rPr>
      </w:pPr>
      <w:r>
        <w:rPr>
          <w:rFonts w:hint="eastAsia" w:ascii="宋体" w:hAnsi="宋体"/>
          <w:color w:val="auto"/>
        </w:rPr>
        <w:t xml:space="preserve">编号：           </w:t>
      </w:r>
    </w:p>
    <w:p w14:paraId="76785FFE">
      <w:pPr>
        <w:spacing w:line="360" w:lineRule="auto"/>
        <w:rPr>
          <w:rFonts w:ascii="宋体" w:hAnsi="宋体"/>
          <w:color w:val="auto"/>
          <w:sz w:val="24"/>
        </w:rPr>
      </w:pPr>
      <w:r>
        <w:rPr>
          <w:rFonts w:hint="eastAsia" w:ascii="宋体" w:hAnsi="宋体"/>
          <w:color w:val="auto"/>
          <w:sz w:val="24"/>
        </w:rPr>
        <w:t>承包人：</w:t>
      </w:r>
    </w:p>
    <w:p w14:paraId="4559FEB7">
      <w:pPr>
        <w:spacing w:line="360" w:lineRule="auto"/>
        <w:rPr>
          <w:rFonts w:ascii="宋体" w:hAnsi="宋体"/>
          <w:color w:val="auto"/>
          <w:sz w:val="24"/>
        </w:rPr>
      </w:pPr>
      <w:r>
        <w:rPr>
          <w:rFonts w:hint="eastAsia" w:ascii="宋体" w:hAnsi="宋体"/>
          <w:color w:val="auto"/>
          <w:sz w:val="24"/>
        </w:rPr>
        <w:t>地址：</w:t>
      </w:r>
    </w:p>
    <w:p w14:paraId="1FA7573F">
      <w:pPr>
        <w:spacing w:line="360" w:lineRule="auto"/>
        <w:rPr>
          <w:rFonts w:ascii="宋体" w:hAnsi="宋体"/>
          <w:color w:val="auto"/>
          <w:sz w:val="24"/>
        </w:rPr>
      </w:pPr>
      <w:r>
        <w:rPr>
          <w:rFonts w:hint="eastAsia" w:ascii="宋体" w:hAnsi="宋体"/>
          <w:color w:val="auto"/>
          <w:sz w:val="24"/>
        </w:rPr>
        <w:t xml:space="preserve">担保权人/发包人： </w:t>
      </w:r>
    </w:p>
    <w:p w14:paraId="264EACEB">
      <w:pPr>
        <w:spacing w:line="360" w:lineRule="auto"/>
        <w:rPr>
          <w:rFonts w:ascii="宋体" w:hAnsi="宋体"/>
          <w:color w:val="auto"/>
          <w:sz w:val="24"/>
        </w:rPr>
      </w:pPr>
      <w:r>
        <w:rPr>
          <w:rFonts w:hint="eastAsia" w:ascii="宋体" w:hAnsi="宋体"/>
          <w:color w:val="auto"/>
          <w:sz w:val="24"/>
        </w:rPr>
        <w:t>地址：</w:t>
      </w:r>
    </w:p>
    <w:p w14:paraId="07F9E5B5">
      <w:pPr>
        <w:spacing w:line="360" w:lineRule="auto"/>
        <w:rPr>
          <w:rFonts w:ascii="宋体" w:hAnsi="宋体"/>
          <w:color w:val="auto"/>
          <w:sz w:val="24"/>
        </w:rPr>
      </w:pPr>
      <w:r>
        <w:rPr>
          <w:rFonts w:hint="eastAsia" w:ascii="宋体" w:hAnsi="宋体"/>
          <w:color w:val="auto"/>
          <w:sz w:val="24"/>
        </w:rPr>
        <w:t>保证人：</w:t>
      </w:r>
    </w:p>
    <w:p w14:paraId="0784B760">
      <w:pPr>
        <w:spacing w:line="360" w:lineRule="auto"/>
        <w:rPr>
          <w:rFonts w:ascii="宋体" w:hAnsi="宋体"/>
          <w:color w:val="auto"/>
          <w:sz w:val="24"/>
        </w:rPr>
      </w:pPr>
      <w:r>
        <w:rPr>
          <w:rFonts w:hint="eastAsia" w:ascii="宋体" w:hAnsi="宋体"/>
          <w:color w:val="auto"/>
          <w:sz w:val="24"/>
        </w:rPr>
        <w:t>地址：</w:t>
      </w:r>
    </w:p>
    <w:p w14:paraId="7A79DDA7">
      <w:pPr>
        <w:spacing w:line="360" w:lineRule="auto"/>
        <w:rPr>
          <w:rFonts w:ascii="宋体" w:hAnsi="宋体"/>
          <w:color w:val="auto"/>
          <w:sz w:val="24"/>
        </w:rPr>
      </w:pPr>
    </w:p>
    <w:p w14:paraId="2B5D964D">
      <w:pPr>
        <w:spacing w:line="360" w:lineRule="auto"/>
        <w:rPr>
          <w:rFonts w:ascii="宋体" w:hAnsi="宋体"/>
          <w:color w:val="auto"/>
          <w:sz w:val="24"/>
        </w:rPr>
      </w:pPr>
      <w:r>
        <w:rPr>
          <w:rFonts w:hint="eastAsia" w:ascii="宋体" w:hAnsi="宋体"/>
          <w:color w:val="auto"/>
          <w:sz w:val="24"/>
        </w:rPr>
        <w:t xml:space="preserve">（发包人名称）： </w:t>
      </w:r>
    </w:p>
    <w:p w14:paraId="75D69D45">
      <w:pPr>
        <w:spacing w:line="360" w:lineRule="auto"/>
        <w:ind w:firstLine="480" w:firstLineChars="200"/>
        <w:rPr>
          <w:rFonts w:ascii="宋体" w:hAnsi="宋体"/>
          <w:color w:val="auto"/>
          <w:sz w:val="24"/>
        </w:rPr>
      </w:pPr>
      <w:r>
        <w:rPr>
          <w:rFonts w:hint="eastAsia" w:ascii="宋体" w:hAnsi="宋体"/>
          <w:color w:val="auto"/>
          <w:sz w:val="24"/>
        </w:rPr>
        <w:t>鉴于（以下简称“发包人”）与（以下简称“承包人”）于年月日就工程（以下简称“本工程”）施工和有关事项协商一致共同签订</w:t>
      </w:r>
      <w:r>
        <w:rPr>
          <w:rFonts w:hint="eastAsia" w:ascii="宋体" w:hAnsi="宋体"/>
          <w:color w:val="auto"/>
          <w:sz w:val="24"/>
          <w:u w:val="single"/>
        </w:rPr>
        <w:t>《        》</w:t>
      </w:r>
      <w:r>
        <w:rPr>
          <w:rFonts w:hint="eastAsia" w:ascii="宋体" w:hAnsi="宋体"/>
          <w:color w:val="auto"/>
          <w:sz w:val="24"/>
        </w:rPr>
        <w:t xml:space="preserve">（以下简称“主合同”），我方即保证人基于承包人的请求，同意就承包人履行与贵方签订的主合同项下的义务，向贵方提供如下保证担保（以下简称“本保证担保”）。 </w:t>
      </w:r>
    </w:p>
    <w:p w14:paraId="486FF599">
      <w:pPr>
        <w:spacing w:line="360" w:lineRule="auto"/>
        <w:rPr>
          <w:rFonts w:ascii="宋体" w:hAnsi="宋体"/>
          <w:b/>
          <w:bCs/>
          <w:color w:val="auto"/>
          <w:sz w:val="24"/>
        </w:rPr>
      </w:pPr>
      <w:r>
        <w:rPr>
          <w:rFonts w:hint="eastAsia" w:ascii="宋体" w:hAnsi="宋体"/>
          <w:b/>
          <w:bCs/>
          <w:color w:val="auto"/>
          <w:sz w:val="24"/>
        </w:rPr>
        <w:t>一、保证担保的范围及保证担保金额</w:t>
      </w:r>
    </w:p>
    <w:p w14:paraId="3A09BB51">
      <w:pPr>
        <w:spacing w:line="360" w:lineRule="auto"/>
        <w:ind w:firstLine="480" w:firstLineChars="200"/>
        <w:rPr>
          <w:rFonts w:ascii="宋体" w:hAnsi="宋体"/>
          <w:color w:val="auto"/>
          <w:sz w:val="24"/>
        </w:rPr>
      </w:pPr>
      <w:r>
        <w:rPr>
          <w:rFonts w:hint="eastAsia" w:ascii="宋体" w:hAnsi="宋体"/>
          <w:color w:val="auto"/>
          <w:sz w:val="24"/>
        </w:rPr>
        <w:t>1.保证担保范围：承包人未按照主合同的约定履行义务，应当向贵方承担的违约责任和赔偿因此造成的损失、利息、律师费、诉讼费用等实现债权的费用。</w:t>
      </w:r>
    </w:p>
    <w:p w14:paraId="68C41846">
      <w:pPr>
        <w:spacing w:line="360" w:lineRule="auto"/>
        <w:ind w:firstLine="480" w:firstLineChars="200"/>
        <w:rPr>
          <w:rFonts w:ascii="宋体" w:hAnsi="宋体"/>
          <w:color w:val="auto"/>
          <w:sz w:val="24"/>
        </w:rPr>
      </w:pPr>
      <w:r>
        <w:rPr>
          <w:rFonts w:hint="eastAsia" w:ascii="宋体" w:hAnsi="宋体"/>
          <w:color w:val="auto"/>
          <w:sz w:val="24"/>
        </w:rPr>
        <w:t xml:space="preserve">2.保证担保金额最高不超过人民币（大写）元（¥）。 </w:t>
      </w:r>
    </w:p>
    <w:p w14:paraId="383AFA0A">
      <w:pPr>
        <w:spacing w:line="360" w:lineRule="auto"/>
        <w:ind w:firstLine="482" w:firstLineChars="200"/>
        <w:rPr>
          <w:rFonts w:ascii="宋体" w:hAnsi="宋体"/>
          <w:b/>
          <w:bCs/>
          <w:color w:val="auto"/>
          <w:sz w:val="24"/>
        </w:rPr>
      </w:pPr>
      <w:r>
        <w:rPr>
          <w:rFonts w:hint="eastAsia" w:ascii="宋体" w:hAnsi="宋体"/>
          <w:b/>
          <w:bCs/>
          <w:color w:val="auto"/>
          <w:sz w:val="24"/>
        </w:rPr>
        <w:t xml:space="preserve">二、保证担保的方式及保证期间 </w:t>
      </w:r>
    </w:p>
    <w:p w14:paraId="5682B77D">
      <w:pPr>
        <w:spacing w:line="360" w:lineRule="auto"/>
        <w:ind w:firstLine="480" w:firstLineChars="200"/>
        <w:rPr>
          <w:rFonts w:ascii="宋体" w:hAnsi="宋体"/>
          <w:color w:val="auto"/>
          <w:sz w:val="24"/>
        </w:rPr>
      </w:pPr>
      <w:r>
        <w:rPr>
          <w:rFonts w:hint="eastAsia" w:ascii="宋体" w:hAnsi="宋体"/>
          <w:color w:val="auto"/>
          <w:sz w:val="24"/>
        </w:rPr>
        <w:t>1.保证担保方式：连带责任保证。</w:t>
      </w:r>
    </w:p>
    <w:p w14:paraId="1E84E9B1">
      <w:pPr>
        <w:spacing w:line="360" w:lineRule="auto"/>
        <w:ind w:firstLine="480" w:firstLineChars="200"/>
        <w:rPr>
          <w:rFonts w:ascii="宋体" w:hAnsi="宋体"/>
          <w:color w:val="auto"/>
          <w:sz w:val="24"/>
        </w:rPr>
      </w:pPr>
      <w:r>
        <w:rPr>
          <w:rFonts w:hint="eastAsia" w:ascii="宋体" w:hAnsi="宋体"/>
          <w:color w:val="auto"/>
          <w:sz w:val="24"/>
        </w:rPr>
        <w:t xml:space="preserve">2.保证期间：自出具之日起至主合同约定的缺陷责任期后日止，最迟不超过年月日。 </w:t>
      </w:r>
    </w:p>
    <w:p w14:paraId="54D279F1">
      <w:pPr>
        <w:spacing w:line="360" w:lineRule="auto"/>
        <w:ind w:firstLine="482" w:firstLineChars="200"/>
        <w:rPr>
          <w:rFonts w:ascii="宋体" w:hAnsi="宋体"/>
          <w:b/>
          <w:bCs/>
          <w:color w:val="auto"/>
          <w:sz w:val="24"/>
        </w:rPr>
      </w:pPr>
      <w:r>
        <w:rPr>
          <w:rFonts w:hint="eastAsia" w:ascii="宋体" w:hAnsi="宋体"/>
          <w:b/>
          <w:bCs/>
          <w:color w:val="auto"/>
          <w:sz w:val="24"/>
        </w:rPr>
        <w:t>三、承担保证担保责任的形式</w:t>
      </w:r>
    </w:p>
    <w:p w14:paraId="51592FAE">
      <w:pPr>
        <w:spacing w:line="360" w:lineRule="auto"/>
        <w:ind w:firstLine="480" w:firstLineChars="200"/>
        <w:rPr>
          <w:rFonts w:ascii="宋体" w:hAnsi="宋体"/>
          <w:color w:val="auto"/>
          <w:sz w:val="24"/>
        </w:rPr>
      </w:pPr>
      <w:r>
        <w:rPr>
          <w:rFonts w:hint="eastAsia" w:ascii="宋体" w:hAnsi="宋体"/>
          <w:color w:val="auto"/>
          <w:sz w:val="24"/>
        </w:rPr>
        <w:t xml:space="preserve">我方按照贵方的要求以下列方式之一承担保证担保责任： </w:t>
      </w:r>
    </w:p>
    <w:p w14:paraId="31DA25C5">
      <w:pPr>
        <w:spacing w:line="360" w:lineRule="auto"/>
        <w:ind w:firstLine="480" w:firstLineChars="200"/>
        <w:rPr>
          <w:rFonts w:ascii="宋体" w:hAnsi="宋体"/>
          <w:color w:val="auto"/>
          <w:sz w:val="24"/>
        </w:rPr>
      </w:pPr>
      <w:r>
        <w:rPr>
          <w:rFonts w:hint="eastAsia" w:ascii="宋体" w:hAnsi="宋体"/>
          <w:color w:val="auto"/>
          <w:sz w:val="24"/>
        </w:rPr>
        <w:t>1.向承包人资金、设备或者技术援助，使其能继续履行合同义务；</w:t>
      </w:r>
    </w:p>
    <w:p w14:paraId="4A6A549E">
      <w:pPr>
        <w:spacing w:line="360" w:lineRule="auto"/>
        <w:ind w:firstLine="480" w:firstLineChars="200"/>
        <w:rPr>
          <w:rFonts w:ascii="宋体" w:hAnsi="宋体"/>
          <w:color w:val="auto"/>
          <w:sz w:val="24"/>
        </w:rPr>
      </w:pPr>
      <w:r>
        <w:rPr>
          <w:rFonts w:hint="eastAsia" w:ascii="宋体" w:hAnsi="宋体"/>
          <w:color w:val="auto"/>
          <w:sz w:val="24"/>
        </w:rPr>
        <w:t>2.直接接管该项工程或者委托经贵方同意的其他承包商，继续履行合同义务；</w:t>
      </w:r>
    </w:p>
    <w:p w14:paraId="72E66F13">
      <w:pPr>
        <w:spacing w:line="360" w:lineRule="auto"/>
        <w:ind w:firstLine="480" w:firstLineChars="200"/>
        <w:rPr>
          <w:rFonts w:ascii="宋体" w:hAnsi="宋体"/>
          <w:color w:val="auto"/>
          <w:sz w:val="24"/>
        </w:rPr>
      </w:pPr>
      <w:r>
        <w:rPr>
          <w:rFonts w:hint="eastAsia" w:ascii="宋体" w:hAnsi="宋体"/>
          <w:color w:val="auto"/>
          <w:sz w:val="24"/>
        </w:rPr>
        <w:t>3.在保证担保金额最高限额内，按照合同约定，向贵方承担违约责任和赔偿因此造成的损失，以及利息和律师费、诉讼费用等实现债权的费用。</w:t>
      </w:r>
    </w:p>
    <w:p w14:paraId="7A469474">
      <w:pPr>
        <w:spacing w:line="360" w:lineRule="auto"/>
        <w:ind w:firstLine="482" w:firstLineChars="200"/>
        <w:rPr>
          <w:rFonts w:ascii="宋体" w:hAnsi="宋体"/>
          <w:b/>
          <w:bCs/>
          <w:color w:val="auto"/>
          <w:sz w:val="24"/>
        </w:rPr>
      </w:pPr>
      <w:r>
        <w:rPr>
          <w:rFonts w:hint="eastAsia" w:ascii="宋体" w:hAnsi="宋体"/>
          <w:b/>
          <w:bCs/>
          <w:color w:val="auto"/>
          <w:sz w:val="24"/>
        </w:rPr>
        <w:t xml:space="preserve">四、代偿的安排 </w:t>
      </w:r>
    </w:p>
    <w:p w14:paraId="3A513BA1">
      <w:pPr>
        <w:spacing w:line="360" w:lineRule="auto"/>
        <w:ind w:firstLine="480" w:firstLineChars="200"/>
        <w:rPr>
          <w:rFonts w:ascii="宋体" w:hAnsi="宋体"/>
          <w:color w:val="auto"/>
          <w:sz w:val="24"/>
        </w:rPr>
      </w:pPr>
      <w:r>
        <w:rPr>
          <w:rFonts w:hint="eastAsia" w:ascii="宋体" w:hAnsi="宋体"/>
          <w:color w:val="auto"/>
          <w:sz w:val="24"/>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774E4F4C">
      <w:pPr>
        <w:spacing w:line="360" w:lineRule="auto"/>
        <w:ind w:firstLine="480" w:firstLineChars="200"/>
        <w:rPr>
          <w:rFonts w:ascii="宋体" w:hAnsi="宋体"/>
          <w:color w:val="auto"/>
          <w:sz w:val="24"/>
        </w:rPr>
      </w:pPr>
      <w:r>
        <w:rPr>
          <w:rFonts w:hint="eastAsia" w:ascii="宋体" w:hAnsi="宋体"/>
          <w:color w:val="auto"/>
          <w:sz w:val="24"/>
        </w:rPr>
        <w:t>2.贵方以工程质量不符合主合同约定标准为由，向我方提出违约索赔的，还需同时提供符合相应条件要求的工程质量检测部门出具的质量说明材料。</w:t>
      </w:r>
    </w:p>
    <w:p w14:paraId="476CC4A9">
      <w:pPr>
        <w:spacing w:line="360" w:lineRule="auto"/>
        <w:ind w:firstLine="480" w:firstLineChars="200"/>
        <w:rPr>
          <w:rFonts w:ascii="宋体" w:hAnsi="宋体"/>
          <w:color w:val="auto"/>
          <w:sz w:val="24"/>
        </w:rPr>
      </w:pPr>
      <w:r>
        <w:rPr>
          <w:rFonts w:hint="eastAsia" w:ascii="宋体" w:hAnsi="宋体"/>
          <w:color w:val="auto"/>
          <w:sz w:val="24"/>
        </w:rPr>
        <w:t>3.我方收到贵方的书面索赔通知及相应证明材料后，在工作日内进行核定后按照本保函的承诺承担保证责任。</w:t>
      </w:r>
    </w:p>
    <w:p w14:paraId="0145B71C">
      <w:pPr>
        <w:spacing w:line="360" w:lineRule="auto"/>
        <w:ind w:firstLine="482" w:firstLineChars="200"/>
        <w:rPr>
          <w:rFonts w:ascii="宋体" w:hAnsi="宋体"/>
          <w:b/>
          <w:bCs/>
          <w:color w:val="auto"/>
          <w:sz w:val="24"/>
        </w:rPr>
      </w:pPr>
      <w:r>
        <w:rPr>
          <w:rFonts w:hint="eastAsia" w:ascii="宋体" w:hAnsi="宋体"/>
          <w:b/>
          <w:bCs/>
          <w:color w:val="auto"/>
          <w:sz w:val="24"/>
        </w:rPr>
        <w:t xml:space="preserve">五、保证担保责任的解除 </w:t>
      </w:r>
    </w:p>
    <w:p w14:paraId="6495EDC0">
      <w:pPr>
        <w:spacing w:line="360" w:lineRule="auto"/>
        <w:ind w:firstLine="480" w:firstLineChars="200"/>
        <w:rPr>
          <w:rFonts w:ascii="宋体" w:hAnsi="宋体"/>
          <w:color w:val="auto"/>
          <w:sz w:val="24"/>
        </w:rPr>
      </w:pPr>
      <w:r>
        <w:rPr>
          <w:rFonts w:hint="eastAsia" w:ascii="宋体" w:hAnsi="宋体"/>
          <w:color w:val="auto"/>
          <w:sz w:val="24"/>
        </w:rPr>
        <w:t xml:space="preserve">1.保证期间届满贵方未向我方书面主张保证责任的，自保证期间届满次日起，我方解除保证责任。 </w:t>
      </w:r>
    </w:p>
    <w:p w14:paraId="3FA09F99">
      <w:pPr>
        <w:spacing w:line="360" w:lineRule="auto"/>
        <w:ind w:firstLine="480" w:firstLineChars="200"/>
        <w:rPr>
          <w:rFonts w:ascii="宋体" w:hAnsi="宋体"/>
          <w:color w:val="auto"/>
          <w:sz w:val="24"/>
        </w:rPr>
      </w:pPr>
      <w:r>
        <w:rPr>
          <w:rFonts w:hint="eastAsia" w:ascii="宋体" w:hAnsi="宋体"/>
          <w:color w:val="auto"/>
          <w:sz w:val="24"/>
        </w:rPr>
        <w:t xml:space="preserve">2.我方按照本保证担保向贵方履行了保证担保责任后，自我方向贵方支付的金额达到最高保证担保金额之日起，保证担保责任解除。 </w:t>
      </w:r>
    </w:p>
    <w:p w14:paraId="05462184">
      <w:pPr>
        <w:spacing w:line="360" w:lineRule="auto"/>
        <w:ind w:firstLine="480" w:firstLineChars="200"/>
        <w:rPr>
          <w:rFonts w:ascii="宋体" w:hAnsi="宋体"/>
          <w:color w:val="auto"/>
          <w:sz w:val="24"/>
        </w:rPr>
      </w:pPr>
      <w:r>
        <w:rPr>
          <w:rFonts w:hint="eastAsia" w:ascii="宋体" w:hAnsi="宋体"/>
          <w:color w:val="auto"/>
          <w:sz w:val="24"/>
        </w:rPr>
        <w:t xml:space="preserve">3.按照法律法规的规定应解除我方保证担保责任的其它情形的，我方在本保证担保项下的保证担保责任亦解除。 </w:t>
      </w:r>
    </w:p>
    <w:p w14:paraId="7938D394">
      <w:pPr>
        <w:spacing w:line="360" w:lineRule="auto"/>
        <w:ind w:firstLine="480" w:firstLineChars="200"/>
        <w:rPr>
          <w:rFonts w:ascii="宋体" w:hAnsi="宋体"/>
          <w:color w:val="auto"/>
          <w:sz w:val="24"/>
        </w:rPr>
      </w:pPr>
      <w:r>
        <w:rPr>
          <w:rFonts w:hint="eastAsia" w:ascii="宋体" w:hAnsi="宋体"/>
          <w:color w:val="auto"/>
          <w:sz w:val="24"/>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BF867C4">
      <w:pPr>
        <w:spacing w:line="360" w:lineRule="auto"/>
        <w:ind w:firstLine="482" w:firstLineChars="200"/>
        <w:rPr>
          <w:rFonts w:ascii="宋体" w:hAnsi="宋体"/>
          <w:b/>
          <w:bCs/>
          <w:color w:val="auto"/>
          <w:sz w:val="24"/>
        </w:rPr>
      </w:pPr>
      <w:r>
        <w:rPr>
          <w:rFonts w:hint="eastAsia" w:ascii="宋体" w:hAnsi="宋体"/>
          <w:b/>
          <w:bCs/>
          <w:color w:val="auto"/>
          <w:sz w:val="24"/>
        </w:rPr>
        <w:t xml:space="preserve">六、免责条款 </w:t>
      </w:r>
    </w:p>
    <w:p w14:paraId="16E08B18">
      <w:pPr>
        <w:spacing w:line="360" w:lineRule="auto"/>
        <w:ind w:firstLine="480" w:firstLineChars="200"/>
        <w:rPr>
          <w:rFonts w:ascii="宋体" w:hAnsi="宋体"/>
          <w:color w:val="auto"/>
          <w:sz w:val="24"/>
        </w:rPr>
      </w:pPr>
      <w:r>
        <w:rPr>
          <w:rFonts w:hint="eastAsia" w:ascii="宋体" w:hAnsi="宋体"/>
          <w:color w:val="auto"/>
          <w:sz w:val="24"/>
        </w:rPr>
        <w:t xml:space="preserve">1.因贵方原因致使承包人未按照主合同约定履行义务的，我方不承担保证担保责任。 </w:t>
      </w:r>
    </w:p>
    <w:p w14:paraId="69D36D06">
      <w:pPr>
        <w:spacing w:line="360" w:lineRule="auto"/>
        <w:ind w:firstLine="480" w:firstLineChars="200"/>
        <w:rPr>
          <w:rFonts w:ascii="宋体" w:hAnsi="宋体"/>
          <w:color w:val="auto"/>
          <w:sz w:val="24"/>
        </w:rPr>
      </w:pPr>
      <w:r>
        <w:rPr>
          <w:rFonts w:hint="eastAsia" w:ascii="宋体" w:hAnsi="宋体"/>
          <w:color w:val="auto"/>
          <w:sz w:val="24"/>
        </w:rPr>
        <w:t xml:space="preserve">2.依照法律规定或贵方与发包人的另行约定，免除承包人部分或全部义务的，我方亦免除其相应的保证担保责任。 </w:t>
      </w:r>
    </w:p>
    <w:p w14:paraId="14F74239">
      <w:pPr>
        <w:spacing w:line="360" w:lineRule="auto"/>
        <w:ind w:firstLine="480" w:firstLineChars="200"/>
        <w:rPr>
          <w:rFonts w:ascii="宋体" w:hAnsi="宋体"/>
          <w:color w:val="auto"/>
          <w:sz w:val="24"/>
        </w:rPr>
      </w:pPr>
      <w:r>
        <w:rPr>
          <w:rFonts w:hint="eastAsia" w:ascii="宋体" w:hAnsi="宋体"/>
          <w:color w:val="auto"/>
          <w:sz w:val="24"/>
        </w:rPr>
        <w:t>3.因不可抗力造成承包人未按照主合同约定履行义务的，我方不承担保证担保责任。</w:t>
      </w:r>
    </w:p>
    <w:p w14:paraId="7F13A970">
      <w:pPr>
        <w:spacing w:line="360" w:lineRule="auto"/>
        <w:ind w:firstLine="482" w:firstLineChars="200"/>
        <w:rPr>
          <w:rFonts w:ascii="宋体" w:hAnsi="宋体"/>
          <w:b/>
          <w:bCs/>
          <w:color w:val="auto"/>
          <w:sz w:val="24"/>
        </w:rPr>
      </w:pPr>
      <w:r>
        <w:rPr>
          <w:rFonts w:hint="eastAsia" w:ascii="宋体" w:hAnsi="宋体"/>
          <w:b/>
          <w:bCs/>
          <w:color w:val="auto"/>
          <w:sz w:val="24"/>
        </w:rPr>
        <w:t>七、其他</w:t>
      </w:r>
    </w:p>
    <w:p w14:paraId="6547DF3C">
      <w:pPr>
        <w:spacing w:line="360" w:lineRule="auto"/>
        <w:ind w:firstLine="480" w:firstLineChars="200"/>
        <w:rPr>
          <w:rFonts w:ascii="宋体" w:hAnsi="宋体"/>
          <w:color w:val="auto"/>
          <w:sz w:val="24"/>
        </w:rPr>
      </w:pPr>
      <w:r>
        <w:rPr>
          <w:rFonts w:hint="eastAsia" w:ascii="宋体" w:hAnsi="宋体"/>
          <w:color w:val="auto"/>
          <w:sz w:val="24"/>
        </w:rPr>
        <w:t xml:space="preserve">1.本保证担保项下的权利不得转让，不得设定担保。贵方未经我方书面同意转让本保证担保或其项下任何权利，对我方不发生法律效力。 </w:t>
      </w:r>
    </w:p>
    <w:p w14:paraId="5FE2939C">
      <w:pPr>
        <w:spacing w:line="360" w:lineRule="auto"/>
        <w:ind w:firstLine="480" w:firstLineChars="200"/>
        <w:rPr>
          <w:rFonts w:ascii="宋体" w:hAnsi="宋体"/>
          <w:color w:val="auto"/>
          <w:sz w:val="24"/>
        </w:rPr>
      </w:pPr>
      <w:r>
        <w:rPr>
          <w:rFonts w:hint="eastAsia" w:ascii="宋体" w:hAnsi="宋体"/>
          <w:color w:val="auto"/>
          <w:sz w:val="24"/>
        </w:rPr>
        <w:t xml:space="preserve">2.本保证担保适用的法律为中华人民共和国法律，争议裁判管辖地为中华人民共和国。 </w:t>
      </w:r>
    </w:p>
    <w:p w14:paraId="60B51913">
      <w:pPr>
        <w:spacing w:line="360" w:lineRule="auto"/>
        <w:ind w:firstLine="480" w:firstLineChars="200"/>
        <w:rPr>
          <w:rFonts w:ascii="宋体" w:hAnsi="宋体"/>
          <w:color w:val="auto"/>
          <w:sz w:val="24"/>
        </w:rPr>
      </w:pPr>
      <w:r>
        <w:rPr>
          <w:rFonts w:hint="eastAsia" w:ascii="宋体" w:hAnsi="宋体"/>
          <w:color w:val="auto"/>
          <w:sz w:val="24"/>
        </w:rPr>
        <w:t xml:space="preserve">3.本保证担保自我方法定代表人或授权代表签字并加盖公章之日起生效。 </w:t>
      </w:r>
    </w:p>
    <w:p w14:paraId="6A1B5360">
      <w:pPr>
        <w:spacing w:line="360" w:lineRule="auto"/>
        <w:ind w:firstLine="480" w:firstLineChars="200"/>
        <w:rPr>
          <w:rFonts w:ascii="宋体" w:hAnsi="宋体"/>
          <w:color w:val="auto"/>
          <w:sz w:val="24"/>
        </w:rPr>
      </w:pPr>
    </w:p>
    <w:p w14:paraId="03348073">
      <w:pPr>
        <w:spacing w:line="360" w:lineRule="auto"/>
        <w:ind w:firstLine="480" w:firstLineChars="200"/>
        <w:rPr>
          <w:rFonts w:ascii="宋体" w:hAnsi="宋体"/>
          <w:color w:val="auto"/>
          <w:sz w:val="24"/>
        </w:rPr>
      </w:pPr>
      <w:r>
        <w:rPr>
          <w:rFonts w:hint="eastAsia" w:ascii="宋体" w:hAnsi="宋体"/>
          <w:color w:val="auto"/>
          <w:sz w:val="24"/>
        </w:rPr>
        <w:t xml:space="preserve">保 证 人：                              （公章） </w:t>
      </w:r>
    </w:p>
    <w:p w14:paraId="63CFC6A1">
      <w:pPr>
        <w:spacing w:line="360" w:lineRule="auto"/>
        <w:ind w:firstLine="480" w:firstLineChars="200"/>
        <w:rPr>
          <w:rFonts w:ascii="宋体" w:hAnsi="宋体"/>
          <w:color w:val="auto"/>
          <w:sz w:val="24"/>
        </w:rPr>
      </w:pPr>
      <w:r>
        <w:rPr>
          <w:rFonts w:hint="eastAsia" w:ascii="宋体" w:hAnsi="宋体"/>
          <w:color w:val="auto"/>
          <w:sz w:val="24"/>
        </w:rPr>
        <w:t xml:space="preserve">法定代表人（或授权代表）：               （签字） </w:t>
      </w:r>
    </w:p>
    <w:p w14:paraId="3F99918B">
      <w:pPr>
        <w:spacing w:line="360" w:lineRule="auto"/>
        <w:ind w:firstLine="480" w:firstLineChars="200"/>
        <w:rPr>
          <w:rFonts w:ascii="宋体" w:hAnsi="宋体"/>
          <w:color w:val="auto"/>
          <w:sz w:val="24"/>
        </w:rPr>
      </w:pPr>
      <w:r>
        <w:rPr>
          <w:rFonts w:hint="eastAsia" w:ascii="宋体" w:hAnsi="宋体"/>
          <w:color w:val="auto"/>
          <w:sz w:val="24"/>
        </w:rPr>
        <w:t xml:space="preserve">地    址：                                       </w:t>
      </w:r>
    </w:p>
    <w:p w14:paraId="250F2C65">
      <w:pPr>
        <w:spacing w:line="360" w:lineRule="auto"/>
        <w:ind w:firstLine="480" w:firstLineChars="200"/>
        <w:rPr>
          <w:rFonts w:ascii="宋体" w:hAnsi="宋体"/>
          <w:color w:val="auto"/>
          <w:sz w:val="24"/>
        </w:rPr>
      </w:pPr>
      <w:r>
        <w:rPr>
          <w:rFonts w:hint="eastAsia" w:ascii="宋体" w:hAnsi="宋体"/>
          <w:color w:val="auto"/>
          <w:sz w:val="24"/>
        </w:rPr>
        <w:t xml:space="preserve">邮政编码：                 </w:t>
      </w:r>
    </w:p>
    <w:p w14:paraId="1DFA4F91">
      <w:pPr>
        <w:spacing w:line="360" w:lineRule="auto"/>
        <w:ind w:firstLine="480" w:firstLineChars="200"/>
        <w:rPr>
          <w:rFonts w:ascii="宋体" w:hAnsi="宋体"/>
          <w:color w:val="auto"/>
          <w:sz w:val="24"/>
        </w:rPr>
      </w:pPr>
      <w:r>
        <w:rPr>
          <w:rFonts w:hint="eastAsia" w:ascii="宋体" w:hAnsi="宋体"/>
          <w:color w:val="auto"/>
          <w:sz w:val="24"/>
        </w:rPr>
        <w:t xml:space="preserve">电    话：                 </w:t>
      </w:r>
    </w:p>
    <w:p w14:paraId="6E8CCB24">
      <w:pPr>
        <w:spacing w:line="360" w:lineRule="auto"/>
        <w:ind w:firstLine="480" w:firstLineChars="200"/>
        <w:rPr>
          <w:rFonts w:ascii="宋体" w:hAnsi="宋体"/>
          <w:color w:val="auto"/>
          <w:sz w:val="24"/>
        </w:rPr>
      </w:pPr>
      <w:r>
        <w:rPr>
          <w:rFonts w:hint="eastAsia" w:ascii="宋体" w:hAnsi="宋体"/>
          <w:color w:val="auto"/>
          <w:sz w:val="24"/>
        </w:rPr>
        <w:t xml:space="preserve">传    真：                 </w:t>
      </w:r>
    </w:p>
    <w:p w14:paraId="019DF7A8">
      <w:pPr>
        <w:widowControl/>
        <w:spacing w:line="360" w:lineRule="auto"/>
        <w:ind w:firstLine="480" w:firstLineChars="200"/>
        <w:jc w:val="center"/>
        <w:rPr>
          <w:rFonts w:ascii="宋体" w:hAnsi="宋体" w:cs="宋体"/>
          <w:color w:val="auto"/>
          <w:sz w:val="24"/>
        </w:rPr>
      </w:pPr>
      <w:r>
        <w:rPr>
          <w:rFonts w:hint="eastAsia" w:ascii="宋体" w:hAnsi="宋体"/>
          <w:color w:val="auto"/>
          <w:sz w:val="24"/>
        </w:rPr>
        <w:t>时    间：      年      月        日</w:t>
      </w:r>
    </w:p>
    <w:p w14:paraId="28553691">
      <w:pPr>
        <w:spacing w:line="360" w:lineRule="auto"/>
        <w:ind w:left="2940" w:leftChars="1400"/>
        <w:rPr>
          <w:rFonts w:ascii="宋体" w:hAnsi="宋体" w:cs="宋体"/>
          <w:color w:val="auto"/>
          <w:sz w:val="24"/>
        </w:rPr>
      </w:pPr>
    </w:p>
    <w:p w14:paraId="31001FC3">
      <w:pPr>
        <w:rPr>
          <w:color w:val="auto"/>
        </w:rPr>
      </w:pPr>
    </w:p>
    <w:p w14:paraId="568DEE3B">
      <w:pPr>
        <w:rPr>
          <w:color w:val="auto"/>
        </w:rPr>
      </w:pPr>
    </w:p>
    <w:p w14:paraId="084244CE">
      <w:pPr>
        <w:rPr>
          <w:color w:val="auto"/>
        </w:rPr>
      </w:pPr>
    </w:p>
    <w:p w14:paraId="379782F8">
      <w:pPr>
        <w:rPr>
          <w:color w:val="auto"/>
        </w:rPr>
      </w:pPr>
    </w:p>
    <w:p w14:paraId="300D4B08">
      <w:pPr>
        <w:rPr>
          <w:color w:val="auto"/>
        </w:rPr>
      </w:pPr>
    </w:p>
    <w:p w14:paraId="6FB7B80A">
      <w:pPr>
        <w:rPr>
          <w:color w:val="auto"/>
        </w:rPr>
      </w:pPr>
    </w:p>
    <w:p w14:paraId="0BB0E5C8">
      <w:pPr>
        <w:rPr>
          <w:color w:val="auto"/>
        </w:rPr>
      </w:pPr>
    </w:p>
    <w:p w14:paraId="0F5B0F4E">
      <w:pPr>
        <w:rPr>
          <w:color w:val="auto"/>
        </w:rPr>
      </w:pPr>
    </w:p>
    <w:p w14:paraId="56B79CEC">
      <w:pPr>
        <w:rPr>
          <w:color w:val="auto"/>
        </w:rPr>
      </w:pPr>
    </w:p>
    <w:p w14:paraId="6012A2B2">
      <w:pPr>
        <w:rPr>
          <w:color w:val="auto"/>
        </w:rPr>
      </w:pPr>
    </w:p>
    <w:p w14:paraId="695315B2">
      <w:pPr>
        <w:rPr>
          <w:color w:val="auto"/>
        </w:rPr>
      </w:pPr>
    </w:p>
    <w:p w14:paraId="32953C51">
      <w:pPr>
        <w:rPr>
          <w:color w:val="auto"/>
        </w:rPr>
      </w:pPr>
    </w:p>
    <w:p w14:paraId="77C635B7">
      <w:pPr>
        <w:rPr>
          <w:color w:val="auto"/>
        </w:rPr>
      </w:pPr>
    </w:p>
    <w:p w14:paraId="66EDBD31">
      <w:pPr>
        <w:rPr>
          <w:color w:val="auto"/>
        </w:rPr>
      </w:pPr>
    </w:p>
    <w:p w14:paraId="408493DD">
      <w:pPr>
        <w:rPr>
          <w:color w:val="auto"/>
        </w:rPr>
      </w:pPr>
    </w:p>
    <w:p w14:paraId="27B6391F">
      <w:pPr>
        <w:rPr>
          <w:color w:val="auto"/>
        </w:rPr>
      </w:pPr>
    </w:p>
    <w:p w14:paraId="0E0D4251">
      <w:pPr>
        <w:rPr>
          <w:color w:val="auto"/>
        </w:rPr>
      </w:pPr>
    </w:p>
    <w:p w14:paraId="56A0BB6B">
      <w:pPr>
        <w:rPr>
          <w:color w:val="auto"/>
        </w:rPr>
      </w:pPr>
    </w:p>
    <w:p w14:paraId="2C983A74">
      <w:pPr>
        <w:rPr>
          <w:color w:val="auto"/>
        </w:rPr>
      </w:pPr>
    </w:p>
    <w:p w14:paraId="1CF5C3A8">
      <w:pPr>
        <w:rPr>
          <w:color w:val="auto"/>
        </w:rPr>
      </w:pPr>
    </w:p>
    <w:p w14:paraId="1D3B2725">
      <w:pPr>
        <w:rPr>
          <w:color w:val="auto"/>
        </w:rPr>
      </w:pPr>
    </w:p>
    <w:p w14:paraId="0B661BD3">
      <w:pPr>
        <w:rPr>
          <w:color w:val="auto"/>
        </w:rPr>
      </w:pPr>
    </w:p>
    <w:p w14:paraId="1CC1EAE2">
      <w:pPr>
        <w:rPr>
          <w:color w:val="auto"/>
        </w:rPr>
      </w:pPr>
    </w:p>
    <w:p w14:paraId="7372080C">
      <w:pPr>
        <w:rPr>
          <w:color w:val="auto"/>
        </w:rPr>
      </w:pPr>
    </w:p>
    <w:sectPr>
      <w:footerReference r:id="rId9" w:type="first"/>
      <w:headerReference r:id="rId7" w:type="default"/>
      <w:footerReference r:id="rId8" w:type="default"/>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ABDC8F89">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1632">
    <w:pPr>
      <w:pStyle w:val="3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F94109">
                          <w:pPr>
                            <w:pStyle w:val="3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v1xsgBAACeAwAADgAAAGRycy9lMm9Eb2MueG1srVPNjtMwEL4j8Q6W&#10;7zRpV6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hb9cbIAQAAngMAAA4AAAAAAAAAAQAgAAAAHgEAAGRycy9lMm9Eb2Mu&#10;eG1sUEsFBgAAAAAGAAYAWQEAAFgFAAAAAA==&#10;">
              <v:fill on="f" focussize="0,0"/>
              <v:stroke on="f"/>
              <v:imagedata o:title=""/>
              <o:lock v:ext="edit" aspectratio="f"/>
              <v:textbox inset="0mm,0mm,0mm,0mm" style="mso-fit-shape-to-text:t;">
                <w:txbxContent>
                  <w:p w14:paraId="4AF94109">
                    <w:pPr>
                      <w:pStyle w:val="31"/>
                    </w:pPr>
                    <w:r>
                      <w:fldChar w:fldCharType="begin"/>
                    </w:r>
                    <w:r>
                      <w:instrText xml:space="preserve"> PAGE  \* MERGEFORMAT </w:instrText>
                    </w:r>
                    <w:r>
                      <w:fldChar w:fldCharType="separate"/>
                    </w:r>
                    <w:r>
                      <w:t>1</w:t>
                    </w:r>
                    <w:r>
                      <w:fldChar w:fldCharType="end"/>
                    </w:r>
                  </w:p>
                </w:txbxContent>
              </v:textbox>
            </v:shape>
          </w:pict>
        </mc:Fallback>
      </mc:AlternateContent>
    </w:r>
  </w:p>
  <w:p w14:paraId="5F406A3C">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6CAF9">
    <w:pPr>
      <w:pStyle w:val="3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F0A59"/>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5T688gBAACeAwAADgAAAGRycy9lMm9Eb2MueG1srVPNjtMwEL4j8Q6W&#10;7zRptaA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W/4cwKQw9++f7t8uPX5edX9nK5&#10;ukkK9R4rKrz3VBqHN26gvZnjSMFEfGiDSV+ixChP+p6v+sIQmUyX1qv1uqSUpNzsEH7xcN0HjG/B&#10;GZaMmgd6wKyrOL3HOJbOJambdXdK6/yI2v4VIMwxAnkLptuJyThxsuKwHyZ6e9eciV1Pm1BzS4vP&#10;mX5nSei0NLMRZmM/Gakj+tfHSGPk6RLqCEWskkPPlvlNK5b24k8/Vz38V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eU+vPIAQAAngMAAA4AAAAAAAAAAQAgAAAAHgEAAGRycy9lMm9Eb2Mu&#10;eG1sUEsFBgAAAAAGAAYAWQEAAFgFAAAAAA==&#10;">
              <v:fill on="f" focussize="0,0"/>
              <v:stroke on="f"/>
              <v:imagedata o:title=""/>
              <o:lock v:ext="edit" aspectratio="f"/>
              <v:textbox inset="0mm,0mm,0mm,0mm" style="mso-fit-shape-to-text:t;">
                <w:txbxContent>
                  <w:p w14:paraId="1ABF0A5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01334">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FB179C">
                          <w:pPr>
                            <w:pStyle w:val="31"/>
                            <w:jc w:val="center"/>
                          </w:pPr>
                          <w:r>
                            <w:fldChar w:fldCharType="begin"/>
                          </w:r>
                          <w:r>
                            <w:instrText xml:space="preserve"> PAGE  \* MERGEFORMAT </w:instrText>
                          </w:r>
                          <w:r>
                            <w:fldChar w:fldCharType="separate"/>
                          </w:r>
                          <w:r>
                            <w:t>96</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8sLxZyQEAAJ4DAAAOAAAAAAAAAAEAIAAAAB4BAABkcnMvZTJvRG9j&#10;LnhtbFBLBQYAAAAABgAGAFkBAABZBQAAAAA=&#10;">
              <v:fill on="f" focussize="0,0"/>
              <v:stroke on="f"/>
              <v:imagedata o:title=""/>
              <o:lock v:ext="edit" aspectratio="f"/>
              <v:textbox inset="0mm,0mm,0mm,0mm" style="mso-fit-shape-to-text:t;">
                <w:txbxContent>
                  <w:p w14:paraId="6BFB179C">
                    <w:pPr>
                      <w:pStyle w:val="31"/>
                      <w:jc w:val="center"/>
                    </w:pPr>
                    <w:r>
                      <w:fldChar w:fldCharType="begin"/>
                    </w:r>
                    <w:r>
                      <w:instrText xml:space="preserve"> PAGE  \* MERGEFORMAT </w:instrText>
                    </w:r>
                    <w:r>
                      <w:fldChar w:fldCharType="separate"/>
                    </w:r>
                    <w:r>
                      <w:t>96</w:t>
                    </w:r>
                    <w:r>
                      <w:fldChar w:fldCharType="end"/>
                    </w:r>
                  </w:p>
                </w:txbxContent>
              </v:textbox>
            </v:shape>
          </w:pict>
        </mc:Fallback>
      </mc:AlternateContent>
    </w:r>
  </w:p>
  <w:p w14:paraId="2847D72F">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CCF0">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394DC1">
                          <w:pPr>
                            <w:pStyle w:val="31"/>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q5RickBAACe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J2&#10;WVVJod5DjYVPHkvjcOcG3Js5DhhMxAcZTPoiJYJ51Pd00VcMkfB0aVWtViWmOOZmB/GL5+s+QHwv&#10;nCHJaGjAB8y6suMjxLF0LkndrLtXWudH1PavAGKOEZG3YLqdmIwTJysOu2Git3PtCdn1uAkNtbj4&#10;lOgHi0KnpZmNMBu7yUgdwd8eIo6Rp0uoIxSySg4+W+Y3rVjaiz/9XPX8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arlGJyQEAAJ4DAAAOAAAAAAAAAAEAIAAAAB4BAABkcnMvZTJvRG9j&#10;LnhtbFBLBQYAAAAABgAGAFkBAABZBQAAAAA=&#10;">
              <v:fill on="f" focussize="0,0"/>
              <v:stroke on="f"/>
              <v:imagedata o:title=""/>
              <o:lock v:ext="edit" aspectratio="f"/>
              <v:textbox inset="0mm,0mm,0mm,0mm" style="mso-fit-shape-to-text:t;">
                <w:txbxContent>
                  <w:p w14:paraId="5C394DC1">
                    <w:pPr>
                      <w:pStyle w:val="31"/>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8F6F">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3A2E">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3E4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F592E"/>
    <w:multiLevelType w:val="singleLevel"/>
    <w:tmpl w:val="DFFF592E"/>
    <w:lvl w:ilvl="0" w:tentative="0">
      <w:start w:val="1"/>
      <w:numFmt w:val="decimal"/>
      <w:suff w:val="nothing"/>
      <w:lvlText w:val="%1）"/>
      <w:lvlJc w:val="left"/>
    </w:lvl>
  </w:abstractNum>
  <w:abstractNum w:abstractNumId="1">
    <w:nsid w:val="3B1B6F0F"/>
    <w:multiLevelType w:val="singleLevel"/>
    <w:tmpl w:val="3B1B6F0F"/>
    <w:lvl w:ilvl="0" w:tentative="0">
      <w:start w:val="1"/>
      <w:numFmt w:val="decimal"/>
      <w:lvlText w:val="%1."/>
      <w:lvlJc w:val="left"/>
      <w:pPr>
        <w:tabs>
          <w:tab w:val="left" w:pos="312"/>
        </w:tabs>
      </w:pPr>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6EDD6596"/>
    <w:multiLevelType w:val="singleLevel"/>
    <w:tmpl w:val="6EDD6596"/>
    <w:lvl w:ilvl="0" w:tentative="0">
      <w:start w:val="1"/>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C53"/>
    <w:rsid w:val="00000E69"/>
    <w:rsid w:val="00000FD7"/>
    <w:rsid w:val="00001013"/>
    <w:rsid w:val="00001245"/>
    <w:rsid w:val="00001799"/>
    <w:rsid w:val="00001AF2"/>
    <w:rsid w:val="00001ECA"/>
    <w:rsid w:val="00002480"/>
    <w:rsid w:val="00002D29"/>
    <w:rsid w:val="00003B93"/>
    <w:rsid w:val="0000474D"/>
    <w:rsid w:val="0000529E"/>
    <w:rsid w:val="000057F8"/>
    <w:rsid w:val="00005CC0"/>
    <w:rsid w:val="00005FDF"/>
    <w:rsid w:val="0000644A"/>
    <w:rsid w:val="00006D8A"/>
    <w:rsid w:val="00007081"/>
    <w:rsid w:val="000070B3"/>
    <w:rsid w:val="000076B8"/>
    <w:rsid w:val="000109DC"/>
    <w:rsid w:val="00010D39"/>
    <w:rsid w:val="0001172C"/>
    <w:rsid w:val="00011BC9"/>
    <w:rsid w:val="00012854"/>
    <w:rsid w:val="00012D72"/>
    <w:rsid w:val="00012EA6"/>
    <w:rsid w:val="00013359"/>
    <w:rsid w:val="000139CF"/>
    <w:rsid w:val="00013AA4"/>
    <w:rsid w:val="00013DFE"/>
    <w:rsid w:val="000141EA"/>
    <w:rsid w:val="00015111"/>
    <w:rsid w:val="00015B63"/>
    <w:rsid w:val="0001657F"/>
    <w:rsid w:val="00016ABC"/>
    <w:rsid w:val="000177DB"/>
    <w:rsid w:val="000179C9"/>
    <w:rsid w:val="00017CCC"/>
    <w:rsid w:val="00020227"/>
    <w:rsid w:val="00020263"/>
    <w:rsid w:val="00020455"/>
    <w:rsid w:val="00020813"/>
    <w:rsid w:val="00020E11"/>
    <w:rsid w:val="000215D0"/>
    <w:rsid w:val="00021F52"/>
    <w:rsid w:val="00021FCF"/>
    <w:rsid w:val="000220B2"/>
    <w:rsid w:val="0002264C"/>
    <w:rsid w:val="00022731"/>
    <w:rsid w:val="00022792"/>
    <w:rsid w:val="00023287"/>
    <w:rsid w:val="00024061"/>
    <w:rsid w:val="00024463"/>
    <w:rsid w:val="00025461"/>
    <w:rsid w:val="00025636"/>
    <w:rsid w:val="00025E36"/>
    <w:rsid w:val="000260F7"/>
    <w:rsid w:val="00026855"/>
    <w:rsid w:val="00026886"/>
    <w:rsid w:val="0002754F"/>
    <w:rsid w:val="0002785D"/>
    <w:rsid w:val="000307BE"/>
    <w:rsid w:val="00031DD0"/>
    <w:rsid w:val="00032633"/>
    <w:rsid w:val="000326A2"/>
    <w:rsid w:val="000329E0"/>
    <w:rsid w:val="000336D0"/>
    <w:rsid w:val="000352E9"/>
    <w:rsid w:val="00035494"/>
    <w:rsid w:val="00035ECF"/>
    <w:rsid w:val="00036125"/>
    <w:rsid w:val="00036A07"/>
    <w:rsid w:val="0003780B"/>
    <w:rsid w:val="00037C41"/>
    <w:rsid w:val="00040571"/>
    <w:rsid w:val="00040973"/>
    <w:rsid w:val="0004156E"/>
    <w:rsid w:val="00041713"/>
    <w:rsid w:val="0004212E"/>
    <w:rsid w:val="00042B32"/>
    <w:rsid w:val="00042EE8"/>
    <w:rsid w:val="000439AA"/>
    <w:rsid w:val="0004440C"/>
    <w:rsid w:val="0004657F"/>
    <w:rsid w:val="00046B5E"/>
    <w:rsid w:val="000470CB"/>
    <w:rsid w:val="000506DE"/>
    <w:rsid w:val="000509D9"/>
    <w:rsid w:val="00051006"/>
    <w:rsid w:val="00051165"/>
    <w:rsid w:val="000512AF"/>
    <w:rsid w:val="00051ACB"/>
    <w:rsid w:val="000533E7"/>
    <w:rsid w:val="00053B29"/>
    <w:rsid w:val="00054B4B"/>
    <w:rsid w:val="000550E8"/>
    <w:rsid w:val="00055519"/>
    <w:rsid w:val="00055D41"/>
    <w:rsid w:val="00056EF6"/>
    <w:rsid w:val="000575CF"/>
    <w:rsid w:val="00057CD6"/>
    <w:rsid w:val="00060D7F"/>
    <w:rsid w:val="00060DCE"/>
    <w:rsid w:val="000610E3"/>
    <w:rsid w:val="000614F3"/>
    <w:rsid w:val="00061A1B"/>
    <w:rsid w:val="000623B4"/>
    <w:rsid w:val="00062405"/>
    <w:rsid w:val="00062EC2"/>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11E4"/>
    <w:rsid w:val="00071E9B"/>
    <w:rsid w:val="000720A1"/>
    <w:rsid w:val="000724D9"/>
    <w:rsid w:val="00072AED"/>
    <w:rsid w:val="00073F47"/>
    <w:rsid w:val="0007492F"/>
    <w:rsid w:val="00074BC7"/>
    <w:rsid w:val="00074ED8"/>
    <w:rsid w:val="00075B7E"/>
    <w:rsid w:val="00076D70"/>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88D"/>
    <w:rsid w:val="000929EF"/>
    <w:rsid w:val="00092C26"/>
    <w:rsid w:val="000933BE"/>
    <w:rsid w:val="00094428"/>
    <w:rsid w:val="000944FC"/>
    <w:rsid w:val="0009560F"/>
    <w:rsid w:val="0009588E"/>
    <w:rsid w:val="000959EE"/>
    <w:rsid w:val="00096C2E"/>
    <w:rsid w:val="00096DB9"/>
    <w:rsid w:val="00097183"/>
    <w:rsid w:val="000972CB"/>
    <w:rsid w:val="00097608"/>
    <w:rsid w:val="000A0F35"/>
    <w:rsid w:val="000A1175"/>
    <w:rsid w:val="000A13F3"/>
    <w:rsid w:val="000A165B"/>
    <w:rsid w:val="000A1963"/>
    <w:rsid w:val="000A1C18"/>
    <w:rsid w:val="000A23B1"/>
    <w:rsid w:val="000A2818"/>
    <w:rsid w:val="000A2B0E"/>
    <w:rsid w:val="000A3095"/>
    <w:rsid w:val="000A398F"/>
    <w:rsid w:val="000A448C"/>
    <w:rsid w:val="000A4E26"/>
    <w:rsid w:val="000A509C"/>
    <w:rsid w:val="000A54A7"/>
    <w:rsid w:val="000A5A17"/>
    <w:rsid w:val="000A6007"/>
    <w:rsid w:val="000A6564"/>
    <w:rsid w:val="000A65A6"/>
    <w:rsid w:val="000A70E3"/>
    <w:rsid w:val="000A7275"/>
    <w:rsid w:val="000A7408"/>
    <w:rsid w:val="000A7A12"/>
    <w:rsid w:val="000A7A72"/>
    <w:rsid w:val="000B0FE0"/>
    <w:rsid w:val="000B1202"/>
    <w:rsid w:val="000B12FF"/>
    <w:rsid w:val="000B1801"/>
    <w:rsid w:val="000B1D0C"/>
    <w:rsid w:val="000B2273"/>
    <w:rsid w:val="000B2563"/>
    <w:rsid w:val="000B2BC6"/>
    <w:rsid w:val="000B2D03"/>
    <w:rsid w:val="000B37F2"/>
    <w:rsid w:val="000B3815"/>
    <w:rsid w:val="000B3C7B"/>
    <w:rsid w:val="000B3E68"/>
    <w:rsid w:val="000B4321"/>
    <w:rsid w:val="000B544A"/>
    <w:rsid w:val="000B5CCB"/>
    <w:rsid w:val="000B5F6B"/>
    <w:rsid w:val="000B613A"/>
    <w:rsid w:val="000B6A6B"/>
    <w:rsid w:val="000B6C95"/>
    <w:rsid w:val="000B79FC"/>
    <w:rsid w:val="000B7E0A"/>
    <w:rsid w:val="000C09A4"/>
    <w:rsid w:val="000C144E"/>
    <w:rsid w:val="000C1679"/>
    <w:rsid w:val="000C190E"/>
    <w:rsid w:val="000C1953"/>
    <w:rsid w:val="000C1BFE"/>
    <w:rsid w:val="000C1EE3"/>
    <w:rsid w:val="000C3AE7"/>
    <w:rsid w:val="000C3CC9"/>
    <w:rsid w:val="000C3DBC"/>
    <w:rsid w:val="000C5823"/>
    <w:rsid w:val="000C59C6"/>
    <w:rsid w:val="000C6DE4"/>
    <w:rsid w:val="000C7202"/>
    <w:rsid w:val="000C7432"/>
    <w:rsid w:val="000C7926"/>
    <w:rsid w:val="000D0A89"/>
    <w:rsid w:val="000D10F1"/>
    <w:rsid w:val="000D1389"/>
    <w:rsid w:val="000D1798"/>
    <w:rsid w:val="000D2626"/>
    <w:rsid w:val="000D264F"/>
    <w:rsid w:val="000D2BEF"/>
    <w:rsid w:val="000D2CD3"/>
    <w:rsid w:val="000D4016"/>
    <w:rsid w:val="000D411D"/>
    <w:rsid w:val="000D4589"/>
    <w:rsid w:val="000D4809"/>
    <w:rsid w:val="000D4FB6"/>
    <w:rsid w:val="000D5C29"/>
    <w:rsid w:val="000D6F6B"/>
    <w:rsid w:val="000D73DD"/>
    <w:rsid w:val="000E02E8"/>
    <w:rsid w:val="000E1C38"/>
    <w:rsid w:val="000E1C51"/>
    <w:rsid w:val="000E1D3E"/>
    <w:rsid w:val="000E28AB"/>
    <w:rsid w:val="000E2E3E"/>
    <w:rsid w:val="000E3583"/>
    <w:rsid w:val="000E3AF0"/>
    <w:rsid w:val="000E43EC"/>
    <w:rsid w:val="000E4DC7"/>
    <w:rsid w:val="000E4E04"/>
    <w:rsid w:val="000E592E"/>
    <w:rsid w:val="000E693B"/>
    <w:rsid w:val="000E6D5C"/>
    <w:rsid w:val="000E6EC9"/>
    <w:rsid w:val="000E6FB6"/>
    <w:rsid w:val="000E70B4"/>
    <w:rsid w:val="000E7B62"/>
    <w:rsid w:val="000E7EDC"/>
    <w:rsid w:val="000F085D"/>
    <w:rsid w:val="000F0E1E"/>
    <w:rsid w:val="000F1129"/>
    <w:rsid w:val="000F1A1B"/>
    <w:rsid w:val="000F2A95"/>
    <w:rsid w:val="000F2BB7"/>
    <w:rsid w:val="000F3281"/>
    <w:rsid w:val="000F32FD"/>
    <w:rsid w:val="000F3733"/>
    <w:rsid w:val="000F5B2B"/>
    <w:rsid w:val="000F5F8B"/>
    <w:rsid w:val="000F6153"/>
    <w:rsid w:val="000F64AA"/>
    <w:rsid w:val="000F6C7B"/>
    <w:rsid w:val="000F73AD"/>
    <w:rsid w:val="000F7AF4"/>
    <w:rsid w:val="000F7C33"/>
    <w:rsid w:val="000F7F0C"/>
    <w:rsid w:val="001004D6"/>
    <w:rsid w:val="00101D1B"/>
    <w:rsid w:val="00101E8E"/>
    <w:rsid w:val="00102676"/>
    <w:rsid w:val="00103646"/>
    <w:rsid w:val="00103918"/>
    <w:rsid w:val="00104897"/>
    <w:rsid w:val="00104EDE"/>
    <w:rsid w:val="00104F54"/>
    <w:rsid w:val="00105992"/>
    <w:rsid w:val="00105CDA"/>
    <w:rsid w:val="00105F97"/>
    <w:rsid w:val="00106BEE"/>
    <w:rsid w:val="0010711C"/>
    <w:rsid w:val="00107368"/>
    <w:rsid w:val="001078E7"/>
    <w:rsid w:val="00107BDF"/>
    <w:rsid w:val="00107C74"/>
    <w:rsid w:val="0011091C"/>
    <w:rsid w:val="00111266"/>
    <w:rsid w:val="001112EB"/>
    <w:rsid w:val="00111FD1"/>
    <w:rsid w:val="0011247D"/>
    <w:rsid w:val="0011351F"/>
    <w:rsid w:val="00113678"/>
    <w:rsid w:val="00113A7D"/>
    <w:rsid w:val="00113C3E"/>
    <w:rsid w:val="00115375"/>
    <w:rsid w:val="001157F8"/>
    <w:rsid w:val="00115E11"/>
    <w:rsid w:val="00115EEE"/>
    <w:rsid w:val="00115F56"/>
    <w:rsid w:val="001164ED"/>
    <w:rsid w:val="00116CA9"/>
    <w:rsid w:val="00116F38"/>
    <w:rsid w:val="001170A4"/>
    <w:rsid w:val="00117AE7"/>
    <w:rsid w:val="00117B85"/>
    <w:rsid w:val="00117CBD"/>
    <w:rsid w:val="0012006A"/>
    <w:rsid w:val="00121979"/>
    <w:rsid w:val="00122064"/>
    <w:rsid w:val="0012301B"/>
    <w:rsid w:val="00123428"/>
    <w:rsid w:val="00124341"/>
    <w:rsid w:val="00124492"/>
    <w:rsid w:val="00124B12"/>
    <w:rsid w:val="001250A0"/>
    <w:rsid w:val="001263B8"/>
    <w:rsid w:val="00130217"/>
    <w:rsid w:val="00130641"/>
    <w:rsid w:val="00130783"/>
    <w:rsid w:val="00130A47"/>
    <w:rsid w:val="00130FB0"/>
    <w:rsid w:val="001315BE"/>
    <w:rsid w:val="00132B47"/>
    <w:rsid w:val="00132DDA"/>
    <w:rsid w:val="0013346C"/>
    <w:rsid w:val="001337F8"/>
    <w:rsid w:val="001341B2"/>
    <w:rsid w:val="001348B4"/>
    <w:rsid w:val="00134B1F"/>
    <w:rsid w:val="0013506E"/>
    <w:rsid w:val="001351CB"/>
    <w:rsid w:val="00135530"/>
    <w:rsid w:val="00135947"/>
    <w:rsid w:val="001359A2"/>
    <w:rsid w:val="00135F92"/>
    <w:rsid w:val="00136020"/>
    <w:rsid w:val="00136445"/>
    <w:rsid w:val="00136965"/>
    <w:rsid w:val="00136A9C"/>
    <w:rsid w:val="00137389"/>
    <w:rsid w:val="00140132"/>
    <w:rsid w:val="00141455"/>
    <w:rsid w:val="0014190C"/>
    <w:rsid w:val="00141B9B"/>
    <w:rsid w:val="00141C9C"/>
    <w:rsid w:val="0014277F"/>
    <w:rsid w:val="00142AD2"/>
    <w:rsid w:val="001434BE"/>
    <w:rsid w:val="00143AAD"/>
    <w:rsid w:val="00144050"/>
    <w:rsid w:val="00144369"/>
    <w:rsid w:val="00144398"/>
    <w:rsid w:val="0014479F"/>
    <w:rsid w:val="001452B4"/>
    <w:rsid w:val="00145320"/>
    <w:rsid w:val="00145B3E"/>
    <w:rsid w:val="001476D3"/>
    <w:rsid w:val="001509CF"/>
    <w:rsid w:val="00150D1D"/>
    <w:rsid w:val="001525AA"/>
    <w:rsid w:val="00152A87"/>
    <w:rsid w:val="00152AC1"/>
    <w:rsid w:val="00153A84"/>
    <w:rsid w:val="00153BB5"/>
    <w:rsid w:val="00154518"/>
    <w:rsid w:val="00154D26"/>
    <w:rsid w:val="001556B8"/>
    <w:rsid w:val="00156359"/>
    <w:rsid w:val="00156DD6"/>
    <w:rsid w:val="00160238"/>
    <w:rsid w:val="0016086E"/>
    <w:rsid w:val="001609B9"/>
    <w:rsid w:val="00160D0C"/>
    <w:rsid w:val="00160DD1"/>
    <w:rsid w:val="00161172"/>
    <w:rsid w:val="00161998"/>
    <w:rsid w:val="00161E65"/>
    <w:rsid w:val="00161F0E"/>
    <w:rsid w:val="00162597"/>
    <w:rsid w:val="001629AF"/>
    <w:rsid w:val="001629FD"/>
    <w:rsid w:val="0016428A"/>
    <w:rsid w:val="001646D5"/>
    <w:rsid w:val="001647C9"/>
    <w:rsid w:val="00165627"/>
    <w:rsid w:val="001661A3"/>
    <w:rsid w:val="00166E81"/>
    <w:rsid w:val="00167226"/>
    <w:rsid w:val="0016782B"/>
    <w:rsid w:val="0016784D"/>
    <w:rsid w:val="00167853"/>
    <w:rsid w:val="00167887"/>
    <w:rsid w:val="00170613"/>
    <w:rsid w:val="00170F0C"/>
    <w:rsid w:val="00171319"/>
    <w:rsid w:val="0017267A"/>
    <w:rsid w:val="00172CA8"/>
    <w:rsid w:val="00173256"/>
    <w:rsid w:val="00173B0E"/>
    <w:rsid w:val="00173E03"/>
    <w:rsid w:val="0017405A"/>
    <w:rsid w:val="0017461E"/>
    <w:rsid w:val="00174704"/>
    <w:rsid w:val="0017512C"/>
    <w:rsid w:val="001756AF"/>
    <w:rsid w:val="0017586A"/>
    <w:rsid w:val="00175BA6"/>
    <w:rsid w:val="00175C6F"/>
    <w:rsid w:val="00176CA7"/>
    <w:rsid w:val="00176D0C"/>
    <w:rsid w:val="00176F8E"/>
    <w:rsid w:val="0017789A"/>
    <w:rsid w:val="001778C5"/>
    <w:rsid w:val="00177C07"/>
    <w:rsid w:val="00177E56"/>
    <w:rsid w:val="00177F0A"/>
    <w:rsid w:val="0018090D"/>
    <w:rsid w:val="00180DA0"/>
    <w:rsid w:val="001814E2"/>
    <w:rsid w:val="00181813"/>
    <w:rsid w:val="00181EAD"/>
    <w:rsid w:val="00182862"/>
    <w:rsid w:val="00182FBD"/>
    <w:rsid w:val="00184F57"/>
    <w:rsid w:val="00185091"/>
    <w:rsid w:val="00185544"/>
    <w:rsid w:val="00185617"/>
    <w:rsid w:val="00186FE1"/>
    <w:rsid w:val="00187A14"/>
    <w:rsid w:val="00190D50"/>
    <w:rsid w:val="00191177"/>
    <w:rsid w:val="0019171E"/>
    <w:rsid w:val="00192368"/>
    <w:rsid w:val="001923A0"/>
    <w:rsid w:val="0019270F"/>
    <w:rsid w:val="001928B1"/>
    <w:rsid w:val="00192C38"/>
    <w:rsid w:val="00192CA1"/>
    <w:rsid w:val="00193537"/>
    <w:rsid w:val="00193808"/>
    <w:rsid w:val="00193846"/>
    <w:rsid w:val="00195424"/>
    <w:rsid w:val="001955FF"/>
    <w:rsid w:val="001972F8"/>
    <w:rsid w:val="00197EDD"/>
    <w:rsid w:val="001A02B3"/>
    <w:rsid w:val="001A04BB"/>
    <w:rsid w:val="001A06CC"/>
    <w:rsid w:val="001A0889"/>
    <w:rsid w:val="001A08D0"/>
    <w:rsid w:val="001A1B39"/>
    <w:rsid w:val="001A1D4A"/>
    <w:rsid w:val="001A2120"/>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464"/>
    <w:rsid w:val="001B125A"/>
    <w:rsid w:val="001B1EBA"/>
    <w:rsid w:val="001B2142"/>
    <w:rsid w:val="001B2F2B"/>
    <w:rsid w:val="001B327A"/>
    <w:rsid w:val="001B35DE"/>
    <w:rsid w:val="001B3A13"/>
    <w:rsid w:val="001B3F5C"/>
    <w:rsid w:val="001B57C9"/>
    <w:rsid w:val="001B59FF"/>
    <w:rsid w:val="001B5D13"/>
    <w:rsid w:val="001B6512"/>
    <w:rsid w:val="001B65D7"/>
    <w:rsid w:val="001B6752"/>
    <w:rsid w:val="001B6768"/>
    <w:rsid w:val="001B6F1F"/>
    <w:rsid w:val="001B6F35"/>
    <w:rsid w:val="001B7ECC"/>
    <w:rsid w:val="001C025B"/>
    <w:rsid w:val="001C059D"/>
    <w:rsid w:val="001C115F"/>
    <w:rsid w:val="001C1DED"/>
    <w:rsid w:val="001C1EAB"/>
    <w:rsid w:val="001C25A7"/>
    <w:rsid w:val="001C2775"/>
    <w:rsid w:val="001C2A1D"/>
    <w:rsid w:val="001C318C"/>
    <w:rsid w:val="001C35C4"/>
    <w:rsid w:val="001C4287"/>
    <w:rsid w:val="001C4479"/>
    <w:rsid w:val="001C4F79"/>
    <w:rsid w:val="001C5190"/>
    <w:rsid w:val="001C6081"/>
    <w:rsid w:val="001C7284"/>
    <w:rsid w:val="001C73EB"/>
    <w:rsid w:val="001C7781"/>
    <w:rsid w:val="001C7B48"/>
    <w:rsid w:val="001D0CFB"/>
    <w:rsid w:val="001D108A"/>
    <w:rsid w:val="001D1A0D"/>
    <w:rsid w:val="001D1DD1"/>
    <w:rsid w:val="001D23DA"/>
    <w:rsid w:val="001D267C"/>
    <w:rsid w:val="001D2F77"/>
    <w:rsid w:val="001D343C"/>
    <w:rsid w:val="001D56E2"/>
    <w:rsid w:val="001D58A1"/>
    <w:rsid w:val="001D58C2"/>
    <w:rsid w:val="001D5A8A"/>
    <w:rsid w:val="001D5B64"/>
    <w:rsid w:val="001D61CA"/>
    <w:rsid w:val="001D654A"/>
    <w:rsid w:val="001D6E87"/>
    <w:rsid w:val="001D735E"/>
    <w:rsid w:val="001D73C8"/>
    <w:rsid w:val="001D7BC6"/>
    <w:rsid w:val="001E129E"/>
    <w:rsid w:val="001E175C"/>
    <w:rsid w:val="001E1B0E"/>
    <w:rsid w:val="001E308A"/>
    <w:rsid w:val="001E38EC"/>
    <w:rsid w:val="001E3B63"/>
    <w:rsid w:val="001E57B2"/>
    <w:rsid w:val="001E5A94"/>
    <w:rsid w:val="001E5CBB"/>
    <w:rsid w:val="001E5CDC"/>
    <w:rsid w:val="001E6CE9"/>
    <w:rsid w:val="001E7416"/>
    <w:rsid w:val="001F13FD"/>
    <w:rsid w:val="001F2A2E"/>
    <w:rsid w:val="001F3180"/>
    <w:rsid w:val="001F3356"/>
    <w:rsid w:val="001F3A99"/>
    <w:rsid w:val="001F3C63"/>
    <w:rsid w:val="001F4141"/>
    <w:rsid w:val="001F4460"/>
    <w:rsid w:val="001F4833"/>
    <w:rsid w:val="001F6C96"/>
    <w:rsid w:val="001F711A"/>
    <w:rsid w:val="001F75B0"/>
    <w:rsid w:val="001F7CBE"/>
    <w:rsid w:val="0020057C"/>
    <w:rsid w:val="0020083C"/>
    <w:rsid w:val="00200CE5"/>
    <w:rsid w:val="00200F7C"/>
    <w:rsid w:val="002014DB"/>
    <w:rsid w:val="0020150B"/>
    <w:rsid w:val="00201E12"/>
    <w:rsid w:val="00202295"/>
    <w:rsid w:val="00202977"/>
    <w:rsid w:val="002033B5"/>
    <w:rsid w:val="0020382C"/>
    <w:rsid w:val="002042E9"/>
    <w:rsid w:val="0020437A"/>
    <w:rsid w:val="0020454C"/>
    <w:rsid w:val="00204740"/>
    <w:rsid w:val="00205129"/>
    <w:rsid w:val="0020521F"/>
    <w:rsid w:val="0020532C"/>
    <w:rsid w:val="00206AE8"/>
    <w:rsid w:val="002114C7"/>
    <w:rsid w:val="00211A7B"/>
    <w:rsid w:val="0021302C"/>
    <w:rsid w:val="002139F1"/>
    <w:rsid w:val="00213B1C"/>
    <w:rsid w:val="00213F1E"/>
    <w:rsid w:val="00214202"/>
    <w:rsid w:val="002148E3"/>
    <w:rsid w:val="00214C1A"/>
    <w:rsid w:val="0021552D"/>
    <w:rsid w:val="002156AE"/>
    <w:rsid w:val="0021577B"/>
    <w:rsid w:val="00215DC7"/>
    <w:rsid w:val="00215E99"/>
    <w:rsid w:val="00217B07"/>
    <w:rsid w:val="00217C26"/>
    <w:rsid w:val="00220043"/>
    <w:rsid w:val="0022054D"/>
    <w:rsid w:val="0022107B"/>
    <w:rsid w:val="00221805"/>
    <w:rsid w:val="002223EB"/>
    <w:rsid w:val="00223DDB"/>
    <w:rsid w:val="00223FA4"/>
    <w:rsid w:val="00223FB0"/>
    <w:rsid w:val="0022405A"/>
    <w:rsid w:val="00224067"/>
    <w:rsid w:val="0022421C"/>
    <w:rsid w:val="0022454F"/>
    <w:rsid w:val="00224C4A"/>
    <w:rsid w:val="00224E83"/>
    <w:rsid w:val="00225664"/>
    <w:rsid w:val="00225F84"/>
    <w:rsid w:val="0022663D"/>
    <w:rsid w:val="00226995"/>
    <w:rsid w:val="0022734A"/>
    <w:rsid w:val="0022755B"/>
    <w:rsid w:val="00227C56"/>
    <w:rsid w:val="00227F2D"/>
    <w:rsid w:val="00227F52"/>
    <w:rsid w:val="00231851"/>
    <w:rsid w:val="002319FB"/>
    <w:rsid w:val="00231B89"/>
    <w:rsid w:val="00231F11"/>
    <w:rsid w:val="00231F5E"/>
    <w:rsid w:val="00233395"/>
    <w:rsid w:val="002346B4"/>
    <w:rsid w:val="00234F6E"/>
    <w:rsid w:val="002351FA"/>
    <w:rsid w:val="002355BE"/>
    <w:rsid w:val="002358EA"/>
    <w:rsid w:val="0023609B"/>
    <w:rsid w:val="00236578"/>
    <w:rsid w:val="00236A10"/>
    <w:rsid w:val="00236DE9"/>
    <w:rsid w:val="00237342"/>
    <w:rsid w:val="002373D4"/>
    <w:rsid w:val="00237D5A"/>
    <w:rsid w:val="00237E0F"/>
    <w:rsid w:val="002407BA"/>
    <w:rsid w:val="00240922"/>
    <w:rsid w:val="00240D75"/>
    <w:rsid w:val="00240F92"/>
    <w:rsid w:val="00241288"/>
    <w:rsid w:val="002412E4"/>
    <w:rsid w:val="002415AE"/>
    <w:rsid w:val="00241B38"/>
    <w:rsid w:val="00241BC7"/>
    <w:rsid w:val="00241D3C"/>
    <w:rsid w:val="00242109"/>
    <w:rsid w:val="00242B6B"/>
    <w:rsid w:val="00243189"/>
    <w:rsid w:val="002439AB"/>
    <w:rsid w:val="00243C19"/>
    <w:rsid w:val="00244308"/>
    <w:rsid w:val="002448E7"/>
    <w:rsid w:val="00244AE8"/>
    <w:rsid w:val="00244DC9"/>
    <w:rsid w:val="00244EF3"/>
    <w:rsid w:val="0024531F"/>
    <w:rsid w:val="00245587"/>
    <w:rsid w:val="00245D37"/>
    <w:rsid w:val="00245F2B"/>
    <w:rsid w:val="002460E2"/>
    <w:rsid w:val="002466CD"/>
    <w:rsid w:val="0024729B"/>
    <w:rsid w:val="00247F3A"/>
    <w:rsid w:val="00250122"/>
    <w:rsid w:val="0025024D"/>
    <w:rsid w:val="00250755"/>
    <w:rsid w:val="00251043"/>
    <w:rsid w:val="002518A8"/>
    <w:rsid w:val="00251C4A"/>
    <w:rsid w:val="0025271C"/>
    <w:rsid w:val="0025277A"/>
    <w:rsid w:val="002533CD"/>
    <w:rsid w:val="002535EA"/>
    <w:rsid w:val="00253A8A"/>
    <w:rsid w:val="00254EAB"/>
    <w:rsid w:val="002557AF"/>
    <w:rsid w:val="0025589C"/>
    <w:rsid w:val="00255B62"/>
    <w:rsid w:val="002566B1"/>
    <w:rsid w:val="002575E3"/>
    <w:rsid w:val="00257A74"/>
    <w:rsid w:val="00257C5D"/>
    <w:rsid w:val="002603C1"/>
    <w:rsid w:val="002609A1"/>
    <w:rsid w:val="002612B1"/>
    <w:rsid w:val="00261997"/>
    <w:rsid w:val="00262B14"/>
    <w:rsid w:val="00265A12"/>
    <w:rsid w:val="00266165"/>
    <w:rsid w:val="00266F2C"/>
    <w:rsid w:val="00267DAF"/>
    <w:rsid w:val="00270122"/>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F6B"/>
    <w:rsid w:val="002807B0"/>
    <w:rsid w:val="00281B9B"/>
    <w:rsid w:val="0028282C"/>
    <w:rsid w:val="00282D56"/>
    <w:rsid w:val="002835B0"/>
    <w:rsid w:val="00283C74"/>
    <w:rsid w:val="0028407E"/>
    <w:rsid w:val="0028410F"/>
    <w:rsid w:val="00284572"/>
    <w:rsid w:val="002850AA"/>
    <w:rsid w:val="00285221"/>
    <w:rsid w:val="00286A28"/>
    <w:rsid w:val="00286FB5"/>
    <w:rsid w:val="00287763"/>
    <w:rsid w:val="00290606"/>
    <w:rsid w:val="002908D0"/>
    <w:rsid w:val="002909B2"/>
    <w:rsid w:val="00291D6D"/>
    <w:rsid w:val="00291FF1"/>
    <w:rsid w:val="00292AA2"/>
    <w:rsid w:val="00293361"/>
    <w:rsid w:val="00293B47"/>
    <w:rsid w:val="00294F10"/>
    <w:rsid w:val="002952B1"/>
    <w:rsid w:val="002956E5"/>
    <w:rsid w:val="00295D11"/>
    <w:rsid w:val="00296FB6"/>
    <w:rsid w:val="0029724C"/>
    <w:rsid w:val="002A0001"/>
    <w:rsid w:val="002A0BD9"/>
    <w:rsid w:val="002A0BDB"/>
    <w:rsid w:val="002A0C3A"/>
    <w:rsid w:val="002A0DF8"/>
    <w:rsid w:val="002A0F1C"/>
    <w:rsid w:val="002A1130"/>
    <w:rsid w:val="002A1880"/>
    <w:rsid w:val="002A203E"/>
    <w:rsid w:val="002A23B7"/>
    <w:rsid w:val="002A3950"/>
    <w:rsid w:val="002A3A57"/>
    <w:rsid w:val="002A4320"/>
    <w:rsid w:val="002A4B4F"/>
    <w:rsid w:val="002A57A8"/>
    <w:rsid w:val="002A5D75"/>
    <w:rsid w:val="002A6DEF"/>
    <w:rsid w:val="002A739E"/>
    <w:rsid w:val="002A770B"/>
    <w:rsid w:val="002B013E"/>
    <w:rsid w:val="002B058D"/>
    <w:rsid w:val="002B0C16"/>
    <w:rsid w:val="002B1BA5"/>
    <w:rsid w:val="002B1E01"/>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DC4"/>
    <w:rsid w:val="002C03AE"/>
    <w:rsid w:val="002C0C1C"/>
    <w:rsid w:val="002C10A7"/>
    <w:rsid w:val="002C1190"/>
    <w:rsid w:val="002C2CC9"/>
    <w:rsid w:val="002C41BF"/>
    <w:rsid w:val="002C5023"/>
    <w:rsid w:val="002C5424"/>
    <w:rsid w:val="002C54C2"/>
    <w:rsid w:val="002C5D34"/>
    <w:rsid w:val="002C60BB"/>
    <w:rsid w:val="002C661A"/>
    <w:rsid w:val="002D06EE"/>
    <w:rsid w:val="002D073E"/>
    <w:rsid w:val="002D0A40"/>
    <w:rsid w:val="002D0D6F"/>
    <w:rsid w:val="002D1E81"/>
    <w:rsid w:val="002D25FC"/>
    <w:rsid w:val="002D46AB"/>
    <w:rsid w:val="002D4AC6"/>
    <w:rsid w:val="002D59BF"/>
    <w:rsid w:val="002D5BF5"/>
    <w:rsid w:val="002D5EE8"/>
    <w:rsid w:val="002D63F6"/>
    <w:rsid w:val="002D7360"/>
    <w:rsid w:val="002D750C"/>
    <w:rsid w:val="002D7648"/>
    <w:rsid w:val="002D7C80"/>
    <w:rsid w:val="002E109C"/>
    <w:rsid w:val="002E193E"/>
    <w:rsid w:val="002E1A94"/>
    <w:rsid w:val="002E1D55"/>
    <w:rsid w:val="002E26C4"/>
    <w:rsid w:val="002E2734"/>
    <w:rsid w:val="002E2AA6"/>
    <w:rsid w:val="002E30A5"/>
    <w:rsid w:val="002E47E4"/>
    <w:rsid w:val="002E4BF9"/>
    <w:rsid w:val="002E4D61"/>
    <w:rsid w:val="002E68A7"/>
    <w:rsid w:val="002E6E6C"/>
    <w:rsid w:val="002F016E"/>
    <w:rsid w:val="002F020D"/>
    <w:rsid w:val="002F03FD"/>
    <w:rsid w:val="002F0522"/>
    <w:rsid w:val="002F0FD0"/>
    <w:rsid w:val="002F16DD"/>
    <w:rsid w:val="002F199D"/>
    <w:rsid w:val="002F213C"/>
    <w:rsid w:val="002F2453"/>
    <w:rsid w:val="002F2607"/>
    <w:rsid w:val="002F30BD"/>
    <w:rsid w:val="002F352D"/>
    <w:rsid w:val="002F381E"/>
    <w:rsid w:val="002F3C58"/>
    <w:rsid w:val="002F4084"/>
    <w:rsid w:val="002F4A08"/>
    <w:rsid w:val="002F4ADB"/>
    <w:rsid w:val="002F531E"/>
    <w:rsid w:val="002F548D"/>
    <w:rsid w:val="002F54FB"/>
    <w:rsid w:val="002F5ACC"/>
    <w:rsid w:val="002F704B"/>
    <w:rsid w:val="002F72C3"/>
    <w:rsid w:val="002F768C"/>
    <w:rsid w:val="002F7D1E"/>
    <w:rsid w:val="002F7E89"/>
    <w:rsid w:val="00300201"/>
    <w:rsid w:val="0030025A"/>
    <w:rsid w:val="0030052F"/>
    <w:rsid w:val="00302EFC"/>
    <w:rsid w:val="00303243"/>
    <w:rsid w:val="00303BCC"/>
    <w:rsid w:val="00303F2B"/>
    <w:rsid w:val="00303F8D"/>
    <w:rsid w:val="0030572D"/>
    <w:rsid w:val="0030586A"/>
    <w:rsid w:val="00305A5E"/>
    <w:rsid w:val="0030622D"/>
    <w:rsid w:val="00306811"/>
    <w:rsid w:val="00306F32"/>
    <w:rsid w:val="003074C5"/>
    <w:rsid w:val="00307A3C"/>
    <w:rsid w:val="00307FA4"/>
    <w:rsid w:val="00310290"/>
    <w:rsid w:val="003103B1"/>
    <w:rsid w:val="00310CC1"/>
    <w:rsid w:val="003118A8"/>
    <w:rsid w:val="00312504"/>
    <w:rsid w:val="00312B89"/>
    <w:rsid w:val="00313026"/>
    <w:rsid w:val="00313913"/>
    <w:rsid w:val="00313DAA"/>
    <w:rsid w:val="0031421F"/>
    <w:rsid w:val="0031466A"/>
    <w:rsid w:val="00314B31"/>
    <w:rsid w:val="003151F4"/>
    <w:rsid w:val="0031523E"/>
    <w:rsid w:val="00315569"/>
    <w:rsid w:val="00315A65"/>
    <w:rsid w:val="003165D7"/>
    <w:rsid w:val="0031666B"/>
    <w:rsid w:val="00316ABE"/>
    <w:rsid w:val="00317601"/>
    <w:rsid w:val="00317BA7"/>
    <w:rsid w:val="00317EB1"/>
    <w:rsid w:val="00320BE2"/>
    <w:rsid w:val="0032188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30C9"/>
    <w:rsid w:val="0033342D"/>
    <w:rsid w:val="0033364C"/>
    <w:rsid w:val="00334415"/>
    <w:rsid w:val="0033469E"/>
    <w:rsid w:val="0033481F"/>
    <w:rsid w:val="00335EA1"/>
    <w:rsid w:val="0033691E"/>
    <w:rsid w:val="00336A6A"/>
    <w:rsid w:val="00336CCB"/>
    <w:rsid w:val="003411D1"/>
    <w:rsid w:val="003416BA"/>
    <w:rsid w:val="00342148"/>
    <w:rsid w:val="00342658"/>
    <w:rsid w:val="003427BE"/>
    <w:rsid w:val="003429F5"/>
    <w:rsid w:val="00342F99"/>
    <w:rsid w:val="00343AEA"/>
    <w:rsid w:val="00344D99"/>
    <w:rsid w:val="0034575A"/>
    <w:rsid w:val="00345F1D"/>
    <w:rsid w:val="00345F57"/>
    <w:rsid w:val="0034698A"/>
    <w:rsid w:val="00350458"/>
    <w:rsid w:val="00350E6C"/>
    <w:rsid w:val="0035153C"/>
    <w:rsid w:val="003518A6"/>
    <w:rsid w:val="00351E7F"/>
    <w:rsid w:val="00352953"/>
    <w:rsid w:val="00353D91"/>
    <w:rsid w:val="00354062"/>
    <w:rsid w:val="0035459E"/>
    <w:rsid w:val="00354AE9"/>
    <w:rsid w:val="00355527"/>
    <w:rsid w:val="00355C0D"/>
    <w:rsid w:val="003560A6"/>
    <w:rsid w:val="0035657D"/>
    <w:rsid w:val="003566A9"/>
    <w:rsid w:val="00356988"/>
    <w:rsid w:val="003569D3"/>
    <w:rsid w:val="00356CE9"/>
    <w:rsid w:val="00356D82"/>
    <w:rsid w:val="003570BB"/>
    <w:rsid w:val="00357128"/>
    <w:rsid w:val="0035755E"/>
    <w:rsid w:val="00357A80"/>
    <w:rsid w:val="00360116"/>
    <w:rsid w:val="00361441"/>
    <w:rsid w:val="00361B8B"/>
    <w:rsid w:val="00363F39"/>
    <w:rsid w:val="003640FC"/>
    <w:rsid w:val="0036445C"/>
    <w:rsid w:val="00364627"/>
    <w:rsid w:val="00364AB0"/>
    <w:rsid w:val="00364D71"/>
    <w:rsid w:val="0036601A"/>
    <w:rsid w:val="003667B0"/>
    <w:rsid w:val="003667DD"/>
    <w:rsid w:val="00366B48"/>
    <w:rsid w:val="00366D71"/>
    <w:rsid w:val="003674FB"/>
    <w:rsid w:val="00367721"/>
    <w:rsid w:val="00367764"/>
    <w:rsid w:val="00370316"/>
    <w:rsid w:val="00370DC7"/>
    <w:rsid w:val="003713D7"/>
    <w:rsid w:val="003714AC"/>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BBE"/>
    <w:rsid w:val="00380EA3"/>
    <w:rsid w:val="00381243"/>
    <w:rsid w:val="00381B1B"/>
    <w:rsid w:val="00381D70"/>
    <w:rsid w:val="0038235E"/>
    <w:rsid w:val="0038260A"/>
    <w:rsid w:val="003829D0"/>
    <w:rsid w:val="0038326A"/>
    <w:rsid w:val="0038444F"/>
    <w:rsid w:val="00384BB9"/>
    <w:rsid w:val="003861F0"/>
    <w:rsid w:val="00387051"/>
    <w:rsid w:val="003876F0"/>
    <w:rsid w:val="00387ECF"/>
    <w:rsid w:val="003901EA"/>
    <w:rsid w:val="0039021B"/>
    <w:rsid w:val="00390353"/>
    <w:rsid w:val="00390429"/>
    <w:rsid w:val="003906A0"/>
    <w:rsid w:val="00391413"/>
    <w:rsid w:val="003923D5"/>
    <w:rsid w:val="003931AF"/>
    <w:rsid w:val="0039338D"/>
    <w:rsid w:val="0039366C"/>
    <w:rsid w:val="00393EC8"/>
    <w:rsid w:val="00395E42"/>
    <w:rsid w:val="00396409"/>
    <w:rsid w:val="00396A2D"/>
    <w:rsid w:val="00396FC3"/>
    <w:rsid w:val="0039779B"/>
    <w:rsid w:val="003A13E2"/>
    <w:rsid w:val="003A1431"/>
    <w:rsid w:val="003A1936"/>
    <w:rsid w:val="003A1A94"/>
    <w:rsid w:val="003A1FF5"/>
    <w:rsid w:val="003A204E"/>
    <w:rsid w:val="003A2B19"/>
    <w:rsid w:val="003A2D25"/>
    <w:rsid w:val="003A2DB1"/>
    <w:rsid w:val="003A5101"/>
    <w:rsid w:val="003A51BE"/>
    <w:rsid w:val="003A5728"/>
    <w:rsid w:val="003A60E7"/>
    <w:rsid w:val="003A6AE2"/>
    <w:rsid w:val="003A7092"/>
    <w:rsid w:val="003A72A1"/>
    <w:rsid w:val="003A7302"/>
    <w:rsid w:val="003A7611"/>
    <w:rsid w:val="003A7A46"/>
    <w:rsid w:val="003A7D1F"/>
    <w:rsid w:val="003B0B6A"/>
    <w:rsid w:val="003B0C41"/>
    <w:rsid w:val="003B22F7"/>
    <w:rsid w:val="003B2518"/>
    <w:rsid w:val="003B29CF"/>
    <w:rsid w:val="003B2A86"/>
    <w:rsid w:val="003B3A90"/>
    <w:rsid w:val="003B3D01"/>
    <w:rsid w:val="003B534F"/>
    <w:rsid w:val="003B68A3"/>
    <w:rsid w:val="003B7A79"/>
    <w:rsid w:val="003C0FE1"/>
    <w:rsid w:val="003C151A"/>
    <w:rsid w:val="003C1D27"/>
    <w:rsid w:val="003C33A0"/>
    <w:rsid w:val="003C350C"/>
    <w:rsid w:val="003C3733"/>
    <w:rsid w:val="003C3903"/>
    <w:rsid w:val="003C3BA0"/>
    <w:rsid w:val="003C4580"/>
    <w:rsid w:val="003C51C0"/>
    <w:rsid w:val="003C5C5E"/>
    <w:rsid w:val="003C65D3"/>
    <w:rsid w:val="003C6692"/>
    <w:rsid w:val="003C6746"/>
    <w:rsid w:val="003C7555"/>
    <w:rsid w:val="003C7898"/>
    <w:rsid w:val="003D0FF5"/>
    <w:rsid w:val="003D11A3"/>
    <w:rsid w:val="003D1537"/>
    <w:rsid w:val="003D183C"/>
    <w:rsid w:val="003D214B"/>
    <w:rsid w:val="003D2D1B"/>
    <w:rsid w:val="003D3558"/>
    <w:rsid w:val="003D36C0"/>
    <w:rsid w:val="003D40E5"/>
    <w:rsid w:val="003D48C7"/>
    <w:rsid w:val="003D4C27"/>
    <w:rsid w:val="003D6D5E"/>
    <w:rsid w:val="003D7109"/>
    <w:rsid w:val="003D7CE8"/>
    <w:rsid w:val="003E0514"/>
    <w:rsid w:val="003E0BAA"/>
    <w:rsid w:val="003E1032"/>
    <w:rsid w:val="003E1904"/>
    <w:rsid w:val="003E285E"/>
    <w:rsid w:val="003E2BD8"/>
    <w:rsid w:val="003E3124"/>
    <w:rsid w:val="003E3300"/>
    <w:rsid w:val="003E3BC7"/>
    <w:rsid w:val="003E43D3"/>
    <w:rsid w:val="003E4511"/>
    <w:rsid w:val="003E48E1"/>
    <w:rsid w:val="003E50F4"/>
    <w:rsid w:val="003E59BB"/>
    <w:rsid w:val="003E6225"/>
    <w:rsid w:val="003E65AC"/>
    <w:rsid w:val="003E66AE"/>
    <w:rsid w:val="003E6CFE"/>
    <w:rsid w:val="003E72B9"/>
    <w:rsid w:val="003E7612"/>
    <w:rsid w:val="003E7ED4"/>
    <w:rsid w:val="003F0187"/>
    <w:rsid w:val="003F0CAA"/>
    <w:rsid w:val="003F0E52"/>
    <w:rsid w:val="003F0F6B"/>
    <w:rsid w:val="003F1FC6"/>
    <w:rsid w:val="003F1FE3"/>
    <w:rsid w:val="003F2112"/>
    <w:rsid w:val="003F2359"/>
    <w:rsid w:val="003F2457"/>
    <w:rsid w:val="003F3232"/>
    <w:rsid w:val="003F359A"/>
    <w:rsid w:val="003F3865"/>
    <w:rsid w:val="003F38AC"/>
    <w:rsid w:val="003F3D55"/>
    <w:rsid w:val="003F44E2"/>
    <w:rsid w:val="003F4632"/>
    <w:rsid w:val="003F47BA"/>
    <w:rsid w:val="003F49F3"/>
    <w:rsid w:val="003F4FE6"/>
    <w:rsid w:val="003F5638"/>
    <w:rsid w:val="003F6617"/>
    <w:rsid w:val="003F7F36"/>
    <w:rsid w:val="00400A58"/>
    <w:rsid w:val="00402332"/>
    <w:rsid w:val="004025C2"/>
    <w:rsid w:val="00403195"/>
    <w:rsid w:val="004033A9"/>
    <w:rsid w:val="00403E55"/>
    <w:rsid w:val="0040407C"/>
    <w:rsid w:val="0040416C"/>
    <w:rsid w:val="004041CA"/>
    <w:rsid w:val="004044B4"/>
    <w:rsid w:val="00404681"/>
    <w:rsid w:val="004048F9"/>
    <w:rsid w:val="00404A80"/>
    <w:rsid w:val="00405445"/>
    <w:rsid w:val="00405AC1"/>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5F5B"/>
    <w:rsid w:val="00416112"/>
    <w:rsid w:val="004167AD"/>
    <w:rsid w:val="0041716A"/>
    <w:rsid w:val="00417A18"/>
    <w:rsid w:val="00417AE0"/>
    <w:rsid w:val="00417BAA"/>
    <w:rsid w:val="0042042B"/>
    <w:rsid w:val="00420B45"/>
    <w:rsid w:val="00420D7A"/>
    <w:rsid w:val="00421257"/>
    <w:rsid w:val="00422193"/>
    <w:rsid w:val="004223DE"/>
    <w:rsid w:val="00422645"/>
    <w:rsid w:val="00422A10"/>
    <w:rsid w:val="00424D17"/>
    <w:rsid w:val="004259FC"/>
    <w:rsid w:val="00425DFD"/>
    <w:rsid w:val="00425EA9"/>
    <w:rsid w:val="004263A3"/>
    <w:rsid w:val="0042711B"/>
    <w:rsid w:val="00427713"/>
    <w:rsid w:val="00427B57"/>
    <w:rsid w:val="00427C77"/>
    <w:rsid w:val="00427CCC"/>
    <w:rsid w:val="0043013A"/>
    <w:rsid w:val="004302BE"/>
    <w:rsid w:val="00430421"/>
    <w:rsid w:val="00430A36"/>
    <w:rsid w:val="00430B4F"/>
    <w:rsid w:val="00431084"/>
    <w:rsid w:val="004310D7"/>
    <w:rsid w:val="0043180D"/>
    <w:rsid w:val="004322D6"/>
    <w:rsid w:val="00432589"/>
    <w:rsid w:val="00432A94"/>
    <w:rsid w:val="00432C95"/>
    <w:rsid w:val="00433827"/>
    <w:rsid w:val="00433A40"/>
    <w:rsid w:val="00434B70"/>
    <w:rsid w:val="004355EF"/>
    <w:rsid w:val="004360C8"/>
    <w:rsid w:val="00436823"/>
    <w:rsid w:val="004368C9"/>
    <w:rsid w:val="004371D5"/>
    <w:rsid w:val="0043773F"/>
    <w:rsid w:val="00437FBF"/>
    <w:rsid w:val="0044006B"/>
    <w:rsid w:val="0044033F"/>
    <w:rsid w:val="00440576"/>
    <w:rsid w:val="00440630"/>
    <w:rsid w:val="00440E07"/>
    <w:rsid w:val="0044142F"/>
    <w:rsid w:val="00441F0F"/>
    <w:rsid w:val="00442965"/>
    <w:rsid w:val="004432B6"/>
    <w:rsid w:val="00444157"/>
    <w:rsid w:val="0044417C"/>
    <w:rsid w:val="00444DB3"/>
    <w:rsid w:val="00445617"/>
    <w:rsid w:val="00445A2F"/>
    <w:rsid w:val="0044680A"/>
    <w:rsid w:val="0044684E"/>
    <w:rsid w:val="00446F22"/>
    <w:rsid w:val="0045019F"/>
    <w:rsid w:val="004503A4"/>
    <w:rsid w:val="00450555"/>
    <w:rsid w:val="004506FA"/>
    <w:rsid w:val="00450DC6"/>
    <w:rsid w:val="004516A5"/>
    <w:rsid w:val="00451E9C"/>
    <w:rsid w:val="00452145"/>
    <w:rsid w:val="004522D0"/>
    <w:rsid w:val="0045280F"/>
    <w:rsid w:val="00452E73"/>
    <w:rsid w:val="004535AE"/>
    <w:rsid w:val="00453C53"/>
    <w:rsid w:val="0045444D"/>
    <w:rsid w:val="0045463A"/>
    <w:rsid w:val="00454AC9"/>
    <w:rsid w:val="00455050"/>
    <w:rsid w:val="004554A3"/>
    <w:rsid w:val="00455626"/>
    <w:rsid w:val="00455A6E"/>
    <w:rsid w:val="00455EAD"/>
    <w:rsid w:val="004578EB"/>
    <w:rsid w:val="00457F74"/>
    <w:rsid w:val="004604D5"/>
    <w:rsid w:val="004605C6"/>
    <w:rsid w:val="00460697"/>
    <w:rsid w:val="0046117B"/>
    <w:rsid w:val="00461735"/>
    <w:rsid w:val="00461FC2"/>
    <w:rsid w:val="004632B9"/>
    <w:rsid w:val="00464AB7"/>
    <w:rsid w:val="00465DE5"/>
    <w:rsid w:val="00466103"/>
    <w:rsid w:val="00467A83"/>
    <w:rsid w:val="00467EF8"/>
    <w:rsid w:val="00470006"/>
    <w:rsid w:val="00470611"/>
    <w:rsid w:val="00470848"/>
    <w:rsid w:val="00471AC3"/>
    <w:rsid w:val="00472429"/>
    <w:rsid w:val="0047253E"/>
    <w:rsid w:val="004725E5"/>
    <w:rsid w:val="00472751"/>
    <w:rsid w:val="00473128"/>
    <w:rsid w:val="004748A5"/>
    <w:rsid w:val="00475078"/>
    <w:rsid w:val="00475767"/>
    <w:rsid w:val="004779A0"/>
    <w:rsid w:val="00477F17"/>
    <w:rsid w:val="00480363"/>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4D4"/>
    <w:rsid w:val="00486D60"/>
    <w:rsid w:val="00486DBC"/>
    <w:rsid w:val="004915FA"/>
    <w:rsid w:val="00491FA1"/>
    <w:rsid w:val="00492A25"/>
    <w:rsid w:val="004938A3"/>
    <w:rsid w:val="004950A6"/>
    <w:rsid w:val="0049558B"/>
    <w:rsid w:val="00496254"/>
    <w:rsid w:val="00496350"/>
    <w:rsid w:val="004974A4"/>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EDE"/>
    <w:rsid w:val="004B0D93"/>
    <w:rsid w:val="004B19C8"/>
    <w:rsid w:val="004B1FA4"/>
    <w:rsid w:val="004B29AC"/>
    <w:rsid w:val="004B35DF"/>
    <w:rsid w:val="004B3627"/>
    <w:rsid w:val="004B3837"/>
    <w:rsid w:val="004B4922"/>
    <w:rsid w:val="004B57DF"/>
    <w:rsid w:val="004B5976"/>
    <w:rsid w:val="004B6E54"/>
    <w:rsid w:val="004B722E"/>
    <w:rsid w:val="004B72E8"/>
    <w:rsid w:val="004B74AB"/>
    <w:rsid w:val="004B771A"/>
    <w:rsid w:val="004C01A5"/>
    <w:rsid w:val="004C0412"/>
    <w:rsid w:val="004C0882"/>
    <w:rsid w:val="004C0D7C"/>
    <w:rsid w:val="004C2138"/>
    <w:rsid w:val="004C2B69"/>
    <w:rsid w:val="004C302E"/>
    <w:rsid w:val="004C3093"/>
    <w:rsid w:val="004C3940"/>
    <w:rsid w:val="004C51FD"/>
    <w:rsid w:val="004C5ED7"/>
    <w:rsid w:val="004C65A8"/>
    <w:rsid w:val="004C6689"/>
    <w:rsid w:val="004C6BF3"/>
    <w:rsid w:val="004C7408"/>
    <w:rsid w:val="004C7850"/>
    <w:rsid w:val="004D107E"/>
    <w:rsid w:val="004D139A"/>
    <w:rsid w:val="004D14DC"/>
    <w:rsid w:val="004D17C6"/>
    <w:rsid w:val="004D2858"/>
    <w:rsid w:val="004D2E49"/>
    <w:rsid w:val="004D35BA"/>
    <w:rsid w:val="004D38E5"/>
    <w:rsid w:val="004D3A48"/>
    <w:rsid w:val="004D3C5A"/>
    <w:rsid w:val="004D449A"/>
    <w:rsid w:val="004D4701"/>
    <w:rsid w:val="004D47C7"/>
    <w:rsid w:val="004D4B2B"/>
    <w:rsid w:val="004D4F35"/>
    <w:rsid w:val="004D51EE"/>
    <w:rsid w:val="004D5B54"/>
    <w:rsid w:val="004D5C03"/>
    <w:rsid w:val="004D5D45"/>
    <w:rsid w:val="004D618D"/>
    <w:rsid w:val="004D62A9"/>
    <w:rsid w:val="004D6FC3"/>
    <w:rsid w:val="004D7476"/>
    <w:rsid w:val="004D7716"/>
    <w:rsid w:val="004E0306"/>
    <w:rsid w:val="004E0572"/>
    <w:rsid w:val="004E1641"/>
    <w:rsid w:val="004E1818"/>
    <w:rsid w:val="004E1990"/>
    <w:rsid w:val="004E2186"/>
    <w:rsid w:val="004E25A8"/>
    <w:rsid w:val="004E2B53"/>
    <w:rsid w:val="004E3930"/>
    <w:rsid w:val="004E3A23"/>
    <w:rsid w:val="004E3ED9"/>
    <w:rsid w:val="004E4961"/>
    <w:rsid w:val="004E5866"/>
    <w:rsid w:val="004E6097"/>
    <w:rsid w:val="004E61EF"/>
    <w:rsid w:val="004E63C6"/>
    <w:rsid w:val="004E66D3"/>
    <w:rsid w:val="004E6805"/>
    <w:rsid w:val="004E76A7"/>
    <w:rsid w:val="004E7B03"/>
    <w:rsid w:val="004E7F95"/>
    <w:rsid w:val="004F0064"/>
    <w:rsid w:val="004F06AC"/>
    <w:rsid w:val="004F0E50"/>
    <w:rsid w:val="004F1D2A"/>
    <w:rsid w:val="004F243F"/>
    <w:rsid w:val="004F252C"/>
    <w:rsid w:val="004F36A3"/>
    <w:rsid w:val="004F3E0C"/>
    <w:rsid w:val="004F4308"/>
    <w:rsid w:val="004F4892"/>
    <w:rsid w:val="004F4D2C"/>
    <w:rsid w:val="004F5C3B"/>
    <w:rsid w:val="004F5DA0"/>
    <w:rsid w:val="004F7160"/>
    <w:rsid w:val="00500258"/>
    <w:rsid w:val="00500B2D"/>
    <w:rsid w:val="0050130B"/>
    <w:rsid w:val="00501A99"/>
    <w:rsid w:val="00502456"/>
    <w:rsid w:val="00503180"/>
    <w:rsid w:val="005038A4"/>
    <w:rsid w:val="00504C56"/>
    <w:rsid w:val="00504CD4"/>
    <w:rsid w:val="0050524B"/>
    <w:rsid w:val="0050538B"/>
    <w:rsid w:val="00505450"/>
    <w:rsid w:val="00505FC6"/>
    <w:rsid w:val="00506DA6"/>
    <w:rsid w:val="00507170"/>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5E31"/>
    <w:rsid w:val="0051608F"/>
    <w:rsid w:val="00516480"/>
    <w:rsid w:val="00520EF8"/>
    <w:rsid w:val="005210F7"/>
    <w:rsid w:val="00521753"/>
    <w:rsid w:val="00521C64"/>
    <w:rsid w:val="0052239D"/>
    <w:rsid w:val="005224EE"/>
    <w:rsid w:val="00522879"/>
    <w:rsid w:val="00522FFE"/>
    <w:rsid w:val="0052363A"/>
    <w:rsid w:val="00523BB1"/>
    <w:rsid w:val="005241A0"/>
    <w:rsid w:val="00524B23"/>
    <w:rsid w:val="0052511C"/>
    <w:rsid w:val="00525235"/>
    <w:rsid w:val="0052570E"/>
    <w:rsid w:val="005260CD"/>
    <w:rsid w:val="00526265"/>
    <w:rsid w:val="00526332"/>
    <w:rsid w:val="00526338"/>
    <w:rsid w:val="0052655D"/>
    <w:rsid w:val="005265E0"/>
    <w:rsid w:val="00526BC3"/>
    <w:rsid w:val="00530064"/>
    <w:rsid w:val="00530440"/>
    <w:rsid w:val="00530FF0"/>
    <w:rsid w:val="005313CA"/>
    <w:rsid w:val="00531761"/>
    <w:rsid w:val="0053248F"/>
    <w:rsid w:val="005327AB"/>
    <w:rsid w:val="00532F9C"/>
    <w:rsid w:val="00533055"/>
    <w:rsid w:val="0053332A"/>
    <w:rsid w:val="0053358A"/>
    <w:rsid w:val="005338AB"/>
    <w:rsid w:val="00534668"/>
    <w:rsid w:val="005348CA"/>
    <w:rsid w:val="00534DDD"/>
    <w:rsid w:val="00535291"/>
    <w:rsid w:val="00535A94"/>
    <w:rsid w:val="0053686A"/>
    <w:rsid w:val="00537874"/>
    <w:rsid w:val="0053795F"/>
    <w:rsid w:val="00537D3D"/>
    <w:rsid w:val="00540511"/>
    <w:rsid w:val="00540578"/>
    <w:rsid w:val="00540808"/>
    <w:rsid w:val="0054080E"/>
    <w:rsid w:val="00540D1A"/>
    <w:rsid w:val="00540DE5"/>
    <w:rsid w:val="00540EA1"/>
    <w:rsid w:val="00541E5A"/>
    <w:rsid w:val="00542769"/>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BD9"/>
    <w:rsid w:val="005522F2"/>
    <w:rsid w:val="005531DF"/>
    <w:rsid w:val="00553874"/>
    <w:rsid w:val="00553DCE"/>
    <w:rsid w:val="005541E0"/>
    <w:rsid w:val="005543B3"/>
    <w:rsid w:val="00554577"/>
    <w:rsid w:val="005545A1"/>
    <w:rsid w:val="00554AD8"/>
    <w:rsid w:val="00554C43"/>
    <w:rsid w:val="00554F78"/>
    <w:rsid w:val="00555C46"/>
    <w:rsid w:val="00555DA1"/>
    <w:rsid w:val="005562FB"/>
    <w:rsid w:val="00556731"/>
    <w:rsid w:val="00556BF7"/>
    <w:rsid w:val="00556E53"/>
    <w:rsid w:val="00557F60"/>
    <w:rsid w:val="00560D81"/>
    <w:rsid w:val="00561730"/>
    <w:rsid w:val="00561B97"/>
    <w:rsid w:val="00562149"/>
    <w:rsid w:val="0056248C"/>
    <w:rsid w:val="0056362D"/>
    <w:rsid w:val="005640EB"/>
    <w:rsid w:val="00565559"/>
    <w:rsid w:val="005666A4"/>
    <w:rsid w:val="00567B5D"/>
    <w:rsid w:val="00570593"/>
    <w:rsid w:val="00570757"/>
    <w:rsid w:val="0057257D"/>
    <w:rsid w:val="00573293"/>
    <w:rsid w:val="00573733"/>
    <w:rsid w:val="00573E08"/>
    <w:rsid w:val="00573F8B"/>
    <w:rsid w:val="005743E0"/>
    <w:rsid w:val="00574554"/>
    <w:rsid w:val="00574862"/>
    <w:rsid w:val="00574E06"/>
    <w:rsid w:val="005751BB"/>
    <w:rsid w:val="00575713"/>
    <w:rsid w:val="00576089"/>
    <w:rsid w:val="005764B1"/>
    <w:rsid w:val="00576852"/>
    <w:rsid w:val="00576D06"/>
    <w:rsid w:val="005779E4"/>
    <w:rsid w:val="00580B89"/>
    <w:rsid w:val="00580EC7"/>
    <w:rsid w:val="00581EA9"/>
    <w:rsid w:val="0058289C"/>
    <w:rsid w:val="005836C7"/>
    <w:rsid w:val="0058408E"/>
    <w:rsid w:val="005844C3"/>
    <w:rsid w:val="005847D9"/>
    <w:rsid w:val="00585374"/>
    <w:rsid w:val="005854CA"/>
    <w:rsid w:val="00585FAB"/>
    <w:rsid w:val="0058607D"/>
    <w:rsid w:val="00590B77"/>
    <w:rsid w:val="00590D9A"/>
    <w:rsid w:val="005913A3"/>
    <w:rsid w:val="00591A5A"/>
    <w:rsid w:val="00592C40"/>
    <w:rsid w:val="00593B28"/>
    <w:rsid w:val="005940D4"/>
    <w:rsid w:val="00594A7B"/>
    <w:rsid w:val="0059580E"/>
    <w:rsid w:val="00595D90"/>
    <w:rsid w:val="00596A6F"/>
    <w:rsid w:val="00596D11"/>
    <w:rsid w:val="00596FCE"/>
    <w:rsid w:val="005A0300"/>
    <w:rsid w:val="005A11BC"/>
    <w:rsid w:val="005A1525"/>
    <w:rsid w:val="005A188D"/>
    <w:rsid w:val="005A1E17"/>
    <w:rsid w:val="005A252B"/>
    <w:rsid w:val="005A2A8F"/>
    <w:rsid w:val="005A3008"/>
    <w:rsid w:val="005A3204"/>
    <w:rsid w:val="005A3341"/>
    <w:rsid w:val="005A3C3D"/>
    <w:rsid w:val="005A46EC"/>
    <w:rsid w:val="005A5EAE"/>
    <w:rsid w:val="005A5EB8"/>
    <w:rsid w:val="005A6407"/>
    <w:rsid w:val="005A726C"/>
    <w:rsid w:val="005A7920"/>
    <w:rsid w:val="005A79CF"/>
    <w:rsid w:val="005A7DDF"/>
    <w:rsid w:val="005B05D8"/>
    <w:rsid w:val="005B07EC"/>
    <w:rsid w:val="005B21B0"/>
    <w:rsid w:val="005B2B11"/>
    <w:rsid w:val="005B32A4"/>
    <w:rsid w:val="005B3371"/>
    <w:rsid w:val="005B338D"/>
    <w:rsid w:val="005B33A1"/>
    <w:rsid w:val="005B3852"/>
    <w:rsid w:val="005B3BAF"/>
    <w:rsid w:val="005B43D5"/>
    <w:rsid w:val="005B4470"/>
    <w:rsid w:val="005B4DA3"/>
    <w:rsid w:val="005B5BEE"/>
    <w:rsid w:val="005B6AA9"/>
    <w:rsid w:val="005B77D2"/>
    <w:rsid w:val="005B7BDA"/>
    <w:rsid w:val="005C0195"/>
    <w:rsid w:val="005C019B"/>
    <w:rsid w:val="005C08D0"/>
    <w:rsid w:val="005C15A1"/>
    <w:rsid w:val="005C1A66"/>
    <w:rsid w:val="005C1AED"/>
    <w:rsid w:val="005C1FCB"/>
    <w:rsid w:val="005C2136"/>
    <w:rsid w:val="005C30F5"/>
    <w:rsid w:val="005C3571"/>
    <w:rsid w:val="005C3840"/>
    <w:rsid w:val="005C51A5"/>
    <w:rsid w:val="005C557A"/>
    <w:rsid w:val="005C566F"/>
    <w:rsid w:val="005C5B5C"/>
    <w:rsid w:val="005C5BF5"/>
    <w:rsid w:val="005C5C47"/>
    <w:rsid w:val="005C5D2D"/>
    <w:rsid w:val="005C61DD"/>
    <w:rsid w:val="005C6438"/>
    <w:rsid w:val="005C6B8B"/>
    <w:rsid w:val="005C727F"/>
    <w:rsid w:val="005C77D5"/>
    <w:rsid w:val="005D02E3"/>
    <w:rsid w:val="005D1F34"/>
    <w:rsid w:val="005D2C1F"/>
    <w:rsid w:val="005D34B2"/>
    <w:rsid w:val="005D3587"/>
    <w:rsid w:val="005D3B54"/>
    <w:rsid w:val="005D3E28"/>
    <w:rsid w:val="005D40CD"/>
    <w:rsid w:val="005D4C6F"/>
    <w:rsid w:val="005D6B59"/>
    <w:rsid w:val="005D71C3"/>
    <w:rsid w:val="005D74D2"/>
    <w:rsid w:val="005D784B"/>
    <w:rsid w:val="005D7B90"/>
    <w:rsid w:val="005E00AF"/>
    <w:rsid w:val="005E03E4"/>
    <w:rsid w:val="005E0454"/>
    <w:rsid w:val="005E05F6"/>
    <w:rsid w:val="005E19CF"/>
    <w:rsid w:val="005E1B9D"/>
    <w:rsid w:val="005E1BDA"/>
    <w:rsid w:val="005E1FE5"/>
    <w:rsid w:val="005E2442"/>
    <w:rsid w:val="005E2768"/>
    <w:rsid w:val="005E3111"/>
    <w:rsid w:val="005E3CA0"/>
    <w:rsid w:val="005E3D25"/>
    <w:rsid w:val="005E3F85"/>
    <w:rsid w:val="005E4A5F"/>
    <w:rsid w:val="005E4D86"/>
    <w:rsid w:val="005E516A"/>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900"/>
    <w:rsid w:val="005F4E52"/>
    <w:rsid w:val="005F5466"/>
    <w:rsid w:val="005F6D58"/>
    <w:rsid w:val="005F7060"/>
    <w:rsid w:val="005F7383"/>
    <w:rsid w:val="0060058E"/>
    <w:rsid w:val="00601F58"/>
    <w:rsid w:val="00602A3C"/>
    <w:rsid w:val="00602A60"/>
    <w:rsid w:val="00603EFD"/>
    <w:rsid w:val="0060475B"/>
    <w:rsid w:val="00604BED"/>
    <w:rsid w:val="00604FB6"/>
    <w:rsid w:val="00605387"/>
    <w:rsid w:val="00606302"/>
    <w:rsid w:val="006076FD"/>
    <w:rsid w:val="006107B1"/>
    <w:rsid w:val="00610811"/>
    <w:rsid w:val="0061143F"/>
    <w:rsid w:val="006114D8"/>
    <w:rsid w:val="00611800"/>
    <w:rsid w:val="00613553"/>
    <w:rsid w:val="00613601"/>
    <w:rsid w:val="00613791"/>
    <w:rsid w:val="006143F9"/>
    <w:rsid w:val="00614CD4"/>
    <w:rsid w:val="006150D6"/>
    <w:rsid w:val="00615245"/>
    <w:rsid w:val="0061526D"/>
    <w:rsid w:val="0061590D"/>
    <w:rsid w:val="00615C84"/>
    <w:rsid w:val="00617EEE"/>
    <w:rsid w:val="00620A12"/>
    <w:rsid w:val="00620A1F"/>
    <w:rsid w:val="0062169D"/>
    <w:rsid w:val="00621737"/>
    <w:rsid w:val="0062181E"/>
    <w:rsid w:val="0062197C"/>
    <w:rsid w:val="0062211B"/>
    <w:rsid w:val="0062227E"/>
    <w:rsid w:val="00622BB7"/>
    <w:rsid w:val="00622C1E"/>
    <w:rsid w:val="00623389"/>
    <w:rsid w:val="00623DAA"/>
    <w:rsid w:val="00623FAF"/>
    <w:rsid w:val="00624B3E"/>
    <w:rsid w:val="0062578C"/>
    <w:rsid w:val="00625A24"/>
    <w:rsid w:val="006265C4"/>
    <w:rsid w:val="0062678A"/>
    <w:rsid w:val="00626AF1"/>
    <w:rsid w:val="00626FCA"/>
    <w:rsid w:val="006270AF"/>
    <w:rsid w:val="00632F83"/>
    <w:rsid w:val="00634367"/>
    <w:rsid w:val="00635E8A"/>
    <w:rsid w:val="006364D7"/>
    <w:rsid w:val="00636554"/>
    <w:rsid w:val="006365AE"/>
    <w:rsid w:val="006367E9"/>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47FD1"/>
    <w:rsid w:val="006509EA"/>
    <w:rsid w:val="0065171A"/>
    <w:rsid w:val="00652680"/>
    <w:rsid w:val="00653CDE"/>
    <w:rsid w:val="00653EDB"/>
    <w:rsid w:val="00654585"/>
    <w:rsid w:val="006548E4"/>
    <w:rsid w:val="00654AC8"/>
    <w:rsid w:val="0065566E"/>
    <w:rsid w:val="00655999"/>
    <w:rsid w:val="00655AB6"/>
    <w:rsid w:val="00655E2B"/>
    <w:rsid w:val="00655EFA"/>
    <w:rsid w:val="00656061"/>
    <w:rsid w:val="00656281"/>
    <w:rsid w:val="0065636A"/>
    <w:rsid w:val="00657003"/>
    <w:rsid w:val="00657CE2"/>
    <w:rsid w:val="00660238"/>
    <w:rsid w:val="006602EF"/>
    <w:rsid w:val="00661277"/>
    <w:rsid w:val="006619E0"/>
    <w:rsid w:val="00663FEA"/>
    <w:rsid w:val="00664803"/>
    <w:rsid w:val="00664934"/>
    <w:rsid w:val="00664D53"/>
    <w:rsid w:val="00664EB7"/>
    <w:rsid w:val="006657C5"/>
    <w:rsid w:val="00665D75"/>
    <w:rsid w:val="00666186"/>
    <w:rsid w:val="006661A4"/>
    <w:rsid w:val="00666AC0"/>
    <w:rsid w:val="006670E0"/>
    <w:rsid w:val="006671B8"/>
    <w:rsid w:val="00667275"/>
    <w:rsid w:val="00667532"/>
    <w:rsid w:val="0066783E"/>
    <w:rsid w:val="00667E53"/>
    <w:rsid w:val="006711C4"/>
    <w:rsid w:val="006713AB"/>
    <w:rsid w:val="00672680"/>
    <w:rsid w:val="006727A8"/>
    <w:rsid w:val="00672CA5"/>
    <w:rsid w:val="006735A2"/>
    <w:rsid w:val="00673711"/>
    <w:rsid w:val="00673CDA"/>
    <w:rsid w:val="00673F82"/>
    <w:rsid w:val="00674F74"/>
    <w:rsid w:val="0067508F"/>
    <w:rsid w:val="00676B25"/>
    <w:rsid w:val="00677576"/>
    <w:rsid w:val="0068051E"/>
    <w:rsid w:val="00680B9D"/>
    <w:rsid w:val="00680DF1"/>
    <w:rsid w:val="00681F13"/>
    <w:rsid w:val="0068231C"/>
    <w:rsid w:val="00682344"/>
    <w:rsid w:val="00682772"/>
    <w:rsid w:val="00682C87"/>
    <w:rsid w:val="00682F28"/>
    <w:rsid w:val="00683515"/>
    <w:rsid w:val="00683CA4"/>
    <w:rsid w:val="00684842"/>
    <w:rsid w:val="006856CA"/>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E6"/>
    <w:rsid w:val="00693186"/>
    <w:rsid w:val="00693381"/>
    <w:rsid w:val="00693B6C"/>
    <w:rsid w:val="006942AE"/>
    <w:rsid w:val="0069464B"/>
    <w:rsid w:val="006947A1"/>
    <w:rsid w:val="00695421"/>
    <w:rsid w:val="00696A9C"/>
    <w:rsid w:val="00697BD3"/>
    <w:rsid w:val="00697DFA"/>
    <w:rsid w:val="006A16D5"/>
    <w:rsid w:val="006A1772"/>
    <w:rsid w:val="006A1780"/>
    <w:rsid w:val="006A21DD"/>
    <w:rsid w:val="006A26C6"/>
    <w:rsid w:val="006A3302"/>
    <w:rsid w:val="006A34AF"/>
    <w:rsid w:val="006A38DA"/>
    <w:rsid w:val="006A3B28"/>
    <w:rsid w:val="006A47DC"/>
    <w:rsid w:val="006A4A4B"/>
    <w:rsid w:val="006A4FEE"/>
    <w:rsid w:val="006A5522"/>
    <w:rsid w:val="006A5549"/>
    <w:rsid w:val="006A6574"/>
    <w:rsid w:val="006A703E"/>
    <w:rsid w:val="006A7BE3"/>
    <w:rsid w:val="006A7D32"/>
    <w:rsid w:val="006A7E1A"/>
    <w:rsid w:val="006B01D1"/>
    <w:rsid w:val="006B0DF4"/>
    <w:rsid w:val="006B16EA"/>
    <w:rsid w:val="006B1780"/>
    <w:rsid w:val="006B1B60"/>
    <w:rsid w:val="006B21DC"/>
    <w:rsid w:val="006B224E"/>
    <w:rsid w:val="006B25FA"/>
    <w:rsid w:val="006B376E"/>
    <w:rsid w:val="006B4589"/>
    <w:rsid w:val="006B5157"/>
    <w:rsid w:val="006B610E"/>
    <w:rsid w:val="006B6805"/>
    <w:rsid w:val="006B6C07"/>
    <w:rsid w:val="006B6DE0"/>
    <w:rsid w:val="006B723D"/>
    <w:rsid w:val="006C1337"/>
    <w:rsid w:val="006C16C3"/>
    <w:rsid w:val="006C1FA6"/>
    <w:rsid w:val="006C2187"/>
    <w:rsid w:val="006C27D9"/>
    <w:rsid w:val="006C32F4"/>
    <w:rsid w:val="006C3C54"/>
    <w:rsid w:val="006C3CA5"/>
    <w:rsid w:val="006C3CAA"/>
    <w:rsid w:val="006C4B6B"/>
    <w:rsid w:val="006C4CE1"/>
    <w:rsid w:val="006C4F9F"/>
    <w:rsid w:val="006C54B1"/>
    <w:rsid w:val="006C6AE0"/>
    <w:rsid w:val="006C71A2"/>
    <w:rsid w:val="006C73EC"/>
    <w:rsid w:val="006D0997"/>
    <w:rsid w:val="006D0C1D"/>
    <w:rsid w:val="006D1BB1"/>
    <w:rsid w:val="006D28F3"/>
    <w:rsid w:val="006D2E9D"/>
    <w:rsid w:val="006D3B48"/>
    <w:rsid w:val="006D4305"/>
    <w:rsid w:val="006D4A4E"/>
    <w:rsid w:val="006D4C42"/>
    <w:rsid w:val="006D5067"/>
    <w:rsid w:val="006D5389"/>
    <w:rsid w:val="006D53A2"/>
    <w:rsid w:val="006D5809"/>
    <w:rsid w:val="006D607E"/>
    <w:rsid w:val="006D6E12"/>
    <w:rsid w:val="006D70CB"/>
    <w:rsid w:val="006D715C"/>
    <w:rsid w:val="006D7363"/>
    <w:rsid w:val="006D774E"/>
    <w:rsid w:val="006D7F08"/>
    <w:rsid w:val="006E0754"/>
    <w:rsid w:val="006E1481"/>
    <w:rsid w:val="006E2668"/>
    <w:rsid w:val="006E2B0A"/>
    <w:rsid w:val="006E2C88"/>
    <w:rsid w:val="006E2D39"/>
    <w:rsid w:val="006E2FE9"/>
    <w:rsid w:val="006E32B0"/>
    <w:rsid w:val="006E348E"/>
    <w:rsid w:val="006E396A"/>
    <w:rsid w:val="006E3D63"/>
    <w:rsid w:val="006E58BF"/>
    <w:rsid w:val="006E5CE6"/>
    <w:rsid w:val="006E5DD8"/>
    <w:rsid w:val="006E5EA1"/>
    <w:rsid w:val="006E6BE5"/>
    <w:rsid w:val="006E6DEE"/>
    <w:rsid w:val="006E6F44"/>
    <w:rsid w:val="006E7D4B"/>
    <w:rsid w:val="006F018A"/>
    <w:rsid w:val="006F0760"/>
    <w:rsid w:val="006F0D30"/>
    <w:rsid w:val="006F11E2"/>
    <w:rsid w:val="006F1A50"/>
    <w:rsid w:val="006F1A67"/>
    <w:rsid w:val="006F2574"/>
    <w:rsid w:val="006F3126"/>
    <w:rsid w:val="006F3231"/>
    <w:rsid w:val="006F3BEF"/>
    <w:rsid w:val="006F3DE3"/>
    <w:rsid w:val="006F4787"/>
    <w:rsid w:val="006F57E6"/>
    <w:rsid w:val="006F61D8"/>
    <w:rsid w:val="006F62B7"/>
    <w:rsid w:val="006F63E7"/>
    <w:rsid w:val="006F70BC"/>
    <w:rsid w:val="006F726C"/>
    <w:rsid w:val="006F7A22"/>
    <w:rsid w:val="006F7E7C"/>
    <w:rsid w:val="00700FF4"/>
    <w:rsid w:val="0070174E"/>
    <w:rsid w:val="007018DB"/>
    <w:rsid w:val="00701DE6"/>
    <w:rsid w:val="00702740"/>
    <w:rsid w:val="007028E3"/>
    <w:rsid w:val="00703407"/>
    <w:rsid w:val="0070381B"/>
    <w:rsid w:val="00706759"/>
    <w:rsid w:val="0070796C"/>
    <w:rsid w:val="007109BB"/>
    <w:rsid w:val="00710EBF"/>
    <w:rsid w:val="007110B8"/>
    <w:rsid w:val="0071209F"/>
    <w:rsid w:val="007123F0"/>
    <w:rsid w:val="007125A2"/>
    <w:rsid w:val="00712A68"/>
    <w:rsid w:val="00713DD9"/>
    <w:rsid w:val="00713F79"/>
    <w:rsid w:val="007148A8"/>
    <w:rsid w:val="00714A29"/>
    <w:rsid w:val="00715C70"/>
    <w:rsid w:val="00715E44"/>
    <w:rsid w:val="007164B0"/>
    <w:rsid w:val="00716AC8"/>
    <w:rsid w:val="00716E54"/>
    <w:rsid w:val="00717280"/>
    <w:rsid w:val="0072033C"/>
    <w:rsid w:val="00720B1B"/>
    <w:rsid w:val="00721062"/>
    <w:rsid w:val="00721D3D"/>
    <w:rsid w:val="00721E5D"/>
    <w:rsid w:val="007229D4"/>
    <w:rsid w:val="00722E35"/>
    <w:rsid w:val="007230F8"/>
    <w:rsid w:val="007233F4"/>
    <w:rsid w:val="007235E3"/>
    <w:rsid w:val="0072381D"/>
    <w:rsid w:val="00723A10"/>
    <w:rsid w:val="00724044"/>
    <w:rsid w:val="00724120"/>
    <w:rsid w:val="007243F2"/>
    <w:rsid w:val="007248D3"/>
    <w:rsid w:val="00724DF8"/>
    <w:rsid w:val="00725137"/>
    <w:rsid w:val="00725378"/>
    <w:rsid w:val="00725C31"/>
    <w:rsid w:val="00727408"/>
    <w:rsid w:val="00727795"/>
    <w:rsid w:val="00727A43"/>
    <w:rsid w:val="00727DBF"/>
    <w:rsid w:val="00727FF2"/>
    <w:rsid w:val="00727FFD"/>
    <w:rsid w:val="00730550"/>
    <w:rsid w:val="00730C2A"/>
    <w:rsid w:val="00730DF1"/>
    <w:rsid w:val="00731125"/>
    <w:rsid w:val="00731434"/>
    <w:rsid w:val="00731E59"/>
    <w:rsid w:val="007323E0"/>
    <w:rsid w:val="00732911"/>
    <w:rsid w:val="00733721"/>
    <w:rsid w:val="00733DE2"/>
    <w:rsid w:val="00734142"/>
    <w:rsid w:val="00734358"/>
    <w:rsid w:val="007352EA"/>
    <w:rsid w:val="00735DC1"/>
    <w:rsid w:val="007362CC"/>
    <w:rsid w:val="0073792F"/>
    <w:rsid w:val="00740C81"/>
    <w:rsid w:val="00740DA6"/>
    <w:rsid w:val="0074197B"/>
    <w:rsid w:val="00741B4B"/>
    <w:rsid w:val="00741D1E"/>
    <w:rsid w:val="00741DD6"/>
    <w:rsid w:val="00741EE2"/>
    <w:rsid w:val="0074207F"/>
    <w:rsid w:val="00742118"/>
    <w:rsid w:val="00742367"/>
    <w:rsid w:val="00742EAA"/>
    <w:rsid w:val="00742F80"/>
    <w:rsid w:val="00743360"/>
    <w:rsid w:val="00743818"/>
    <w:rsid w:val="00743857"/>
    <w:rsid w:val="0074411D"/>
    <w:rsid w:val="00744187"/>
    <w:rsid w:val="007441FB"/>
    <w:rsid w:val="007444D7"/>
    <w:rsid w:val="00744517"/>
    <w:rsid w:val="0074522A"/>
    <w:rsid w:val="00745D90"/>
    <w:rsid w:val="007465D3"/>
    <w:rsid w:val="00746AED"/>
    <w:rsid w:val="00747295"/>
    <w:rsid w:val="00747346"/>
    <w:rsid w:val="00747829"/>
    <w:rsid w:val="0074789C"/>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23FB"/>
    <w:rsid w:val="00762517"/>
    <w:rsid w:val="00763240"/>
    <w:rsid w:val="0076376A"/>
    <w:rsid w:val="007643A1"/>
    <w:rsid w:val="007646FA"/>
    <w:rsid w:val="007648AD"/>
    <w:rsid w:val="0076504E"/>
    <w:rsid w:val="0076721D"/>
    <w:rsid w:val="0076767E"/>
    <w:rsid w:val="00767BFD"/>
    <w:rsid w:val="00767EA0"/>
    <w:rsid w:val="0077068F"/>
    <w:rsid w:val="00771EDF"/>
    <w:rsid w:val="00772530"/>
    <w:rsid w:val="00772A90"/>
    <w:rsid w:val="00772F8D"/>
    <w:rsid w:val="0077301A"/>
    <w:rsid w:val="0077408D"/>
    <w:rsid w:val="00774270"/>
    <w:rsid w:val="007743F6"/>
    <w:rsid w:val="00775679"/>
    <w:rsid w:val="0077574F"/>
    <w:rsid w:val="00775823"/>
    <w:rsid w:val="00776206"/>
    <w:rsid w:val="00777153"/>
    <w:rsid w:val="007777CC"/>
    <w:rsid w:val="00777B32"/>
    <w:rsid w:val="0078051E"/>
    <w:rsid w:val="00780A3E"/>
    <w:rsid w:val="00781089"/>
    <w:rsid w:val="00781CB6"/>
    <w:rsid w:val="00782811"/>
    <w:rsid w:val="007838F3"/>
    <w:rsid w:val="0078419B"/>
    <w:rsid w:val="00785612"/>
    <w:rsid w:val="007856FE"/>
    <w:rsid w:val="00785F46"/>
    <w:rsid w:val="007865F4"/>
    <w:rsid w:val="00786D5C"/>
    <w:rsid w:val="00786E96"/>
    <w:rsid w:val="00787BB6"/>
    <w:rsid w:val="00787DFF"/>
    <w:rsid w:val="00787F93"/>
    <w:rsid w:val="00791E6D"/>
    <w:rsid w:val="00791EB5"/>
    <w:rsid w:val="00792377"/>
    <w:rsid w:val="0079343F"/>
    <w:rsid w:val="00793696"/>
    <w:rsid w:val="00793F13"/>
    <w:rsid w:val="007955DA"/>
    <w:rsid w:val="007957E7"/>
    <w:rsid w:val="00796C05"/>
    <w:rsid w:val="00796F65"/>
    <w:rsid w:val="007A11C2"/>
    <w:rsid w:val="007A1781"/>
    <w:rsid w:val="007A18BB"/>
    <w:rsid w:val="007A2489"/>
    <w:rsid w:val="007A27DD"/>
    <w:rsid w:val="007A41BF"/>
    <w:rsid w:val="007A490A"/>
    <w:rsid w:val="007A5820"/>
    <w:rsid w:val="007A7289"/>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7490"/>
    <w:rsid w:val="007B7C61"/>
    <w:rsid w:val="007C00B9"/>
    <w:rsid w:val="007C0525"/>
    <w:rsid w:val="007C06DB"/>
    <w:rsid w:val="007C13F7"/>
    <w:rsid w:val="007C1D77"/>
    <w:rsid w:val="007C218D"/>
    <w:rsid w:val="007C2590"/>
    <w:rsid w:val="007C2D28"/>
    <w:rsid w:val="007C3E22"/>
    <w:rsid w:val="007C58C1"/>
    <w:rsid w:val="007C5B39"/>
    <w:rsid w:val="007C6218"/>
    <w:rsid w:val="007C6484"/>
    <w:rsid w:val="007C67C6"/>
    <w:rsid w:val="007C78BE"/>
    <w:rsid w:val="007C79A5"/>
    <w:rsid w:val="007C7A5D"/>
    <w:rsid w:val="007C7E59"/>
    <w:rsid w:val="007D0476"/>
    <w:rsid w:val="007D0B91"/>
    <w:rsid w:val="007D0FE7"/>
    <w:rsid w:val="007D1197"/>
    <w:rsid w:val="007D1452"/>
    <w:rsid w:val="007D1563"/>
    <w:rsid w:val="007D26DC"/>
    <w:rsid w:val="007D3DCB"/>
    <w:rsid w:val="007D4601"/>
    <w:rsid w:val="007D460C"/>
    <w:rsid w:val="007D4996"/>
    <w:rsid w:val="007D4AD3"/>
    <w:rsid w:val="007D4E63"/>
    <w:rsid w:val="007D5C58"/>
    <w:rsid w:val="007D5D19"/>
    <w:rsid w:val="007D5FDC"/>
    <w:rsid w:val="007D6176"/>
    <w:rsid w:val="007D641C"/>
    <w:rsid w:val="007D69CD"/>
    <w:rsid w:val="007D6D68"/>
    <w:rsid w:val="007D7A0D"/>
    <w:rsid w:val="007E066C"/>
    <w:rsid w:val="007E14DB"/>
    <w:rsid w:val="007E194F"/>
    <w:rsid w:val="007E201B"/>
    <w:rsid w:val="007E250B"/>
    <w:rsid w:val="007E2EE9"/>
    <w:rsid w:val="007E32A3"/>
    <w:rsid w:val="007E32DA"/>
    <w:rsid w:val="007E4998"/>
    <w:rsid w:val="007E4A9C"/>
    <w:rsid w:val="007E5248"/>
    <w:rsid w:val="007E5C4F"/>
    <w:rsid w:val="007E6914"/>
    <w:rsid w:val="007E7F78"/>
    <w:rsid w:val="007F0179"/>
    <w:rsid w:val="007F0FF8"/>
    <w:rsid w:val="007F148A"/>
    <w:rsid w:val="007F2640"/>
    <w:rsid w:val="007F2C13"/>
    <w:rsid w:val="007F2CEC"/>
    <w:rsid w:val="007F2ED1"/>
    <w:rsid w:val="007F3435"/>
    <w:rsid w:val="007F505D"/>
    <w:rsid w:val="007F531B"/>
    <w:rsid w:val="007F54CF"/>
    <w:rsid w:val="007F55DE"/>
    <w:rsid w:val="007F5BAC"/>
    <w:rsid w:val="007F6153"/>
    <w:rsid w:val="007F718F"/>
    <w:rsid w:val="007F762D"/>
    <w:rsid w:val="007F78F0"/>
    <w:rsid w:val="007F78FF"/>
    <w:rsid w:val="008001C5"/>
    <w:rsid w:val="00800F6C"/>
    <w:rsid w:val="00801065"/>
    <w:rsid w:val="00802C0B"/>
    <w:rsid w:val="00804206"/>
    <w:rsid w:val="00805040"/>
    <w:rsid w:val="008051FC"/>
    <w:rsid w:val="008055A9"/>
    <w:rsid w:val="008056C4"/>
    <w:rsid w:val="008057FD"/>
    <w:rsid w:val="00805D8B"/>
    <w:rsid w:val="00806C33"/>
    <w:rsid w:val="0081010F"/>
    <w:rsid w:val="00810BB6"/>
    <w:rsid w:val="00810E8E"/>
    <w:rsid w:val="00812C44"/>
    <w:rsid w:val="008135E1"/>
    <w:rsid w:val="00813779"/>
    <w:rsid w:val="00813792"/>
    <w:rsid w:val="00813AA2"/>
    <w:rsid w:val="00813E26"/>
    <w:rsid w:val="00814321"/>
    <w:rsid w:val="0081481D"/>
    <w:rsid w:val="00814BE8"/>
    <w:rsid w:val="00814D94"/>
    <w:rsid w:val="00814F6E"/>
    <w:rsid w:val="00815B84"/>
    <w:rsid w:val="00816342"/>
    <w:rsid w:val="008166F6"/>
    <w:rsid w:val="00816BE9"/>
    <w:rsid w:val="00817D10"/>
    <w:rsid w:val="00821191"/>
    <w:rsid w:val="00822518"/>
    <w:rsid w:val="008226F5"/>
    <w:rsid w:val="00823FC6"/>
    <w:rsid w:val="00824306"/>
    <w:rsid w:val="00824B1F"/>
    <w:rsid w:val="00825C74"/>
    <w:rsid w:val="00825CFA"/>
    <w:rsid w:val="00825F10"/>
    <w:rsid w:val="00826AB9"/>
    <w:rsid w:val="00826E0E"/>
    <w:rsid w:val="00827D11"/>
    <w:rsid w:val="00827E0F"/>
    <w:rsid w:val="00827F6E"/>
    <w:rsid w:val="0083077E"/>
    <w:rsid w:val="00830E66"/>
    <w:rsid w:val="00831758"/>
    <w:rsid w:val="008317D9"/>
    <w:rsid w:val="00831AEC"/>
    <w:rsid w:val="0083279F"/>
    <w:rsid w:val="00832CE9"/>
    <w:rsid w:val="008334DB"/>
    <w:rsid w:val="00833B7F"/>
    <w:rsid w:val="00833B82"/>
    <w:rsid w:val="00833E8E"/>
    <w:rsid w:val="00834906"/>
    <w:rsid w:val="00836075"/>
    <w:rsid w:val="00836417"/>
    <w:rsid w:val="0083698A"/>
    <w:rsid w:val="00836BC6"/>
    <w:rsid w:val="00836D47"/>
    <w:rsid w:val="00837526"/>
    <w:rsid w:val="008407A7"/>
    <w:rsid w:val="00842275"/>
    <w:rsid w:val="0084322B"/>
    <w:rsid w:val="008433A0"/>
    <w:rsid w:val="00843F81"/>
    <w:rsid w:val="00844087"/>
    <w:rsid w:val="008448F1"/>
    <w:rsid w:val="0084519E"/>
    <w:rsid w:val="00845CAE"/>
    <w:rsid w:val="008462C5"/>
    <w:rsid w:val="008462FA"/>
    <w:rsid w:val="00846370"/>
    <w:rsid w:val="00846873"/>
    <w:rsid w:val="00846D33"/>
    <w:rsid w:val="00847366"/>
    <w:rsid w:val="00847544"/>
    <w:rsid w:val="008477E7"/>
    <w:rsid w:val="00847C2B"/>
    <w:rsid w:val="00847DBB"/>
    <w:rsid w:val="00850272"/>
    <w:rsid w:val="008506B9"/>
    <w:rsid w:val="0085086F"/>
    <w:rsid w:val="00850B42"/>
    <w:rsid w:val="00851822"/>
    <w:rsid w:val="00851C16"/>
    <w:rsid w:val="008532BF"/>
    <w:rsid w:val="008539B2"/>
    <w:rsid w:val="00853BF4"/>
    <w:rsid w:val="00854294"/>
    <w:rsid w:val="00854295"/>
    <w:rsid w:val="008545CE"/>
    <w:rsid w:val="0085572E"/>
    <w:rsid w:val="00857295"/>
    <w:rsid w:val="0085788B"/>
    <w:rsid w:val="00857A9E"/>
    <w:rsid w:val="00857D1F"/>
    <w:rsid w:val="00857DE2"/>
    <w:rsid w:val="0086003D"/>
    <w:rsid w:val="00860F07"/>
    <w:rsid w:val="00860F11"/>
    <w:rsid w:val="00861D63"/>
    <w:rsid w:val="0086358C"/>
    <w:rsid w:val="0086359A"/>
    <w:rsid w:val="00863A8E"/>
    <w:rsid w:val="0086407F"/>
    <w:rsid w:val="008644DD"/>
    <w:rsid w:val="008645E3"/>
    <w:rsid w:val="0086486A"/>
    <w:rsid w:val="00864E79"/>
    <w:rsid w:val="00864EC0"/>
    <w:rsid w:val="0086572B"/>
    <w:rsid w:val="00866615"/>
    <w:rsid w:val="0086661F"/>
    <w:rsid w:val="00866A0D"/>
    <w:rsid w:val="00866DB5"/>
    <w:rsid w:val="0086701D"/>
    <w:rsid w:val="0086702B"/>
    <w:rsid w:val="008672E2"/>
    <w:rsid w:val="0086784E"/>
    <w:rsid w:val="008678E3"/>
    <w:rsid w:val="0087110C"/>
    <w:rsid w:val="0087121C"/>
    <w:rsid w:val="00871FD2"/>
    <w:rsid w:val="00872084"/>
    <w:rsid w:val="00872827"/>
    <w:rsid w:val="00872A32"/>
    <w:rsid w:val="00873653"/>
    <w:rsid w:val="00874911"/>
    <w:rsid w:val="008754E4"/>
    <w:rsid w:val="00875ECC"/>
    <w:rsid w:val="00876EAE"/>
    <w:rsid w:val="00877305"/>
    <w:rsid w:val="00877983"/>
    <w:rsid w:val="00880106"/>
    <w:rsid w:val="00880F95"/>
    <w:rsid w:val="00881EC0"/>
    <w:rsid w:val="00881EE2"/>
    <w:rsid w:val="00882910"/>
    <w:rsid w:val="00882B44"/>
    <w:rsid w:val="008838AD"/>
    <w:rsid w:val="00885381"/>
    <w:rsid w:val="0088572B"/>
    <w:rsid w:val="00885BC9"/>
    <w:rsid w:val="008864B3"/>
    <w:rsid w:val="008865E5"/>
    <w:rsid w:val="0088682F"/>
    <w:rsid w:val="00886900"/>
    <w:rsid w:val="008871B0"/>
    <w:rsid w:val="008905A6"/>
    <w:rsid w:val="00890B57"/>
    <w:rsid w:val="008916BA"/>
    <w:rsid w:val="0089217C"/>
    <w:rsid w:val="00892476"/>
    <w:rsid w:val="00892790"/>
    <w:rsid w:val="00893671"/>
    <w:rsid w:val="0089445B"/>
    <w:rsid w:val="00894979"/>
    <w:rsid w:val="00895838"/>
    <w:rsid w:val="00895A1E"/>
    <w:rsid w:val="00895A72"/>
    <w:rsid w:val="00895CDF"/>
    <w:rsid w:val="00895EE3"/>
    <w:rsid w:val="00896046"/>
    <w:rsid w:val="00896679"/>
    <w:rsid w:val="00896D8C"/>
    <w:rsid w:val="00897184"/>
    <w:rsid w:val="008A0717"/>
    <w:rsid w:val="008A0FAC"/>
    <w:rsid w:val="008A0FC9"/>
    <w:rsid w:val="008A14C8"/>
    <w:rsid w:val="008A1956"/>
    <w:rsid w:val="008A1A7C"/>
    <w:rsid w:val="008A2CE2"/>
    <w:rsid w:val="008A40D3"/>
    <w:rsid w:val="008A413F"/>
    <w:rsid w:val="008A451F"/>
    <w:rsid w:val="008A469C"/>
    <w:rsid w:val="008A50FB"/>
    <w:rsid w:val="008A51D1"/>
    <w:rsid w:val="008A5C90"/>
    <w:rsid w:val="008A5DCE"/>
    <w:rsid w:val="008A75D3"/>
    <w:rsid w:val="008A7F09"/>
    <w:rsid w:val="008B05DD"/>
    <w:rsid w:val="008B07B8"/>
    <w:rsid w:val="008B17E8"/>
    <w:rsid w:val="008B2C45"/>
    <w:rsid w:val="008B2E7C"/>
    <w:rsid w:val="008B399A"/>
    <w:rsid w:val="008B45F0"/>
    <w:rsid w:val="008B4A70"/>
    <w:rsid w:val="008B4AF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6118"/>
    <w:rsid w:val="008C6341"/>
    <w:rsid w:val="008C653D"/>
    <w:rsid w:val="008C731F"/>
    <w:rsid w:val="008C74D9"/>
    <w:rsid w:val="008D2050"/>
    <w:rsid w:val="008D2D79"/>
    <w:rsid w:val="008D35CA"/>
    <w:rsid w:val="008D3B2D"/>
    <w:rsid w:val="008D58D9"/>
    <w:rsid w:val="008D5AD4"/>
    <w:rsid w:val="008D5E4E"/>
    <w:rsid w:val="008D5E9D"/>
    <w:rsid w:val="008D5F65"/>
    <w:rsid w:val="008D695E"/>
    <w:rsid w:val="008D6DD5"/>
    <w:rsid w:val="008D6E59"/>
    <w:rsid w:val="008D7155"/>
    <w:rsid w:val="008D76E0"/>
    <w:rsid w:val="008E079C"/>
    <w:rsid w:val="008E0B29"/>
    <w:rsid w:val="008E141A"/>
    <w:rsid w:val="008E1A44"/>
    <w:rsid w:val="008E2859"/>
    <w:rsid w:val="008E28E6"/>
    <w:rsid w:val="008E2C57"/>
    <w:rsid w:val="008E3232"/>
    <w:rsid w:val="008E3674"/>
    <w:rsid w:val="008E3B6C"/>
    <w:rsid w:val="008E3DE7"/>
    <w:rsid w:val="008E5227"/>
    <w:rsid w:val="008E562C"/>
    <w:rsid w:val="008E57C8"/>
    <w:rsid w:val="008E5FB9"/>
    <w:rsid w:val="008E6540"/>
    <w:rsid w:val="008E6A1C"/>
    <w:rsid w:val="008E6FBE"/>
    <w:rsid w:val="008E77D4"/>
    <w:rsid w:val="008E7ADD"/>
    <w:rsid w:val="008F091F"/>
    <w:rsid w:val="008F1548"/>
    <w:rsid w:val="008F17B2"/>
    <w:rsid w:val="008F22B3"/>
    <w:rsid w:val="008F357B"/>
    <w:rsid w:val="008F366E"/>
    <w:rsid w:val="008F3B56"/>
    <w:rsid w:val="008F44CA"/>
    <w:rsid w:val="008F49D3"/>
    <w:rsid w:val="008F5B69"/>
    <w:rsid w:val="008F6519"/>
    <w:rsid w:val="008F6F4C"/>
    <w:rsid w:val="008F7012"/>
    <w:rsid w:val="008F7ADA"/>
    <w:rsid w:val="008F7B17"/>
    <w:rsid w:val="00900042"/>
    <w:rsid w:val="0090034B"/>
    <w:rsid w:val="0090087C"/>
    <w:rsid w:val="00900D2F"/>
    <w:rsid w:val="00901121"/>
    <w:rsid w:val="00901B50"/>
    <w:rsid w:val="00902623"/>
    <w:rsid w:val="00902A67"/>
    <w:rsid w:val="00902C5E"/>
    <w:rsid w:val="0090303D"/>
    <w:rsid w:val="00904BE4"/>
    <w:rsid w:val="0090504A"/>
    <w:rsid w:val="009051F5"/>
    <w:rsid w:val="00905221"/>
    <w:rsid w:val="0090530B"/>
    <w:rsid w:val="00905664"/>
    <w:rsid w:val="00905A7C"/>
    <w:rsid w:val="00905D7E"/>
    <w:rsid w:val="00907037"/>
    <w:rsid w:val="00907259"/>
    <w:rsid w:val="00907929"/>
    <w:rsid w:val="00910577"/>
    <w:rsid w:val="00910C5D"/>
    <w:rsid w:val="0091112C"/>
    <w:rsid w:val="009113F2"/>
    <w:rsid w:val="0091160A"/>
    <w:rsid w:val="00911945"/>
    <w:rsid w:val="009128A9"/>
    <w:rsid w:val="00912A06"/>
    <w:rsid w:val="00912E04"/>
    <w:rsid w:val="00913258"/>
    <w:rsid w:val="00913851"/>
    <w:rsid w:val="00913BB0"/>
    <w:rsid w:val="0091456C"/>
    <w:rsid w:val="00914C58"/>
    <w:rsid w:val="00914D78"/>
    <w:rsid w:val="009151FC"/>
    <w:rsid w:val="009153D3"/>
    <w:rsid w:val="0091564D"/>
    <w:rsid w:val="009156DA"/>
    <w:rsid w:val="00915774"/>
    <w:rsid w:val="00916BC5"/>
    <w:rsid w:val="0091726A"/>
    <w:rsid w:val="00917C01"/>
    <w:rsid w:val="00920184"/>
    <w:rsid w:val="00920421"/>
    <w:rsid w:val="00920EA4"/>
    <w:rsid w:val="00921792"/>
    <w:rsid w:val="00921BEA"/>
    <w:rsid w:val="009227BE"/>
    <w:rsid w:val="009238FD"/>
    <w:rsid w:val="00923998"/>
    <w:rsid w:val="00923DB4"/>
    <w:rsid w:val="0092420B"/>
    <w:rsid w:val="0092430E"/>
    <w:rsid w:val="00924451"/>
    <w:rsid w:val="00926112"/>
    <w:rsid w:val="0092625F"/>
    <w:rsid w:val="00926B28"/>
    <w:rsid w:val="00926D9C"/>
    <w:rsid w:val="00927028"/>
    <w:rsid w:val="0092734A"/>
    <w:rsid w:val="00927763"/>
    <w:rsid w:val="00927A2D"/>
    <w:rsid w:val="00927B37"/>
    <w:rsid w:val="009314B1"/>
    <w:rsid w:val="009321B1"/>
    <w:rsid w:val="009327F0"/>
    <w:rsid w:val="00932A42"/>
    <w:rsid w:val="00932ED7"/>
    <w:rsid w:val="0093422D"/>
    <w:rsid w:val="0093483B"/>
    <w:rsid w:val="00934CF9"/>
    <w:rsid w:val="00934DD7"/>
    <w:rsid w:val="00934F9C"/>
    <w:rsid w:val="00934FEB"/>
    <w:rsid w:val="00935CB2"/>
    <w:rsid w:val="009369A9"/>
    <w:rsid w:val="00936CF7"/>
    <w:rsid w:val="00937783"/>
    <w:rsid w:val="00937EAD"/>
    <w:rsid w:val="00937F28"/>
    <w:rsid w:val="00940FE1"/>
    <w:rsid w:val="0094117A"/>
    <w:rsid w:val="00941474"/>
    <w:rsid w:val="00942306"/>
    <w:rsid w:val="009424B8"/>
    <w:rsid w:val="009426BA"/>
    <w:rsid w:val="0094286B"/>
    <w:rsid w:val="009432E2"/>
    <w:rsid w:val="00944668"/>
    <w:rsid w:val="00944DC6"/>
    <w:rsid w:val="00945829"/>
    <w:rsid w:val="009458B0"/>
    <w:rsid w:val="00945B52"/>
    <w:rsid w:val="00945B7A"/>
    <w:rsid w:val="00945F05"/>
    <w:rsid w:val="00945FE0"/>
    <w:rsid w:val="00946348"/>
    <w:rsid w:val="00946B10"/>
    <w:rsid w:val="00947070"/>
    <w:rsid w:val="00947224"/>
    <w:rsid w:val="00947797"/>
    <w:rsid w:val="009478A2"/>
    <w:rsid w:val="00947942"/>
    <w:rsid w:val="00950181"/>
    <w:rsid w:val="00950865"/>
    <w:rsid w:val="009533BD"/>
    <w:rsid w:val="009536FB"/>
    <w:rsid w:val="00953808"/>
    <w:rsid w:val="009539A6"/>
    <w:rsid w:val="00954032"/>
    <w:rsid w:val="00954537"/>
    <w:rsid w:val="0095472D"/>
    <w:rsid w:val="00954F0F"/>
    <w:rsid w:val="00955342"/>
    <w:rsid w:val="00955D57"/>
    <w:rsid w:val="00955FBB"/>
    <w:rsid w:val="0095694B"/>
    <w:rsid w:val="00956BD5"/>
    <w:rsid w:val="00956D84"/>
    <w:rsid w:val="009577B5"/>
    <w:rsid w:val="00957D66"/>
    <w:rsid w:val="009608E6"/>
    <w:rsid w:val="00960F57"/>
    <w:rsid w:val="00961669"/>
    <w:rsid w:val="00961C90"/>
    <w:rsid w:val="00962A26"/>
    <w:rsid w:val="00965443"/>
    <w:rsid w:val="00965954"/>
    <w:rsid w:val="00965A21"/>
    <w:rsid w:val="00965E55"/>
    <w:rsid w:val="0096608E"/>
    <w:rsid w:val="00966522"/>
    <w:rsid w:val="00966926"/>
    <w:rsid w:val="00966C33"/>
    <w:rsid w:val="009678D3"/>
    <w:rsid w:val="00970F18"/>
    <w:rsid w:val="00971CF1"/>
    <w:rsid w:val="00971F5D"/>
    <w:rsid w:val="009721E9"/>
    <w:rsid w:val="009722B5"/>
    <w:rsid w:val="009724C9"/>
    <w:rsid w:val="00973772"/>
    <w:rsid w:val="0097560A"/>
    <w:rsid w:val="009759A3"/>
    <w:rsid w:val="00975E1E"/>
    <w:rsid w:val="00975E70"/>
    <w:rsid w:val="009761DE"/>
    <w:rsid w:val="009766FA"/>
    <w:rsid w:val="00977944"/>
    <w:rsid w:val="00977CD6"/>
    <w:rsid w:val="0098048B"/>
    <w:rsid w:val="00980908"/>
    <w:rsid w:val="00980DF9"/>
    <w:rsid w:val="00981CD8"/>
    <w:rsid w:val="0098243D"/>
    <w:rsid w:val="00982C19"/>
    <w:rsid w:val="00982D26"/>
    <w:rsid w:val="00983B6E"/>
    <w:rsid w:val="00983FE5"/>
    <w:rsid w:val="00984544"/>
    <w:rsid w:val="009849E9"/>
    <w:rsid w:val="00984AFF"/>
    <w:rsid w:val="00985048"/>
    <w:rsid w:val="009855AC"/>
    <w:rsid w:val="009859E4"/>
    <w:rsid w:val="00985D7F"/>
    <w:rsid w:val="00987812"/>
    <w:rsid w:val="00990225"/>
    <w:rsid w:val="00991307"/>
    <w:rsid w:val="00991FAA"/>
    <w:rsid w:val="00992A13"/>
    <w:rsid w:val="00993DB1"/>
    <w:rsid w:val="00994AAD"/>
    <w:rsid w:val="00995150"/>
    <w:rsid w:val="00995D67"/>
    <w:rsid w:val="00997613"/>
    <w:rsid w:val="009A013B"/>
    <w:rsid w:val="009A02F4"/>
    <w:rsid w:val="009A06BF"/>
    <w:rsid w:val="009A0D17"/>
    <w:rsid w:val="009A2494"/>
    <w:rsid w:val="009A32B1"/>
    <w:rsid w:val="009A33A3"/>
    <w:rsid w:val="009A36F2"/>
    <w:rsid w:val="009A3942"/>
    <w:rsid w:val="009A4073"/>
    <w:rsid w:val="009A40C3"/>
    <w:rsid w:val="009A40D5"/>
    <w:rsid w:val="009A5268"/>
    <w:rsid w:val="009A5621"/>
    <w:rsid w:val="009A57D0"/>
    <w:rsid w:val="009A6559"/>
    <w:rsid w:val="009A68FC"/>
    <w:rsid w:val="009A6CE4"/>
    <w:rsid w:val="009A7514"/>
    <w:rsid w:val="009A7665"/>
    <w:rsid w:val="009A7E7A"/>
    <w:rsid w:val="009B0925"/>
    <w:rsid w:val="009B1584"/>
    <w:rsid w:val="009B18F0"/>
    <w:rsid w:val="009B1F4C"/>
    <w:rsid w:val="009B2203"/>
    <w:rsid w:val="009B2471"/>
    <w:rsid w:val="009B314F"/>
    <w:rsid w:val="009B439C"/>
    <w:rsid w:val="009B49A1"/>
    <w:rsid w:val="009B4A6C"/>
    <w:rsid w:val="009B4DA8"/>
    <w:rsid w:val="009B4FA6"/>
    <w:rsid w:val="009B519A"/>
    <w:rsid w:val="009B620C"/>
    <w:rsid w:val="009B6454"/>
    <w:rsid w:val="009B6753"/>
    <w:rsid w:val="009B676C"/>
    <w:rsid w:val="009B6A26"/>
    <w:rsid w:val="009C079D"/>
    <w:rsid w:val="009C0C12"/>
    <w:rsid w:val="009C0D70"/>
    <w:rsid w:val="009C1282"/>
    <w:rsid w:val="009C13D1"/>
    <w:rsid w:val="009C2913"/>
    <w:rsid w:val="009C2BD4"/>
    <w:rsid w:val="009C334C"/>
    <w:rsid w:val="009C3EE6"/>
    <w:rsid w:val="009C5314"/>
    <w:rsid w:val="009C5AFE"/>
    <w:rsid w:val="009C6606"/>
    <w:rsid w:val="009C6CE5"/>
    <w:rsid w:val="009C6D50"/>
    <w:rsid w:val="009C72B2"/>
    <w:rsid w:val="009C7547"/>
    <w:rsid w:val="009D05EC"/>
    <w:rsid w:val="009D18D4"/>
    <w:rsid w:val="009D1FCF"/>
    <w:rsid w:val="009D2F60"/>
    <w:rsid w:val="009D3A2E"/>
    <w:rsid w:val="009D4C2E"/>
    <w:rsid w:val="009D5ADE"/>
    <w:rsid w:val="009D5BAC"/>
    <w:rsid w:val="009D5C56"/>
    <w:rsid w:val="009D6265"/>
    <w:rsid w:val="009D64BD"/>
    <w:rsid w:val="009D6B1E"/>
    <w:rsid w:val="009D6CB1"/>
    <w:rsid w:val="009E0286"/>
    <w:rsid w:val="009E153F"/>
    <w:rsid w:val="009E18C5"/>
    <w:rsid w:val="009E2B98"/>
    <w:rsid w:val="009E322A"/>
    <w:rsid w:val="009E3483"/>
    <w:rsid w:val="009E393E"/>
    <w:rsid w:val="009E444E"/>
    <w:rsid w:val="009E454D"/>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3"/>
    <w:rsid w:val="009F676B"/>
    <w:rsid w:val="009F6D2D"/>
    <w:rsid w:val="009F6D54"/>
    <w:rsid w:val="00A004DF"/>
    <w:rsid w:val="00A00FD5"/>
    <w:rsid w:val="00A012C0"/>
    <w:rsid w:val="00A019A8"/>
    <w:rsid w:val="00A01B03"/>
    <w:rsid w:val="00A01B89"/>
    <w:rsid w:val="00A02C66"/>
    <w:rsid w:val="00A02C84"/>
    <w:rsid w:val="00A03223"/>
    <w:rsid w:val="00A03842"/>
    <w:rsid w:val="00A04394"/>
    <w:rsid w:val="00A0464C"/>
    <w:rsid w:val="00A050BB"/>
    <w:rsid w:val="00A05128"/>
    <w:rsid w:val="00A0521B"/>
    <w:rsid w:val="00A054E0"/>
    <w:rsid w:val="00A05D91"/>
    <w:rsid w:val="00A0740B"/>
    <w:rsid w:val="00A07ED3"/>
    <w:rsid w:val="00A10162"/>
    <w:rsid w:val="00A10A81"/>
    <w:rsid w:val="00A10CA8"/>
    <w:rsid w:val="00A10D5A"/>
    <w:rsid w:val="00A11042"/>
    <w:rsid w:val="00A12579"/>
    <w:rsid w:val="00A12CDC"/>
    <w:rsid w:val="00A12E1D"/>
    <w:rsid w:val="00A133D8"/>
    <w:rsid w:val="00A13553"/>
    <w:rsid w:val="00A13F58"/>
    <w:rsid w:val="00A14382"/>
    <w:rsid w:val="00A15480"/>
    <w:rsid w:val="00A15655"/>
    <w:rsid w:val="00A160B0"/>
    <w:rsid w:val="00A1740C"/>
    <w:rsid w:val="00A17904"/>
    <w:rsid w:val="00A20069"/>
    <w:rsid w:val="00A2244D"/>
    <w:rsid w:val="00A2253D"/>
    <w:rsid w:val="00A2267F"/>
    <w:rsid w:val="00A22CDB"/>
    <w:rsid w:val="00A247B8"/>
    <w:rsid w:val="00A2495A"/>
    <w:rsid w:val="00A24C7A"/>
    <w:rsid w:val="00A24D8F"/>
    <w:rsid w:val="00A25366"/>
    <w:rsid w:val="00A25B8B"/>
    <w:rsid w:val="00A2689F"/>
    <w:rsid w:val="00A26ECA"/>
    <w:rsid w:val="00A272C6"/>
    <w:rsid w:val="00A27461"/>
    <w:rsid w:val="00A27AE5"/>
    <w:rsid w:val="00A27D67"/>
    <w:rsid w:val="00A30ABC"/>
    <w:rsid w:val="00A320F4"/>
    <w:rsid w:val="00A3267D"/>
    <w:rsid w:val="00A33B74"/>
    <w:rsid w:val="00A3467F"/>
    <w:rsid w:val="00A34B4C"/>
    <w:rsid w:val="00A35030"/>
    <w:rsid w:val="00A3551A"/>
    <w:rsid w:val="00A36015"/>
    <w:rsid w:val="00A366A0"/>
    <w:rsid w:val="00A36952"/>
    <w:rsid w:val="00A37209"/>
    <w:rsid w:val="00A37381"/>
    <w:rsid w:val="00A37584"/>
    <w:rsid w:val="00A376E8"/>
    <w:rsid w:val="00A37F8E"/>
    <w:rsid w:val="00A4103C"/>
    <w:rsid w:val="00A411DA"/>
    <w:rsid w:val="00A41537"/>
    <w:rsid w:val="00A41678"/>
    <w:rsid w:val="00A41737"/>
    <w:rsid w:val="00A42B8F"/>
    <w:rsid w:val="00A42D8E"/>
    <w:rsid w:val="00A43254"/>
    <w:rsid w:val="00A43896"/>
    <w:rsid w:val="00A43951"/>
    <w:rsid w:val="00A43A26"/>
    <w:rsid w:val="00A447A0"/>
    <w:rsid w:val="00A4505E"/>
    <w:rsid w:val="00A459F5"/>
    <w:rsid w:val="00A45FC0"/>
    <w:rsid w:val="00A468C7"/>
    <w:rsid w:val="00A46B74"/>
    <w:rsid w:val="00A476D4"/>
    <w:rsid w:val="00A47BF7"/>
    <w:rsid w:val="00A47ECC"/>
    <w:rsid w:val="00A50171"/>
    <w:rsid w:val="00A50418"/>
    <w:rsid w:val="00A504FA"/>
    <w:rsid w:val="00A5102E"/>
    <w:rsid w:val="00A5132E"/>
    <w:rsid w:val="00A51375"/>
    <w:rsid w:val="00A51533"/>
    <w:rsid w:val="00A516D4"/>
    <w:rsid w:val="00A531D4"/>
    <w:rsid w:val="00A53622"/>
    <w:rsid w:val="00A53736"/>
    <w:rsid w:val="00A54572"/>
    <w:rsid w:val="00A559D8"/>
    <w:rsid w:val="00A575B8"/>
    <w:rsid w:val="00A6020A"/>
    <w:rsid w:val="00A60CE7"/>
    <w:rsid w:val="00A60CF8"/>
    <w:rsid w:val="00A619BB"/>
    <w:rsid w:val="00A61C60"/>
    <w:rsid w:val="00A61ECB"/>
    <w:rsid w:val="00A63FE9"/>
    <w:rsid w:val="00A6410C"/>
    <w:rsid w:val="00A647B1"/>
    <w:rsid w:val="00A64DEF"/>
    <w:rsid w:val="00A65311"/>
    <w:rsid w:val="00A654D2"/>
    <w:rsid w:val="00A665DF"/>
    <w:rsid w:val="00A671B4"/>
    <w:rsid w:val="00A673F1"/>
    <w:rsid w:val="00A674DB"/>
    <w:rsid w:val="00A67625"/>
    <w:rsid w:val="00A67FCC"/>
    <w:rsid w:val="00A70AA5"/>
    <w:rsid w:val="00A70C03"/>
    <w:rsid w:val="00A71256"/>
    <w:rsid w:val="00A7147C"/>
    <w:rsid w:val="00A71CB8"/>
    <w:rsid w:val="00A7217B"/>
    <w:rsid w:val="00A722D7"/>
    <w:rsid w:val="00A723A3"/>
    <w:rsid w:val="00A73861"/>
    <w:rsid w:val="00A739A6"/>
    <w:rsid w:val="00A73C97"/>
    <w:rsid w:val="00A740ED"/>
    <w:rsid w:val="00A74C29"/>
    <w:rsid w:val="00A74C62"/>
    <w:rsid w:val="00A75A70"/>
    <w:rsid w:val="00A75CBC"/>
    <w:rsid w:val="00A75EF9"/>
    <w:rsid w:val="00A7642C"/>
    <w:rsid w:val="00A7657C"/>
    <w:rsid w:val="00A76B5E"/>
    <w:rsid w:val="00A76E4E"/>
    <w:rsid w:val="00A80A5D"/>
    <w:rsid w:val="00A81ECA"/>
    <w:rsid w:val="00A82764"/>
    <w:rsid w:val="00A8311C"/>
    <w:rsid w:val="00A835D0"/>
    <w:rsid w:val="00A83821"/>
    <w:rsid w:val="00A84150"/>
    <w:rsid w:val="00A84761"/>
    <w:rsid w:val="00A84C5F"/>
    <w:rsid w:val="00A85240"/>
    <w:rsid w:val="00A85930"/>
    <w:rsid w:val="00A863F7"/>
    <w:rsid w:val="00A86604"/>
    <w:rsid w:val="00A86ACC"/>
    <w:rsid w:val="00A87519"/>
    <w:rsid w:val="00A90213"/>
    <w:rsid w:val="00A905A5"/>
    <w:rsid w:val="00A90870"/>
    <w:rsid w:val="00A9246D"/>
    <w:rsid w:val="00A92CCA"/>
    <w:rsid w:val="00A93BD0"/>
    <w:rsid w:val="00A93CC2"/>
    <w:rsid w:val="00A94D4B"/>
    <w:rsid w:val="00A956AC"/>
    <w:rsid w:val="00A95A90"/>
    <w:rsid w:val="00A974CC"/>
    <w:rsid w:val="00A97EE7"/>
    <w:rsid w:val="00A97FC3"/>
    <w:rsid w:val="00AA0A68"/>
    <w:rsid w:val="00AA1F34"/>
    <w:rsid w:val="00AA2001"/>
    <w:rsid w:val="00AA2B5C"/>
    <w:rsid w:val="00AA32D2"/>
    <w:rsid w:val="00AA33AA"/>
    <w:rsid w:val="00AA3B8B"/>
    <w:rsid w:val="00AA4016"/>
    <w:rsid w:val="00AA4C1F"/>
    <w:rsid w:val="00AA5328"/>
    <w:rsid w:val="00AA5393"/>
    <w:rsid w:val="00AA63D4"/>
    <w:rsid w:val="00AB03FD"/>
    <w:rsid w:val="00AB09B8"/>
    <w:rsid w:val="00AB199F"/>
    <w:rsid w:val="00AB1C40"/>
    <w:rsid w:val="00AB2000"/>
    <w:rsid w:val="00AB21CC"/>
    <w:rsid w:val="00AB2C06"/>
    <w:rsid w:val="00AB3147"/>
    <w:rsid w:val="00AB38CB"/>
    <w:rsid w:val="00AB3BEC"/>
    <w:rsid w:val="00AB4080"/>
    <w:rsid w:val="00AB44E4"/>
    <w:rsid w:val="00AB4AEB"/>
    <w:rsid w:val="00AB4E5F"/>
    <w:rsid w:val="00AB5352"/>
    <w:rsid w:val="00AB56AE"/>
    <w:rsid w:val="00AB62D5"/>
    <w:rsid w:val="00AB65B5"/>
    <w:rsid w:val="00AB6DCD"/>
    <w:rsid w:val="00AB6EE0"/>
    <w:rsid w:val="00AB71D6"/>
    <w:rsid w:val="00AB7D43"/>
    <w:rsid w:val="00AB7F2C"/>
    <w:rsid w:val="00AC022E"/>
    <w:rsid w:val="00AC17A2"/>
    <w:rsid w:val="00AC18C7"/>
    <w:rsid w:val="00AC3096"/>
    <w:rsid w:val="00AC33F3"/>
    <w:rsid w:val="00AC40B7"/>
    <w:rsid w:val="00AC531F"/>
    <w:rsid w:val="00AC5B36"/>
    <w:rsid w:val="00AC6377"/>
    <w:rsid w:val="00AC651A"/>
    <w:rsid w:val="00AC66A4"/>
    <w:rsid w:val="00AC6CB1"/>
    <w:rsid w:val="00AC75E9"/>
    <w:rsid w:val="00AC7D6D"/>
    <w:rsid w:val="00AC7D76"/>
    <w:rsid w:val="00AD0091"/>
    <w:rsid w:val="00AD04C1"/>
    <w:rsid w:val="00AD0D57"/>
    <w:rsid w:val="00AD1119"/>
    <w:rsid w:val="00AD1315"/>
    <w:rsid w:val="00AD23EF"/>
    <w:rsid w:val="00AD2662"/>
    <w:rsid w:val="00AD307B"/>
    <w:rsid w:val="00AD36D2"/>
    <w:rsid w:val="00AD3992"/>
    <w:rsid w:val="00AD4014"/>
    <w:rsid w:val="00AD41B3"/>
    <w:rsid w:val="00AD5721"/>
    <w:rsid w:val="00AD69F0"/>
    <w:rsid w:val="00AD7127"/>
    <w:rsid w:val="00AD730C"/>
    <w:rsid w:val="00AE0F90"/>
    <w:rsid w:val="00AE123A"/>
    <w:rsid w:val="00AE1539"/>
    <w:rsid w:val="00AE28A7"/>
    <w:rsid w:val="00AE2A98"/>
    <w:rsid w:val="00AE2CF2"/>
    <w:rsid w:val="00AE2F19"/>
    <w:rsid w:val="00AE3012"/>
    <w:rsid w:val="00AE3297"/>
    <w:rsid w:val="00AE33A6"/>
    <w:rsid w:val="00AE3513"/>
    <w:rsid w:val="00AE3729"/>
    <w:rsid w:val="00AE3C81"/>
    <w:rsid w:val="00AE49C1"/>
    <w:rsid w:val="00AE4A3E"/>
    <w:rsid w:val="00AE4CCE"/>
    <w:rsid w:val="00AE5C6A"/>
    <w:rsid w:val="00AE7058"/>
    <w:rsid w:val="00AE7280"/>
    <w:rsid w:val="00AE7B5F"/>
    <w:rsid w:val="00AF0172"/>
    <w:rsid w:val="00AF01FA"/>
    <w:rsid w:val="00AF033A"/>
    <w:rsid w:val="00AF0516"/>
    <w:rsid w:val="00AF118E"/>
    <w:rsid w:val="00AF1658"/>
    <w:rsid w:val="00AF1699"/>
    <w:rsid w:val="00AF18D1"/>
    <w:rsid w:val="00AF1BA4"/>
    <w:rsid w:val="00AF1FD3"/>
    <w:rsid w:val="00AF2775"/>
    <w:rsid w:val="00AF2910"/>
    <w:rsid w:val="00AF34B8"/>
    <w:rsid w:val="00AF3896"/>
    <w:rsid w:val="00AF39C9"/>
    <w:rsid w:val="00AF3F97"/>
    <w:rsid w:val="00AF3FC2"/>
    <w:rsid w:val="00AF4DEC"/>
    <w:rsid w:val="00AF6B57"/>
    <w:rsid w:val="00B003FF"/>
    <w:rsid w:val="00B0098A"/>
    <w:rsid w:val="00B00A5F"/>
    <w:rsid w:val="00B00F37"/>
    <w:rsid w:val="00B029B8"/>
    <w:rsid w:val="00B02F60"/>
    <w:rsid w:val="00B02F94"/>
    <w:rsid w:val="00B032B8"/>
    <w:rsid w:val="00B0396A"/>
    <w:rsid w:val="00B04721"/>
    <w:rsid w:val="00B04B15"/>
    <w:rsid w:val="00B04B46"/>
    <w:rsid w:val="00B0534D"/>
    <w:rsid w:val="00B05685"/>
    <w:rsid w:val="00B05F9F"/>
    <w:rsid w:val="00B06070"/>
    <w:rsid w:val="00B06368"/>
    <w:rsid w:val="00B068DA"/>
    <w:rsid w:val="00B06A00"/>
    <w:rsid w:val="00B06FC6"/>
    <w:rsid w:val="00B0710D"/>
    <w:rsid w:val="00B074C9"/>
    <w:rsid w:val="00B07A70"/>
    <w:rsid w:val="00B07D9D"/>
    <w:rsid w:val="00B102D6"/>
    <w:rsid w:val="00B11AE5"/>
    <w:rsid w:val="00B120F3"/>
    <w:rsid w:val="00B12263"/>
    <w:rsid w:val="00B12FE6"/>
    <w:rsid w:val="00B1303F"/>
    <w:rsid w:val="00B1364A"/>
    <w:rsid w:val="00B13859"/>
    <w:rsid w:val="00B13EC9"/>
    <w:rsid w:val="00B14319"/>
    <w:rsid w:val="00B14A06"/>
    <w:rsid w:val="00B158E1"/>
    <w:rsid w:val="00B16715"/>
    <w:rsid w:val="00B16FFA"/>
    <w:rsid w:val="00B1768E"/>
    <w:rsid w:val="00B17910"/>
    <w:rsid w:val="00B20F18"/>
    <w:rsid w:val="00B21516"/>
    <w:rsid w:val="00B219D9"/>
    <w:rsid w:val="00B21A37"/>
    <w:rsid w:val="00B21D23"/>
    <w:rsid w:val="00B21F62"/>
    <w:rsid w:val="00B223A4"/>
    <w:rsid w:val="00B22CE0"/>
    <w:rsid w:val="00B232BF"/>
    <w:rsid w:val="00B23738"/>
    <w:rsid w:val="00B23BEF"/>
    <w:rsid w:val="00B247BB"/>
    <w:rsid w:val="00B2504A"/>
    <w:rsid w:val="00B25EE6"/>
    <w:rsid w:val="00B3115A"/>
    <w:rsid w:val="00B3178B"/>
    <w:rsid w:val="00B31825"/>
    <w:rsid w:val="00B31A5C"/>
    <w:rsid w:val="00B32265"/>
    <w:rsid w:val="00B3276D"/>
    <w:rsid w:val="00B33331"/>
    <w:rsid w:val="00B333C8"/>
    <w:rsid w:val="00B33B06"/>
    <w:rsid w:val="00B33C19"/>
    <w:rsid w:val="00B3462E"/>
    <w:rsid w:val="00B35A15"/>
    <w:rsid w:val="00B35B45"/>
    <w:rsid w:val="00B36165"/>
    <w:rsid w:val="00B36A99"/>
    <w:rsid w:val="00B37395"/>
    <w:rsid w:val="00B40C29"/>
    <w:rsid w:val="00B41531"/>
    <w:rsid w:val="00B419EA"/>
    <w:rsid w:val="00B42264"/>
    <w:rsid w:val="00B434B2"/>
    <w:rsid w:val="00B43B9E"/>
    <w:rsid w:val="00B43D45"/>
    <w:rsid w:val="00B459AF"/>
    <w:rsid w:val="00B468F2"/>
    <w:rsid w:val="00B469DE"/>
    <w:rsid w:val="00B47286"/>
    <w:rsid w:val="00B47EB4"/>
    <w:rsid w:val="00B50234"/>
    <w:rsid w:val="00B5052F"/>
    <w:rsid w:val="00B51641"/>
    <w:rsid w:val="00B51BF4"/>
    <w:rsid w:val="00B52279"/>
    <w:rsid w:val="00B522D7"/>
    <w:rsid w:val="00B527AD"/>
    <w:rsid w:val="00B52C68"/>
    <w:rsid w:val="00B5372B"/>
    <w:rsid w:val="00B542FE"/>
    <w:rsid w:val="00B54360"/>
    <w:rsid w:val="00B55A1B"/>
    <w:rsid w:val="00B561DB"/>
    <w:rsid w:val="00B5645C"/>
    <w:rsid w:val="00B56DF9"/>
    <w:rsid w:val="00B56E80"/>
    <w:rsid w:val="00B571F1"/>
    <w:rsid w:val="00B600BD"/>
    <w:rsid w:val="00B60E4E"/>
    <w:rsid w:val="00B61274"/>
    <w:rsid w:val="00B61DCE"/>
    <w:rsid w:val="00B62188"/>
    <w:rsid w:val="00B621D6"/>
    <w:rsid w:val="00B622E3"/>
    <w:rsid w:val="00B62F79"/>
    <w:rsid w:val="00B62F82"/>
    <w:rsid w:val="00B63028"/>
    <w:rsid w:val="00B6306A"/>
    <w:rsid w:val="00B635E3"/>
    <w:rsid w:val="00B64B9A"/>
    <w:rsid w:val="00B65646"/>
    <w:rsid w:val="00B662FF"/>
    <w:rsid w:val="00B665B8"/>
    <w:rsid w:val="00B665F6"/>
    <w:rsid w:val="00B66679"/>
    <w:rsid w:val="00B70145"/>
    <w:rsid w:val="00B701C9"/>
    <w:rsid w:val="00B710AD"/>
    <w:rsid w:val="00B71288"/>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B9C"/>
    <w:rsid w:val="00B821E4"/>
    <w:rsid w:val="00B823E0"/>
    <w:rsid w:val="00B8260D"/>
    <w:rsid w:val="00B8286F"/>
    <w:rsid w:val="00B82B78"/>
    <w:rsid w:val="00B82FD9"/>
    <w:rsid w:val="00B845B4"/>
    <w:rsid w:val="00B84662"/>
    <w:rsid w:val="00B84C74"/>
    <w:rsid w:val="00B84CE9"/>
    <w:rsid w:val="00B84F6E"/>
    <w:rsid w:val="00B85191"/>
    <w:rsid w:val="00B85412"/>
    <w:rsid w:val="00B858A1"/>
    <w:rsid w:val="00B85FEC"/>
    <w:rsid w:val="00B864A3"/>
    <w:rsid w:val="00B86C2A"/>
    <w:rsid w:val="00B87575"/>
    <w:rsid w:val="00B902A5"/>
    <w:rsid w:val="00B90420"/>
    <w:rsid w:val="00B90848"/>
    <w:rsid w:val="00B90BC1"/>
    <w:rsid w:val="00B91146"/>
    <w:rsid w:val="00B913E4"/>
    <w:rsid w:val="00B91DB9"/>
    <w:rsid w:val="00B91FF3"/>
    <w:rsid w:val="00B925F8"/>
    <w:rsid w:val="00B9330A"/>
    <w:rsid w:val="00B93EFE"/>
    <w:rsid w:val="00B944B9"/>
    <w:rsid w:val="00B94956"/>
    <w:rsid w:val="00B94C7F"/>
    <w:rsid w:val="00B94E93"/>
    <w:rsid w:val="00B956B5"/>
    <w:rsid w:val="00B95956"/>
    <w:rsid w:val="00B95ABC"/>
    <w:rsid w:val="00B96DF2"/>
    <w:rsid w:val="00B96E18"/>
    <w:rsid w:val="00B96F5A"/>
    <w:rsid w:val="00B97AF7"/>
    <w:rsid w:val="00BA02CF"/>
    <w:rsid w:val="00BA0A69"/>
    <w:rsid w:val="00BA0B39"/>
    <w:rsid w:val="00BA0CB2"/>
    <w:rsid w:val="00BA0E26"/>
    <w:rsid w:val="00BA138B"/>
    <w:rsid w:val="00BA2471"/>
    <w:rsid w:val="00BA305B"/>
    <w:rsid w:val="00BA31BF"/>
    <w:rsid w:val="00BA3C0F"/>
    <w:rsid w:val="00BA3FC7"/>
    <w:rsid w:val="00BA478B"/>
    <w:rsid w:val="00BA5224"/>
    <w:rsid w:val="00BA575E"/>
    <w:rsid w:val="00BA67B1"/>
    <w:rsid w:val="00BA756D"/>
    <w:rsid w:val="00BA76B7"/>
    <w:rsid w:val="00BA7E3B"/>
    <w:rsid w:val="00BB078D"/>
    <w:rsid w:val="00BB079C"/>
    <w:rsid w:val="00BB0D7A"/>
    <w:rsid w:val="00BB10E1"/>
    <w:rsid w:val="00BB2471"/>
    <w:rsid w:val="00BB3035"/>
    <w:rsid w:val="00BB39C1"/>
    <w:rsid w:val="00BB3DF5"/>
    <w:rsid w:val="00BB3EA7"/>
    <w:rsid w:val="00BB45BC"/>
    <w:rsid w:val="00BB5D16"/>
    <w:rsid w:val="00BB618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577D"/>
    <w:rsid w:val="00BC588C"/>
    <w:rsid w:val="00BC6E73"/>
    <w:rsid w:val="00BC74D3"/>
    <w:rsid w:val="00BC7AC5"/>
    <w:rsid w:val="00BD0014"/>
    <w:rsid w:val="00BD01D8"/>
    <w:rsid w:val="00BD255F"/>
    <w:rsid w:val="00BD2895"/>
    <w:rsid w:val="00BD3194"/>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2260"/>
    <w:rsid w:val="00BE2826"/>
    <w:rsid w:val="00BE2F75"/>
    <w:rsid w:val="00BE3917"/>
    <w:rsid w:val="00BE3D7E"/>
    <w:rsid w:val="00BE4A76"/>
    <w:rsid w:val="00BE4E87"/>
    <w:rsid w:val="00BE50FD"/>
    <w:rsid w:val="00BE51CA"/>
    <w:rsid w:val="00BE537F"/>
    <w:rsid w:val="00BE5D77"/>
    <w:rsid w:val="00BE630A"/>
    <w:rsid w:val="00BE638C"/>
    <w:rsid w:val="00BE6914"/>
    <w:rsid w:val="00BE6D47"/>
    <w:rsid w:val="00BE6F9B"/>
    <w:rsid w:val="00BE6FBF"/>
    <w:rsid w:val="00BE7032"/>
    <w:rsid w:val="00BE7330"/>
    <w:rsid w:val="00BE77A7"/>
    <w:rsid w:val="00BF01C5"/>
    <w:rsid w:val="00BF061A"/>
    <w:rsid w:val="00BF066A"/>
    <w:rsid w:val="00BF14CC"/>
    <w:rsid w:val="00BF1821"/>
    <w:rsid w:val="00BF22E9"/>
    <w:rsid w:val="00BF4342"/>
    <w:rsid w:val="00BF4704"/>
    <w:rsid w:val="00BF4FFC"/>
    <w:rsid w:val="00BF5050"/>
    <w:rsid w:val="00BF50D1"/>
    <w:rsid w:val="00BF5422"/>
    <w:rsid w:val="00BF59B1"/>
    <w:rsid w:val="00BF5C4D"/>
    <w:rsid w:val="00BF6625"/>
    <w:rsid w:val="00BF6A78"/>
    <w:rsid w:val="00BF6A9E"/>
    <w:rsid w:val="00BF7695"/>
    <w:rsid w:val="00BF775D"/>
    <w:rsid w:val="00BF79B4"/>
    <w:rsid w:val="00BF7C61"/>
    <w:rsid w:val="00C00366"/>
    <w:rsid w:val="00C01427"/>
    <w:rsid w:val="00C014C7"/>
    <w:rsid w:val="00C031CF"/>
    <w:rsid w:val="00C047AB"/>
    <w:rsid w:val="00C058AF"/>
    <w:rsid w:val="00C075B6"/>
    <w:rsid w:val="00C10027"/>
    <w:rsid w:val="00C124C1"/>
    <w:rsid w:val="00C128AE"/>
    <w:rsid w:val="00C12BA8"/>
    <w:rsid w:val="00C13094"/>
    <w:rsid w:val="00C136D6"/>
    <w:rsid w:val="00C13D5B"/>
    <w:rsid w:val="00C141D7"/>
    <w:rsid w:val="00C1711B"/>
    <w:rsid w:val="00C17AE2"/>
    <w:rsid w:val="00C20140"/>
    <w:rsid w:val="00C20CD6"/>
    <w:rsid w:val="00C20F27"/>
    <w:rsid w:val="00C213E0"/>
    <w:rsid w:val="00C215CF"/>
    <w:rsid w:val="00C219C3"/>
    <w:rsid w:val="00C21A89"/>
    <w:rsid w:val="00C21C6D"/>
    <w:rsid w:val="00C2244B"/>
    <w:rsid w:val="00C22711"/>
    <w:rsid w:val="00C2280A"/>
    <w:rsid w:val="00C22B0D"/>
    <w:rsid w:val="00C22BFF"/>
    <w:rsid w:val="00C23522"/>
    <w:rsid w:val="00C23581"/>
    <w:rsid w:val="00C23E71"/>
    <w:rsid w:val="00C24015"/>
    <w:rsid w:val="00C240C1"/>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492"/>
    <w:rsid w:val="00C31B7E"/>
    <w:rsid w:val="00C320E8"/>
    <w:rsid w:val="00C322D1"/>
    <w:rsid w:val="00C3242A"/>
    <w:rsid w:val="00C33201"/>
    <w:rsid w:val="00C3328B"/>
    <w:rsid w:val="00C33A39"/>
    <w:rsid w:val="00C33F55"/>
    <w:rsid w:val="00C34619"/>
    <w:rsid w:val="00C348D9"/>
    <w:rsid w:val="00C35D01"/>
    <w:rsid w:val="00C360B3"/>
    <w:rsid w:val="00C36451"/>
    <w:rsid w:val="00C365EA"/>
    <w:rsid w:val="00C367F0"/>
    <w:rsid w:val="00C37027"/>
    <w:rsid w:val="00C373BF"/>
    <w:rsid w:val="00C37B15"/>
    <w:rsid w:val="00C37B19"/>
    <w:rsid w:val="00C41349"/>
    <w:rsid w:val="00C413CB"/>
    <w:rsid w:val="00C41558"/>
    <w:rsid w:val="00C42752"/>
    <w:rsid w:val="00C42973"/>
    <w:rsid w:val="00C43426"/>
    <w:rsid w:val="00C4443A"/>
    <w:rsid w:val="00C4554E"/>
    <w:rsid w:val="00C46A3D"/>
    <w:rsid w:val="00C46B95"/>
    <w:rsid w:val="00C4712A"/>
    <w:rsid w:val="00C5001E"/>
    <w:rsid w:val="00C5034F"/>
    <w:rsid w:val="00C50830"/>
    <w:rsid w:val="00C52479"/>
    <w:rsid w:val="00C5266E"/>
    <w:rsid w:val="00C52C59"/>
    <w:rsid w:val="00C5349E"/>
    <w:rsid w:val="00C539FF"/>
    <w:rsid w:val="00C54215"/>
    <w:rsid w:val="00C544BD"/>
    <w:rsid w:val="00C54D3D"/>
    <w:rsid w:val="00C55A30"/>
    <w:rsid w:val="00C55E1C"/>
    <w:rsid w:val="00C56076"/>
    <w:rsid w:val="00C56384"/>
    <w:rsid w:val="00C567E9"/>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68A1"/>
    <w:rsid w:val="00C67223"/>
    <w:rsid w:val="00C707B8"/>
    <w:rsid w:val="00C712AC"/>
    <w:rsid w:val="00C7158C"/>
    <w:rsid w:val="00C71C15"/>
    <w:rsid w:val="00C71F3D"/>
    <w:rsid w:val="00C72F53"/>
    <w:rsid w:val="00C72FF7"/>
    <w:rsid w:val="00C74035"/>
    <w:rsid w:val="00C748EA"/>
    <w:rsid w:val="00C76FB0"/>
    <w:rsid w:val="00C77818"/>
    <w:rsid w:val="00C8063F"/>
    <w:rsid w:val="00C81282"/>
    <w:rsid w:val="00C8155F"/>
    <w:rsid w:val="00C8198D"/>
    <w:rsid w:val="00C82167"/>
    <w:rsid w:val="00C827B4"/>
    <w:rsid w:val="00C831FE"/>
    <w:rsid w:val="00C83214"/>
    <w:rsid w:val="00C8329F"/>
    <w:rsid w:val="00C84E65"/>
    <w:rsid w:val="00C84F8A"/>
    <w:rsid w:val="00C85BA4"/>
    <w:rsid w:val="00C8618F"/>
    <w:rsid w:val="00C8625D"/>
    <w:rsid w:val="00C865AD"/>
    <w:rsid w:val="00C86612"/>
    <w:rsid w:val="00C87402"/>
    <w:rsid w:val="00C90372"/>
    <w:rsid w:val="00C9041F"/>
    <w:rsid w:val="00C915CA"/>
    <w:rsid w:val="00C9166B"/>
    <w:rsid w:val="00C91945"/>
    <w:rsid w:val="00C91A45"/>
    <w:rsid w:val="00C91BA5"/>
    <w:rsid w:val="00C91FB4"/>
    <w:rsid w:val="00C92150"/>
    <w:rsid w:val="00C92328"/>
    <w:rsid w:val="00C9292F"/>
    <w:rsid w:val="00C92D42"/>
    <w:rsid w:val="00C938C2"/>
    <w:rsid w:val="00C9397B"/>
    <w:rsid w:val="00C93F8A"/>
    <w:rsid w:val="00C94EA1"/>
    <w:rsid w:val="00C95745"/>
    <w:rsid w:val="00C95902"/>
    <w:rsid w:val="00C95999"/>
    <w:rsid w:val="00C962E3"/>
    <w:rsid w:val="00C978E2"/>
    <w:rsid w:val="00C97997"/>
    <w:rsid w:val="00CA10A2"/>
    <w:rsid w:val="00CA1D83"/>
    <w:rsid w:val="00CA1FEB"/>
    <w:rsid w:val="00CA25C0"/>
    <w:rsid w:val="00CA2BFB"/>
    <w:rsid w:val="00CA3451"/>
    <w:rsid w:val="00CA35C6"/>
    <w:rsid w:val="00CA4948"/>
    <w:rsid w:val="00CA52F9"/>
    <w:rsid w:val="00CA5368"/>
    <w:rsid w:val="00CA547B"/>
    <w:rsid w:val="00CA568B"/>
    <w:rsid w:val="00CA573A"/>
    <w:rsid w:val="00CA5C58"/>
    <w:rsid w:val="00CA7656"/>
    <w:rsid w:val="00CA7CA7"/>
    <w:rsid w:val="00CA7FB0"/>
    <w:rsid w:val="00CB0CC1"/>
    <w:rsid w:val="00CB160B"/>
    <w:rsid w:val="00CB19D7"/>
    <w:rsid w:val="00CB19FE"/>
    <w:rsid w:val="00CB1C3F"/>
    <w:rsid w:val="00CB2364"/>
    <w:rsid w:val="00CB2FEE"/>
    <w:rsid w:val="00CB304C"/>
    <w:rsid w:val="00CB3933"/>
    <w:rsid w:val="00CB5010"/>
    <w:rsid w:val="00CB53E8"/>
    <w:rsid w:val="00CB594A"/>
    <w:rsid w:val="00CB5CB2"/>
    <w:rsid w:val="00CB6979"/>
    <w:rsid w:val="00CB7A04"/>
    <w:rsid w:val="00CB7DDE"/>
    <w:rsid w:val="00CC0A3D"/>
    <w:rsid w:val="00CC2FF0"/>
    <w:rsid w:val="00CC313F"/>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C4E"/>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6666"/>
    <w:rsid w:val="00CD72C5"/>
    <w:rsid w:val="00CD79A7"/>
    <w:rsid w:val="00CD7FAD"/>
    <w:rsid w:val="00CE0789"/>
    <w:rsid w:val="00CE0E8D"/>
    <w:rsid w:val="00CE1A03"/>
    <w:rsid w:val="00CE2346"/>
    <w:rsid w:val="00CE25B2"/>
    <w:rsid w:val="00CE3529"/>
    <w:rsid w:val="00CE35C8"/>
    <w:rsid w:val="00CE3962"/>
    <w:rsid w:val="00CE3E57"/>
    <w:rsid w:val="00CE43FA"/>
    <w:rsid w:val="00CE4D0A"/>
    <w:rsid w:val="00CE4D1A"/>
    <w:rsid w:val="00CE4E8A"/>
    <w:rsid w:val="00CE5105"/>
    <w:rsid w:val="00CE5525"/>
    <w:rsid w:val="00CE56BD"/>
    <w:rsid w:val="00CE5EC0"/>
    <w:rsid w:val="00CE68AD"/>
    <w:rsid w:val="00CE6BA5"/>
    <w:rsid w:val="00CE6F15"/>
    <w:rsid w:val="00CE6F9F"/>
    <w:rsid w:val="00CE781A"/>
    <w:rsid w:val="00CE7B08"/>
    <w:rsid w:val="00CE7B7A"/>
    <w:rsid w:val="00CE7D52"/>
    <w:rsid w:val="00CF0AAA"/>
    <w:rsid w:val="00CF0AB7"/>
    <w:rsid w:val="00CF1D74"/>
    <w:rsid w:val="00CF26A3"/>
    <w:rsid w:val="00CF2BE2"/>
    <w:rsid w:val="00CF371A"/>
    <w:rsid w:val="00CF3791"/>
    <w:rsid w:val="00CF37C2"/>
    <w:rsid w:val="00CF3DE4"/>
    <w:rsid w:val="00CF3DEB"/>
    <w:rsid w:val="00CF55F9"/>
    <w:rsid w:val="00CF578D"/>
    <w:rsid w:val="00CF7074"/>
    <w:rsid w:val="00CF7495"/>
    <w:rsid w:val="00CF76D6"/>
    <w:rsid w:val="00D01CF9"/>
    <w:rsid w:val="00D021E8"/>
    <w:rsid w:val="00D0334D"/>
    <w:rsid w:val="00D0374D"/>
    <w:rsid w:val="00D06312"/>
    <w:rsid w:val="00D06D7B"/>
    <w:rsid w:val="00D06DA5"/>
    <w:rsid w:val="00D07191"/>
    <w:rsid w:val="00D07319"/>
    <w:rsid w:val="00D07F1D"/>
    <w:rsid w:val="00D10558"/>
    <w:rsid w:val="00D10EE8"/>
    <w:rsid w:val="00D11140"/>
    <w:rsid w:val="00D11739"/>
    <w:rsid w:val="00D119A6"/>
    <w:rsid w:val="00D11D4D"/>
    <w:rsid w:val="00D11DB1"/>
    <w:rsid w:val="00D126DC"/>
    <w:rsid w:val="00D12B03"/>
    <w:rsid w:val="00D13E70"/>
    <w:rsid w:val="00D13EE7"/>
    <w:rsid w:val="00D147BE"/>
    <w:rsid w:val="00D148A0"/>
    <w:rsid w:val="00D15ECD"/>
    <w:rsid w:val="00D15FCD"/>
    <w:rsid w:val="00D16C58"/>
    <w:rsid w:val="00D17019"/>
    <w:rsid w:val="00D1705A"/>
    <w:rsid w:val="00D17ABA"/>
    <w:rsid w:val="00D17FC8"/>
    <w:rsid w:val="00D2008F"/>
    <w:rsid w:val="00D2015B"/>
    <w:rsid w:val="00D207E7"/>
    <w:rsid w:val="00D20B44"/>
    <w:rsid w:val="00D21168"/>
    <w:rsid w:val="00D21C3A"/>
    <w:rsid w:val="00D2224A"/>
    <w:rsid w:val="00D2385D"/>
    <w:rsid w:val="00D23FF4"/>
    <w:rsid w:val="00D2438C"/>
    <w:rsid w:val="00D2585A"/>
    <w:rsid w:val="00D25920"/>
    <w:rsid w:val="00D259B0"/>
    <w:rsid w:val="00D259C2"/>
    <w:rsid w:val="00D267B6"/>
    <w:rsid w:val="00D26C3F"/>
    <w:rsid w:val="00D27185"/>
    <w:rsid w:val="00D3028A"/>
    <w:rsid w:val="00D30E98"/>
    <w:rsid w:val="00D3125C"/>
    <w:rsid w:val="00D31ACD"/>
    <w:rsid w:val="00D32436"/>
    <w:rsid w:val="00D33488"/>
    <w:rsid w:val="00D33AB3"/>
    <w:rsid w:val="00D33F24"/>
    <w:rsid w:val="00D34160"/>
    <w:rsid w:val="00D346B8"/>
    <w:rsid w:val="00D34DCA"/>
    <w:rsid w:val="00D35AC8"/>
    <w:rsid w:val="00D360A7"/>
    <w:rsid w:val="00D36F87"/>
    <w:rsid w:val="00D37DF9"/>
    <w:rsid w:val="00D37E4E"/>
    <w:rsid w:val="00D40275"/>
    <w:rsid w:val="00D417D8"/>
    <w:rsid w:val="00D41F78"/>
    <w:rsid w:val="00D42ABC"/>
    <w:rsid w:val="00D42E6C"/>
    <w:rsid w:val="00D4351C"/>
    <w:rsid w:val="00D43B80"/>
    <w:rsid w:val="00D44988"/>
    <w:rsid w:val="00D45B4C"/>
    <w:rsid w:val="00D45BA4"/>
    <w:rsid w:val="00D471AF"/>
    <w:rsid w:val="00D471E2"/>
    <w:rsid w:val="00D4724F"/>
    <w:rsid w:val="00D50252"/>
    <w:rsid w:val="00D50519"/>
    <w:rsid w:val="00D50702"/>
    <w:rsid w:val="00D50779"/>
    <w:rsid w:val="00D51191"/>
    <w:rsid w:val="00D51601"/>
    <w:rsid w:val="00D51ECB"/>
    <w:rsid w:val="00D520DE"/>
    <w:rsid w:val="00D5264C"/>
    <w:rsid w:val="00D52BBC"/>
    <w:rsid w:val="00D537FE"/>
    <w:rsid w:val="00D53CC9"/>
    <w:rsid w:val="00D54A6A"/>
    <w:rsid w:val="00D54B8F"/>
    <w:rsid w:val="00D55848"/>
    <w:rsid w:val="00D55951"/>
    <w:rsid w:val="00D559F0"/>
    <w:rsid w:val="00D5650F"/>
    <w:rsid w:val="00D56594"/>
    <w:rsid w:val="00D57EB6"/>
    <w:rsid w:val="00D608C0"/>
    <w:rsid w:val="00D60D6D"/>
    <w:rsid w:val="00D6128C"/>
    <w:rsid w:val="00D63B22"/>
    <w:rsid w:val="00D66009"/>
    <w:rsid w:val="00D66D8B"/>
    <w:rsid w:val="00D671B2"/>
    <w:rsid w:val="00D70849"/>
    <w:rsid w:val="00D70DFA"/>
    <w:rsid w:val="00D72297"/>
    <w:rsid w:val="00D72A1C"/>
    <w:rsid w:val="00D7308F"/>
    <w:rsid w:val="00D7313E"/>
    <w:rsid w:val="00D73396"/>
    <w:rsid w:val="00D73580"/>
    <w:rsid w:val="00D73802"/>
    <w:rsid w:val="00D73883"/>
    <w:rsid w:val="00D73C2C"/>
    <w:rsid w:val="00D73D52"/>
    <w:rsid w:val="00D73E70"/>
    <w:rsid w:val="00D745E7"/>
    <w:rsid w:val="00D75FDA"/>
    <w:rsid w:val="00D774ED"/>
    <w:rsid w:val="00D776AD"/>
    <w:rsid w:val="00D777C3"/>
    <w:rsid w:val="00D7797C"/>
    <w:rsid w:val="00D77C44"/>
    <w:rsid w:val="00D77F88"/>
    <w:rsid w:val="00D8151B"/>
    <w:rsid w:val="00D81AFA"/>
    <w:rsid w:val="00D81EAA"/>
    <w:rsid w:val="00D81FE2"/>
    <w:rsid w:val="00D8259F"/>
    <w:rsid w:val="00D825F2"/>
    <w:rsid w:val="00D8285C"/>
    <w:rsid w:val="00D828B1"/>
    <w:rsid w:val="00D82A55"/>
    <w:rsid w:val="00D8305B"/>
    <w:rsid w:val="00D830F8"/>
    <w:rsid w:val="00D83D49"/>
    <w:rsid w:val="00D84181"/>
    <w:rsid w:val="00D846AD"/>
    <w:rsid w:val="00D84754"/>
    <w:rsid w:val="00D84F27"/>
    <w:rsid w:val="00D8534C"/>
    <w:rsid w:val="00D853F0"/>
    <w:rsid w:val="00D85862"/>
    <w:rsid w:val="00D85892"/>
    <w:rsid w:val="00D86D47"/>
    <w:rsid w:val="00D8710C"/>
    <w:rsid w:val="00D873C6"/>
    <w:rsid w:val="00D87819"/>
    <w:rsid w:val="00D878A3"/>
    <w:rsid w:val="00D9074A"/>
    <w:rsid w:val="00D9099E"/>
    <w:rsid w:val="00D9193A"/>
    <w:rsid w:val="00D91D05"/>
    <w:rsid w:val="00D923B2"/>
    <w:rsid w:val="00D92463"/>
    <w:rsid w:val="00D927B5"/>
    <w:rsid w:val="00D92981"/>
    <w:rsid w:val="00D92C81"/>
    <w:rsid w:val="00D93E64"/>
    <w:rsid w:val="00D93F64"/>
    <w:rsid w:val="00D94B0C"/>
    <w:rsid w:val="00D94CA4"/>
    <w:rsid w:val="00D95E99"/>
    <w:rsid w:val="00D965D5"/>
    <w:rsid w:val="00D96F7C"/>
    <w:rsid w:val="00D9714B"/>
    <w:rsid w:val="00D97DA2"/>
    <w:rsid w:val="00DA0485"/>
    <w:rsid w:val="00DA19AA"/>
    <w:rsid w:val="00DA1A3A"/>
    <w:rsid w:val="00DA1FC3"/>
    <w:rsid w:val="00DA2351"/>
    <w:rsid w:val="00DA249E"/>
    <w:rsid w:val="00DA2D3D"/>
    <w:rsid w:val="00DA35D9"/>
    <w:rsid w:val="00DA3855"/>
    <w:rsid w:val="00DA39BA"/>
    <w:rsid w:val="00DA4C30"/>
    <w:rsid w:val="00DA538E"/>
    <w:rsid w:val="00DA5FB3"/>
    <w:rsid w:val="00DA6980"/>
    <w:rsid w:val="00DA6A44"/>
    <w:rsid w:val="00DA7A3C"/>
    <w:rsid w:val="00DB145E"/>
    <w:rsid w:val="00DB1A94"/>
    <w:rsid w:val="00DB1BE8"/>
    <w:rsid w:val="00DB1D52"/>
    <w:rsid w:val="00DB1E2B"/>
    <w:rsid w:val="00DB1F62"/>
    <w:rsid w:val="00DB21E7"/>
    <w:rsid w:val="00DB2E03"/>
    <w:rsid w:val="00DB3742"/>
    <w:rsid w:val="00DB3C5A"/>
    <w:rsid w:val="00DB3E9B"/>
    <w:rsid w:val="00DB3F4B"/>
    <w:rsid w:val="00DB5375"/>
    <w:rsid w:val="00DB6003"/>
    <w:rsid w:val="00DB6769"/>
    <w:rsid w:val="00DB67C1"/>
    <w:rsid w:val="00DB6C0B"/>
    <w:rsid w:val="00DB70F4"/>
    <w:rsid w:val="00DB748A"/>
    <w:rsid w:val="00DB7CB7"/>
    <w:rsid w:val="00DC1056"/>
    <w:rsid w:val="00DC1442"/>
    <w:rsid w:val="00DC1781"/>
    <w:rsid w:val="00DC21D8"/>
    <w:rsid w:val="00DC282A"/>
    <w:rsid w:val="00DC2DE8"/>
    <w:rsid w:val="00DC34DC"/>
    <w:rsid w:val="00DC3780"/>
    <w:rsid w:val="00DC3ADA"/>
    <w:rsid w:val="00DC3CC6"/>
    <w:rsid w:val="00DC3F55"/>
    <w:rsid w:val="00DC4782"/>
    <w:rsid w:val="00DC4B02"/>
    <w:rsid w:val="00DC514A"/>
    <w:rsid w:val="00DC67B1"/>
    <w:rsid w:val="00DC7FBC"/>
    <w:rsid w:val="00DD0019"/>
    <w:rsid w:val="00DD132B"/>
    <w:rsid w:val="00DD1571"/>
    <w:rsid w:val="00DD1725"/>
    <w:rsid w:val="00DD2159"/>
    <w:rsid w:val="00DD218B"/>
    <w:rsid w:val="00DD28BA"/>
    <w:rsid w:val="00DD2A18"/>
    <w:rsid w:val="00DD3044"/>
    <w:rsid w:val="00DD3985"/>
    <w:rsid w:val="00DD61E8"/>
    <w:rsid w:val="00DD62C0"/>
    <w:rsid w:val="00DD63F8"/>
    <w:rsid w:val="00DD64DE"/>
    <w:rsid w:val="00DD66DE"/>
    <w:rsid w:val="00DD7197"/>
    <w:rsid w:val="00DD7859"/>
    <w:rsid w:val="00DD7B41"/>
    <w:rsid w:val="00DD7F43"/>
    <w:rsid w:val="00DE0784"/>
    <w:rsid w:val="00DE0A1D"/>
    <w:rsid w:val="00DE15B2"/>
    <w:rsid w:val="00DE1A9A"/>
    <w:rsid w:val="00DE22F5"/>
    <w:rsid w:val="00DE3D2C"/>
    <w:rsid w:val="00DE57D0"/>
    <w:rsid w:val="00DE5E82"/>
    <w:rsid w:val="00DE5EC5"/>
    <w:rsid w:val="00DE5FA6"/>
    <w:rsid w:val="00DE6792"/>
    <w:rsid w:val="00DE6AA1"/>
    <w:rsid w:val="00DE77A3"/>
    <w:rsid w:val="00DE7EF7"/>
    <w:rsid w:val="00DF015B"/>
    <w:rsid w:val="00DF02EC"/>
    <w:rsid w:val="00DF10FC"/>
    <w:rsid w:val="00DF1185"/>
    <w:rsid w:val="00DF1299"/>
    <w:rsid w:val="00DF1620"/>
    <w:rsid w:val="00DF1A70"/>
    <w:rsid w:val="00DF1E5F"/>
    <w:rsid w:val="00DF23A8"/>
    <w:rsid w:val="00DF2EE1"/>
    <w:rsid w:val="00DF2F27"/>
    <w:rsid w:val="00DF36B6"/>
    <w:rsid w:val="00DF4296"/>
    <w:rsid w:val="00DF4582"/>
    <w:rsid w:val="00DF5267"/>
    <w:rsid w:val="00DF53F0"/>
    <w:rsid w:val="00DF5700"/>
    <w:rsid w:val="00DF5F38"/>
    <w:rsid w:val="00DF604C"/>
    <w:rsid w:val="00DF6608"/>
    <w:rsid w:val="00DF6CCC"/>
    <w:rsid w:val="00DF6D0C"/>
    <w:rsid w:val="00DF6F64"/>
    <w:rsid w:val="00DF721E"/>
    <w:rsid w:val="00DF72F3"/>
    <w:rsid w:val="00DF7549"/>
    <w:rsid w:val="00DF78D0"/>
    <w:rsid w:val="00DF7B8A"/>
    <w:rsid w:val="00DF7C87"/>
    <w:rsid w:val="00E009B0"/>
    <w:rsid w:val="00E00A12"/>
    <w:rsid w:val="00E00B39"/>
    <w:rsid w:val="00E00C49"/>
    <w:rsid w:val="00E01B9A"/>
    <w:rsid w:val="00E01C9C"/>
    <w:rsid w:val="00E01FF4"/>
    <w:rsid w:val="00E0219D"/>
    <w:rsid w:val="00E032D9"/>
    <w:rsid w:val="00E04482"/>
    <w:rsid w:val="00E04C0F"/>
    <w:rsid w:val="00E05510"/>
    <w:rsid w:val="00E0570B"/>
    <w:rsid w:val="00E05B1D"/>
    <w:rsid w:val="00E05B91"/>
    <w:rsid w:val="00E069C5"/>
    <w:rsid w:val="00E1065D"/>
    <w:rsid w:val="00E10913"/>
    <w:rsid w:val="00E10B87"/>
    <w:rsid w:val="00E121CE"/>
    <w:rsid w:val="00E12209"/>
    <w:rsid w:val="00E144C4"/>
    <w:rsid w:val="00E14585"/>
    <w:rsid w:val="00E1478B"/>
    <w:rsid w:val="00E14FAC"/>
    <w:rsid w:val="00E15007"/>
    <w:rsid w:val="00E15DC6"/>
    <w:rsid w:val="00E16277"/>
    <w:rsid w:val="00E16EC7"/>
    <w:rsid w:val="00E17DCC"/>
    <w:rsid w:val="00E219CE"/>
    <w:rsid w:val="00E21D93"/>
    <w:rsid w:val="00E22A86"/>
    <w:rsid w:val="00E22D2A"/>
    <w:rsid w:val="00E22F39"/>
    <w:rsid w:val="00E24071"/>
    <w:rsid w:val="00E24142"/>
    <w:rsid w:val="00E24DCA"/>
    <w:rsid w:val="00E24EBC"/>
    <w:rsid w:val="00E2522C"/>
    <w:rsid w:val="00E2552F"/>
    <w:rsid w:val="00E2599B"/>
    <w:rsid w:val="00E2710C"/>
    <w:rsid w:val="00E272BD"/>
    <w:rsid w:val="00E27428"/>
    <w:rsid w:val="00E27E58"/>
    <w:rsid w:val="00E305B4"/>
    <w:rsid w:val="00E314CB"/>
    <w:rsid w:val="00E31AFA"/>
    <w:rsid w:val="00E31CB7"/>
    <w:rsid w:val="00E324EE"/>
    <w:rsid w:val="00E3367B"/>
    <w:rsid w:val="00E34DB1"/>
    <w:rsid w:val="00E35339"/>
    <w:rsid w:val="00E35931"/>
    <w:rsid w:val="00E359FF"/>
    <w:rsid w:val="00E36337"/>
    <w:rsid w:val="00E3699A"/>
    <w:rsid w:val="00E371E1"/>
    <w:rsid w:val="00E402C5"/>
    <w:rsid w:val="00E402F4"/>
    <w:rsid w:val="00E405F1"/>
    <w:rsid w:val="00E417DB"/>
    <w:rsid w:val="00E43054"/>
    <w:rsid w:val="00E432D1"/>
    <w:rsid w:val="00E43655"/>
    <w:rsid w:val="00E44440"/>
    <w:rsid w:val="00E44A8B"/>
    <w:rsid w:val="00E45958"/>
    <w:rsid w:val="00E46013"/>
    <w:rsid w:val="00E4673F"/>
    <w:rsid w:val="00E47099"/>
    <w:rsid w:val="00E47284"/>
    <w:rsid w:val="00E477C3"/>
    <w:rsid w:val="00E5017E"/>
    <w:rsid w:val="00E50734"/>
    <w:rsid w:val="00E5140B"/>
    <w:rsid w:val="00E51E16"/>
    <w:rsid w:val="00E52990"/>
    <w:rsid w:val="00E52DED"/>
    <w:rsid w:val="00E53730"/>
    <w:rsid w:val="00E5410A"/>
    <w:rsid w:val="00E5438D"/>
    <w:rsid w:val="00E54511"/>
    <w:rsid w:val="00E54E50"/>
    <w:rsid w:val="00E55288"/>
    <w:rsid w:val="00E57577"/>
    <w:rsid w:val="00E57CDA"/>
    <w:rsid w:val="00E62043"/>
    <w:rsid w:val="00E626B9"/>
    <w:rsid w:val="00E627C9"/>
    <w:rsid w:val="00E630F3"/>
    <w:rsid w:val="00E6332F"/>
    <w:rsid w:val="00E637C9"/>
    <w:rsid w:val="00E6402D"/>
    <w:rsid w:val="00E6680A"/>
    <w:rsid w:val="00E669E3"/>
    <w:rsid w:val="00E66F0D"/>
    <w:rsid w:val="00E66F5F"/>
    <w:rsid w:val="00E67BFA"/>
    <w:rsid w:val="00E7004F"/>
    <w:rsid w:val="00E70615"/>
    <w:rsid w:val="00E7159E"/>
    <w:rsid w:val="00E7161E"/>
    <w:rsid w:val="00E71AAB"/>
    <w:rsid w:val="00E71BE3"/>
    <w:rsid w:val="00E72004"/>
    <w:rsid w:val="00E7207B"/>
    <w:rsid w:val="00E722CF"/>
    <w:rsid w:val="00E72880"/>
    <w:rsid w:val="00E7347A"/>
    <w:rsid w:val="00E75A47"/>
    <w:rsid w:val="00E75BB6"/>
    <w:rsid w:val="00E75D8C"/>
    <w:rsid w:val="00E76E93"/>
    <w:rsid w:val="00E7719C"/>
    <w:rsid w:val="00E7757E"/>
    <w:rsid w:val="00E777F2"/>
    <w:rsid w:val="00E802C9"/>
    <w:rsid w:val="00E80BFB"/>
    <w:rsid w:val="00E80EC2"/>
    <w:rsid w:val="00E80F0A"/>
    <w:rsid w:val="00E81291"/>
    <w:rsid w:val="00E815D4"/>
    <w:rsid w:val="00E818FD"/>
    <w:rsid w:val="00E819BA"/>
    <w:rsid w:val="00E8291B"/>
    <w:rsid w:val="00E82E70"/>
    <w:rsid w:val="00E82F92"/>
    <w:rsid w:val="00E8395F"/>
    <w:rsid w:val="00E83ECB"/>
    <w:rsid w:val="00E8410F"/>
    <w:rsid w:val="00E849D7"/>
    <w:rsid w:val="00E85E41"/>
    <w:rsid w:val="00E85EA1"/>
    <w:rsid w:val="00E86703"/>
    <w:rsid w:val="00E86C01"/>
    <w:rsid w:val="00E900DA"/>
    <w:rsid w:val="00E90496"/>
    <w:rsid w:val="00E91044"/>
    <w:rsid w:val="00E910D3"/>
    <w:rsid w:val="00E91CBA"/>
    <w:rsid w:val="00E92097"/>
    <w:rsid w:val="00E92154"/>
    <w:rsid w:val="00E923CF"/>
    <w:rsid w:val="00E93685"/>
    <w:rsid w:val="00E93B65"/>
    <w:rsid w:val="00E93C8C"/>
    <w:rsid w:val="00E95111"/>
    <w:rsid w:val="00E95FDF"/>
    <w:rsid w:val="00E960AD"/>
    <w:rsid w:val="00E9677F"/>
    <w:rsid w:val="00E96898"/>
    <w:rsid w:val="00E97043"/>
    <w:rsid w:val="00EA0185"/>
    <w:rsid w:val="00EA05B6"/>
    <w:rsid w:val="00EA14C8"/>
    <w:rsid w:val="00EA2110"/>
    <w:rsid w:val="00EA24AF"/>
    <w:rsid w:val="00EA283A"/>
    <w:rsid w:val="00EA2C90"/>
    <w:rsid w:val="00EA2E07"/>
    <w:rsid w:val="00EA383B"/>
    <w:rsid w:val="00EA44ED"/>
    <w:rsid w:val="00EA48F3"/>
    <w:rsid w:val="00EA4D46"/>
    <w:rsid w:val="00EA60BF"/>
    <w:rsid w:val="00EA7365"/>
    <w:rsid w:val="00EA763F"/>
    <w:rsid w:val="00EA77E9"/>
    <w:rsid w:val="00EB02AF"/>
    <w:rsid w:val="00EB05D0"/>
    <w:rsid w:val="00EB1151"/>
    <w:rsid w:val="00EB1D49"/>
    <w:rsid w:val="00EB23D9"/>
    <w:rsid w:val="00EB39A0"/>
    <w:rsid w:val="00EB430A"/>
    <w:rsid w:val="00EB559F"/>
    <w:rsid w:val="00EB566C"/>
    <w:rsid w:val="00EB5A18"/>
    <w:rsid w:val="00EB5F3D"/>
    <w:rsid w:val="00EB6C97"/>
    <w:rsid w:val="00EC0317"/>
    <w:rsid w:val="00EC1CEB"/>
    <w:rsid w:val="00EC1DC0"/>
    <w:rsid w:val="00EC1DC2"/>
    <w:rsid w:val="00EC1E09"/>
    <w:rsid w:val="00EC210E"/>
    <w:rsid w:val="00EC21EC"/>
    <w:rsid w:val="00EC24B8"/>
    <w:rsid w:val="00EC268C"/>
    <w:rsid w:val="00EC3753"/>
    <w:rsid w:val="00EC3FB6"/>
    <w:rsid w:val="00EC4E71"/>
    <w:rsid w:val="00EC5F1C"/>
    <w:rsid w:val="00EC7AEB"/>
    <w:rsid w:val="00ED0365"/>
    <w:rsid w:val="00ED0512"/>
    <w:rsid w:val="00ED0865"/>
    <w:rsid w:val="00ED0C1C"/>
    <w:rsid w:val="00ED1C60"/>
    <w:rsid w:val="00ED2EB9"/>
    <w:rsid w:val="00ED3722"/>
    <w:rsid w:val="00ED3A31"/>
    <w:rsid w:val="00ED3AEF"/>
    <w:rsid w:val="00ED4469"/>
    <w:rsid w:val="00ED5424"/>
    <w:rsid w:val="00ED5F23"/>
    <w:rsid w:val="00ED6DC0"/>
    <w:rsid w:val="00ED7272"/>
    <w:rsid w:val="00ED7A7A"/>
    <w:rsid w:val="00EE0327"/>
    <w:rsid w:val="00EE038C"/>
    <w:rsid w:val="00EE064D"/>
    <w:rsid w:val="00EE105A"/>
    <w:rsid w:val="00EE1D00"/>
    <w:rsid w:val="00EE259E"/>
    <w:rsid w:val="00EE25C8"/>
    <w:rsid w:val="00EE28C5"/>
    <w:rsid w:val="00EE2F09"/>
    <w:rsid w:val="00EE47C5"/>
    <w:rsid w:val="00EE490C"/>
    <w:rsid w:val="00EE4E57"/>
    <w:rsid w:val="00EE5738"/>
    <w:rsid w:val="00EE58BD"/>
    <w:rsid w:val="00EE5DDB"/>
    <w:rsid w:val="00EE5E59"/>
    <w:rsid w:val="00EE5FA9"/>
    <w:rsid w:val="00EE73D0"/>
    <w:rsid w:val="00EE7CB0"/>
    <w:rsid w:val="00EE7CD1"/>
    <w:rsid w:val="00EF08A8"/>
    <w:rsid w:val="00EF167B"/>
    <w:rsid w:val="00EF1C90"/>
    <w:rsid w:val="00EF2496"/>
    <w:rsid w:val="00EF3BFF"/>
    <w:rsid w:val="00EF41A8"/>
    <w:rsid w:val="00EF44FB"/>
    <w:rsid w:val="00EF5122"/>
    <w:rsid w:val="00EF5554"/>
    <w:rsid w:val="00EF5AD8"/>
    <w:rsid w:val="00EF6B90"/>
    <w:rsid w:val="00EF70C9"/>
    <w:rsid w:val="00EF741E"/>
    <w:rsid w:val="00EF7807"/>
    <w:rsid w:val="00EF79F7"/>
    <w:rsid w:val="00F006C0"/>
    <w:rsid w:val="00F0125F"/>
    <w:rsid w:val="00F0176A"/>
    <w:rsid w:val="00F019AA"/>
    <w:rsid w:val="00F0267E"/>
    <w:rsid w:val="00F02686"/>
    <w:rsid w:val="00F030C0"/>
    <w:rsid w:val="00F03291"/>
    <w:rsid w:val="00F03A85"/>
    <w:rsid w:val="00F04052"/>
    <w:rsid w:val="00F04314"/>
    <w:rsid w:val="00F0459B"/>
    <w:rsid w:val="00F04E15"/>
    <w:rsid w:val="00F05DF3"/>
    <w:rsid w:val="00F06829"/>
    <w:rsid w:val="00F069EA"/>
    <w:rsid w:val="00F06A4B"/>
    <w:rsid w:val="00F06A69"/>
    <w:rsid w:val="00F070E5"/>
    <w:rsid w:val="00F07D5E"/>
    <w:rsid w:val="00F07DDE"/>
    <w:rsid w:val="00F10396"/>
    <w:rsid w:val="00F11675"/>
    <w:rsid w:val="00F123DA"/>
    <w:rsid w:val="00F12557"/>
    <w:rsid w:val="00F127C8"/>
    <w:rsid w:val="00F12881"/>
    <w:rsid w:val="00F12C62"/>
    <w:rsid w:val="00F134BA"/>
    <w:rsid w:val="00F13599"/>
    <w:rsid w:val="00F13A71"/>
    <w:rsid w:val="00F13B28"/>
    <w:rsid w:val="00F14DCD"/>
    <w:rsid w:val="00F156A0"/>
    <w:rsid w:val="00F15730"/>
    <w:rsid w:val="00F176A6"/>
    <w:rsid w:val="00F17A24"/>
    <w:rsid w:val="00F202C2"/>
    <w:rsid w:val="00F204B3"/>
    <w:rsid w:val="00F212F6"/>
    <w:rsid w:val="00F2190F"/>
    <w:rsid w:val="00F22756"/>
    <w:rsid w:val="00F23248"/>
    <w:rsid w:val="00F23890"/>
    <w:rsid w:val="00F2504D"/>
    <w:rsid w:val="00F2595D"/>
    <w:rsid w:val="00F25B26"/>
    <w:rsid w:val="00F2637F"/>
    <w:rsid w:val="00F268F7"/>
    <w:rsid w:val="00F30B83"/>
    <w:rsid w:val="00F30BDB"/>
    <w:rsid w:val="00F30CF8"/>
    <w:rsid w:val="00F31402"/>
    <w:rsid w:val="00F318EB"/>
    <w:rsid w:val="00F31EDF"/>
    <w:rsid w:val="00F32507"/>
    <w:rsid w:val="00F32CDE"/>
    <w:rsid w:val="00F32D4C"/>
    <w:rsid w:val="00F3327E"/>
    <w:rsid w:val="00F338C3"/>
    <w:rsid w:val="00F34B14"/>
    <w:rsid w:val="00F34CF1"/>
    <w:rsid w:val="00F34E35"/>
    <w:rsid w:val="00F34F58"/>
    <w:rsid w:val="00F3572F"/>
    <w:rsid w:val="00F35DA7"/>
    <w:rsid w:val="00F361BD"/>
    <w:rsid w:val="00F36A6A"/>
    <w:rsid w:val="00F40101"/>
    <w:rsid w:val="00F404F7"/>
    <w:rsid w:val="00F40CCA"/>
    <w:rsid w:val="00F41E02"/>
    <w:rsid w:val="00F42AA4"/>
    <w:rsid w:val="00F42D97"/>
    <w:rsid w:val="00F42F0E"/>
    <w:rsid w:val="00F42FCF"/>
    <w:rsid w:val="00F436B2"/>
    <w:rsid w:val="00F43813"/>
    <w:rsid w:val="00F43FEE"/>
    <w:rsid w:val="00F440B0"/>
    <w:rsid w:val="00F44114"/>
    <w:rsid w:val="00F4492F"/>
    <w:rsid w:val="00F45030"/>
    <w:rsid w:val="00F45A72"/>
    <w:rsid w:val="00F46723"/>
    <w:rsid w:val="00F4706D"/>
    <w:rsid w:val="00F47309"/>
    <w:rsid w:val="00F476E1"/>
    <w:rsid w:val="00F47855"/>
    <w:rsid w:val="00F47D1D"/>
    <w:rsid w:val="00F47F29"/>
    <w:rsid w:val="00F50016"/>
    <w:rsid w:val="00F5118A"/>
    <w:rsid w:val="00F51A21"/>
    <w:rsid w:val="00F51A35"/>
    <w:rsid w:val="00F523B9"/>
    <w:rsid w:val="00F52614"/>
    <w:rsid w:val="00F5276E"/>
    <w:rsid w:val="00F52E9F"/>
    <w:rsid w:val="00F532B2"/>
    <w:rsid w:val="00F53304"/>
    <w:rsid w:val="00F53B81"/>
    <w:rsid w:val="00F53C15"/>
    <w:rsid w:val="00F540FE"/>
    <w:rsid w:val="00F5459A"/>
    <w:rsid w:val="00F556FF"/>
    <w:rsid w:val="00F55D12"/>
    <w:rsid w:val="00F5687F"/>
    <w:rsid w:val="00F56D3F"/>
    <w:rsid w:val="00F575C7"/>
    <w:rsid w:val="00F57CC1"/>
    <w:rsid w:val="00F57DF7"/>
    <w:rsid w:val="00F57FD0"/>
    <w:rsid w:val="00F60305"/>
    <w:rsid w:val="00F61B12"/>
    <w:rsid w:val="00F61C70"/>
    <w:rsid w:val="00F627D8"/>
    <w:rsid w:val="00F62869"/>
    <w:rsid w:val="00F62B43"/>
    <w:rsid w:val="00F62ED4"/>
    <w:rsid w:val="00F63264"/>
    <w:rsid w:val="00F634E4"/>
    <w:rsid w:val="00F6379E"/>
    <w:rsid w:val="00F64047"/>
    <w:rsid w:val="00F65171"/>
    <w:rsid w:val="00F6533A"/>
    <w:rsid w:val="00F6560D"/>
    <w:rsid w:val="00F669BD"/>
    <w:rsid w:val="00F67844"/>
    <w:rsid w:val="00F67B09"/>
    <w:rsid w:val="00F705F6"/>
    <w:rsid w:val="00F70795"/>
    <w:rsid w:val="00F70799"/>
    <w:rsid w:val="00F70A8B"/>
    <w:rsid w:val="00F70B8D"/>
    <w:rsid w:val="00F71936"/>
    <w:rsid w:val="00F71F81"/>
    <w:rsid w:val="00F724FB"/>
    <w:rsid w:val="00F726B8"/>
    <w:rsid w:val="00F72A26"/>
    <w:rsid w:val="00F733C3"/>
    <w:rsid w:val="00F73E15"/>
    <w:rsid w:val="00F746A1"/>
    <w:rsid w:val="00F74820"/>
    <w:rsid w:val="00F7506D"/>
    <w:rsid w:val="00F755DD"/>
    <w:rsid w:val="00F756DD"/>
    <w:rsid w:val="00F77F4E"/>
    <w:rsid w:val="00F80047"/>
    <w:rsid w:val="00F800C7"/>
    <w:rsid w:val="00F80361"/>
    <w:rsid w:val="00F8104D"/>
    <w:rsid w:val="00F8153F"/>
    <w:rsid w:val="00F81587"/>
    <w:rsid w:val="00F819DE"/>
    <w:rsid w:val="00F81B2A"/>
    <w:rsid w:val="00F81C12"/>
    <w:rsid w:val="00F82053"/>
    <w:rsid w:val="00F825C4"/>
    <w:rsid w:val="00F8263C"/>
    <w:rsid w:val="00F8288F"/>
    <w:rsid w:val="00F8376E"/>
    <w:rsid w:val="00F83C52"/>
    <w:rsid w:val="00F840EC"/>
    <w:rsid w:val="00F84802"/>
    <w:rsid w:val="00F84B25"/>
    <w:rsid w:val="00F85B72"/>
    <w:rsid w:val="00F86540"/>
    <w:rsid w:val="00F865CE"/>
    <w:rsid w:val="00F8766F"/>
    <w:rsid w:val="00F901B3"/>
    <w:rsid w:val="00F90282"/>
    <w:rsid w:val="00F90BC8"/>
    <w:rsid w:val="00F91082"/>
    <w:rsid w:val="00F9116D"/>
    <w:rsid w:val="00F91171"/>
    <w:rsid w:val="00F91342"/>
    <w:rsid w:val="00F917F3"/>
    <w:rsid w:val="00F91A9A"/>
    <w:rsid w:val="00F923AF"/>
    <w:rsid w:val="00F92634"/>
    <w:rsid w:val="00F933F3"/>
    <w:rsid w:val="00F93ABB"/>
    <w:rsid w:val="00F94D79"/>
    <w:rsid w:val="00F9658C"/>
    <w:rsid w:val="00F96EEB"/>
    <w:rsid w:val="00F97A7F"/>
    <w:rsid w:val="00F97CD0"/>
    <w:rsid w:val="00F97D7A"/>
    <w:rsid w:val="00FA0889"/>
    <w:rsid w:val="00FA16E7"/>
    <w:rsid w:val="00FA31C7"/>
    <w:rsid w:val="00FA472D"/>
    <w:rsid w:val="00FA4E96"/>
    <w:rsid w:val="00FA5A92"/>
    <w:rsid w:val="00FA681F"/>
    <w:rsid w:val="00FB0261"/>
    <w:rsid w:val="00FB0CBF"/>
    <w:rsid w:val="00FB18F6"/>
    <w:rsid w:val="00FB2A52"/>
    <w:rsid w:val="00FB3961"/>
    <w:rsid w:val="00FB39E0"/>
    <w:rsid w:val="00FB3F92"/>
    <w:rsid w:val="00FB52C7"/>
    <w:rsid w:val="00FB57DC"/>
    <w:rsid w:val="00FB5915"/>
    <w:rsid w:val="00FB6E19"/>
    <w:rsid w:val="00FB71F6"/>
    <w:rsid w:val="00FB74F1"/>
    <w:rsid w:val="00FC056A"/>
    <w:rsid w:val="00FC0670"/>
    <w:rsid w:val="00FC07AF"/>
    <w:rsid w:val="00FC0AF8"/>
    <w:rsid w:val="00FC0B69"/>
    <w:rsid w:val="00FC1055"/>
    <w:rsid w:val="00FC1238"/>
    <w:rsid w:val="00FC1483"/>
    <w:rsid w:val="00FC1BEF"/>
    <w:rsid w:val="00FC1C47"/>
    <w:rsid w:val="00FC2869"/>
    <w:rsid w:val="00FC2F9E"/>
    <w:rsid w:val="00FC3102"/>
    <w:rsid w:val="00FC3848"/>
    <w:rsid w:val="00FC39ED"/>
    <w:rsid w:val="00FC3D40"/>
    <w:rsid w:val="00FC4419"/>
    <w:rsid w:val="00FC47E2"/>
    <w:rsid w:val="00FC4AA5"/>
    <w:rsid w:val="00FC4B88"/>
    <w:rsid w:val="00FC4BB8"/>
    <w:rsid w:val="00FC5148"/>
    <w:rsid w:val="00FC6524"/>
    <w:rsid w:val="00FC6B58"/>
    <w:rsid w:val="00FC711D"/>
    <w:rsid w:val="00FC75AC"/>
    <w:rsid w:val="00FC7984"/>
    <w:rsid w:val="00FD01BF"/>
    <w:rsid w:val="00FD0525"/>
    <w:rsid w:val="00FD0AB7"/>
    <w:rsid w:val="00FD297D"/>
    <w:rsid w:val="00FD2D13"/>
    <w:rsid w:val="00FD33EA"/>
    <w:rsid w:val="00FD374D"/>
    <w:rsid w:val="00FD4D2A"/>
    <w:rsid w:val="00FD6071"/>
    <w:rsid w:val="00FD633B"/>
    <w:rsid w:val="00FD66ED"/>
    <w:rsid w:val="00FD6ABA"/>
    <w:rsid w:val="00FE0794"/>
    <w:rsid w:val="00FE1041"/>
    <w:rsid w:val="00FE1614"/>
    <w:rsid w:val="00FE24CB"/>
    <w:rsid w:val="00FE25B1"/>
    <w:rsid w:val="00FE323F"/>
    <w:rsid w:val="00FE3473"/>
    <w:rsid w:val="00FE4049"/>
    <w:rsid w:val="00FE4794"/>
    <w:rsid w:val="00FE480F"/>
    <w:rsid w:val="00FE4998"/>
    <w:rsid w:val="00FE5382"/>
    <w:rsid w:val="00FE57DE"/>
    <w:rsid w:val="00FE719F"/>
    <w:rsid w:val="00FE7A68"/>
    <w:rsid w:val="00FF0231"/>
    <w:rsid w:val="00FF056D"/>
    <w:rsid w:val="00FF1C9B"/>
    <w:rsid w:val="00FF1D49"/>
    <w:rsid w:val="00FF203B"/>
    <w:rsid w:val="00FF2562"/>
    <w:rsid w:val="00FF3A41"/>
    <w:rsid w:val="00FF3E5B"/>
    <w:rsid w:val="00FF5183"/>
    <w:rsid w:val="00FF57E4"/>
    <w:rsid w:val="00FF5E26"/>
    <w:rsid w:val="00FF5ECD"/>
    <w:rsid w:val="00FF6149"/>
    <w:rsid w:val="00FF78E5"/>
    <w:rsid w:val="012C5FAF"/>
    <w:rsid w:val="016B5F35"/>
    <w:rsid w:val="01AF3D99"/>
    <w:rsid w:val="021F4265"/>
    <w:rsid w:val="02511F9D"/>
    <w:rsid w:val="03A314B8"/>
    <w:rsid w:val="03D82B98"/>
    <w:rsid w:val="03F83E8B"/>
    <w:rsid w:val="04C2490E"/>
    <w:rsid w:val="04FE20AB"/>
    <w:rsid w:val="05633A9B"/>
    <w:rsid w:val="0581355B"/>
    <w:rsid w:val="05A97B5B"/>
    <w:rsid w:val="05AC4062"/>
    <w:rsid w:val="05B74B23"/>
    <w:rsid w:val="05C56868"/>
    <w:rsid w:val="05E80E12"/>
    <w:rsid w:val="06DA1FF4"/>
    <w:rsid w:val="070F07DE"/>
    <w:rsid w:val="07A539BD"/>
    <w:rsid w:val="07B72767"/>
    <w:rsid w:val="08077E72"/>
    <w:rsid w:val="083E6C90"/>
    <w:rsid w:val="08882DD0"/>
    <w:rsid w:val="091D4D2D"/>
    <w:rsid w:val="09263E2D"/>
    <w:rsid w:val="09CC2AAC"/>
    <w:rsid w:val="0A563076"/>
    <w:rsid w:val="0A652D3E"/>
    <w:rsid w:val="0AE55920"/>
    <w:rsid w:val="0B2621C1"/>
    <w:rsid w:val="0B326F2A"/>
    <w:rsid w:val="0BA7CADB"/>
    <w:rsid w:val="0BC1638D"/>
    <w:rsid w:val="0C1E2888"/>
    <w:rsid w:val="0C404CB0"/>
    <w:rsid w:val="0C6A432F"/>
    <w:rsid w:val="0C92213C"/>
    <w:rsid w:val="0CC2027E"/>
    <w:rsid w:val="0D84032B"/>
    <w:rsid w:val="0E4A09D7"/>
    <w:rsid w:val="0F2A74C4"/>
    <w:rsid w:val="0F437B1F"/>
    <w:rsid w:val="10A27F31"/>
    <w:rsid w:val="10C51715"/>
    <w:rsid w:val="10F96715"/>
    <w:rsid w:val="11927058"/>
    <w:rsid w:val="120E171E"/>
    <w:rsid w:val="12575356"/>
    <w:rsid w:val="1274518F"/>
    <w:rsid w:val="129A7987"/>
    <w:rsid w:val="12E04390"/>
    <w:rsid w:val="130C25E4"/>
    <w:rsid w:val="13AF4F03"/>
    <w:rsid w:val="14736E66"/>
    <w:rsid w:val="147F458F"/>
    <w:rsid w:val="152D26FB"/>
    <w:rsid w:val="1534169A"/>
    <w:rsid w:val="15C03E03"/>
    <w:rsid w:val="162A25EB"/>
    <w:rsid w:val="16315F4D"/>
    <w:rsid w:val="16735895"/>
    <w:rsid w:val="16BF1E6B"/>
    <w:rsid w:val="16C31D8E"/>
    <w:rsid w:val="16FD2A55"/>
    <w:rsid w:val="17067C1A"/>
    <w:rsid w:val="17366761"/>
    <w:rsid w:val="177C01F0"/>
    <w:rsid w:val="179E3EFA"/>
    <w:rsid w:val="17AC14CE"/>
    <w:rsid w:val="17BD20FF"/>
    <w:rsid w:val="17CE6630"/>
    <w:rsid w:val="17D002B7"/>
    <w:rsid w:val="18F4271B"/>
    <w:rsid w:val="192D3112"/>
    <w:rsid w:val="19305FBC"/>
    <w:rsid w:val="19AA220F"/>
    <w:rsid w:val="19CB3F93"/>
    <w:rsid w:val="1A624FD8"/>
    <w:rsid w:val="1AE6663D"/>
    <w:rsid w:val="1AFF0AFE"/>
    <w:rsid w:val="1B4F19F8"/>
    <w:rsid w:val="1B7B5A92"/>
    <w:rsid w:val="1BAA4D27"/>
    <w:rsid w:val="1BFB2816"/>
    <w:rsid w:val="1CE30808"/>
    <w:rsid w:val="1D063C00"/>
    <w:rsid w:val="1D2E3157"/>
    <w:rsid w:val="1D660B43"/>
    <w:rsid w:val="1ECC44FA"/>
    <w:rsid w:val="1F063325"/>
    <w:rsid w:val="1F100D66"/>
    <w:rsid w:val="1FBC5DF5"/>
    <w:rsid w:val="1FF90588"/>
    <w:rsid w:val="202F7912"/>
    <w:rsid w:val="205B0707"/>
    <w:rsid w:val="208F07C2"/>
    <w:rsid w:val="209054C4"/>
    <w:rsid w:val="20C3623F"/>
    <w:rsid w:val="21254CE9"/>
    <w:rsid w:val="21781212"/>
    <w:rsid w:val="21991D34"/>
    <w:rsid w:val="21B83F86"/>
    <w:rsid w:val="21FC059F"/>
    <w:rsid w:val="221178A8"/>
    <w:rsid w:val="221213CF"/>
    <w:rsid w:val="22327A92"/>
    <w:rsid w:val="225A1179"/>
    <w:rsid w:val="231D53A2"/>
    <w:rsid w:val="236D5383"/>
    <w:rsid w:val="239669EF"/>
    <w:rsid w:val="239B0BC4"/>
    <w:rsid w:val="23B7504C"/>
    <w:rsid w:val="23CE5BB3"/>
    <w:rsid w:val="24571307"/>
    <w:rsid w:val="24AF5C78"/>
    <w:rsid w:val="24FF0599"/>
    <w:rsid w:val="2508087C"/>
    <w:rsid w:val="25110A2A"/>
    <w:rsid w:val="256C0944"/>
    <w:rsid w:val="257F3772"/>
    <w:rsid w:val="25912670"/>
    <w:rsid w:val="25932BEF"/>
    <w:rsid w:val="25CC2570"/>
    <w:rsid w:val="26446DE3"/>
    <w:rsid w:val="26877DFE"/>
    <w:rsid w:val="269669E7"/>
    <w:rsid w:val="26A270C1"/>
    <w:rsid w:val="26A86F43"/>
    <w:rsid w:val="26D7699F"/>
    <w:rsid w:val="276437CB"/>
    <w:rsid w:val="280800B8"/>
    <w:rsid w:val="28253E9F"/>
    <w:rsid w:val="28634ED8"/>
    <w:rsid w:val="2874680A"/>
    <w:rsid w:val="28C25934"/>
    <w:rsid w:val="28DD05EF"/>
    <w:rsid w:val="291E33D7"/>
    <w:rsid w:val="292A62B1"/>
    <w:rsid w:val="2974543F"/>
    <w:rsid w:val="299A1CC3"/>
    <w:rsid w:val="29D75F7F"/>
    <w:rsid w:val="29FF65A7"/>
    <w:rsid w:val="2A026B3E"/>
    <w:rsid w:val="2B5C6B16"/>
    <w:rsid w:val="2B724B56"/>
    <w:rsid w:val="2B774624"/>
    <w:rsid w:val="2B7D59D5"/>
    <w:rsid w:val="2C571C81"/>
    <w:rsid w:val="2C7A72BE"/>
    <w:rsid w:val="2C954FA0"/>
    <w:rsid w:val="2C9A7D75"/>
    <w:rsid w:val="2CAD4B2B"/>
    <w:rsid w:val="2CB76337"/>
    <w:rsid w:val="2CBC42DB"/>
    <w:rsid w:val="2CC17412"/>
    <w:rsid w:val="2D7C1E99"/>
    <w:rsid w:val="2D962D7E"/>
    <w:rsid w:val="2DEF4571"/>
    <w:rsid w:val="2E9976CE"/>
    <w:rsid w:val="2EF01DEE"/>
    <w:rsid w:val="2EF901D3"/>
    <w:rsid w:val="2F401D3C"/>
    <w:rsid w:val="2F5B24E1"/>
    <w:rsid w:val="2F5D7E64"/>
    <w:rsid w:val="2FA95C88"/>
    <w:rsid w:val="2FEA66EB"/>
    <w:rsid w:val="302A2B95"/>
    <w:rsid w:val="3041370F"/>
    <w:rsid w:val="3061743C"/>
    <w:rsid w:val="30A7764F"/>
    <w:rsid w:val="30B87FED"/>
    <w:rsid w:val="311E41F7"/>
    <w:rsid w:val="312B50A3"/>
    <w:rsid w:val="31894FD2"/>
    <w:rsid w:val="322C3CB1"/>
    <w:rsid w:val="32453A27"/>
    <w:rsid w:val="325B21C0"/>
    <w:rsid w:val="3263064A"/>
    <w:rsid w:val="32A43132"/>
    <w:rsid w:val="32AC0C06"/>
    <w:rsid w:val="33344EF5"/>
    <w:rsid w:val="33FFB707"/>
    <w:rsid w:val="34637732"/>
    <w:rsid w:val="34761214"/>
    <w:rsid w:val="34CC52D7"/>
    <w:rsid w:val="350027AC"/>
    <w:rsid w:val="35105C34"/>
    <w:rsid w:val="3537750C"/>
    <w:rsid w:val="3537798C"/>
    <w:rsid w:val="35C13FC9"/>
    <w:rsid w:val="361E0E67"/>
    <w:rsid w:val="36372B05"/>
    <w:rsid w:val="364257B6"/>
    <w:rsid w:val="364A6C5E"/>
    <w:rsid w:val="36CA03D1"/>
    <w:rsid w:val="37420A57"/>
    <w:rsid w:val="377FC262"/>
    <w:rsid w:val="37EA5922"/>
    <w:rsid w:val="38276B93"/>
    <w:rsid w:val="382E58B8"/>
    <w:rsid w:val="38AC3431"/>
    <w:rsid w:val="38AE2A5D"/>
    <w:rsid w:val="38EA6674"/>
    <w:rsid w:val="392F2E16"/>
    <w:rsid w:val="39504B78"/>
    <w:rsid w:val="39D39968"/>
    <w:rsid w:val="39E00529"/>
    <w:rsid w:val="3A0B64A7"/>
    <w:rsid w:val="3A257964"/>
    <w:rsid w:val="3A574DDA"/>
    <w:rsid w:val="3AD3075A"/>
    <w:rsid w:val="3AF74C02"/>
    <w:rsid w:val="3BA20EDC"/>
    <w:rsid w:val="3BF524EA"/>
    <w:rsid w:val="3BFAD838"/>
    <w:rsid w:val="3C0059A5"/>
    <w:rsid w:val="3C134E78"/>
    <w:rsid w:val="3C44609B"/>
    <w:rsid w:val="3CA408E8"/>
    <w:rsid w:val="3CD81685"/>
    <w:rsid w:val="3D332398"/>
    <w:rsid w:val="3D430B38"/>
    <w:rsid w:val="3D4F4CF8"/>
    <w:rsid w:val="3D67DC54"/>
    <w:rsid w:val="3D884991"/>
    <w:rsid w:val="3DF6345D"/>
    <w:rsid w:val="3DFE43A8"/>
    <w:rsid w:val="3E2B5515"/>
    <w:rsid w:val="3E2D5039"/>
    <w:rsid w:val="3E4D4F28"/>
    <w:rsid w:val="3E686E06"/>
    <w:rsid w:val="3E7A617F"/>
    <w:rsid w:val="3ED74DCE"/>
    <w:rsid w:val="3ED92EC4"/>
    <w:rsid w:val="3EE13701"/>
    <w:rsid w:val="3EFFA070"/>
    <w:rsid w:val="3F1A4BB3"/>
    <w:rsid w:val="3F79532B"/>
    <w:rsid w:val="400D1059"/>
    <w:rsid w:val="40192BA6"/>
    <w:rsid w:val="40B519EB"/>
    <w:rsid w:val="40C31C84"/>
    <w:rsid w:val="41766EA9"/>
    <w:rsid w:val="41D87D22"/>
    <w:rsid w:val="41F932C8"/>
    <w:rsid w:val="424D6701"/>
    <w:rsid w:val="42550A18"/>
    <w:rsid w:val="429D496A"/>
    <w:rsid w:val="42F473A1"/>
    <w:rsid w:val="433B5DD3"/>
    <w:rsid w:val="437217EA"/>
    <w:rsid w:val="43925BE2"/>
    <w:rsid w:val="43AB7156"/>
    <w:rsid w:val="43CA722C"/>
    <w:rsid w:val="43CF385A"/>
    <w:rsid w:val="441009D8"/>
    <w:rsid w:val="441E62C0"/>
    <w:rsid w:val="44C60D05"/>
    <w:rsid w:val="45270809"/>
    <w:rsid w:val="45325D14"/>
    <w:rsid w:val="45811C7C"/>
    <w:rsid w:val="45906116"/>
    <w:rsid w:val="45931B8C"/>
    <w:rsid w:val="45AC635D"/>
    <w:rsid w:val="45EF2552"/>
    <w:rsid w:val="468B3EFB"/>
    <w:rsid w:val="46A809A0"/>
    <w:rsid w:val="46D438C0"/>
    <w:rsid w:val="470248DE"/>
    <w:rsid w:val="470A6193"/>
    <w:rsid w:val="47385210"/>
    <w:rsid w:val="475510F8"/>
    <w:rsid w:val="477527D8"/>
    <w:rsid w:val="47AE0793"/>
    <w:rsid w:val="47C233CC"/>
    <w:rsid w:val="47DC4F5C"/>
    <w:rsid w:val="4832149E"/>
    <w:rsid w:val="484B03E1"/>
    <w:rsid w:val="488322E7"/>
    <w:rsid w:val="48B30830"/>
    <w:rsid w:val="48B40671"/>
    <w:rsid w:val="48E01E61"/>
    <w:rsid w:val="494B0A69"/>
    <w:rsid w:val="499B5738"/>
    <w:rsid w:val="499F244D"/>
    <w:rsid w:val="49CC4E4A"/>
    <w:rsid w:val="4A973F3F"/>
    <w:rsid w:val="4AEB2504"/>
    <w:rsid w:val="4AF96BC7"/>
    <w:rsid w:val="4B862A85"/>
    <w:rsid w:val="4BA32DDE"/>
    <w:rsid w:val="4BC845F3"/>
    <w:rsid w:val="4BFA28A4"/>
    <w:rsid w:val="4C184159"/>
    <w:rsid w:val="4CEF36E2"/>
    <w:rsid w:val="4CEF4DC5"/>
    <w:rsid w:val="4D461C73"/>
    <w:rsid w:val="4DCFB903"/>
    <w:rsid w:val="4E23259A"/>
    <w:rsid w:val="4E257655"/>
    <w:rsid w:val="4EFA7D8D"/>
    <w:rsid w:val="4F1E5CCF"/>
    <w:rsid w:val="4F2D68F4"/>
    <w:rsid w:val="4F372380"/>
    <w:rsid w:val="4F372FFB"/>
    <w:rsid w:val="4FF6A7A1"/>
    <w:rsid w:val="5025116D"/>
    <w:rsid w:val="51452242"/>
    <w:rsid w:val="523107E7"/>
    <w:rsid w:val="52344790"/>
    <w:rsid w:val="52395ECD"/>
    <w:rsid w:val="524B066C"/>
    <w:rsid w:val="524B210A"/>
    <w:rsid w:val="52817D5B"/>
    <w:rsid w:val="52C10D75"/>
    <w:rsid w:val="52F26CA4"/>
    <w:rsid w:val="52F862C4"/>
    <w:rsid w:val="53675CCF"/>
    <w:rsid w:val="53C27FF8"/>
    <w:rsid w:val="5436600E"/>
    <w:rsid w:val="543F566E"/>
    <w:rsid w:val="546936AC"/>
    <w:rsid w:val="54716287"/>
    <w:rsid w:val="54806794"/>
    <w:rsid w:val="548D4E7A"/>
    <w:rsid w:val="549E1A80"/>
    <w:rsid w:val="54C658F4"/>
    <w:rsid w:val="54E15312"/>
    <w:rsid w:val="54E35FFA"/>
    <w:rsid w:val="550C4BD7"/>
    <w:rsid w:val="554C1D56"/>
    <w:rsid w:val="55572986"/>
    <w:rsid w:val="557A2A35"/>
    <w:rsid w:val="55AC6D33"/>
    <w:rsid w:val="55BB7B39"/>
    <w:rsid w:val="565340FA"/>
    <w:rsid w:val="56AD5F59"/>
    <w:rsid w:val="56C60774"/>
    <w:rsid w:val="56CD51B3"/>
    <w:rsid w:val="579D0DCB"/>
    <w:rsid w:val="57AB1DC1"/>
    <w:rsid w:val="57AF0AE8"/>
    <w:rsid w:val="57B12A52"/>
    <w:rsid w:val="57BB5151"/>
    <w:rsid w:val="57EF62EE"/>
    <w:rsid w:val="58CF47FC"/>
    <w:rsid w:val="59E309EE"/>
    <w:rsid w:val="5A2F2CC8"/>
    <w:rsid w:val="5ABB05D6"/>
    <w:rsid w:val="5AD0219C"/>
    <w:rsid w:val="5B48305A"/>
    <w:rsid w:val="5B8D079B"/>
    <w:rsid w:val="5C10702D"/>
    <w:rsid w:val="5C152601"/>
    <w:rsid w:val="5C4952DC"/>
    <w:rsid w:val="5C591F03"/>
    <w:rsid w:val="5C8A1B2F"/>
    <w:rsid w:val="5CDE240E"/>
    <w:rsid w:val="5D1A1C92"/>
    <w:rsid w:val="5DCD16F4"/>
    <w:rsid w:val="5EB92810"/>
    <w:rsid w:val="5EE27322"/>
    <w:rsid w:val="5EFB5346"/>
    <w:rsid w:val="5F561B72"/>
    <w:rsid w:val="5F776E18"/>
    <w:rsid w:val="5F911DAE"/>
    <w:rsid w:val="5FAA6092"/>
    <w:rsid w:val="5FB524FA"/>
    <w:rsid w:val="601B4AB2"/>
    <w:rsid w:val="60452CD4"/>
    <w:rsid w:val="606007BB"/>
    <w:rsid w:val="60AC7F66"/>
    <w:rsid w:val="60E11843"/>
    <w:rsid w:val="61477910"/>
    <w:rsid w:val="61BF10D9"/>
    <w:rsid w:val="62AC22DC"/>
    <w:rsid w:val="62AE66F6"/>
    <w:rsid w:val="636C099A"/>
    <w:rsid w:val="63740266"/>
    <w:rsid w:val="63A22BFD"/>
    <w:rsid w:val="642B10E5"/>
    <w:rsid w:val="64860269"/>
    <w:rsid w:val="64E06C14"/>
    <w:rsid w:val="64E45EF7"/>
    <w:rsid w:val="650A3B2D"/>
    <w:rsid w:val="65986A82"/>
    <w:rsid w:val="66061B48"/>
    <w:rsid w:val="6691014E"/>
    <w:rsid w:val="66C87CCE"/>
    <w:rsid w:val="677435B2"/>
    <w:rsid w:val="67B13EAA"/>
    <w:rsid w:val="67DF53C7"/>
    <w:rsid w:val="67EF75F1"/>
    <w:rsid w:val="680074AC"/>
    <w:rsid w:val="68096EE4"/>
    <w:rsid w:val="684F4F11"/>
    <w:rsid w:val="6896419C"/>
    <w:rsid w:val="68F16ADF"/>
    <w:rsid w:val="6911747E"/>
    <w:rsid w:val="69124F16"/>
    <w:rsid w:val="691E189E"/>
    <w:rsid w:val="69863E30"/>
    <w:rsid w:val="698E07D2"/>
    <w:rsid w:val="69CD5C14"/>
    <w:rsid w:val="69CF0D33"/>
    <w:rsid w:val="6A242376"/>
    <w:rsid w:val="6B5477F9"/>
    <w:rsid w:val="6B9946B3"/>
    <w:rsid w:val="6BBE3229"/>
    <w:rsid w:val="6BCC7390"/>
    <w:rsid w:val="6BE518DA"/>
    <w:rsid w:val="6BF07522"/>
    <w:rsid w:val="6C276F3A"/>
    <w:rsid w:val="6C7007C7"/>
    <w:rsid w:val="6D700C9E"/>
    <w:rsid w:val="6DBD2F26"/>
    <w:rsid w:val="6DE76850"/>
    <w:rsid w:val="6E060D1C"/>
    <w:rsid w:val="6F2F0361"/>
    <w:rsid w:val="6F972386"/>
    <w:rsid w:val="6FB20BD4"/>
    <w:rsid w:val="6FBA59BE"/>
    <w:rsid w:val="6FF92664"/>
    <w:rsid w:val="70296B3E"/>
    <w:rsid w:val="70611204"/>
    <w:rsid w:val="70E16A8C"/>
    <w:rsid w:val="7165620F"/>
    <w:rsid w:val="717039F8"/>
    <w:rsid w:val="721D4AB2"/>
    <w:rsid w:val="72297D6C"/>
    <w:rsid w:val="73046753"/>
    <w:rsid w:val="7306045A"/>
    <w:rsid w:val="734B14E2"/>
    <w:rsid w:val="73C6500C"/>
    <w:rsid w:val="73E62FB9"/>
    <w:rsid w:val="73FB30D7"/>
    <w:rsid w:val="74073D48"/>
    <w:rsid w:val="74D13AD5"/>
    <w:rsid w:val="74F26FF9"/>
    <w:rsid w:val="74FA2C30"/>
    <w:rsid w:val="754D5C4B"/>
    <w:rsid w:val="7553238B"/>
    <w:rsid w:val="75731C99"/>
    <w:rsid w:val="75790588"/>
    <w:rsid w:val="759C5643"/>
    <w:rsid w:val="76C240A7"/>
    <w:rsid w:val="76DA416A"/>
    <w:rsid w:val="770056C4"/>
    <w:rsid w:val="770B4BAE"/>
    <w:rsid w:val="770B6281"/>
    <w:rsid w:val="775246B7"/>
    <w:rsid w:val="77CB499F"/>
    <w:rsid w:val="77E620C0"/>
    <w:rsid w:val="77EDFF5E"/>
    <w:rsid w:val="77F5559F"/>
    <w:rsid w:val="781E69D1"/>
    <w:rsid w:val="782B18E2"/>
    <w:rsid w:val="789E0099"/>
    <w:rsid w:val="7901747F"/>
    <w:rsid w:val="79053EE1"/>
    <w:rsid w:val="79D60454"/>
    <w:rsid w:val="79E6392E"/>
    <w:rsid w:val="7A263B6B"/>
    <w:rsid w:val="7A5D0D05"/>
    <w:rsid w:val="7A9344D5"/>
    <w:rsid w:val="7AF46346"/>
    <w:rsid w:val="7B060822"/>
    <w:rsid w:val="7B0F5EBF"/>
    <w:rsid w:val="7B130FB9"/>
    <w:rsid w:val="7B413C96"/>
    <w:rsid w:val="7B892BA7"/>
    <w:rsid w:val="7BAB6FC2"/>
    <w:rsid w:val="7BD71E38"/>
    <w:rsid w:val="7BE7CA11"/>
    <w:rsid w:val="7BF64EDE"/>
    <w:rsid w:val="7C400C1E"/>
    <w:rsid w:val="7CCE5A9F"/>
    <w:rsid w:val="7D9E4DFA"/>
    <w:rsid w:val="7DD11708"/>
    <w:rsid w:val="7DEE4A4F"/>
    <w:rsid w:val="7E27546D"/>
    <w:rsid w:val="7E6CC026"/>
    <w:rsid w:val="7E7D0F61"/>
    <w:rsid w:val="7EAE6230"/>
    <w:rsid w:val="7EBD579E"/>
    <w:rsid w:val="7EC167BD"/>
    <w:rsid w:val="7EC50900"/>
    <w:rsid w:val="7F272D9E"/>
    <w:rsid w:val="7F735436"/>
    <w:rsid w:val="7F8A4124"/>
    <w:rsid w:val="7F941220"/>
    <w:rsid w:val="7FB323F0"/>
    <w:rsid w:val="7FBB10E7"/>
    <w:rsid w:val="7FDD5EA7"/>
    <w:rsid w:val="7FEFA4DC"/>
    <w:rsid w:val="7FFB979B"/>
    <w:rsid w:val="7FFCA31B"/>
    <w:rsid w:val="7FFF0876"/>
    <w:rsid w:val="8EFD79C1"/>
    <w:rsid w:val="9FB7CA06"/>
    <w:rsid w:val="9FBFFE11"/>
    <w:rsid w:val="9FFAD1AB"/>
    <w:rsid w:val="9FFE1324"/>
    <w:rsid w:val="A5DEFF5F"/>
    <w:rsid w:val="B72E4223"/>
    <w:rsid w:val="B7F76A68"/>
    <w:rsid w:val="BE6AD4EE"/>
    <w:rsid w:val="BFCF1353"/>
    <w:rsid w:val="D7FF002A"/>
    <w:rsid w:val="DB9FBBF2"/>
    <w:rsid w:val="DCDEA9D1"/>
    <w:rsid w:val="DECD774A"/>
    <w:rsid w:val="DFE78CE6"/>
    <w:rsid w:val="DFFEA74D"/>
    <w:rsid w:val="E7FF040B"/>
    <w:rsid w:val="EFFFD02D"/>
    <w:rsid w:val="F4E72BD6"/>
    <w:rsid w:val="F7AFF7D6"/>
    <w:rsid w:val="F7EBCFDB"/>
    <w:rsid w:val="F7FFB488"/>
    <w:rsid w:val="F9FD6FD7"/>
    <w:rsid w:val="FBFF6719"/>
    <w:rsid w:val="FC6F6696"/>
    <w:rsid w:val="FCDECDCD"/>
    <w:rsid w:val="FDD77343"/>
    <w:rsid w:val="FDFBCE36"/>
    <w:rsid w:val="FFCBF484"/>
    <w:rsid w:val="FFEA1F7A"/>
    <w:rsid w:val="FFF2AF88"/>
    <w:rsid w:val="FFFA0C59"/>
    <w:rsid w:val="FFFD4BFE"/>
    <w:rsid w:val="FFFFA95B"/>
    <w:rsid w:val="FFFFE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9" w:semiHidden="0" w:name="heading 5"/>
    <w:lsdException w:qFormat="1" w:unhideWhenUsed="0" w:uiPriority="9"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58"/>
    <w:qFormat/>
    <w:uiPriority w:val="0"/>
    <w:pPr>
      <w:keepNext/>
      <w:keepLines/>
      <w:spacing w:before="260" w:after="260" w:line="416" w:lineRule="auto"/>
      <w:outlineLvl w:val="2"/>
    </w:pPr>
    <w:rPr>
      <w:b/>
      <w:bCs/>
      <w:sz w:val="32"/>
      <w:szCs w:val="32"/>
    </w:rPr>
  </w:style>
  <w:style w:type="paragraph" w:styleId="6">
    <w:name w:val="heading 4"/>
    <w:basedOn w:val="1"/>
    <w:next w:val="1"/>
    <w:link w:val="59"/>
    <w:qFormat/>
    <w:uiPriority w:val="9"/>
    <w:pPr>
      <w:keepNext/>
      <w:keepLines/>
      <w:spacing w:line="360" w:lineRule="auto"/>
      <w:outlineLvl w:val="3"/>
    </w:pPr>
    <w:rPr>
      <w:rFonts w:ascii="Arial" w:hAnsi="Arial"/>
      <w:b/>
      <w:bCs/>
      <w:sz w:val="28"/>
      <w:szCs w:val="28"/>
    </w:rPr>
  </w:style>
  <w:style w:type="paragraph" w:styleId="7">
    <w:name w:val="heading 5"/>
    <w:basedOn w:val="1"/>
    <w:next w:val="8"/>
    <w:link w:val="60"/>
    <w:qFormat/>
    <w:uiPriority w:val="99"/>
    <w:pPr>
      <w:keepNext/>
      <w:keepLines/>
      <w:spacing w:before="280" w:after="290" w:line="376" w:lineRule="auto"/>
      <w:outlineLvl w:val="4"/>
    </w:pPr>
    <w:rPr>
      <w:b/>
      <w:bCs/>
      <w:sz w:val="28"/>
      <w:szCs w:val="28"/>
    </w:rPr>
  </w:style>
  <w:style w:type="paragraph" w:styleId="9">
    <w:name w:val="heading 6"/>
    <w:basedOn w:val="1"/>
    <w:next w:val="1"/>
    <w:link w:val="62"/>
    <w:qFormat/>
    <w:uiPriority w:val="9"/>
    <w:pPr>
      <w:keepNext/>
      <w:keepLines/>
      <w:spacing w:before="240" w:after="64" w:line="317" w:lineRule="auto"/>
      <w:outlineLvl w:val="5"/>
    </w:pPr>
    <w:rPr>
      <w:rFonts w:ascii="Cambria" w:hAnsi="Cambria"/>
      <w:b/>
      <w:bCs/>
      <w:kern w:val="0"/>
      <w:sz w:val="24"/>
    </w:rPr>
  </w:style>
  <w:style w:type="paragraph" w:styleId="10">
    <w:name w:val="heading 7"/>
    <w:basedOn w:val="1"/>
    <w:next w:val="1"/>
    <w:link w:val="63"/>
    <w:qFormat/>
    <w:uiPriority w:val="0"/>
    <w:pPr>
      <w:keepNext/>
      <w:keepLines/>
      <w:spacing w:before="240" w:after="64" w:line="317" w:lineRule="auto"/>
      <w:outlineLvl w:val="6"/>
    </w:pPr>
    <w:rPr>
      <w:b/>
      <w:bCs/>
      <w:kern w:val="0"/>
      <w:sz w:val="24"/>
    </w:rPr>
  </w:style>
  <w:style w:type="paragraph" w:styleId="11">
    <w:name w:val="heading 8"/>
    <w:basedOn w:val="1"/>
    <w:next w:val="1"/>
    <w:link w:val="64"/>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65"/>
    <w:qFormat/>
    <w:uiPriority w:val="0"/>
    <w:pPr>
      <w:keepNext/>
      <w:keepLines/>
      <w:spacing w:before="240" w:after="64" w:line="317" w:lineRule="auto"/>
      <w:outlineLvl w:val="8"/>
    </w:pPr>
    <w:rPr>
      <w:rFonts w:ascii="Cambria" w:hAnsi="Cambria"/>
      <w:kern w:val="0"/>
      <w:sz w:val="2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unhideWhenUsed/>
    <w:qFormat/>
    <w:uiPriority w:val="0"/>
    <w:pPr>
      <w:spacing w:after="120"/>
    </w:pPr>
  </w:style>
  <w:style w:type="paragraph" w:styleId="8">
    <w:name w:val="Normal Indent"/>
    <w:basedOn w:val="1"/>
    <w:link w:val="61"/>
    <w:qFormat/>
    <w:uiPriority w:val="99"/>
    <w:pPr>
      <w:ind w:firstLine="420"/>
    </w:pPr>
    <w:rPr>
      <w:szCs w:val="20"/>
    </w:rPr>
  </w:style>
  <w:style w:type="paragraph" w:styleId="13">
    <w:name w:val="toc 7"/>
    <w:basedOn w:val="1"/>
    <w:next w:val="1"/>
    <w:qFormat/>
    <w:uiPriority w:val="39"/>
    <w:pPr>
      <w:ind w:left="2520" w:leftChars="1200"/>
    </w:pPr>
    <w:rPr>
      <w:rFonts w:ascii="Calibri" w:hAnsi="Calibri" w:cs="Calibri"/>
      <w:szCs w:val="21"/>
    </w:rPr>
  </w:style>
  <w:style w:type="paragraph" w:styleId="14">
    <w:name w:val="index 8"/>
    <w:basedOn w:val="1"/>
    <w:next w:val="1"/>
    <w:qFormat/>
    <w:uiPriority w:val="0"/>
    <w:pPr>
      <w:ind w:left="294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66"/>
    <w:qFormat/>
    <w:uiPriority w:val="0"/>
    <w:pPr>
      <w:shd w:val="clear" w:color="auto" w:fill="000080"/>
    </w:pPr>
    <w:rPr>
      <w:sz w:val="24"/>
      <w:shd w:val="clear" w:color="auto" w:fill="000080"/>
    </w:rPr>
  </w:style>
  <w:style w:type="paragraph" w:styleId="18">
    <w:name w:val="annotation text"/>
    <w:basedOn w:val="1"/>
    <w:link w:val="67"/>
    <w:qFormat/>
    <w:uiPriority w:val="99"/>
    <w:pPr>
      <w:jc w:val="left"/>
    </w:pPr>
  </w:style>
  <w:style w:type="paragraph" w:styleId="19">
    <w:name w:val="Body Text 3"/>
    <w:basedOn w:val="1"/>
    <w:link w:val="68"/>
    <w:unhideWhenUsed/>
    <w:qFormat/>
    <w:uiPriority w:val="99"/>
    <w:pPr>
      <w:spacing w:after="120"/>
    </w:pPr>
    <w:rPr>
      <w:sz w:val="16"/>
      <w:szCs w:val="16"/>
    </w:rPr>
  </w:style>
  <w:style w:type="paragraph" w:styleId="20">
    <w:name w:val="Body Text"/>
    <w:basedOn w:val="1"/>
    <w:link w:val="69"/>
    <w:unhideWhenUsed/>
    <w:qFormat/>
    <w:uiPriority w:val="99"/>
    <w:pPr>
      <w:spacing w:after="120"/>
    </w:pPr>
  </w:style>
  <w:style w:type="paragraph" w:styleId="21">
    <w:name w:val="Body Text Indent"/>
    <w:basedOn w:val="1"/>
    <w:link w:val="70"/>
    <w:qFormat/>
    <w:uiPriority w:val="99"/>
    <w:pPr>
      <w:ind w:firstLine="830" w:firstLineChars="352"/>
    </w:pPr>
    <w:rPr>
      <w:rFonts w:ascii="仿宋_GB2312" w:eastAsia="仿宋_GB2312"/>
      <w:kern w:val="0"/>
      <w:sz w:val="32"/>
      <w:szCs w:val="20"/>
    </w:rPr>
  </w:style>
  <w:style w:type="paragraph" w:styleId="22">
    <w:name w:val="List 2"/>
    <w:basedOn w:val="1"/>
    <w:unhideWhenUsed/>
    <w:qFormat/>
    <w:uiPriority w:val="99"/>
    <w:pPr>
      <w:ind w:left="100" w:leftChars="200" w:hanging="200" w:hangingChars="200"/>
      <w:contextualSpacing/>
    </w:pPr>
  </w:style>
  <w:style w:type="paragraph" w:styleId="23">
    <w:name w:val="index 4"/>
    <w:basedOn w:val="1"/>
    <w:next w:val="1"/>
    <w:semiHidden/>
    <w:qFormat/>
    <w:uiPriority w:val="99"/>
    <w:pPr>
      <w:ind w:left="600" w:leftChars="600"/>
    </w:pPr>
    <w:rPr>
      <w:szCs w:val="21"/>
    </w:rPr>
  </w:style>
  <w:style w:type="paragraph" w:styleId="24">
    <w:name w:val="toc 5"/>
    <w:basedOn w:val="1"/>
    <w:next w:val="1"/>
    <w:qFormat/>
    <w:uiPriority w:val="39"/>
    <w:pPr>
      <w:ind w:left="1680" w:leftChars="800"/>
    </w:pPr>
    <w:rPr>
      <w:rFonts w:ascii="Calibri" w:hAnsi="Calibri" w:cs="Calibri"/>
      <w:szCs w:val="21"/>
    </w:rPr>
  </w:style>
  <w:style w:type="paragraph" w:styleId="25">
    <w:name w:val="toc 3"/>
    <w:basedOn w:val="1"/>
    <w:next w:val="1"/>
    <w:qFormat/>
    <w:uiPriority w:val="39"/>
    <w:pPr>
      <w:ind w:left="840" w:leftChars="400"/>
    </w:pPr>
    <w:rPr>
      <w:szCs w:val="21"/>
    </w:rPr>
  </w:style>
  <w:style w:type="paragraph" w:styleId="26">
    <w:name w:val="Plain Text"/>
    <w:basedOn w:val="1"/>
    <w:link w:val="71"/>
    <w:qFormat/>
    <w:uiPriority w:val="99"/>
    <w:rPr>
      <w:rFonts w:ascii="宋体" w:hAnsi="Courier New"/>
      <w:kern w:val="0"/>
      <w:sz w:val="20"/>
      <w:szCs w:val="21"/>
    </w:rPr>
  </w:style>
  <w:style w:type="paragraph" w:styleId="27">
    <w:name w:val="toc 8"/>
    <w:basedOn w:val="1"/>
    <w:next w:val="1"/>
    <w:qFormat/>
    <w:uiPriority w:val="39"/>
    <w:pPr>
      <w:ind w:left="2940" w:leftChars="1400"/>
    </w:pPr>
    <w:rPr>
      <w:rFonts w:ascii="Calibri" w:hAnsi="Calibri" w:cs="Calibri"/>
      <w:szCs w:val="21"/>
    </w:rPr>
  </w:style>
  <w:style w:type="paragraph" w:styleId="28">
    <w:name w:val="Date"/>
    <w:basedOn w:val="1"/>
    <w:next w:val="1"/>
    <w:link w:val="72"/>
    <w:unhideWhenUsed/>
    <w:qFormat/>
    <w:uiPriority w:val="99"/>
    <w:pPr>
      <w:ind w:left="100" w:leftChars="2500"/>
    </w:pPr>
  </w:style>
  <w:style w:type="paragraph" w:styleId="29">
    <w:name w:val="Body Text Indent 2"/>
    <w:basedOn w:val="1"/>
    <w:link w:val="73"/>
    <w:qFormat/>
    <w:uiPriority w:val="99"/>
    <w:pPr>
      <w:spacing w:after="120" w:line="480" w:lineRule="auto"/>
      <w:ind w:left="420" w:leftChars="200"/>
    </w:pPr>
    <w:rPr>
      <w:sz w:val="24"/>
    </w:rPr>
  </w:style>
  <w:style w:type="paragraph" w:styleId="30">
    <w:name w:val="Balloon Text"/>
    <w:basedOn w:val="1"/>
    <w:link w:val="74"/>
    <w:qFormat/>
    <w:uiPriority w:val="0"/>
    <w:rPr>
      <w:sz w:val="18"/>
      <w:szCs w:val="18"/>
    </w:rPr>
  </w:style>
  <w:style w:type="paragraph" w:styleId="31">
    <w:name w:val="footer"/>
    <w:basedOn w:val="1"/>
    <w:link w:val="75"/>
    <w:unhideWhenUsed/>
    <w:qFormat/>
    <w:uiPriority w:val="99"/>
    <w:pPr>
      <w:tabs>
        <w:tab w:val="center" w:pos="4153"/>
        <w:tab w:val="right" w:pos="8306"/>
      </w:tabs>
      <w:snapToGrid w:val="0"/>
      <w:jc w:val="left"/>
    </w:pPr>
    <w:rPr>
      <w:kern w:val="0"/>
      <w:sz w:val="18"/>
      <w:szCs w:val="18"/>
    </w:rPr>
  </w:style>
  <w:style w:type="paragraph" w:styleId="32">
    <w:name w:val="header"/>
    <w:basedOn w:val="1"/>
    <w:link w:val="76"/>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unhideWhenUsed/>
    <w:qFormat/>
    <w:uiPriority w:val="39"/>
  </w:style>
  <w:style w:type="paragraph" w:styleId="34">
    <w:name w:val="toc 4"/>
    <w:basedOn w:val="1"/>
    <w:next w:val="1"/>
    <w:qFormat/>
    <w:uiPriority w:val="39"/>
    <w:pPr>
      <w:ind w:left="1260" w:leftChars="600"/>
    </w:pPr>
    <w:rPr>
      <w:rFonts w:ascii="Calibri" w:hAnsi="Calibri" w:cs="Calibri"/>
      <w:szCs w:val="21"/>
    </w:rPr>
  </w:style>
  <w:style w:type="paragraph" w:styleId="35">
    <w:name w:val="Subtitle"/>
    <w:basedOn w:val="1"/>
    <w:next w:val="1"/>
    <w:link w:val="77"/>
    <w:qFormat/>
    <w:uiPriority w:val="11"/>
    <w:pPr>
      <w:spacing w:before="240" w:after="60" w:line="312" w:lineRule="auto"/>
      <w:jc w:val="center"/>
      <w:outlineLvl w:val="1"/>
    </w:pPr>
    <w:rPr>
      <w:rFonts w:ascii="Cambria" w:hAnsi="Cambria"/>
      <w:b/>
      <w:bCs/>
      <w:kern w:val="28"/>
      <w:sz w:val="32"/>
      <w:szCs w:val="32"/>
    </w:rPr>
  </w:style>
  <w:style w:type="paragraph" w:styleId="36">
    <w:name w:val="footnote text"/>
    <w:basedOn w:val="1"/>
    <w:link w:val="78"/>
    <w:qFormat/>
    <w:uiPriority w:val="0"/>
    <w:pPr>
      <w:adjustRightInd w:val="0"/>
      <w:spacing w:line="312" w:lineRule="atLeast"/>
      <w:jc w:val="left"/>
      <w:textAlignment w:val="baseline"/>
    </w:pPr>
    <w:rPr>
      <w:kern w:val="0"/>
      <w:sz w:val="18"/>
      <w:szCs w:val="18"/>
    </w:rPr>
  </w:style>
  <w:style w:type="paragraph" w:styleId="37">
    <w:name w:val="toc 6"/>
    <w:basedOn w:val="1"/>
    <w:next w:val="1"/>
    <w:qFormat/>
    <w:uiPriority w:val="39"/>
    <w:pPr>
      <w:ind w:left="2100" w:leftChars="1000"/>
    </w:pPr>
    <w:rPr>
      <w:rFonts w:ascii="Calibri" w:hAnsi="Calibri" w:cs="Calibri"/>
      <w:szCs w:val="21"/>
    </w:rPr>
  </w:style>
  <w:style w:type="paragraph" w:styleId="38">
    <w:name w:val="toc 2"/>
    <w:basedOn w:val="1"/>
    <w:next w:val="1"/>
    <w:unhideWhenUsed/>
    <w:qFormat/>
    <w:uiPriority w:val="39"/>
    <w:pPr>
      <w:tabs>
        <w:tab w:val="right" w:leader="dot" w:pos="8296"/>
      </w:tabs>
      <w:ind w:left="420" w:leftChars="200"/>
    </w:pPr>
  </w:style>
  <w:style w:type="paragraph" w:styleId="39">
    <w:name w:val="toc 9"/>
    <w:basedOn w:val="1"/>
    <w:next w:val="1"/>
    <w:qFormat/>
    <w:uiPriority w:val="39"/>
    <w:pPr>
      <w:ind w:left="3360" w:leftChars="1600"/>
    </w:pPr>
    <w:rPr>
      <w:rFonts w:ascii="Calibri" w:hAnsi="Calibri" w:cs="Calibri"/>
      <w:szCs w:val="21"/>
    </w:rPr>
  </w:style>
  <w:style w:type="paragraph" w:styleId="40">
    <w:name w:val="HTML Preformatted"/>
    <w:basedOn w:val="1"/>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unhideWhenUsed/>
    <w:qFormat/>
    <w:uiPriority w:val="0"/>
    <w:rPr>
      <w:rFonts w:ascii="Calibri" w:hAnsi="Calibri"/>
      <w:kern w:val="0"/>
      <w:sz w:val="24"/>
    </w:rPr>
  </w:style>
  <w:style w:type="paragraph" w:styleId="42">
    <w:name w:val="Title"/>
    <w:basedOn w:val="1"/>
    <w:next w:val="1"/>
    <w:link w:val="80"/>
    <w:qFormat/>
    <w:uiPriority w:val="0"/>
    <w:pPr>
      <w:spacing w:before="240" w:after="60"/>
      <w:jc w:val="center"/>
      <w:outlineLvl w:val="0"/>
    </w:pPr>
    <w:rPr>
      <w:rFonts w:ascii="Cambria" w:hAnsi="Cambria"/>
      <w:b/>
      <w:bCs/>
      <w:sz w:val="32"/>
      <w:szCs w:val="32"/>
    </w:rPr>
  </w:style>
  <w:style w:type="paragraph" w:styleId="43">
    <w:name w:val="annotation subject"/>
    <w:basedOn w:val="18"/>
    <w:next w:val="18"/>
    <w:link w:val="81"/>
    <w:qFormat/>
    <w:uiPriority w:val="0"/>
    <w:rPr>
      <w:b/>
      <w:bCs/>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qFormat/>
    <w:uiPriority w:val="22"/>
    <w:rPr>
      <w:b/>
      <w:bCs/>
    </w:rPr>
  </w:style>
  <w:style w:type="character" w:styleId="48">
    <w:name w:val="endnote reference"/>
    <w:unhideWhenUsed/>
    <w:qFormat/>
    <w:uiPriority w:val="99"/>
    <w:rPr>
      <w:vertAlign w:val="superscript"/>
    </w:rPr>
  </w:style>
  <w:style w:type="character" w:styleId="49">
    <w:name w:val="page number"/>
    <w:qFormat/>
    <w:uiPriority w:val="99"/>
  </w:style>
  <w:style w:type="character" w:styleId="50">
    <w:name w:val="FollowedHyperlink"/>
    <w:qFormat/>
    <w:uiPriority w:val="99"/>
    <w:rPr>
      <w:color w:val="800080"/>
      <w:u w:val="single"/>
    </w:rPr>
  </w:style>
  <w:style w:type="character" w:styleId="51">
    <w:name w:val="Emphasis"/>
    <w:qFormat/>
    <w:uiPriority w:val="99"/>
    <w:rPr>
      <w:i/>
      <w:iCs/>
    </w:rPr>
  </w:style>
  <w:style w:type="character" w:styleId="52">
    <w:name w:val="Hyperlink"/>
    <w:unhideWhenUsed/>
    <w:qFormat/>
    <w:uiPriority w:val="99"/>
    <w:rPr>
      <w:color w:val="0000FF"/>
      <w:u w:val="single"/>
    </w:rPr>
  </w:style>
  <w:style w:type="character" w:styleId="53">
    <w:name w:val="annotation reference"/>
    <w:qFormat/>
    <w:uiPriority w:val="0"/>
    <w:rPr>
      <w:sz w:val="21"/>
      <w:szCs w:val="21"/>
    </w:rPr>
  </w:style>
  <w:style w:type="character" w:styleId="54">
    <w:name w:val="footnote reference"/>
    <w:unhideWhenUsed/>
    <w:qFormat/>
    <w:uiPriority w:val="0"/>
    <w:rPr>
      <w:vertAlign w:val="superscript"/>
    </w:rPr>
  </w:style>
  <w:style w:type="paragraph" w:customStyle="1" w:styleId="55">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56">
    <w:name w:val="标题 1 Char"/>
    <w:link w:val="3"/>
    <w:qFormat/>
    <w:uiPriority w:val="0"/>
    <w:rPr>
      <w:b/>
      <w:bCs/>
      <w:kern w:val="44"/>
      <w:sz w:val="44"/>
      <w:szCs w:val="44"/>
    </w:rPr>
  </w:style>
  <w:style w:type="character" w:customStyle="1" w:styleId="57">
    <w:name w:val="标题 2 Char1"/>
    <w:link w:val="4"/>
    <w:qFormat/>
    <w:uiPriority w:val="9"/>
    <w:rPr>
      <w:rFonts w:ascii="Cambria" w:hAnsi="Cambria" w:eastAsia="宋体" w:cs="Times New Roman"/>
      <w:b/>
      <w:bCs/>
      <w:kern w:val="2"/>
      <w:sz w:val="32"/>
      <w:szCs w:val="32"/>
    </w:rPr>
  </w:style>
  <w:style w:type="character" w:customStyle="1" w:styleId="58">
    <w:name w:val="标题 3 Char"/>
    <w:link w:val="5"/>
    <w:qFormat/>
    <w:uiPriority w:val="0"/>
    <w:rPr>
      <w:b/>
      <w:bCs/>
      <w:kern w:val="2"/>
      <w:sz w:val="32"/>
      <w:szCs w:val="32"/>
    </w:rPr>
  </w:style>
  <w:style w:type="character" w:customStyle="1" w:styleId="59">
    <w:name w:val="标题 4 Char"/>
    <w:link w:val="6"/>
    <w:qFormat/>
    <w:uiPriority w:val="9"/>
    <w:rPr>
      <w:rFonts w:ascii="Arial" w:hAnsi="Arial"/>
      <w:b/>
      <w:bCs/>
      <w:kern w:val="2"/>
      <w:sz w:val="28"/>
      <w:szCs w:val="28"/>
    </w:rPr>
  </w:style>
  <w:style w:type="character" w:customStyle="1" w:styleId="60">
    <w:name w:val="标题 5 Char"/>
    <w:link w:val="7"/>
    <w:qFormat/>
    <w:uiPriority w:val="99"/>
    <w:rPr>
      <w:rFonts w:ascii="Times New Roman" w:hAnsi="Times New Roman"/>
      <w:b/>
      <w:bCs/>
      <w:kern w:val="2"/>
      <w:sz w:val="28"/>
      <w:szCs w:val="28"/>
    </w:rPr>
  </w:style>
  <w:style w:type="character" w:customStyle="1" w:styleId="61">
    <w:name w:val="正文缩进 Char"/>
    <w:link w:val="8"/>
    <w:qFormat/>
    <w:uiPriority w:val="99"/>
    <w:rPr>
      <w:kern w:val="2"/>
      <w:sz w:val="21"/>
    </w:rPr>
  </w:style>
  <w:style w:type="character" w:customStyle="1" w:styleId="62">
    <w:name w:val="标题 6 Char"/>
    <w:link w:val="9"/>
    <w:qFormat/>
    <w:uiPriority w:val="9"/>
    <w:rPr>
      <w:rFonts w:ascii="Cambria" w:hAnsi="Cambria"/>
      <w:b/>
      <w:bCs/>
      <w:sz w:val="24"/>
      <w:szCs w:val="24"/>
    </w:rPr>
  </w:style>
  <w:style w:type="character" w:customStyle="1" w:styleId="63">
    <w:name w:val="标题 7 Char"/>
    <w:link w:val="10"/>
    <w:qFormat/>
    <w:uiPriority w:val="0"/>
    <w:rPr>
      <w:b/>
      <w:bCs/>
      <w:sz w:val="24"/>
      <w:szCs w:val="24"/>
    </w:rPr>
  </w:style>
  <w:style w:type="character" w:customStyle="1" w:styleId="64">
    <w:name w:val="标题 8 Char1"/>
    <w:link w:val="11"/>
    <w:semiHidden/>
    <w:qFormat/>
    <w:uiPriority w:val="9"/>
    <w:rPr>
      <w:rFonts w:ascii="等线 Light" w:hAnsi="等线 Light" w:eastAsia="等线 Light" w:cs="Times New Roman"/>
      <w:kern w:val="2"/>
      <w:sz w:val="24"/>
      <w:szCs w:val="24"/>
    </w:rPr>
  </w:style>
  <w:style w:type="character" w:customStyle="1" w:styleId="65">
    <w:name w:val="标题 9 Char"/>
    <w:link w:val="12"/>
    <w:qFormat/>
    <w:uiPriority w:val="0"/>
    <w:rPr>
      <w:rFonts w:ascii="Cambria" w:hAnsi="Cambria"/>
      <w:szCs w:val="21"/>
    </w:rPr>
  </w:style>
  <w:style w:type="character" w:customStyle="1" w:styleId="66">
    <w:name w:val="文档结构图 Char"/>
    <w:link w:val="17"/>
    <w:qFormat/>
    <w:uiPriority w:val="0"/>
    <w:rPr>
      <w:kern w:val="2"/>
      <w:sz w:val="24"/>
      <w:szCs w:val="24"/>
      <w:shd w:val="clear" w:color="auto" w:fill="000080"/>
    </w:rPr>
  </w:style>
  <w:style w:type="character" w:customStyle="1" w:styleId="67">
    <w:name w:val="批注文字 Char1"/>
    <w:link w:val="18"/>
    <w:qFormat/>
    <w:uiPriority w:val="99"/>
    <w:rPr>
      <w:rFonts w:ascii="Times New Roman" w:hAnsi="Times New Roman"/>
      <w:kern w:val="2"/>
      <w:sz w:val="21"/>
      <w:szCs w:val="24"/>
    </w:rPr>
  </w:style>
  <w:style w:type="character" w:customStyle="1" w:styleId="68">
    <w:name w:val="正文文本 3 Char"/>
    <w:link w:val="19"/>
    <w:semiHidden/>
    <w:qFormat/>
    <w:uiPriority w:val="99"/>
    <w:rPr>
      <w:kern w:val="2"/>
      <w:sz w:val="16"/>
      <w:szCs w:val="16"/>
    </w:rPr>
  </w:style>
  <w:style w:type="character" w:customStyle="1" w:styleId="69">
    <w:name w:val="正文文本 Char1"/>
    <w:link w:val="20"/>
    <w:qFormat/>
    <w:uiPriority w:val="99"/>
    <w:rPr>
      <w:rFonts w:ascii="Times New Roman" w:hAnsi="Times New Roman"/>
      <w:kern w:val="2"/>
      <w:sz w:val="21"/>
      <w:szCs w:val="24"/>
    </w:rPr>
  </w:style>
  <w:style w:type="character" w:customStyle="1" w:styleId="70">
    <w:name w:val="正文文本缩进 Char"/>
    <w:link w:val="21"/>
    <w:qFormat/>
    <w:uiPriority w:val="99"/>
    <w:rPr>
      <w:rFonts w:ascii="仿宋_GB2312" w:hAnsi="Times New Roman" w:eastAsia="仿宋_GB2312" w:cs="Times New Roman"/>
      <w:sz w:val="32"/>
      <w:szCs w:val="20"/>
    </w:rPr>
  </w:style>
  <w:style w:type="character" w:customStyle="1" w:styleId="71">
    <w:name w:val="纯文本 Char1"/>
    <w:link w:val="26"/>
    <w:qFormat/>
    <w:uiPriority w:val="99"/>
    <w:rPr>
      <w:rFonts w:ascii="宋体" w:hAnsi="Courier New" w:eastAsia="宋体" w:cs="Courier New"/>
      <w:szCs w:val="21"/>
    </w:rPr>
  </w:style>
  <w:style w:type="character" w:customStyle="1" w:styleId="72">
    <w:name w:val="日期 Char"/>
    <w:link w:val="28"/>
    <w:qFormat/>
    <w:uiPriority w:val="99"/>
    <w:rPr>
      <w:rFonts w:ascii="Times New Roman" w:hAnsi="Times New Roman"/>
      <w:kern w:val="2"/>
      <w:sz w:val="21"/>
      <w:szCs w:val="24"/>
    </w:rPr>
  </w:style>
  <w:style w:type="character" w:customStyle="1" w:styleId="73">
    <w:name w:val="正文文本缩进 2 Char"/>
    <w:link w:val="29"/>
    <w:qFormat/>
    <w:uiPriority w:val="99"/>
    <w:rPr>
      <w:kern w:val="2"/>
      <w:sz w:val="24"/>
      <w:szCs w:val="24"/>
    </w:rPr>
  </w:style>
  <w:style w:type="character" w:customStyle="1" w:styleId="74">
    <w:name w:val="批注框文本 Char"/>
    <w:link w:val="30"/>
    <w:qFormat/>
    <w:locked/>
    <w:uiPriority w:val="0"/>
    <w:rPr>
      <w:kern w:val="2"/>
      <w:sz w:val="18"/>
      <w:szCs w:val="18"/>
    </w:rPr>
  </w:style>
  <w:style w:type="character" w:customStyle="1" w:styleId="75">
    <w:name w:val="页脚 Char"/>
    <w:link w:val="31"/>
    <w:qFormat/>
    <w:uiPriority w:val="99"/>
    <w:rPr>
      <w:sz w:val="18"/>
      <w:szCs w:val="18"/>
    </w:rPr>
  </w:style>
  <w:style w:type="character" w:customStyle="1" w:styleId="76">
    <w:name w:val="页眉 Char"/>
    <w:link w:val="32"/>
    <w:qFormat/>
    <w:uiPriority w:val="0"/>
    <w:rPr>
      <w:sz w:val="18"/>
      <w:szCs w:val="18"/>
    </w:rPr>
  </w:style>
  <w:style w:type="character" w:customStyle="1" w:styleId="77">
    <w:name w:val="副标题 Char"/>
    <w:link w:val="35"/>
    <w:qFormat/>
    <w:uiPriority w:val="11"/>
    <w:rPr>
      <w:rFonts w:ascii="Cambria" w:hAnsi="Cambria"/>
      <w:b/>
      <w:bCs/>
      <w:kern w:val="28"/>
      <w:sz w:val="32"/>
      <w:szCs w:val="32"/>
    </w:rPr>
  </w:style>
  <w:style w:type="character" w:customStyle="1" w:styleId="78">
    <w:name w:val="脚注文本 Char"/>
    <w:link w:val="36"/>
    <w:semiHidden/>
    <w:qFormat/>
    <w:uiPriority w:val="0"/>
    <w:rPr>
      <w:sz w:val="18"/>
      <w:szCs w:val="18"/>
    </w:rPr>
  </w:style>
  <w:style w:type="character" w:customStyle="1" w:styleId="79">
    <w:name w:val="HTML 预设格式 Char"/>
    <w:link w:val="40"/>
    <w:qFormat/>
    <w:uiPriority w:val="99"/>
    <w:rPr>
      <w:rFonts w:ascii="宋体" w:hAnsi="宋体"/>
      <w:sz w:val="24"/>
      <w:szCs w:val="24"/>
    </w:rPr>
  </w:style>
  <w:style w:type="character" w:customStyle="1" w:styleId="80">
    <w:name w:val="标题 Char"/>
    <w:link w:val="42"/>
    <w:qFormat/>
    <w:uiPriority w:val="0"/>
    <w:rPr>
      <w:rFonts w:ascii="Cambria" w:hAnsi="Cambria"/>
      <w:b/>
      <w:bCs/>
      <w:kern w:val="2"/>
      <w:sz w:val="32"/>
      <w:szCs w:val="32"/>
    </w:rPr>
  </w:style>
  <w:style w:type="character" w:customStyle="1" w:styleId="81">
    <w:name w:val="批注主题 Char"/>
    <w:link w:val="43"/>
    <w:qFormat/>
    <w:uiPriority w:val="0"/>
    <w:rPr>
      <w:rFonts w:ascii="Times New Roman" w:hAnsi="Times New Roman"/>
      <w:b/>
      <w:bCs/>
      <w:kern w:val="2"/>
      <w:sz w:val="21"/>
      <w:szCs w:val="24"/>
    </w:rPr>
  </w:style>
  <w:style w:type="character" w:customStyle="1" w:styleId="82">
    <w:name w:val="标题 1 字符1"/>
    <w:qFormat/>
    <w:uiPriority w:val="0"/>
    <w:rPr>
      <w:b/>
      <w:bCs/>
      <w:kern w:val="44"/>
      <w:sz w:val="44"/>
      <w:szCs w:val="44"/>
    </w:rPr>
  </w:style>
  <w:style w:type="character" w:customStyle="1" w:styleId="83">
    <w:name w:val="textcontents"/>
    <w:qFormat/>
    <w:uiPriority w:val="99"/>
  </w:style>
  <w:style w:type="character" w:customStyle="1" w:styleId="84">
    <w:name w:val="批注文字 Char"/>
    <w:qFormat/>
    <w:uiPriority w:val="0"/>
    <w:rPr>
      <w:rFonts w:ascii="Times New Roman" w:hAnsi="Times New Roman"/>
      <w:kern w:val="2"/>
      <w:sz w:val="21"/>
      <w:szCs w:val="24"/>
    </w:rPr>
  </w:style>
  <w:style w:type="character" w:customStyle="1" w:styleId="85">
    <w:name w:val="纯文本 字符"/>
    <w:qFormat/>
    <w:uiPriority w:val="0"/>
    <w:rPr>
      <w:rFonts w:ascii="宋体" w:hAnsi="Courier New" w:eastAsia="宋体" w:cs="Courier New"/>
      <w:szCs w:val="21"/>
    </w:rPr>
  </w:style>
  <w:style w:type="character" w:customStyle="1" w:styleId="86">
    <w:name w:val="纯文本 Char"/>
    <w:qFormat/>
    <w:uiPriority w:val="0"/>
    <w:rPr>
      <w:rFonts w:ascii="宋体" w:hAnsi="Courier New" w:eastAsia="宋体" w:cs="Courier New"/>
      <w:szCs w:val="21"/>
    </w:rPr>
  </w:style>
  <w:style w:type="character" w:customStyle="1" w:styleId="87">
    <w:name w:val="纯文本 字符2"/>
    <w:qFormat/>
    <w:uiPriority w:val="0"/>
    <w:rPr>
      <w:rFonts w:ascii="宋体" w:hAnsi="Courier New" w:eastAsia="宋体" w:cs="Courier New"/>
      <w:szCs w:val="21"/>
    </w:rPr>
  </w:style>
  <w:style w:type="character" w:customStyle="1" w:styleId="88">
    <w:name w:val="批注文字 字符1"/>
    <w:qFormat/>
    <w:uiPriority w:val="0"/>
    <w:rPr>
      <w:rFonts w:ascii="Times New Roman" w:hAnsi="Times New Roman"/>
      <w:kern w:val="2"/>
      <w:sz w:val="21"/>
      <w:szCs w:val="24"/>
    </w:rPr>
  </w:style>
  <w:style w:type="character" w:customStyle="1" w:styleId="8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0">
    <w:name w:val="纯文本 字符1"/>
    <w:qFormat/>
    <w:uiPriority w:val="0"/>
    <w:rPr>
      <w:rFonts w:ascii="宋体" w:hAnsi="Courier New"/>
    </w:rPr>
  </w:style>
  <w:style w:type="character" w:customStyle="1" w:styleId="91">
    <w:name w:val="正文文本 Char"/>
    <w:qFormat/>
    <w:uiPriority w:val="0"/>
    <w:rPr>
      <w:rFonts w:ascii="Times New Roman" w:hAnsi="Times New Roman"/>
      <w:kern w:val="2"/>
      <w:sz w:val="21"/>
      <w:szCs w:val="24"/>
    </w:rPr>
  </w:style>
  <w:style w:type="character" w:customStyle="1" w:styleId="92">
    <w:name w:val="批注文字 字符"/>
    <w:qFormat/>
    <w:uiPriority w:val="0"/>
    <w:rPr>
      <w:rFonts w:ascii="Times New Roman" w:hAnsi="Times New Roman"/>
      <w:kern w:val="2"/>
      <w:sz w:val="21"/>
      <w:szCs w:val="24"/>
    </w:rPr>
  </w:style>
  <w:style w:type="character" w:customStyle="1" w:styleId="93">
    <w:name w:val="标题 2 Char"/>
    <w:qFormat/>
    <w:uiPriority w:val="0"/>
    <w:rPr>
      <w:rFonts w:ascii="Cambria" w:hAnsi="Cambria" w:eastAsia="宋体" w:cs="Times New Roman"/>
      <w:b/>
      <w:bCs/>
      <w:kern w:val="2"/>
      <w:sz w:val="32"/>
      <w:szCs w:val="32"/>
    </w:rPr>
  </w:style>
  <w:style w:type="character" w:customStyle="1" w:styleId="94">
    <w:name w:val="标题 8 Char"/>
    <w:qFormat/>
    <w:uiPriority w:val="9"/>
    <w:rPr>
      <w:rFonts w:ascii="Arial" w:hAnsi="Arial" w:eastAsia="黑体"/>
      <w:kern w:val="2"/>
      <w:sz w:val="24"/>
      <w:szCs w:val="24"/>
    </w:rPr>
  </w:style>
  <w:style w:type="character" w:customStyle="1" w:styleId="95">
    <w:name w:val="apple-style-span"/>
    <w:qFormat/>
    <w:uiPriority w:val="0"/>
  </w:style>
  <w:style w:type="paragraph" w:customStyle="1" w:styleId="96">
    <w:name w:val="默认段落字体 Para Char Char Char Char Char Char Char Char Char1 Char Char Char Char"/>
    <w:basedOn w:val="1"/>
    <w:qFormat/>
    <w:uiPriority w:val="0"/>
    <w:rPr>
      <w:rFonts w:ascii="Tahoma" w:hAnsi="Tahoma"/>
      <w:sz w:val="24"/>
      <w:szCs w:val="20"/>
    </w:rPr>
  </w:style>
  <w:style w:type="paragraph" w:customStyle="1" w:styleId="9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98">
    <w:name w:val="List Paragraph"/>
    <w:basedOn w:val="1"/>
    <w:qFormat/>
    <w:uiPriority w:val="99"/>
    <w:pPr>
      <w:ind w:firstLine="420" w:firstLineChars="200"/>
    </w:pPr>
  </w:style>
  <w:style w:type="paragraph" w:customStyle="1" w:styleId="99">
    <w:name w:val="Table Paragraph"/>
    <w:basedOn w:val="1"/>
    <w:qFormat/>
    <w:uiPriority w:val="1"/>
    <w:pPr>
      <w:jc w:val="left"/>
    </w:pPr>
    <w:rPr>
      <w:rFonts w:ascii="Calibri" w:hAnsi="Calibri"/>
      <w:kern w:val="0"/>
      <w:sz w:val="22"/>
      <w:szCs w:val="22"/>
      <w:lang w:eastAsia="en-US"/>
    </w:rPr>
  </w:style>
  <w:style w:type="character" w:customStyle="1" w:styleId="100">
    <w:name w:val="正文文本 字符"/>
    <w:qFormat/>
    <w:uiPriority w:val="0"/>
    <w:rPr>
      <w:rFonts w:ascii="Times New Roman" w:hAnsi="Times New Roman"/>
      <w:kern w:val="2"/>
      <w:sz w:val="21"/>
      <w:szCs w:val="24"/>
    </w:rPr>
  </w:style>
  <w:style w:type="character" w:customStyle="1" w:styleId="101">
    <w:name w:val="批注文字 Char2"/>
    <w:qFormat/>
    <w:uiPriority w:val="0"/>
    <w:rPr>
      <w:rFonts w:ascii="Times New Roman" w:hAnsi="Times New Roman"/>
      <w:kern w:val="2"/>
      <w:sz w:val="21"/>
      <w:szCs w:val="24"/>
    </w:rPr>
  </w:style>
  <w:style w:type="character" w:customStyle="1" w:styleId="102">
    <w:name w:val="正文2 Char Char"/>
    <w:link w:val="103"/>
    <w:qFormat/>
    <w:uiPriority w:val="0"/>
    <w:rPr>
      <w:kern w:val="2"/>
      <w:sz w:val="24"/>
    </w:rPr>
  </w:style>
  <w:style w:type="paragraph" w:customStyle="1" w:styleId="103">
    <w:name w:val="正文2"/>
    <w:basedOn w:val="1"/>
    <w:link w:val="102"/>
    <w:qFormat/>
    <w:uiPriority w:val="0"/>
    <w:pPr>
      <w:adjustRightInd w:val="0"/>
      <w:spacing w:before="156" w:line="360" w:lineRule="auto"/>
      <w:ind w:firstLine="510" w:firstLineChars="200"/>
    </w:pPr>
    <w:rPr>
      <w:sz w:val="24"/>
      <w:szCs w:val="20"/>
    </w:rPr>
  </w:style>
  <w:style w:type="character" w:customStyle="1" w:styleId="104">
    <w:name w:val="批注文字 Char Char"/>
    <w:qFormat/>
    <w:uiPriority w:val="99"/>
    <w:rPr>
      <w:rFonts w:ascii="宋体" w:hAnsi="Times New Roman" w:eastAsia="宋体" w:cs="宋体"/>
      <w:sz w:val="20"/>
      <w:szCs w:val="20"/>
    </w:rPr>
  </w:style>
  <w:style w:type="character" w:customStyle="1" w:styleId="105">
    <w:name w:val="Heading 3 Char"/>
    <w:qFormat/>
    <w:uiPriority w:val="99"/>
    <w:rPr>
      <w:b/>
      <w:bCs/>
      <w:kern w:val="2"/>
      <w:sz w:val="32"/>
      <w:szCs w:val="32"/>
    </w:rPr>
  </w:style>
  <w:style w:type="character" w:customStyle="1" w:styleId="106">
    <w:name w:val="Heading 2 Char"/>
    <w:qFormat/>
    <w:uiPriority w:val="99"/>
    <w:rPr>
      <w:rFonts w:ascii="Arial" w:hAnsi="Arial" w:eastAsia="黑体" w:cs="Arial"/>
      <w:b/>
      <w:bCs/>
      <w:kern w:val="2"/>
      <w:sz w:val="32"/>
      <w:szCs w:val="32"/>
      <w:lang w:val="en-US" w:eastAsia="zh-CN"/>
    </w:rPr>
  </w:style>
  <w:style w:type="character" w:customStyle="1" w:styleId="107">
    <w:name w:val="Balloon Text Char"/>
    <w:qFormat/>
    <w:uiPriority w:val="99"/>
    <w:rPr>
      <w:sz w:val="18"/>
      <w:szCs w:val="18"/>
    </w:rPr>
  </w:style>
  <w:style w:type="character" w:customStyle="1" w:styleId="108">
    <w:name w:val="文档结构图 Char1"/>
    <w:qFormat/>
    <w:uiPriority w:val="99"/>
    <w:rPr>
      <w:rFonts w:ascii="宋体" w:hAnsi="Times New Roman" w:eastAsia="宋体" w:cs="宋体"/>
      <w:sz w:val="18"/>
      <w:szCs w:val="18"/>
    </w:rPr>
  </w:style>
  <w:style w:type="character" w:customStyle="1" w:styleId="109">
    <w:name w:val="Footnote Text Char"/>
    <w:qFormat/>
    <w:uiPriority w:val="99"/>
    <w:rPr>
      <w:rFonts w:eastAsia="宋体"/>
      <w:sz w:val="18"/>
      <w:szCs w:val="18"/>
      <w:lang w:val="en-US" w:eastAsia="zh-CN"/>
    </w:rPr>
  </w:style>
  <w:style w:type="character" w:customStyle="1" w:styleId="110">
    <w:name w:val="Char Char21"/>
    <w:qFormat/>
    <w:uiPriority w:val="99"/>
    <w:rPr>
      <w:rFonts w:ascii="Arial" w:hAnsi="Arial" w:eastAsia="黑体" w:cs="Arial"/>
      <w:b/>
      <w:bCs/>
      <w:sz w:val="32"/>
      <w:szCs w:val="32"/>
    </w:rPr>
  </w:style>
  <w:style w:type="character" w:customStyle="1" w:styleId="111">
    <w:name w:val="Body Text Indent Char"/>
    <w:qFormat/>
    <w:uiPriority w:val="99"/>
    <w:rPr>
      <w:rFonts w:ascii="宋体" w:hAnsi="宋体" w:eastAsia="宋体" w:cs="宋体"/>
      <w:kern w:val="2"/>
      <w:sz w:val="21"/>
      <w:szCs w:val="21"/>
      <w:lang w:val="en-US" w:eastAsia="zh-CN"/>
    </w:rPr>
  </w:style>
  <w:style w:type="character" w:customStyle="1" w:styleId="112">
    <w:name w:val="不明显参考1"/>
    <w:qFormat/>
    <w:uiPriority w:val="99"/>
    <w:rPr>
      <w:smallCaps/>
      <w:color w:val="auto"/>
      <w:u w:val="single"/>
    </w:rPr>
  </w:style>
  <w:style w:type="character" w:customStyle="1" w:styleId="113">
    <w:name w:val="Heading 4 Char"/>
    <w:qFormat/>
    <w:uiPriority w:val="99"/>
    <w:rPr>
      <w:rFonts w:ascii="Arial" w:hAnsi="Arial" w:eastAsia="宋体" w:cs="Arial"/>
      <w:b/>
      <w:bCs/>
      <w:kern w:val="2"/>
      <w:sz w:val="28"/>
      <w:szCs w:val="28"/>
      <w:lang w:val="en-US" w:eastAsia="zh-CN"/>
    </w:rPr>
  </w:style>
  <w:style w:type="character" w:customStyle="1" w:styleId="114">
    <w:name w:val="Char Char20"/>
    <w:qFormat/>
    <w:uiPriority w:val="99"/>
    <w:rPr>
      <w:rFonts w:ascii="Times New Roman" w:hAnsi="Times New Roman" w:eastAsia="宋体" w:cs="Times New Roman"/>
      <w:b/>
      <w:bCs/>
      <w:sz w:val="32"/>
      <w:szCs w:val="32"/>
    </w:rPr>
  </w:style>
  <w:style w:type="character" w:customStyle="1" w:styleId="115">
    <w:name w:val="Comment Subject Char"/>
    <w:qFormat/>
    <w:uiPriority w:val="99"/>
    <w:rPr>
      <w:b/>
      <w:bCs/>
      <w:sz w:val="24"/>
      <w:szCs w:val="24"/>
    </w:rPr>
  </w:style>
  <w:style w:type="character" w:customStyle="1" w:styleId="116">
    <w:name w:val="Heading 1 Char"/>
    <w:qFormat/>
    <w:uiPriority w:val="99"/>
    <w:rPr>
      <w:rFonts w:eastAsia="宋体"/>
      <w:b/>
      <w:bCs/>
      <w:kern w:val="44"/>
      <w:sz w:val="44"/>
      <w:szCs w:val="44"/>
      <w:lang w:val="en-US" w:eastAsia="zh-CN"/>
    </w:rPr>
  </w:style>
  <w:style w:type="character" w:customStyle="1" w:styleId="117">
    <w:name w:val="批注框文本 Char1"/>
    <w:qFormat/>
    <w:uiPriority w:val="99"/>
    <w:rPr>
      <w:rFonts w:ascii="Times New Roman" w:hAnsi="Times New Roman" w:eastAsia="宋体" w:cs="Times New Roman"/>
      <w:sz w:val="18"/>
      <w:szCs w:val="18"/>
    </w:rPr>
  </w:style>
  <w:style w:type="character" w:customStyle="1" w:styleId="118">
    <w:name w:val="Char Char6"/>
    <w:qFormat/>
    <w:uiPriority w:val="99"/>
    <w:rPr>
      <w:rFonts w:eastAsia="宋体"/>
      <w:b/>
      <w:bCs/>
      <w:kern w:val="44"/>
      <w:sz w:val="44"/>
      <w:szCs w:val="44"/>
      <w:lang w:val="en-US" w:eastAsia="zh-CN"/>
    </w:rPr>
  </w:style>
  <w:style w:type="character" w:customStyle="1" w:styleId="119">
    <w:name w:val="Char Char18"/>
    <w:qFormat/>
    <w:uiPriority w:val="99"/>
    <w:rPr>
      <w:rFonts w:ascii="Times New Roman" w:hAnsi="Times New Roman" w:eastAsia="宋体" w:cs="Times New Roman"/>
      <w:b/>
      <w:bCs/>
      <w:sz w:val="28"/>
      <w:szCs w:val="28"/>
    </w:rPr>
  </w:style>
  <w:style w:type="character" w:customStyle="1" w:styleId="120">
    <w:name w:val="Body Text Indent 2 Char"/>
    <w:qFormat/>
    <w:uiPriority w:val="99"/>
    <w:rPr>
      <w:rFonts w:eastAsia="宋体"/>
      <w:kern w:val="2"/>
      <w:sz w:val="24"/>
      <w:szCs w:val="24"/>
      <w:lang w:val="en-US" w:eastAsia="zh-CN"/>
    </w:rPr>
  </w:style>
  <w:style w:type="character" w:customStyle="1" w:styleId="121">
    <w:name w:val="Comment Text Char1"/>
    <w:qFormat/>
    <w:uiPriority w:val="99"/>
    <w:rPr>
      <w:sz w:val="24"/>
      <w:szCs w:val="24"/>
    </w:rPr>
  </w:style>
  <w:style w:type="character" w:customStyle="1" w:styleId="122">
    <w:name w:val="标题5 Char Char"/>
    <w:link w:val="123"/>
    <w:qFormat/>
    <w:locked/>
    <w:uiPriority w:val="99"/>
    <w:rPr>
      <w:rFonts w:ascii="Arial" w:hAnsi="Arial" w:cs="Arial"/>
      <w:b/>
      <w:bCs/>
      <w:sz w:val="32"/>
      <w:szCs w:val="32"/>
    </w:rPr>
  </w:style>
  <w:style w:type="paragraph" w:customStyle="1" w:styleId="123">
    <w:name w:val="标题5"/>
    <w:basedOn w:val="5"/>
    <w:link w:val="122"/>
    <w:qFormat/>
    <w:uiPriority w:val="99"/>
    <w:pPr>
      <w:spacing w:line="413" w:lineRule="auto"/>
    </w:pPr>
    <w:rPr>
      <w:rFonts w:ascii="Arial" w:hAnsi="Arial"/>
      <w:kern w:val="0"/>
    </w:rPr>
  </w:style>
  <w:style w:type="character" w:customStyle="1" w:styleId="124">
    <w:name w:val="批注主题 Char1"/>
    <w:qFormat/>
    <w:uiPriority w:val="99"/>
    <w:rPr>
      <w:rFonts w:ascii="Times New Roman" w:hAnsi="Times New Roman" w:eastAsia="宋体" w:cs="Times New Roman"/>
      <w:b/>
      <w:bCs/>
      <w:sz w:val="24"/>
      <w:szCs w:val="24"/>
    </w:rPr>
  </w:style>
  <w:style w:type="character" w:customStyle="1" w:styleId="125">
    <w:name w:val="Char Char24"/>
    <w:qFormat/>
    <w:uiPriority w:val="99"/>
    <w:rPr>
      <w:rFonts w:eastAsia="宋体"/>
      <w:b/>
      <w:bCs/>
      <w:kern w:val="44"/>
      <w:sz w:val="44"/>
      <w:szCs w:val="44"/>
      <w:lang w:val="en-US" w:eastAsia="zh-CN"/>
    </w:rPr>
  </w:style>
  <w:style w:type="character" w:customStyle="1" w:styleId="126">
    <w:name w:val="Footer Char"/>
    <w:qFormat/>
    <w:uiPriority w:val="99"/>
    <w:rPr>
      <w:rFonts w:eastAsia="宋体"/>
      <w:kern w:val="2"/>
      <w:sz w:val="18"/>
      <w:szCs w:val="18"/>
      <w:lang w:val="en-US" w:eastAsia="zh-CN"/>
    </w:rPr>
  </w:style>
  <w:style w:type="character" w:customStyle="1" w:styleId="127">
    <w:name w:val="Char Char9"/>
    <w:qFormat/>
    <w:uiPriority w:val="99"/>
    <w:rPr>
      <w:rFonts w:eastAsia="宋体"/>
      <w:b/>
      <w:bCs/>
      <w:kern w:val="44"/>
      <w:sz w:val="44"/>
      <w:szCs w:val="44"/>
      <w:lang w:val="en-US" w:eastAsia="zh-CN"/>
    </w:rPr>
  </w:style>
  <w:style w:type="character" w:customStyle="1" w:styleId="128">
    <w:name w:val="Heading 3 Char1"/>
    <w:qFormat/>
    <w:uiPriority w:val="99"/>
    <w:rPr>
      <w:rFonts w:eastAsia="宋体"/>
      <w:b/>
      <w:bCs/>
      <w:kern w:val="2"/>
      <w:sz w:val="32"/>
      <w:szCs w:val="32"/>
      <w:lang w:val="en-US" w:eastAsia="zh-CN"/>
    </w:rPr>
  </w:style>
  <w:style w:type="character" w:customStyle="1" w:styleId="129">
    <w:name w:val="Document Map Char"/>
    <w:qFormat/>
    <w:uiPriority w:val="99"/>
    <w:rPr>
      <w:rFonts w:eastAsia="宋体"/>
      <w:kern w:val="2"/>
      <w:sz w:val="24"/>
      <w:szCs w:val="24"/>
      <w:lang w:val="en-US" w:eastAsia="zh-CN"/>
    </w:rPr>
  </w:style>
  <w:style w:type="character" w:customStyle="1" w:styleId="130">
    <w:name w:val="标题 Char1"/>
    <w:qFormat/>
    <w:uiPriority w:val="99"/>
    <w:rPr>
      <w:rFonts w:ascii="Cambria" w:hAnsi="Cambria" w:eastAsia="宋体" w:cs="Cambria"/>
      <w:b/>
      <w:bCs/>
      <w:sz w:val="32"/>
      <w:szCs w:val="32"/>
    </w:rPr>
  </w:style>
  <w:style w:type="character" w:customStyle="1" w:styleId="131">
    <w:name w:val="Char Char22"/>
    <w:qFormat/>
    <w:uiPriority w:val="99"/>
    <w:rPr>
      <w:rFonts w:ascii="Times New Roman" w:hAnsi="Times New Roman" w:eastAsia="宋体" w:cs="Times New Roman"/>
      <w:b/>
      <w:bCs/>
      <w:kern w:val="44"/>
      <w:sz w:val="44"/>
      <w:szCs w:val="44"/>
    </w:rPr>
  </w:style>
  <w:style w:type="character" w:customStyle="1" w:styleId="132">
    <w:name w:val="明显引用 Char"/>
    <w:link w:val="133"/>
    <w:qFormat/>
    <w:locked/>
    <w:uiPriority w:val="99"/>
    <w:rPr>
      <w:b/>
      <w:bCs/>
      <w:i/>
      <w:iCs/>
      <w:color w:val="4F81BD"/>
    </w:rPr>
  </w:style>
  <w:style w:type="paragraph" w:customStyle="1" w:styleId="133">
    <w:name w:val="明显引用1"/>
    <w:basedOn w:val="1"/>
    <w:next w:val="1"/>
    <w:link w:val="132"/>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4">
    <w:name w:val="标题4 Char Char"/>
    <w:link w:val="135"/>
    <w:qFormat/>
    <w:locked/>
    <w:uiPriority w:val="99"/>
    <w:rPr>
      <w:rFonts w:ascii="Arial" w:hAnsi="Arial" w:cs="Arial"/>
      <w:b/>
      <w:bCs/>
      <w:sz w:val="32"/>
      <w:szCs w:val="32"/>
    </w:rPr>
  </w:style>
  <w:style w:type="paragraph" w:customStyle="1" w:styleId="135">
    <w:name w:val="标题4"/>
    <w:basedOn w:val="4"/>
    <w:next w:val="23"/>
    <w:link w:val="134"/>
    <w:qFormat/>
    <w:uiPriority w:val="99"/>
    <w:pPr>
      <w:spacing w:before="60" w:after="60" w:line="413" w:lineRule="auto"/>
    </w:pPr>
    <w:rPr>
      <w:rFonts w:ascii="Arial" w:hAnsi="Arial"/>
      <w:kern w:val="0"/>
    </w:rPr>
  </w:style>
  <w:style w:type="character" w:customStyle="1" w:styleId="136">
    <w:name w:val="Header Char"/>
    <w:qFormat/>
    <w:uiPriority w:val="99"/>
    <w:rPr>
      <w:rFonts w:eastAsia="宋体"/>
      <w:kern w:val="2"/>
      <w:sz w:val="18"/>
      <w:szCs w:val="18"/>
      <w:lang w:val="en-US" w:eastAsia="zh-CN"/>
    </w:rPr>
  </w:style>
  <w:style w:type="character" w:customStyle="1" w:styleId="137">
    <w:name w:val="明显引用 Char1"/>
    <w:qFormat/>
    <w:uiPriority w:val="99"/>
    <w:rPr>
      <w:rFonts w:ascii="Times New Roman" w:hAnsi="Times New Roman" w:eastAsia="宋体" w:cs="Times New Roman"/>
      <w:b/>
      <w:bCs/>
      <w:i/>
      <w:iCs/>
      <w:color w:val="4F81BD"/>
      <w:sz w:val="24"/>
      <w:szCs w:val="24"/>
    </w:rPr>
  </w:style>
  <w:style w:type="character" w:customStyle="1" w:styleId="138">
    <w:name w:val="Comment Text Char"/>
    <w:qFormat/>
    <w:uiPriority w:val="99"/>
    <w:rPr>
      <w:sz w:val="24"/>
      <w:szCs w:val="24"/>
    </w:rPr>
  </w:style>
  <w:style w:type="character" w:customStyle="1" w:styleId="139">
    <w:name w:val="明显参考1"/>
    <w:qFormat/>
    <w:uiPriority w:val="99"/>
    <w:rPr>
      <w:b/>
      <w:bCs/>
      <w:smallCaps/>
      <w:color w:val="auto"/>
      <w:spacing w:val="5"/>
      <w:u w:val="single"/>
    </w:rPr>
  </w:style>
  <w:style w:type="character" w:customStyle="1" w:styleId="140">
    <w:name w:val="明显强调1"/>
    <w:qFormat/>
    <w:uiPriority w:val="99"/>
    <w:rPr>
      <w:b/>
      <w:bCs/>
      <w:i/>
      <w:iCs/>
      <w:color w:val="4F81BD"/>
    </w:rPr>
  </w:style>
  <w:style w:type="character" w:customStyle="1" w:styleId="141">
    <w:name w:val="引用 Char1"/>
    <w:qFormat/>
    <w:uiPriority w:val="99"/>
    <w:rPr>
      <w:rFonts w:ascii="Times New Roman" w:hAnsi="Times New Roman" w:eastAsia="宋体" w:cs="Times New Roman"/>
      <w:i/>
      <w:iCs/>
      <w:color w:val="000000"/>
      <w:sz w:val="24"/>
      <w:szCs w:val="24"/>
    </w:rPr>
  </w:style>
  <w:style w:type="character" w:customStyle="1" w:styleId="142">
    <w:name w:val="引用 Char"/>
    <w:link w:val="143"/>
    <w:qFormat/>
    <w:locked/>
    <w:uiPriority w:val="99"/>
    <w:rPr>
      <w:i/>
      <w:iCs/>
      <w:color w:val="000000"/>
    </w:rPr>
  </w:style>
  <w:style w:type="paragraph" w:customStyle="1" w:styleId="143">
    <w:name w:val="引用1"/>
    <w:basedOn w:val="1"/>
    <w:next w:val="1"/>
    <w:link w:val="142"/>
    <w:qFormat/>
    <w:uiPriority w:val="99"/>
    <w:rPr>
      <w:i/>
      <w:iCs/>
      <w:color w:val="000000"/>
      <w:kern w:val="0"/>
      <w:sz w:val="20"/>
      <w:szCs w:val="20"/>
    </w:rPr>
  </w:style>
  <w:style w:type="character" w:customStyle="1" w:styleId="144">
    <w:name w:val="标题 Char2"/>
    <w:qFormat/>
    <w:uiPriority w:val="99"/>
    <w:rPr>
      <w:rFonts w:ascii="Cambria" w:hAnsi="Cambria" w:eastAsia="宋体" w:cs="Cambria"/>
      <w:b/>
      <w:bCs/>
      <w:sz w:val="32"/>
      <w:szCs w:val="32"/>
    </w:rPr>
  </w:style>
  <w:style w:type="character" w:customStyle="1" w:styleId="145">
    <w:name w:val="Char Char23"/>
    <w:qFormat/>
    <w:uiPriority w:val="99"/>
    <w:rPr>
      <w:rFonts w:eastAsia="宋体"/>
      <w:b/>
      <w:bCs/>
      <w:kern w:val="44"/>
      <w:sz w:val="44"/>
      <w:szCs w:val="44"/>
      <w:lang w:val="en-US" w:eastAsia="zh-CN"/>
    </w:rPr>
  </w:style>
  <w:style w:type="character" w:customStyle="1" w:styleId="146">
    <w:name w:val="Plain Text Char"/>
    <w:qFormat/>
    <w:uiPriority w:val="99"/>
    <w:rPr>
      <w:rFonts w:ascii="宋体" w:hAnsi="Courier New" w:eastAsia="宋体" w:cs="宋体"/>
      <w:sz w:val="24"/>
      <w:szCs w:val="24"/>
    </w:rPr>
  </w:style>
  <w:style w:type="character" w:customStyle="1" w:styleId="147">
    <w:name w:val="Char Char91"/>
    <w:qFormat/>
    <w:uiPriority w:val="99"/>
    <w:rPr>
      <w:rFonts w:eastAsia="宋体"/>
      <w:b/>
      <w:bCs/>
      <w:kern w:val="44"/>
      <w:sz w:val="44"/>
      <w:szCs w:val="44"/>
      <w:lang w:val="en-US" w:eastAsia="zh-CN"/>
    </w:rPr>
  </w:style>
  <w:style w:type="character" w:customStyle="1" w:styleId="148">
    <w:name w:val="Char Char181"/>
    <w:qFormat/>
    <w:uiPriority w:val="99"/>
    <w:rPr>
      <w:b/>
      <w:bCs/>
      <w:kern w:val="44"/>
      <w:sz w:val="44"/>
      <w:szCs w:val="44"/>
    </w:rPr>
  </w:style>
  <w:style w:type="character" w:customStyle="1" w:styleId="149">
    <w:name w:val="Heading 5 Char"/>
    <w:qFormat/>
    <w:uiPriority w:val="99"/>
    <w:rPr>
      <w:rFonts w:eastAsia="宋体"/>
      <w:b/>
      <w:bCs/>
      <w:kern w:val="2"/>
      <w:sz w:val="28"/>
      <w:szCs w:val="28"/>
      <w:lang w:val="en-US" w:eastAsia="zh-CN"/>
    </w:rPr>
  </w:style>
  <w:style w:type="character" w:customStyle="1" w:styleId="150">
    <w:name w:val="Char Char19"/>
    <w:qFormat/>
    <w:uiPriority w:val="99"/>
    <w:rPr>
      <w:rFonts w:ascii="Arial" w:hAnsi="Arial" w:eastAsia="宋体" w:cs="Arial"/>
      <w:b/>
      <w:bCs/>
      <w:sz w:val="28"/>
      <w:szCs w:val="28"/>
    </w:rPr>
  </w:style>
  <w:style w:type="character" w:customStyle="1" w:styleId="151">
    <w:name w:val="日期 Char1"/>
    <w:qFormat/>
    <w:uiPriority w:val="99"/>
    <w:rPr>
      <w:rFonts w:ascii="Times New Roman" w:hAnsi="Times New Roman" w:eastAsia="宋体" w:cs="Times New Roman"/>
      <w:sz w:val="24"/>
      <w:szCs w:val="24"/>
    </w:rPr>
  </w:style>
  <w:style w:type="character" w:customStyle="1" w:styleId="152">
    <w:name w:val="Date Char"/>
    <w:qFormat/>
    <w:uiPriority w:val="99"/>
    <w:rPr>
      <w:rFonts w:eastAsia="宋体"/>
      <w:kern w:val="2"/>
      <w:sz w:val="24"/>
      <w:szCs w:val="24"/>
      <w:lang w:val="en-US" w:eastAsia="zh-CN"/>
    </w:rPr>
  </w:style>
  <w:style w:type="character" w:customStyle="1" w:styleId="153">
    <w:name w:val="Title Char"/>
    <w:qFormat/>
    <w:uiPriority w:val="99"/>
    <w:rPr>
      <w:rFonts w:ascii="Cambria" w:hAnsi="Cambria" w:cs="Cambria"/>
      <w:b/>
      <w:bCs/>
      <w:sz w:val="32"/>
      <w:szCs w:val="32"/>
    </w:rPr>
  </w:style>
  <w:style w:type="character" w:customStyle="1" w:styleId="154">
    <w:name w:val="书籍标题1"/>
    <w:qFormat/>
    <w:uiPriority w:val="99"/>
    <w:rPr>
      <w:b/>
      <w:bCs/>
      <w:smallCaps/>
      <w:spacing w:val="5"/>
    </w:rPr>
  </w:style>
  <w:style w:type="character" w:customStyle="1" w:styleId="155">
    <w:name w:val="不明显强调1"/>
    <w:qFormat/>
    <w:uiPriority w:val="99"/>
    <w:rPr>
      <w:i/>
      <w:iCs/>
      <w:color w:val="808080"/>
    </w:rPr>
  </w:style>
  <w:style w:type="paragraph" w:customStyle="1" w:styleId="156">
    <w:name w:val="样式1"/>
    <w:basedOn w:val="1"/>
    <w:next w:val="6"/>
    <w:qFormat/>
    <w:uiPriority w:val="99"/>
    <w:pPr>
      <w:spacing w:line="360" w:lineRule="auto"/>
      <w:ind w:firstLine="420" w:firstLineChars="200"/>
    </w:pPr>
    <w:rPr>
      <w:rFonts w:ascii="宋体" w:hAnsi="宋体" w:cs="宋体"/>
      <w:szCs w:val="21"/>
    </w:rPr>
  </w:style>
  <w:style w:type="paragraph" w:customStyle="1" w:styleId="157">
    <w:name w:val="Char Char Char Char Char Char Char"/>
    <w:basedOn w:val="1"/>
    <w:qFormat/>
    <w:uiPriority w:val="99"/>
    <w:pPr>
      <w:widowControl/>
      <w:spacing w:after="160" w:line="240" w:lineRule="exact"/>
      <w:jc w:val="left"/>
    </w:pPr>
    <w:rPr>
      <w:szCs w:val="21"/>
    </w:rPr>
  </w:style>
  <w:style w:type="paragraph" w:customStyle="1" w:styleId="15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9">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0">
    <w:name w:val="TOC 标题1"/>
    <w:basedOn w:val="3"/>
    <w:next w:val="1"/>
    <w:qFormat/>
    <w:uiPriority w:val="99"/>
    <w:pPr>
      <w:spacing w:line="576" w:lineRule="auto"/>
      <w:outlineLvl w:val="9"/>
    </w:pPr>
    <w:rPr>
      <w:rFonts w:ascii="Calibri" w:hAnsi="Calibri" w:eastAsia="黑体" w:cs="Calibri"/>
      <w:lang w:val="zh-CN"/>
    </w:rPr>
  </w:style>
  <w:style w:type="paragraph" w:customStyle="1" w:styleId="161">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62">
    <w:name w:val="p0"/>
    <w:basedOn w:val="1"/>
    <w:qFormat/>
    <w:uiPriority w:val="0"/>
    <w:pPr>
      <w:widowControl/>
    </w:pPr>
    <w:rPr>
      <w:rFonts w:ascii="Calibri" w:hAnsi="Calibri" w:cs="Calibri"/>
      <w:kern w:val="0"/>
      <w:szCs w:val="21"/>
    </w:rPr>
  </w:style>
  <w:style w:type="paragraph" w:customStyle="1" w:styleId="163">
    <w:name w:val="Char"/>
    <w:basedOn w:val="1"/>
    <w:qFormat/>
    <w:uiPriority w:val="99"/>
    <w:pPr>
      <w:widowControl/>
      <w:spacing w:after="160" w:line="240" w:lineRule="exact"/>
      <w:jc w:val="left"/>
    </w:pPr>
    <w:rPr>
      <w:szCs w:val="21"/>
    </w:rPr>
  </w:style>
  <w:style w:type="paragraph" w:customStyle="1" w:styleId="164">
    <w:name w:val="1"/>
    <w:basedOn w:val="1"/>
    <w:next w:val="1"/>
    <w:qFormat/>
    <w:uiPriority w:val="99"/>
    <w:rPr>
      <w:szCs w:val="21"/>
    </w:rPr>
  </w:style>
  <w:style w:type="paragraph" w:customStyle="1" w:styleId="165">
    <w:name w:val="列出段落2"/>
    <w:basedOn w:val="1"/>
    <w:qFormat/>
    <w:uiPriority w:val="99"/>
    <w:pPr>
      <w:ind w:firstLine="420" w:firstLineChars="200"/>
    </w:pPr>
    <w:rPr>
      <w:rFonts w:ascii="Calibri" w:hAnsi="Calibri" w:cs="Calibri"/>
      <w:szCs w:val="21"/>
    </w:rPr>
  </w:style>
  <w:style w:type="paragraph" w:customStyle="1" w:styleId="166">
    <w:name w:val="_Style 163"/>
    <w:qFormat/>
    <w:uiPriority w:val="99"/>
    <w:rPr>
      <w:rFonts w:ascii="Times New Roman" w:hAnsi="Times New Roman" w:eastAsia="宋体" w:cs="Times New Roman"/>
      <w:kern w:val="2"/>
      <w:sz w:val="21"/>
      <w:szCs w:val="21"/>
      <w:lang w:val="en-US" w:eastAsia="zh-CN" w:bidi="ar-SA"/>
    </w:rPr>
  </w:style>
  <w:style w:type="paragraph" w:customStyle="1" w:styleId="167">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8">
    <w:name w:val="修订1"/>
    <w:qFormat/>
    <w:uiPriority w:val="99"/>
    <w:rPr>
      <w:rFonts w:ascii="Times New Roman" w:hAnsi="Times New Roman" w:eastAsia="宋体" w:cs="Times New Roman"/>
      <w:kern w:val="2"/>
      <w:sz w:val="21"/>
      <w:szCs w:val="21"/>
      <w:lang w:val="en-US" w:eastAsia="zh-CN" w:bidi="ar-SA"/>
    </w:rPr>
  </w:style>
  <w:style w:type="paragraph" w:customStyle="1" w:styleId="169">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70">
    <w:name w:val="2-2ji"/>
    <w:basedOn w:val="4"/>
    <w:qFormat/>
    <w:uiPriority w:val="99"/>
    <w:pPr>
      <w:spacing w:before="0" w:after="0" w:line="360" w:lineRule="auto"/>
      <w:jc w:val="center"/>
    </w:pPr>
    <w:rPr>
      <w:rFonts w:ascii="宋体" w:hAnsi="宋体" w:cs="宋体"/>
      <w:sz w:val="36"/>
      <w:szCs w:val="36"/>
      <w:lang w:val="zh-CN"/>
    </w:rPr>
  </w:style>
  <w:style w:type="paragraph" w:customStyle="1" w:styleId="171">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72">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73">
    <w:name w:val="列出段落1"/>
    <w:basedOn w:val="1"/>
    <w:qFormat/>
    <w:uiPriority w:val="99"/>
    <w:pPr>
      <w:ind w:firstLine="420" w:firstLineChars="200"/>
    </w:pPr>
    <w:rPr>
      <w:rFonts w:ascii="Calibri" w:hAnsi="Calibri" w:cs="Calibri"/>
      <w:szCs w:val="21"/>
    </w:rPr>
  </w:style>
  <w:style w:type="paragraph" w:customStyle="1" w:styleId="174">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5">
    <w:name w:val="Char1"/>
    <w:basedOn w:val="1"/>
    <w:qFormat/>
    <w:uiPriority w:val="99"/>
    <w:pPr>
      <w:widowControl/>
      <w:spacing w:after="160" w:line="240" w:lineRule="exact"/>
      <w:jc w:val="left"/>
    </w:pPr>
    <w:rPr>
      <w:szCs w:val="21"/>
    </w:rPr>
  </w:style>
  <w:style w:type="paragraph" w:customStyle="1" w:styleId="176">
    <w:name w:val="_Style 37"/>
    <w:basedOn w:val="1"/>
    <w:next w:val="1"/>
    <w:qFormat/>
    <w:uiPriority w:val="99"/>
    <w:rPr>
      <w:szCs w:val="21"/>
    </w:rPr>
  </w:style>
  <w:style w:type="paragraph" w:customStyle="1" w:styleId="177">
    <w:name w:val="样式 标题 3 + (中文) 黑体 小四 非加粗 段前: 7.8 磅 段后: 0 磅 行距: 固定值 20 磅"/>
    <w:basedOn w:val="5"/>
    <w:qFormat/>
    <w:uiPriority w:val="99"/>
    <w:pPr>
      <w:spacing w:before="0" w:after="0" w:line="400" w:lineRule="exact"/>
    </w:pPr>
    <w:rPr>
      <w:rFonts w:eastAsia="黑体"/>
      <w:b w:val="0"/>
      <w:bCs w:val="0"/>
      <w:lang w:val="zh-CN"/>
    </w:rPr>
  </w:style>
  <w:style w:type="paragraph" w:styleId="17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Body text|1"/>
    <w:basedOn w:val="1"/>
    <w:link w:val="180"/>
    <w:qFormat/>
    <w:uiPriority w:val="0"/>
    <w:pPr>
      <w:spacing w:line="360" w:lineRule="auto"/>
      <w:ind w:firstLine="400"/>
    </w:pPr>
    <w:rPr>
      <w:rFonts w:ascii="宋体" w:hAnsi="宋体" w:cs="宋体"/>
      <w:szCs w:val="20"/>
      <w:lang w:val="zh-CN" w:bidi="zh-CN"/>
    </w:rPr>
  </w:style>
  <w:style w:type="character" w:customStyle="1" w:styleId="180">
    <w:name w:val="Body text|1_"/>
    <w:link w:val="179"/>
    <w:qFormat/>
    <w:uiPriority w:val="0"/>
    <w:rPr>
      <w:rFonts w:ascii="宋体" w:hAnsi="宋体" w:cs="宋体"/>
      <w:kern w:val="2"/>
      <w:sz w:val="21"/>
      <w:lang w:val="zh-CN" w:bidi="zh-CN"/>
    </w:rPr>
  </w:style>
  <w:style w:type="character" w:customStyle="1" w:styleId="181">
    <w:name w:val="Body text|3_"/>
    <w:link w:val="182"/>
    <w:qFormat/>
    <w:uiPriority w:val="0"/>
    <w:rPr>
      <w:rFonts w:ascii="宋体" w:hAnsi="宋体" w:cs="宋体"/>
      <w:lang w:val="zh-CN" w:bidi="zh-CN"/>
    </w:rPr>
  </w:style>
  <w:style w:type="paragraph" w:customStyle="1" w:styleId="182">
    <w:name w:val="Body text|3"/>
    <w:basedOn w:val="1"/>
    <w:link w:val="181"/>
    <w:qFormat/>
    <w:uiPriority w:val="0"/>
    <w:pPr>
      <w:spacing w:after="340"/>
      <w:jc w:val="left"/>
    </w:pPr>
    <w:rPr>
      <w:rFonts w:ascii="宋体" w:hAnsi="宋体" w:cs="宋体"/>
      <w:kern w:val="0"/>
      <w:sz w:val="20"/>
      <w:szCs w:val="20"/>
      <w:lang w:val="zh-CN" w:bidi="zh-CN"/>
    </w:rPr>
  </w:style>
  <w:style w:type="character" w:customStyle="1" w:styleId="183">
    <w:name w:val="Other|1_"/>
    <w:link w:val="184"/>
    <w:qFormat/>
    <w:uiPriority w:val="0"/>
    <w:rPr>
      <w:rFonts w:ascii="宋体" w:hAnsi="宋体" w:cs="宋体"/>
      <w:lang w:val="zh-CN" w:bidi="zh-CN"/>
    </w:rPr>
  </w:style>
  <w:style w:type="paragraph" w:customStyle="1" w:styleId="184">
    <w:name w:val="Other|1"/>
    <w:basedOn w:val="1"/>
    <w:link w:val="183"/>
    <w:qFormat/>
    <w:uiPriority w:val="0"/>
    <w:pPr>
      <w:spacing w:line="360" w:lineRule="auto"/>
      <w:ind w:firstLine="400"/>
      <w:jc w:val="left"/>
    </w:pPr>
    <w:rPr>
      <w:rFonts w:ascii="宋体" w:hAnsi="宋体" w:cs="宋体"/>
      <w:kern w:val="0"/>
      <w:sz w:val="20"/>
      <w:szCs w:val="20"/>
      <w:lang w:val="zh-CN" w:bidi="zh-CN"/>
    </w:rPr>
  </w:style>
  <w:style w:type="character" w:customStyle="1" w:styleId="185">
    <w:name w:val="Table of contents|1_"/>
    <w:link w:val="186"/>
    <w:qFormat/>
    <w:uiPriority w:val="0"/>
    <w:rPr>
      <w:rFonts w:ascii="宋体" w:hAnsi="宋体" w:cs="宋体"/>
      <w:lang w:val="zh-CN" w:bidi="zh-CN"/>
    </w:rPr>
  </w:style>
  <w:style w:type="paragraph" w:customStyle="1" w:styleId="186">
    <w:name w:val="Table of contents|1"/>
    <w:basedOn w:val="1"/>
    <w:link w:val="185"/>
    <w:qFormat/>
    <w:uiPriority w:val="0"/>
    <w:pPr>
      <w:spacing w:after="100"/>
      <w:ind w:firstLine="600"/>
      <w:jc w:val="left"/>
    </w:pPr>
    <w:rPr>
      <w:rFonts w:ascii="宋体" w:hAnsi="宋体" w:cs="宋体"/>
      <w:kern w:val="0"/>
      <w:sz w:val="20"/>
      <w:szCs w:val="20"/>
      <w:lang w:val="zh-CN" w:bidi="zh-CN"/>
    </w:rPr>
  </w:style>
  <w:style w:type="character" w:customStyle="1" w:styleId="187">
    <w:name w:val="Header or footer|1_"/>
    <w:link w:val="188"/>
    <w:qFormat/>
    <w:uiPriority w:val="0"/>
    <w:rPr>
      <w:sz w:val="17"/>
      <w:szCs w:val="17"/>
      <w:lang w:val="zh-CN" w:bidi="zh-CN"/>
    </w:rPr>
  </w:style>
  <w:style w:type="paragraph" w:customStyle="1" w:styleId="188">
    <w:name w:val="Header or footer|1"/>
    <w:basedOn w:val="1"/>
    <w:link w:val="187"/>
    <w:qFormat/>
    <w:uiPriority w:val="0"/>
    <w:pPr>
      <w:jc w:val="center"/>
    </w:pPr>
    <w:rPr>
      <w:kern w:val="0"/>
      <w:sz w:val="17"/>
      <w:szCs w:val="17"/>
      <w:lang w:val="zh-CN" w:bidi="zh-CN"/>
    </w:rPr>
  </w:style>
  <w:style w:type="character" w:customStyle="1" w:styleId="189">
    <w:name w:val="Heading #3|1_"/>
    <w:link w:val="190"/>
    <w:qFormat/>
    <w:uiPriority w:val="0"/>
    <w:rPr>
      <w:rFonts w:ascii="宋体" w:hAnsi="宋体" w:cs="宋体"/>
      <w:sz w:val="28"/>
      <w:szCs w:val="28"/>
      <w:lang w:val="zh-CN" w:bidi="zh-CN"/>
    </w:rPr>
  </w:style>
  <w:style w:type="paragraph" w:customStyle="1" w:styleId="190">
    <w:name w:val="Heading #3|1"/>
    <w:basedOn w:val="1"/>
    <w:link w:val="189"/>
    <w:qFormat/>
    <w:uiPriority w:val="0"/>
    <w:pPr>
      <w:spacing w:after="570"/>
      <w:jc w:val="center"/>
      <w:outlineLvl w:val="2"/>
    </w:pPr>
    <w:rPr>
      <w:rFonts w:ascii="宋体" w:hAnsi="宋体" w:cs="宋体"/>
      <w:kern w:val="0"/>
      <w:sz w:val="28"/>
      <w:szCs w:val="28"/>
      <w:lang w:val="zh-CN" w:bidi="zh-CN"/>
    </w:rPr>
  </w:style>
  <w:style w:type="character" w:customStyle="1" w:styleId="191">
    <w:name w:val="Body text|7_"/>
    <w:link w:val="192"/>
    <w:qFormat/>
    <w:uiPriority w:val="0"/>
    <w:rPr>
      <w:rFonts w:ascii="Courier New" w:hAnsi="Courier New" w:eastAsia="Courier New" w:cs="Courier New"/>
      <w:b/>
      <w:bCs/>
      <w:sz w:val="8"/>
      <w:szCs w:val="8"/>
      <w:lang w:val="zh-CN"/>
    </w:rPr>
  </w:style>
  <w:style w:type="paragraph" w:customStyle="1" w:styleId="192">
    <w:name w:val="Body text|7"/>
    <w:basedOn w:val="1"/>
    <w:link w:val="191"/>
    <w:qFormat/>
    <w:uiPriority w:val="0"/>
    <w:pPr>
      <w:ind w:hanging="1760"/>
      <w:jc w:val="left"/>
    </w:pPr>
    <w:rPr>
      <w:rFonts w:ascii="Courier New" w:hAnsi="Courier New" w:eastAsia="Courier New"/>
      <w:b/>
      <w:bCs/>
      <w:kern w:val="0"/>
      <w:sz w:val="8"/>
      <w:szCs w:val="8"/>
      <w:lang w:val="zh-CN"/>
    </w:rPr>
  </w:style>
  <w:style w:type="character" w:customStyle="1" w:styleId="193">
    <w:name w:val="Body text|4_"/>
    <w:link w:val="194"/>
    <w:qFormat/>
    <w:uiPriority w:val="0"/>
    <w:rPr>
      <w:rFonts w:ascii="宋体" w:hAnsi="宋体" w:cs="宋体"/>
      <w:b/>
      <w:bCs/>
      <w:sz w:val="17"/>
      <w:szCs w:val="17"/>
      <w:lang w:val="zh-CN" w:bidi="zh-CN"/>
    </w:rPr>
  </w:style>
  <w:style w:type="paragraph" w:customStyle="1" w:styleId="194">
    <w:name w:val="Body text|4"/>
    <w:basedOn w:val="1"/>
    <w:link w:val="193"/>
    <w:qFormat/>
    <w:uiPriority w:val="0"/>
    <w:pPr>
      <w:spacing w:line="281" w:lineRule="exact"/>
      <w:jc w:val="center"/>
    </w:pPr>
    <w:rPr>
      <w:rFonts w:ascii="宋体" w:hAnsi="宋体" w:cs="宋体"/>
      <w:b/>
      <w:bCs/>
      <w:kern w:val="0"/>
      <w:sz w:val="17"/>
      <w:szCs w:val="17"/>
      <w:lang w:val="zh-CN" w:bidi="zh-CN"/>
    </w:rPr>
  </w:style>
  <w:style w:type="character" w:customStyle="1" w:styleId="195">
    <w:name w:val="Heading #4|1_"/>
    <w:link w:val="196"/>
    <w:qFormat/>
    <w:uiPriority w:val="0"/>
    <w:rPr>
      <w:rFonts w:ascii="宋体" w:hAnsi="宋体" w:cs="宋体"/>
      <w:lang w:val="zh-CN" w:bidi="zh-CN"/>
    </w:rPr>
  </w:style>
  <w:style w:type="paragraph" w:customStyle="1" w:styleId="196">
    <w:name w:val="Heading #4|1"/>
    <w:basedOn w:val="1"/>
    <w:link w:val="195"/>
    <w:qFormat/>
    <w:uiPriority w:val="0"/>
    <w:pPr>
      <w:spacing w:after="120"/>
      <w:jc w:val="left"/>
      <w:outlineLvl w:val="3"/>
    </w:pPr>
    <w:rPr>
      <w:rFonts w:ascii="宋体" w:hAnsi="宋体" w:cs="宋体"/>
      <w:kern w:val="0"/>
      <w:sz w:val="20"/>
      <w:szCs w:val="20"/>
      <w:lang w:val="zh-CN" w:bidi="zh-CN"/>
    </w:rPr>
  </w:style>
  <w:style w:type="character" w:customStyle="1" w:styleId="197">
    <w:name w:val="Body text|5_"/>
    <w:link w:val="198"/>
    <w:qFormat/>
    <w:uiPriority w:val="0"/>
    <w:rPr>
      <w:rFonts w:ascii="宋体" w:hAnsi="宋体" w:cs="宋体"/>
      <w:sz w:val="52"/>
      <w:szCs w:val="52"/>
      <w:lang w:val="zh-CN" w:bidi="zh-CN"/>
    </w:rPr>
  </w:style>
  <w:style w:type="paragraph" w:customStyle="1" w:styleId="198">
    <w:name w:val="Body text|5"/>
    <w:basedOn w:val="1"/>
    <w:link w:val="197"/>
    <w:qFormat/>
    <w:uiPriority w:val="0"/>
    <w:pPr>
      <w:jc w:val="center"/>
    </w:pPr>
    <w:rPr>
      <w:rFonts w:ascii="宋体" w:hAnsi="宋体" w:cs="宋体"/>
      <w:kern w:val="0"/>
      <w:sz w:val="52"/>
      <w:szCs w:val="52"/>
      <w:lang w:val="zh-CN" w:bidi="zh-CN"/>
    </w:rPr>
  </w:style>
  <w:style w:type="character" w:customStyle="1" w:styleId="199">
    <w:name w:val="Header or footer|2_"/>
    <w:link w:val="200"/>
    <w:qFormat/>
    <w:uiPriority w:val="0"/>
    <w:rPr>
      <w:lang w:val="zh-CN" w:bidi="zh-CN"/>
    </w:rPr>
  </w:style>
  <w:style w:type="paragraph" w:customStyle="1" w:styleId="200">
    <w:name w:val="Header or footer|2"/>
    <w:basedOn w:val="1"/>
    <w:link w:val="199"/>
    <w:qFormat/>
    <w:uiPriority w:val="0"/>
    <w:pPr>
      <w:jc w:val="left"/>
    </w:pPr>
    <w:rPr>
      <w:kern w:val="0"/>
      <w:sz w:val="20"/>
      <w:szCs w:val="20"/>
      <w:lang w:val="zh-CN" w:bidi="zh-CN"/>
    </w:rPr>
  </w:style>
  <w:style w:type="character" w:customStyle="1" w:styleId="201">
    <w:name w:val="Heading #2|1_"/>
    <w:link w:val="202"/>
    <w:qFormat/>
    <w:uiPriority w:val="0"/>
    <w:rPr>
      <w:rFonts w:ascii="宋体" w:hAnsi="宋体" w:cs="宋体"/>
      <w:sz w:val="34"/>
      <w:szCs w:val="34"/>
      <w:lang w:val="zh-CN" w:bidi="zh-CN"/>
    </w:rPr>
  </w:style>
  <w:style w:type="paragraph" w:customStyle="1" w:styleId="202">
    <w:name w:val="Heading #2|1"/>
    <w:basedOn w:val="1"/>
    <w:link w:val="201"/>
    <w:qFormat/>
    <w:uiPriority w:val="0"/>
    <w:pPr>
      <w:spacing w:after="900"/>
      <w:jc w:val="center"/>
      <w:outlineLvl w:val="1"/>
    </w:pPr>
    <w:rPr>
      <w:rFonts w:ascii="宋体" w:hAnsi="宋体" w:cs="宋体"/>
      <w:kern w:val="0"/>
      <w:sz w:val="34"/>
      <w:szCs w:val="34"/>
      <w:lang w:val="zh-CN" w:bidi="zh-CN"/>
    </w:rPr>
  </w:style>
  <w:style w:type="character" w:customStyle="1" w:styleId="203">
    <w:name w:val="Table caption|1_"/>
    <w:link w:val="204"/>
    <w:qFormat/>
    <w:uiPriority w:val="0"/>
    <w:rPr>
      <w:rFonts w:ascii="宋体" w:hAnsi="宋体" w:cs="宋体"/>
      <w:lang w:val="zh-CN" w:bidi="zh-CN"/>
    </w:rPr>
  </w:style>
  <w:style w:type="paragraph" w:customStyle="1" w:styleId="204">
    <w:name w:val="Table caption|1"/>
    <w:basedOn w:val="1"/>
    <w:link w:val="203"/>
    <w:qFormat/>
    <w:uiPriority w:val="0"/>
    <w:pPr>
      <w:jc w:val="left"/>
    </w:pPr>
    <w:rPr>
      <w:rFonts w:ascii="宋体" w:hAnsi="宋体" w:cs="宋体"/>
      <w:kern w:val="0"/>
      <w:sz w:val="20"/>
      <w:szCs w:val="20"/>
      <w:lang w:val="zh-CN" w:bidi="zh-CN"/>
    </w:rPr>
  </w:style>
  <w:style w:type="character" w:customStyle="1" w:styleId="205">
    <w:name w:val="Body text|6_"/>
    <w:link w:val="206"/>
    <w:qFormat/>
    <w:uiPriority w:val="0"/>
    <w:rPr>
      <w:rFonts w:ascii="Arial" w:hAnsi="Arial" w:eastAsia="Arial" w:cs="Arial"/>
      <w:lang w:val="zh-CN"/>
    </w:rPr>
  </w:style>
  <w:style w:type="paragraph" w:customStyle="1" w:styleId="206">
    <w:name w:val="Body text|6"/>
    <w:basedOn w:val="1"/>
    <w:link w:val="205"/>
    <w:qFormat/>
    <w:uiPriority w:val="0"/>
    <w:pPr>
      <w:ind w:hanging="2220"/>
      <w:jc w:val="left"/>
    </w:pPr>
    <w:rPr>
      <w:rFonts w:ascii="Arial" w:hAnsi="Arial" w:eastAsia="Arial"/>
      <w:kern w:val="0"/>
      <w:sz w:val="20"/>
      <w:szCs w:val="20"/>
      <w:lang w:val="zh-CN"/>
    </w:rPr>
  </w:style>
  <w:style w:type="character" w:customStyle="1" w:styleId="207">
    <w:name w:val="Heading #1|1_"/>
    <w:link w:val="208"/>
    <w:qFormat/>
    <w:uiPriority w:val="0"/>
    <w:rPr>
      <w:rFonts w:ascii="宋体" w:hAnsi="宋体" w:cs="宋体"/>
      <w:sz w:val="38"/>
      <w:szCs w:val="38"/>
      <w:lang w:val="zh-CN" w:bidi="zh-CN"/>
    </w:rPr>
  </w:style>
  <w:style w:type="paragraph" w:customStyle="1" w:styleId="208">
    <w:name w:val="Heading #1|1"/>
    <w:basedOn w:val="1"/>
    <w:link w:val="207"/>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209">
    <w:name w:val="Body text|2_"/>
    <w:link w:val="210"/>
    <w:qFormat/>
    <w:uiPriority w:val="0"/>
    <w:rPr>
      <w:sz w:val="21"/>
    </w:rPr>
  </w:style>
  <w:style w:type="paragraph" w:customStyle="1" w:styleId="210">
    <w:name w:val="Body text|2"/>
    <w:basedOn w:val="1"/>
    <w:link w:val="209"/>
    <w:qFormat/>
    <w:uiPriority w:val="0"/>
    <w:pPr>
      <w:spacing w:after="30"/>
      <w:ind w:firstLine="420"/>
      <w:jc w:val="left"/>
    </w:pPr>
    <w:rPr>
      <w:kern w:val="0"/>
      <w:szCs w:val="20"/>
    </w:rPr>
  </w:style>
  <w:style w:type="character" w:styleId="211">
    <w:name w:val="Placeholder Text"/>
    <w:unhideWhenUsed/>
    <w:qFormat/>
    <w:uiPriority w:val="99"/>
    <w:rPr>
      <w:color w:val="808080"/>
    </w:rPr>
  </w:style>
  <w:style w:type="paragraph" w:customStyle="1" w:styleId="212">
    <w:name w:val="正正正正"/>
    <w:basedOn w:val="20"/>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13">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paragraph" w:customStyle="1" w:styleId="214">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174</Words>
  <Characters>205</Characters>
  <Lines>538</Lines>
  <Paragraphs>151</Paragraphs>
  <TotalTime>16</TotalTime>
  <ScaleCrop>false</ScaleCrop>
  <LinksUpToDate>false</LinksUpToDate>
  <CharactersWithSpaces>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2026-01-23T09:19:00Z</dcterms:created>
  <dc:creator>唐冰</dc:creator>
  <cp:lastModifiedBy>jow</cp:lastModifiedBy>
  <cp:lastPrinted>2020-04-03T16:20:00Z</cp:lastPrinted>
  <dcterms:modified xsi:type="dcterms:W3CDTF">2026-01-24T03:12:01Z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E2B6D14B6EF54601882267E13E787B33_13</vt:lpwstr>
  </property>
  <property fmtid="{D5CDD505-2E9C-101B-9397-08002B2CF9AE}" pid="4" name="KSOTemplateDocerSaveRecord">
    <vt:lpwstr>eyJoZGlkIjoiMGI4NGI3MjNjMGU5YjA0Y2Q1NDQzYzIwNzE3NDRkNzQiLCJ1c2VySWQiOiIxNjMwMDk3ODc4In0=</vt:lpwstr>
  </property>
</Properties>
</file>