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0BA05">
      <w:pPr>
        <w:spacing w:before="312" w:beforeLines="100" w:after="156" w:afterLines="50" w:line="600" w:lineRule="exact"/>
        <w:jc w:val="center"/>
        <w:rPr>
          <w:rFonts w:hint="eastAsia" w:ascii="方正小标宋简体" w:hAnsi="宋体" w:eastAsia="方正小标宋简体"/>
          <w:color w:val="auto"/>
          <w:sz w:val="52"/>
          <w:szCs w:val="52"/>
          <w:highlight w:val="none"/>
        </w:rPr>
      </w:pPr>
    </w:p>
    <w:p w14:paraId="1C3A7BA4">
      <w:pPr>
        <w:spacing w:line="360" w:lineRule="auto"/>
        <w:jc w:val="center"/>
        <w:rPr>
          <w:rFonts w:hint="eastAsia" w:ascii="方正小标宋简体" w:hAnsi="宋体" w:eastAsia="方正小标宋简体"/>
          <w:color w:val="auto"/>
          <w:sz w:val="52"/>
          <w:szCs w:val="52"/>
          <w:highlight w:val="none"/>
        </w:rPr>
      </w:pPr>
      <w:bookmarkStart w:id="0" w:name="OLE_LINK1"/>
      <w:r>
        <w:rPr>
          <w:rFonts w:hint="eastAsia" w:ascii="方正小标宋简体" w:hAnsi="宋体" w:eastAsia="方正小标宋简体"/>
          <w:color w:val="auto"/>
          <w:sz w:val="52"/>
          <w:szCs w:val="52"/>
          <w:highlight w:val="none"/>
        </w:rPr>
        <w:t>云之龙咨询集团有限公司</w:t>
      </w:r>
    </w:p>
    <w:bookmarkEnd w:id="0"/>
    <w:p w14:paraId="0AC49480">
      <w:pPr>
        <w:spacing w:before="156" w:beforeLines="50" w:line="360" w:lineRule="auto"/>
        <w:jc w:val="center"/>
        <w:rPr>
          <w:rFonts w:hint="eastAsia" w:ascii="宋体" w:hAnsi="宋体"/>
          <w:i/>
          <w:color w:val="auto"/>
          <w:sz w:val="52"/>
          <w:szCs w:val="52"/>
          <w:highlight w:val="none"/>
        </w:rPr>
      </w:pPr>
    </w:p>
    <w:p w14:paraId="768438B6">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042E1E28">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4F37B05E">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754132A3">
      <w:pPr>
        <w:snapToGrid w:val="0"/>
        <w:spacing w:line="360" w:lineRule="auto"/>
        <w:rPr>
          <w:rFonts w:hint="eastAsia" w:ascii="仿宋_GB2312" w:hAnsi="宋体" w:eastAsia="仿宋_GB2312"/>
          <w:color w:val="auto"/>
          <w:sz w:val="30"/>
          <w:szCs w:val="72"/>
          <w:highlight w:val="none"/>
        </w:rPr>
      </w:pPr>
    </w:p>
    <w:p w14:paraId="341E2229">
      <w:pPr>
        <w:pStyle w:val="12"/>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血液透析滤过机（</w:t>
      </w:r>
      <w:r>
        <w:rPr>
          <w:rFonts w:hint="eastAsia" w:ascii="仿宋_GB2312" w:hAnsi="宋体" w:eastAsia="仿宋_GB2312"/>
          <w:b/>
          <w:bCs/>
          <w:color w:val="auto"/>
          <w:sz w:val="30"/>
          <w:szCs w:val="30"/>
          <w:highlight w:val="none"/>
          <w:lang w:val="en-US" w:eastAsia="zh-CN"/>
        </w:rPr>
        <w:t>重</w:t>
      </w:r>
      <w:r>
        <w:rPr>
          <w:rFonts w:hint="eastAsia" w:ascii="仿宋_GB2312" w:hAnsi="宋体" w:eastAsia="仿宋_GB2312"/>
          <w:b/>
          <w:bCs/>
          <w:color w:val="auto"/>
          <w:sz w:val="30"/>
          <w:szCs w:val="30"/>
          <w:highlight w:val="none"/>
          <w:lang w:eastAsia="zh-CN"/>
        </w:rPr>
        <w:t>）</w:t>
      </w:r>
    </w:p>
    <w:p w14:paraId="759578B3">
      <w:pPr>
        <w:snapToGrid w:val="0"/>
        <w:spacing w:line="360" w:lineRule="auto"/>
        <w:ind w:firstLine="1145" w:firstLineChars="400"/>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WZZC2025-J1-990374-YZLZ</w:t>
      </w:r>
      <w:r>
        <w:rPr>
          <w:rFonts w:hint="eastAsia" w:ascii="仿宋_GB2312" w:hAnsi="宋体" w:eastAsia="仿宋_GB2312"/>
          <w:b/>
          <w:color w:val="auto"/>
          <w:sz w:val="30"/>
          <w:szCs w:val="48"/>
          <w:highlight w:val="none"/>
        </w:rPr>
        <w:t xml:space="preserve"> </w:t>
      </w:r>
    </w:p>
    <w:p w14:paraId="76F5C2BA">
      <w:pPr>
        <w:pStyle w:val="12"/>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梧州市工人医院</w:t>
      </w:r>
      <w:r>
        <w:rPr>
          <w:rFonts w:hint="eastAsia" w:ascii="仿宋_GB2312" w:hAnsi="宋体" w:eastAsia="仿宋_GB2312"/>
          <w:b/>
          <w:bCs/>
          <w:color w:val="auto"/>
          <w:w w:val="95"/>
          <w:sz w:val="30"/>
          <w:szCs w:val="30"/>
          <w:highlight w:val="none"/>
        </w:rPr>
        <w:t xml:space="preserve"> </w:t>
      </w:r>
    </w:p>
    <w:p w14:paraId="159568CB">
      <w:pPr>
        <w:pStyle w:val="12"/>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云之龙咨询集团有限公司</w:t>
      </w:r>
    </w:p>
    <w:p w14:paraId="69047B42">
      <w:pPr>
        <w:pStyle w:val="12"/>
        <w:snapToGrid w:val="0"/>
        <w:spacing w:line="360" w:lineRule="auto"/>
        <w:ind w:firstLine="1125" w:firstLineChars="393"/>
        <w:jc w:val="both"/>
        <w:rPr>
          <w:rFonts w:hint="eastAsia" w:ascii="仿宋_GB2312" w:hAnsi="宋体" w:eastAsia="仿宋_GB2312"/>
          <w:b/>
          <w:bCs/>
          <w:color w:val="auto"/>
          <w:w w:val="95"/>
          <w:sz w:val="30"/>
          <w:szCs w:val="30"/>
          <w:highlight w:val="none"/>
        </w:rPr>
      </w:pPr>
    </w:p>
    <w:p w14:paraId="7D6C725F">
      <w:pPr>
        <w:pStyle w:val="12"/>
        <w:snapToGrid w:val="0"/>
        <w:spacing w:line="360" w:lineRule="auto"/>
        <w:ind w:firstLine="1125" w:firstLineChars="393"/>
        <w:jc w:val="both"/>
        <w:rPr>
          <w:rFonts w:hint="eastAsia" w:ascii="仿宋_GB2312" w:hAnsi="宋体" w:eastAsia="仿宋_GB2312"/>
          <w:b/>
          <w:bCs/>
          <w:color w:val="auto"/>
          <w:w w:val="95"/>
          <w:sz w:val="30"/>
          <w:szCs w:val="30"/>
          <w:highlight w:val="none"/>
        </w:rPr>
      </w:pPr>
    </w:p>
    <w:p w14:paraId="03E0EBCD">
      <w:pPr>
        <w:pStyle w:val="12"/>
        <w:snapToGrid w:val="0"/>
        <w:spacing w:line="360" w:lineRule="auto"/>
        <w:ind w:firstLine="841" w:firstLineChars="294"/>
        <w:rPr>
          <w:rFonts w:hint="eastAsia"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val="en-US" w:eastAsia="zh-CN"/>
        </w:rPr>
        <w:t>2025</w:t>
      </w:r>
      <w:r>
        <w:rPr>
          <w:rFonts w:hint="eastAsia" w:ascii="仿宋_GB2312" w:hAnsi="宋体" w:eastAsia="仿宋_GB2312" w:cs="Times New Roman"/>
          <w:b/>
          <w:bCs/>
          <w:color w:val="auto"/>
          <w:w w:val="95"/>
          <w:sz w:val="30"/>
          <w:szCs w:val="30"/>
          <w:highlight w:val="none"/>
        </w:rPr>
        <w:t>年</w:t>
      </w:r>
      <w:r>
        <w:rPr>
          <w:rFonts w:hint="eastAsia" w:ascii="仿宋_GB2312" w:hAnsi="宋体" w:eastAsia="仿宋_GB2312" w:cs="Times New Roman"/>
          <w:b/>
          <w:bCs/>
          <w:color w:val="auto"/>
          <w:w w:val="95"/>
          <w:sz w:val="30"/>
          <w:szCs w:val="30"/>
          <w:highlight w:val="none"/>
          <w:lang w:val="en-US" w:eastAsia="zh-CN"/>
        </w:rPr>
        <w:t>12</w:t>
      </w:r>
      <w:r>
        <w:rPr>
          <w:rFonts w:hint="eastAsia" w:ascii="仿宋_GB2312" w:hAnsi="宋体" w:eastAsia="仿宋_GB2312" w:cs="Times New Roman"/>
          <w:b/>
          <w:bCs/>
          <w:color w:val="auto"/>
          <w:w w:val="95"/>
          <w:sz w:val="30"/>
          <w:szCs w:val="30"/>
          <w:highlight w:val="none"/>
        </w:rPr>
        <w:t>月</w:t>
      </w:r>
      <w:r>
        <w:rPr>
          <w:rFonts w:hint="eastAsia" w:ascii="仿宋_GB2312" w:hAnsi="宋体" w:eastAsia="仿宋_GB2312" w:cs="Times New Roman"/>
          <w:b/>
          <w:bCs/>
          <w:color w:val="auto"/>
          <w:w w:val="95"/>
          <w:sz w:val="30"/>
          <w:szCs w:val="30"/>
          <w:highlight w:val="none"/>
          <w:lang w:val="en-US" w:eastAsia="zh-CN"/>
        </w:rPr>
        <w:t>31</w:t>
      </w:r>
      <w:r>
        <w:rPr>
          <w:rFonts w:hint="eastAsia" w:ascii="仿宋_GB2312" w:hAnsi="宋体" w:eastAsia="仿宋_GB2312" w:cs="Times New Roman"/>
          <w:b/>
          <w:bCs/>
          <w:color w:val="auto"/>
          <w:w w:val="95"/>
          <w:sz w:val="30"/>
          <w:szCs w:val="30"/>
          <w:highlight w:val="none"/>
        </w:rPr>
        <w:t>日</w:t>
      </w:r>
    </w:p>
    <w:p w14:paraId="7DDEE26F">
      <w:pPr>
        <w:tabs>
          <w:tab w:val="left" w:pos="1080"/>
        </w:tabs>
        <w:spacing w:line="360" w:lineRule="exact"/>
        <w:ind w:firstLine="480"/>
        <w:rPr>
          <w:rFonts w:hint="eastAsia" w:ascii="宋体" w:hAnsi="宋体"/>
          <w:b/>
          <w:color w:val="auto"/>
          <w:sz w:val="44"/>
          <w:szCs w:val="44"/>
          <w:highlight w:val="none"/>
        </w:rPr>
      </w:pPr>
      <w:r>
        <w:rPr>
          <w:rFonts w:ascii="仿宋_GB2312" w:hAnsi="宋体" w:eastAsia="仿宋_GB2312"/>
          <w:b/>
          <w:color w:val="auto"/>
          <w:sz w:val="30"/>
          <w:szCs w:val="30"/>
          <w:highlight w:val="none"/>
        </w:rPr>
        <w:br w:type="page"/>
      </w:r>
    </w:p>
    <w:p w14:paraId="6E83CFFA">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0F9F29A">
      <w:pPr>
        <w:spacing w:line="400" w:lineRule="exact"/>
        <w:jc w:val="center"/>
        <w:rPr>
          <w:rFonts w:hint="eastAsia" w:ascii="宋体" w:hAnsi="宋体"/>
          <w:b/>
          <w:color w:val="auto"/>
          <w:sz w:val="44"/>
          <w:szCs w:val="44"/>
          <w:highlight w:val="none"/>
        </w:rPr>
      </w:pPr>
    </w:p>
    <w:p w14:paraId="732E528A">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"_Toc74322008"</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第一章</w:t>
      </w:r>
      <w:r>
        <w:rPr>
          <w:rStyle w:val="27"/>
          <w:rFonts w:ascii="宋体" w:hAnsi="宋体"/>
          <w:b/>
          <w:color w:val="auto"/>
          <w:sz w:val="24"/>
          <w:highlight w:val="none"/>
        </w:rPr>
        <w:t xml:space="preserve"> </w:t>
      </w:r>
      <w:r>
        <w:rPr>
          <w:rStyle w:val="27"/>
          <w:rFonts w:hint="eastAsia" w:ascii="宋体" w:hAnsi="宋体"/>
          <w:b/>
          <w:color w:val="auto"/>
          <w:sz w:val="24"/>
          <w:highlight w:val="none"/>
        </w:rPr>
        <w:t>竞争性谈判公告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_Toc74322008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2CA440AD">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"_Toc74322009"</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第二章</w:t>
      </w:r>
      <w:r>
        <w:rPr>
          <w:rStyle w:val="27"/>
          <w:rFonts w:ascii="宋体" w:hAnsi="宋体"/>
          <w:b/>
          <w:color w:val="auto"/>
          <w:sz w:val="24"/>
          <w:highlight w:val="none"/>
        </w:rPr>
        <w:t xml:space="preserve"> </w:t>
      </w:r>
      <w:r>
        <w:rPr>
          <w:rStyle w:val="27"/>
          <w:rFonts w:hint="eastAsia" w:ascii="宋体" w:hAnsi="宋体"/>
          <w:b/>
          <w:color w:val="auto"/>
          <w:sz w:val="24"/>
          <w:highlight w:val="none"/>
        </w:rPr>
        <w:t>供应商须知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_Toc74322009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59F78F12">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"_Toc74322010"</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第三章</w:t>
      </w:r>
      <w:r>
        <w:rPr>
          <w:rStyle w:val="27"/>
          <w:rFonts w:ascii="宋体" w:hAnsi="宋体"/>
          <w:b/>
          <w:color w:val="auto"/>
          <w:sz w:val="24"/>
          <w:highlight w:val="none"/>
        </w:rPr>
        <w:t xml:space="preserve"> </w:t>
      </w:r>
      <w:r>
        <w:rPr>
          <w:rStyle w:val="27"/>
          <w:rFonts w:hint="eastAsia" w:ascii="宋体" w:hAnsi="宋体"/>
          <w:b/>
          <w:color w:val="auto"/>
          <w:sz w:val="24"/>
          <w:highlight w:val="none"/>
        </w:rPr>
        <w:t>采购需求</w:t>
      </w:r>
      <w:bookmarkStart w:id="1" w:name="_Hlt82166985"/>
      <w:r>
        <w:rPr>
          <w:rFonts w:ascii="宋体" w:hAnsi="宋体"/>
          <w:b/>
          <w:color w:val="auto"/>
          <w:sz w:val="24"/>
          <w:highlight w:val="none"/>
        </w:rPr>
        <w:tab/>
      </w:r>
      <w:bookmarkEnd w:id="1"/>
      <w:r>
        <w:rPr>
          <w:rFonts w:ascii="宋体" w:hAnsi="宋体"/>
          <w:b/>
          <w:color w:val="auto"/>
          <w:sz w:val="24"/>
          <w:highlight w:val="none"/>
        </w:rPr>
        <w:fldChar w:fldCharType="begin"/>
      </w:r>
      <w:r>
        <w:rPr>
          <w:rFonts w:ascii="宋体" w:hAnsi="宋体"/>
          <w:b/>
          <w:color w:val="auto"/>
          <w:sz w:val="24"/>
          <w:highlight w:val="none"/>
        </w:rPr>
        <w:instrText xml:space="preserve"> PAGEREF _Toc74322010 \h </w:instrText>
      </w:r>
      <w:r>
        <w:rPr>
          <w:rFonts w:ascii="宋体" w:hAnsi="宋体"/>
          <w:b/>
          <w:color w:val="auto"/>
          <w:sz w:val="24"/>
          <w:highlight w:val="none"/>
        </w:rPr>
        <w:fldChar w:fldCharType="separate"/>
      </w:r>
      <w:r>
        <w:rPr>
          <w:rFonts w:ascii="宋体" w:hAnsi="宋体"/>
          <w:b/>
          <w:color w:val="auto"/>
          <w:sz w:val="24"/>
          <w:highlight w:val="none"/>
        </w:rPr>
        <w:t>23</w:t>
      </w:r>
      <w:r>
        <w:rPr>
          <w:rFonts w:ascii="宋体" w:hAnsi="宋体"/>
          <w:b/>
          <w:color w:val="auto"/>
          <w:sz w:val="24"/>
          <w:highlight w:val="none"/>
        </w:rPr>
        <w:fldChar w:fldCharType="end"/>
      </w:r>
      <w:r>
        <w:rPr>
          <w:rFonts w:ascii="宋体" w:hAnsi="宋体"/>
          <w:b/>
          <w:color w:val="auto"/>
          <w:sz w:val="24"/>
          <w:highlight w:val="none"/>
        </w:rPr>
        <w:fldChar w:fldCharType="end"/>
      </w:r>
    </w:p>
    <w:p w14:paraId="792FF365">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"_Toc74322011"</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第四章</w:t>
      </w:r>
      <w:r>
        <w:rPr>
          <w:rStyle w:val="27"/>
          <w:rFonts w:ascii="宋体" w:hAnsi="宋体"/>
          <w:b/>
          <w:color w:val="auto"/>
          <w:sz w:val="24"/>
          <w:highlight w:val="none"/>
        </w:rPr>
        <w:t xml:space="preserve"> </w:t>
      </w:r>
      <w:r>
        <w:rPr>
          <w:rStyle w:val="27"/>
          <w:rFonts w:hint="eastAsia" w:ascii="宋体" w:hAnsi="宋体"/>
          <w:b/>
          <w:color w:val="auto"/>
          <w:sz w:val="24"/>
          <w:highlight w:val="none"/>
        </w:rPr>
        <w:t>评审程序和评定成交的标准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_Toc74322011 \h </w:instrText>
      </w:r>
      <w:r>
        <w:rPr>
          <w:rFonts w:ascii="宋体" w:hAnsi="宋体"/>
          <w:b/>
          <w:color w:val="auto"/>
          <w:sz w:val="24"/>
          <w:highlight w:val="none"/>
        </w:rPr>
        <w:fldChar w:fldCharType="separate"/>
      </w:r>
      <w:r>
        <w:rPr>
          <w:rFonts w:ascii="宋体" w:hAnsi="宋体"/>
          <w:b/>
          <w:color w:val="auto"/>
          <w:sz w:val="24"/>
          <w:highlight w:val="none"/>
        </w:rPr>
        <w:t>33</w:t>
      </w:r>
      <w:r>
        <w:rPr>
          <w:rFonts w:ascii="宋体" w:hAnsi="宋体"/>
          <w:b/>
          <w:color w:val="auto"/>
          <w:sz w:val="24"/>
          <w:highlight w:val="none"/>
        </w:rPr>
        <w:fldChar w:fldCharType="end"/>
      </w:r>
      <w:r>
        <w:rPr>
          <w:rFonts w:ascii="宋体" w:hAnsi="宋体"/>
          <w:b/>
          <w:color w:val="auto"/>
          <w:sz w:val="24"/>
          <w:highlight w:val="none"/>
        </w:rPr>
        <w:fldChar w:fldCharType="end"/>
      </w:r>
    </w:p>
    <w:p w14:paraId="6BC89D76">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"_Toc74322012"</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第五章</w:t>
      </w:r>
      <w:r>
        <w:rPr>
          <w:rStyle w:val="27"/>
          <w:rFonts w:ascii="宋体" w:hAnsi="宋体"/>
          <w:b/>
          <w:color w:val="auto"/>
          <w:sz w:val="24"/>
          <w:highlight w:val="none"/>
        </w:rPr>
        <w:t xml:space="preserve"> </w:t>
      </w:r>
      <w:r>
        <w:rPr>
          <w:rStyle w:val="27"/>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_Toc74322012 \h </w:instrText>
      </w:r>
      <w:r>
        <w:rPr>
          <w:rFonts w:ascii="宋体" w:hAnsi="宋体"/>
          <w:b/>
          <w:color w:val="auto"/>
          <w:sz w:val="24"/>
          <w:highlight w:val="none"/>
        </w:rPr>
        <w:fldChar w:fldCharType="separate"/>
      </w:r>
      <w:r>
        <w:rPr>
          <w:rFonts w:ascii="宋体" w:hAnsi="宋体"/>
          <w:b/>
          <w:color w:val="auto"/>
          <w:sz w:val="24"/>
          <w:highlight w:val="none"/>
        </w:rPr>
        <w:t>39</w:t>
      </w:r>
      <w:r>
        <w:rPr>
          <w:rFonts w:ascii="宋体" w:hAnsi="宋体"/>
          <w:b/>
          <w:color w:val="auto"/>
          <w:sz w:val="24"/>
          <w:highlight w:val="none"/>
        </w:rPr>
        <w:fldChar w:fldCharType="end"/>
      </w:r>
      <w:r>
        <w:rPr>
          <w:rFonts w:ascii="宋体" w:hAnsi="宋体"/>
          <w:b/>
          <w:color w:val="auto"/>
          <w:sz w:val="24"/>
          <w:highlight w:val="none"/>
        </w:rPr>
        <w:fldChar w:fldCharType="end"/>
      </w:r>
    </w:p>
    <w:p w14:paraId="7AA11886">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"_Toc74322013"</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第六章</w:t>
      </w:r>
      <w:r>
        <w:rPr>
          <w:rStyle w:val="27"/>
          <w:rFonts w:ascii="宋体" w:hAnsi="宋体"/>
          <w:b/>
          <w:color w:val="auto"/>
          <w:sz w:val="24"/>
          <w:highlight w:val="none"/>
        </w:rPr>
        <w:t xml:space="preserve"> </w:t>
      </w:r>
      <w:r>
        <w:rPr>
          <w:rStyle w:val="27"/>
          <w:rFonts w:hint="eastAsia" w:ascii="宋体" w:hAnsi="宋体"/>
          <w:b/>
          <w:color w:val="auto"/>
          <w:sz w:val="24"/>
          <w:highlight w:val="none"/>
        </w:rPr>
        <w:t>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_Toc74322013 \h </w:instrText>
      </w:r>
      <w:r>
        <w:rPr>
          <w:rFonts w:ascii="宋体" w:hAnsi="宋体"/>
          <w:b/>
          <w:color w:val="auto"/>
          <w:sz w:val="24"/>
          <w:highlight w:val="none"/>
        </w:rPr>
        <w:fldChar w:fldCharType="separate"/>
      </w:r>
      <w:r>
        <w:rPr>
          <w:rFonts w:ascii="宋体" w:hAnsi="宋体"/>
          <w:b/>
          <w:color w:val="auto"/>
          <w:sz w:val="24"/>
          <w:highlight w:val="none"/>
        </w:rPr>
        <w:t>63</w:t>
      </w:r>
      <w:r>
        <w:rPr>
          <w:rFonts w:ascii="宋体" w:hAnsi="宋体"/>
          <w:b/>
          <w:color w:val="auto"/>
          <w:sz w:val="24"/>
          <w:highlight w:val="none"/>
        </w:rPr>
        <w:fldChar w:fldCharType="end"/>
      </w:r>
      <w:r>
        <w:rPr>
          <w:rFonts w:ascii="宋体" w:hAnsi="宋体"/>
          <w:b/>
          <w:color w:val="auto"/>
          <w:sz w:val="24"/>
          <w:highlight w:val="none"/>
        </w:rPr>
        <w:fldChar w:fldCharType="end"/>
      </w:r>
    </w:p>
    <w:p w14:paraId="4D6AB045">
      <w:pPr>
        <w:pStyle w:val="19"/>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5FA400EA">
      <w:pPr>
        <w:spacing w:line="400" w:lineRule="exact"/>
        <w:jc w:val="left"/>
        <w:rPr>
          <w:rFonts w:hint="eastAsia" w:ascii="宋体" w:hAnsi="宋体"/>
          <w:b/>
          <w:color w:val="auto"/>
          <w:sz w:val="32"/>
          <w:szCs w:val="32"/>
          <w:highlight w:val="none"/>
        </w:rPr>
      </w:pPr>
    </w:p>
    <w:p w14:paraId="0C54052C">
      <w:pPr>
        <w:spacing w:line="400" w:lineRule="exact"/>
        <w:jc w:val="center"/>
        <w:rPr>
          <w:rFonts w:hint="eastAsia" w:ascii="宋体" w:hAnsi="宋体"/>
          <w:b/>
          <w:color w:val="auto"/>
          <w:sz w:val="32"/>
          <w:szCs w:val="32"/>
          <w:highlight w:val="none"/>
        </w:rPr>
      </w:pPr>
    </w:p>
    <w:p w14:paraId="18ED8B32">
      <w:pPr>
        <w:spacing w:line="400" w:lineRule="exact"/>
        <w:jc w:val="center"/>
        <w:rPr>
          <w:rFonts w:hint="eastAsia" w:ascii="宋体" w:hAnsi="宋体"/>
          <w:b/>
          <w:color w:val="auto"/>
          <w:sz w:val="32"/>
          <w:szCs w:val="32"/>
          <w:highlight w:val="none"/>
        </w:rPr>
      </w:pPr>
    </w:p>
    <w:p w14:paraId="7C6D8E58">
      <w:pPr>
        <w:spacing w:line="400" w:lineRule="exact"/>
        <w:jc w:val="center"/>
        <w:rPr>
          <w:rFonts w:hint="eastAsia" w:ascii="宋体" w:hAnsi="宋体"/>
          <w:b/>
          <w:color w:val="auto"/>
          <w:sz w:val="32"/>
          <w:szCs w:val="32"/>
          <w:highlight w:val="none"/>
        </w:rPr>
      </w:pPr>
    </w:p>
    <w:p w14:paraId="212938AC">
      <w:pPr>
        <w:spacing w:line="400" w:lineRule="exact"/>
        <w:jc w:val="center"/>
        <w:rPr>
          <w:rFonts w:hint="eastAsia" w:ascii="宋体" w:hAnsi="宋体"/>
          <w:b/>
          <w:color w:val="auto"/>
          <w:sz w:val="32"/>
          <w:szCs w:val="32"/>
          <w:highlight w:val="none"/>
        </w:rPr>
      </w:pPr>
    </w:p>
    <w:p w14:paraId="2CCC6D49">
      <w:pPr>
        <w:spacing w:line="400" w:lineRule="exact"/>
        <w:rPr>
          <w:rFonts w:hint="eastAsia"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458FF612">
      <w:pPr>
        <w:pStyle w:val="2"/>
        <w:spacing w:after="100" w:line="480" w:lineRule="auto"/>
        <w:jc w:val="center"/>
        <w:rPr>
          <w:rFonts w:hint="eastAsia"/>
          <w:color w:val="auto"/>
          <w:highlight w:val="none"/>
        </w:rPr>
      </w:pPr>
      <w:bookmarkStart w:id="2" w:name="_Toc74322008"/>
      <w:r>
        <w:rPr>
          <w:rFonts w:hint="eastAsia"/>
          <w:color w:val="auto"/>
          <w:highlight w:val="none"/>
        </w:rPr>
        <w:t>第一章 竞争性谈判公告</w:t>
      </w:r>
      <w:bookmarkEnd w:id="2"/>
    </w:p>
    <w:p w14:paraId="52E62BE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竞争性谈判公告</w:t>
      </w:r>
    </w:p>
    <w:p w14:paraId="7A297AFB">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bookmarkStart w:id="3" w:name="_Hlk37430271"/>
      <w:r>
        <w:rPr>
          <w:rFonts w:hint="eastAsia" w:ascii="宋体" w:hAnsi="宋体"/>
          <w:color w:val="auto"/>
          <w:szCs w:val="21"/>
          <w:highlight w:val="none"/>
        </w:rPr>
        <w:t>项目概况</w:t>
      </w:r>
    </w:p>
    <w:p w14:paraId="418B9F5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rPr>
        <w:t>血液透析滤过机（重）</w:t>
      </w:r>
      <w:r>
        <w:rPr>
          <w:rFonts w:hint="eastAsia" w:ascii="宋体" w:hAnsi="宋体"/>
          <w:color w:val="auto"/>
          <w:szCs w:val="21"/>
          <w:highlight w:val="none"/>
        </w:rPr>
        <w:t>采购项目的潜在供应商应在广西政府采购云平台（https://www.gcy.zfcg.gxzf.gov.cn/）获取（下载）竞争性谈判文件，并于</w:t>
      </w:r>
      <w:r>
        <w:rPr>
          <w:rFonts w:hint="eastAsia" w:ascii="宋体" w:hAnsi="宋体"/>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094C21A5">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bookmarkStart w:id="4" w:name="_Toc28359012"/>
      <w:bookmarkStart w:id="5" w:name="_Toc71366040"/>
      <w:bookmarkStart w:id="6" w:name="_Toc35393629"/>
      <w:bookmarkStart w:id="7" w:name="_Toc35393798"/>
      <w:bookmarkStart w:id="8" w:name="_Toc71365362"/>
      <w:bookmarkStart w:id="9" w:name="_Toc28359089"/>
      <w:r>
        <w:rPr>
          <w:rFonts w:hint="eastAsia" w:ascii="黑体" w:hAnsi="黑体" w:eastAsia="黑体"/>
          <w:color w:val="auto"/>
          <w:sz w:val="24"/>
          <w:highlight w:val="none"/>
        </w:rPr>
        <w:t>一、项目基本情况</w:t>
      </w:r>
      <w:bookmarkEnd w:id="4"/>
      <w:bookmarkEnd w:id="5"/>
      <w:bookmarkEnd w:id="6"/>
      <w:bookmarkEnd w:id="7"/>
      <w:bookmarkEnd w:id="8"/>
      <w:bookmarkEnd w:id="9"/>
    </w:p>
    <w:p w14:paraId="6BEAE8F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WZZC2025-J1-990374-YZLZ</w:t>
      </w:r>
    </w:p>
    <w:p w14:paraId="29D3C4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项目名称：血液透析滤过机（重）</w:t>
      </w:r>
    </w:p>
    <w:p w14:paraId="0F75171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采购方式：竞争性谈判</w:t>
      </w:r>
    </w:p>
    <w:p w14:paraId="72D4393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eastAsia="zh-CN"/>
        </w:rPr>
        <w:t>657000.00元</w:t>
      </w:r>
    </w:p>
    <w:p w14:paraId="79835F3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657000.00元</w:t>
      </w:r>
    </w:p>
    <w:p w14:paraId="1496E1D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采购需求：</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1376"/>
        <w:gridCol w:w="930"/>
        <w:gridCol w:w="5630"/>
      </w:tblGrid>
      <w:tr w14:paraId="6F483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77C9802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ascii="宋体" w:hAnsi="宋体"/>
                <w:color w:val="auto"/>
                <w:szCs w:val="21"/>
                <w:highlight w:val="none"/>
                <w:u w:val="single"/>
              </w:rPr>
              <w:t xml:space="preserve"> </w:t>
            </w:r>
            <w:r>
              <w:rPr>
                <w:rFonts w:hint="eastAsia" w:ascii="宋体" w:hAnsi="宋体"/>
                <w:color w:val="auto"/>
                <w:szCs w:val="21"/>
                <w:highlight w:val="none"/>
              </w:rPr>
              <w:t>分标；预算金额：</w:t>
            </w:r>
            <w:r>
              <w:rPr>
                <w:rFonts w:hint="eastAsia" w:ascii="宋体" w:hAnsi="宋体"/>
                <w:color w:val="auto"/>
                <w:szCs w:val="21"/>
                <w:highlight w:val="none"/>
                <w:lang w:eastAsia="zh-CN"/>
              </w:rPr>
              <w:t>657000.00元</w:t>
            </w:r>
          </w:p>
        </w:tc>
      </w:tr>
      <w:tr w14:paraId="3F69F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14:paraId="0EE0CE5E">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EA7C733">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标的的名称</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F0222DF">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数量及</w:t>
            </w:r>
          </w:p>
          <w:p w14:paraId="305C32B9">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单位</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42118E2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简要技术需求或者服务要求</w:t>
            </w:r>
          </w:p>
        </w:tc>
      </w:tr>
      <w:tr w14:paraId="52358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14:paraId="138DB1F0">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01</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4F41101">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lang w:eastAsia="zh-CN"/>
              </w:rPr>
              <w:t>血液透析滤过机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6AEF7DE">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3台</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64C75C38">
            <w:pPr>
              <w:keepNext w:val="0"/>
              <w:keepLines w:val="0"/>
              <w:pageBreakBefore w:val="0"/>
              <w:numPr>
                <w:ilvl w:val="0"/>
                <w:numId w:val="0"/>
              </w:numPr>
              <w:kinsoku/>
              <w:wordWrap/>
              <w:overflowPunct/>
              <w:topLinePunct w:val="0"/>
              <w:autoSpaceDE/>
              <w:autoSpaceDN/>
              <w:bidi w:val="0"/>
              <w:adjustRightInd/>
              <w:snapToGrid w:val="0"/>
              <w:spacing w:line="400" w:lineRule="exact"/>
              <w:jc w:val="both"/>
              <w:textAlignment w:val="auto"/>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.适用于血液透析、在线血液滤过（HF-online）、在线血液透析滤过（HDF-online）、单纯超滤等治疗模式</w:t>
            </w:r>
            <w:r>
              <w:rPr>
                <w:rFonts w:hint="eastAsia" w:ascii="宋体" w:hAnsi="宋体" w:eastAsia="宋体" w:cs="宋体"/>
                <w:color w:val="auto"/>
                <w:sz w:val="21"/>
                <w:szCs w:val="21"/>
                <w:highlight w:val="none"/>
              </w:rPr>
              <w:t>；</w:t>
            </w:r>
            <w:r>
              <w:rPr>
                <w:rFonts w:hint="eastAsia" w:ascii="宋体" w:hAnsi="宋体"/>
                <w:color w:val="auto"/>
                <w:szCs w:val="21"/>
                <w:highlight w:val="none"/>
              </w:rPr>
              <w:t>具体</w:t>
            </w:r>
            <w:r>
              <w:rPr>
                <w:rFonts w:hint="eastAsia" w:ascii="宋体" w:hAnsi="宋体" w:eastAsia="宋体"/>
                <w:color w:val="auto"/>
                <w:szCs w:val="21"/>
                <w:highlight w:val="none"/>
                <w:lang w:val="en-US" w:eastAsia="zh-CN"/>
              </w:rPr>
              <w:t>详见附件：采购需求</w:t>
            </w:r>
            <w:r>
              <w:rPr>
                <w:rFonts w:hint="eastAsia" w:ascii="宋体" w:hAnsi="宋体"/>
                <w:color w:val="auto"/>
                <w:szCs w:val="21"/>
                <w:highlight w:val="none"/>
                <w:lang w:val="en-US" w:eastAsia="zh-CN"/>
              </w:rPr>
              <w:t>。</w:t>
            </w:r>
          </w:p>
        </w:tc>
      </w:tr>
    </w:tbl>
    <w:p w14:paraId="1E3BE8F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自合同签订之日起30天内，需完成全部货物的供货、安装调试，并通过最终验收合格后交付使用。</w:t>
      </w:r>
    </w:p>
    <w:p w14:paraId="6881E4B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4A7DD828">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黑体" w:hAnsi="黑体" w:eastAsia="黑体"/>
          <w:color w:val="auto"/>
          <w:sz w:val="24"/>
          <w:highlight w:val="none"/>
        </w:rPr>
      </w:pPr>
      <w:bookmarkStart w:id="10" w:name="_Toc28359013"/>
      <w:bookmarkStart w:id="11" w:name="_Toc71366041"/>
      <w:bookmarkStart w:id="12" w:name="_Toc28359090"/>
      <w:bookmarkStart w:id="13" w:name="_Toc35393799"/>
      <w:bookmarkStart w:id="14" w:name="_Toc71365363"/>
      <w:bookmarkStart w:id="15" w:name="_Toc35393630"/>
      <w:r>
        <w:rPr>
          <w:rFonts w:hint="eastAsia" w:ascii="黑体" w:hAnsi="黑体" w:eastAsia="黑体"/>
          <w:color w:val="auto"/>
          <w:sz w:val="24"/>
          <w:highlight w:val="none"/>
        </w:rPr>
        <w:t>二、供应商的资格条件：</w:t>
      </w:r>
      <w:bookmarkEnd w:id="10"/>
      <w:bookmarkEnd w:id="11"/>
      <w:bookmarkEnd w:id="12"/>
      <w:bookmarkEnd w:id="13"/>
      <w:bookmarkEnd w:id="14"/>
      <w:bookmarkEnd w:id="15"/>
    </w:p>
    <w:p w14:paraId="1922CB3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bookmarkStart w:id="16" w:name="_Toc28359014"/>
      <w:bookmarkStart w:id="17" w:name="_Toc28359091"/>
      <w:r>
        <w:rPr>
          <w:rFonts w:hint="eastAsia" w:ascii="宋体" w:hAnsi="宋体"/>
          <w:color w:val="auto"/>
          <w:szCs w:val="21"/>
          <w:highlight w:val="none"/>
        </w:rPr>
        <w:t>1.满足《中华人民共和国政府采购法》第二十二条规定；</w:t>
      </w:r>
    </w:p>
    <w:p w14:paraId="5884D93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.落实政府采购政策需满足的资格要求：本项目专门面向中</w:t>
      </w:r>
      <w:r>
        <w:rPr>
          <w:rFonts w:hint="eastAsia" w:ascii="宋体" w:hAnsi="宋体"/>
          <w:color w:val="auto"/>
          <w:szCs w:val="21"/>
          <w:highlight w:val="none"/>
          <w:lang w:val="en-US" w:eastAsia="zh-CN"/>
        </w:rPr>
        <w:t>小</w:t>
      </w:r>
      <w:r>
        <w:rPr>
          <w:rFonts w:hint="eastAsia" w:ascii="宋体" w:hAnsi="宋体"/>
          <w:color w:val="auto"/>
          <w:szCs w:val="21"/>
          <w:highlight w:val="none"/>
        </w:rPr>
        <w:t>企业采购，提供的货物须全部由符合政策要求的</w:t>
      </w:r>
      <w:r>
        <w:rPr>
          <w:rFonts w:hint="eastAsia" w:ascii="宋体" w:hAnsi="宋体"/>
          <w:color w:val="auto"/>
          <w:szCs w:val="21"/>
          <w:highlight w:val="none"/>
          <w:lang w:val="en-US" w:eastAsia="zh-CN"/>
        </w:rPr>
        <w:t>中型、小型、微型</w:t>
      </w:r>
      <w:r>
        <w:rPr>
          <w:rFonts w:hint="eastAsia" w:ascii="宋体" w:hAnsi="宋体"/>
          <w:color w:val="auto"/>
          <w:szCs w:val="21"/>
          <w:highlight w:val="none"/>
        </w:rPr>
        <w:t>企业（包括监狱企业及残疾人福利单位）制造，须提供中小企业声明函【属于残疾人福利性单位的提供残疾人福利性单位声明函，属于监狱企业的提供由省级以上监狱管理局、戒毒管理局（含新疆生产建设兵团）出具的属于监狱企业的证明文件】</w:t>
      </w:r>
      <w:r>
        <w:rPr>
          <w:rFonts w:hint="eastAsia" w:ascii="宋体" w:hAnsi="宋体"/>
          <w:color w:val="auto"/>
          <w:szCs w:val="21"/>
          <w:highlight w:val="none"/>
          <w:lang w:eastAsia="zh-CN"/>
        </w:rPr>
        <w:t>；</w:t>
      </w:r>
    </w:p>
    <w:p w14:paraId="63FC8D8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3.本项目的特定资格要求：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凭证。</w:t>
      </w:r>
    </w:p>
    <w:p w14:paraId="05CE330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黑体" w:hAnsi="黑体" w:eastAsia="黑体"/>
          <w:color w:val="auto"/>
          <w:sz w:val="24"/>
          <w:highlight w:val="none"/>
        </w:rPr>
      </w:pPr>
      <w:bookmarkStart w:id="18" w:name="_Toc71366042"/>
      <w:bookmarkStart w:id="19" w:name="_Toc35393631"/>
      <w:bookmarkStart w:id="20" w:name="_Toc71365364"/>
      <w:bookmarkStart w:id="21" w:name="_Toc35393800"/>
      <w:r>
        <w:rPr>
          <w:rFonts w:hint="eastAsia" w:ascii="黑体" w:hAnsi="黑体" w:eastAsia="黑体"/>
          <w:color w:val="auto"/>
          <w:sz w:val="24"/>
          <w:highlight w:val="none"/>
        </w:rPr>
        <w:t>三、获取竞争性谈判文件</w:t>
      </w:r>
      <w:bookmarkEnd w:id="16"/>
      <w:bookmarkEnd w:id="17"/>
      <w:bookmarkEnd w:id="18"/>
      <w:bookmarkEnd w:id="19"/>
      <w:bookmarkEnd w:id="20"/>
      <w:bookmarkEnd w:id="21"/>
    </w:p>
    <w:p w14:paraId="0A018F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lang w:val="en-US" w:eastAsia="zh-CN"/>
        </w:rPr>
        <w:t>2025</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lang w:val="en-US" w:eastAsia="zh-CN"/>
        </w:rPr>
        <w:t>12</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31</w:t>
      </w:r>
      <w:r>
        <w:rPr>
          <w:rFonts w:hint="eastAsia" w:ascii="宋体" w:hAnsi="宋体" w:eastAsia="宋体" w:cs="宋体"/>
          <w:bCs/>
          <w:color w:val="auto"/>
          <w:kern w:val="0"/>
          <w:szCs w:val="21"/>
          <w:highlight w:val="none"/>
        </w:rPr>
        <w:t>日至</w:t>
      </w:r>
      <w:r>
        <w:rPr>
          <w:rFonts w:hint="eastAsia" w:ascii="宋体" w:hAnsi="宋体" w:eastAsia="宋体" w:cs="宋体"/>
          <w:bCs/>
          <w:color w:val="auto"/>
          <w:kern w:val="0"/>
          <w:szCs w:val="21"/>
          <w:highlight w:val="none"/>
          <w:lang w:val="en-US" w:eastAsia="zh-CN"/>
        </w:rPr>
        <w:t>202</w:t>
      </w: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日，每天上午</w:t>
      </w:r>
      <w:r>
        <w:rPr>
          <w:rFonts w:hint="eastAsia" w:ascii="宋体" w:hAnsi="宋体" w:eastAsia="宋体" w:cs="宋体"/>
          <w:bCs/>
          <w:color w:val="auto"/>
          <w:kern w:val="0"/>
          <w:szCs w:val="21"/>
          <w:highlight w:val="none"/>
          <w:lang w:val="en-US" w:eastAsia="zh-CN"/>
        </w:rPr>
        <w:t>8:00</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lang w:val="en-US" w:eastAsia="zh-CN"/>
        </w:rPr>
        <w:t>12:00</w:t>
      </w:r>
      <w:r>
        <w:rPr>
          <w:rFonts w:hint="eastAsia" w:ascii="宋体" w:hAnsi="宋体" w:eastAsia="宋体" w:cs="宋体"/>
          <w:bCs/>
          <w:color w:val="auto"/>
          <w:kern w:val="0"/>
          <w:szCs w:val="21"/>
          <w:highlight w:val="none"/>
        </w:rPr>
        <w:t>，下午</w:t>
      </w:r>
      <w:r>
        <w:rPr>
          <w:rFonts w:hint="eastAsia" w:ascii="宋体" w:hAnsi="宋体" w:eastAsia="宋体" w:cs="宋体"/>
          <w:bCs/>
          <w:color w:val="auto"/>
          <w:kern w:val="0"/>
          <w:szCs w:val="21"/>
          <w:highlight w:val="none"/>
          <w:lang w:val="en-US" w:eastAsia="zh-CN"/>
        </w:rPr>
        <w:t>3:00</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lang w:val="en-US" w:eastAsia="zh-CN"/>
        </w:rPr>
        <w:t>6:00</w:t>
      </w:r>
      <w:r>
        <w:rPr>
          <w:rFonts w:hint="eastAsia" w:ascii="宋体" w:hAnsi="宋体" w:eastAsia="宋体" w:cs="宋体"/>
          <w:bCs/>
          <w:color w:val="auto"/>
          <w:kern w:val="0"/>
          <w:szCs w:val="21"/>
          <w:highlight w:val="none"/>
        </w:rPr>
        <w:t>（北京时间）</w:t>
      </w:r>
    </w:p>
    <w:p w14:paraId="3920D2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地点：广西政府采购云平台（https://www.gcy.zfcg.gxzf.gov.cn/）</w:t>
      </w:r>
    </w:p>
    <w:p w14:paraId="2B4756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方式：网上下载。本项目不提供纸质文件，潜在供应商需使用账号登录或者使用CA登录广西政府采购云平台（http</w:t>
      </w:r>
      <w:r>
        <w:rPr>
          <w:rFonts w:hint="eastAsia" w:ascii="宋体" w:hAnsi="宋体" w:cs="宋体"/>
          <w:bCs/>
          <w:color w:val="auto"/>
          <w:kern w:val="0"/>
          <w:szCs w:val="21"/>
          <w:highlight w:val="none"/>
        </w:rPr>
        <w:t>s://www.gcy.zfcg.gxzf.gov.cn/）-进入“项目采购”应用，在获取采购文件菜单中选择项目，获取竞争性谈判文件。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155090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 w:val="0"/>
          <w:iCs/>
          <w:color w:val="auto"/>
          <w:szCs w:val="21"/>
          <w:highlight w:val="none"/>
          <w:u w:val="single"/>
        </w:rPr>
        <w:t>0</w:t>
      </w:r>
      <w:r>
        <w:rPr>
          <w:rFonts w:hint="eastAsia" w:ascii="宋体" w:hAnsi="宋体" w:cs="宋体"/>
          <w:color w:val="auto"/>
          <w:szCs w:val="21"/>
          <w:highlight w:val="none"/>
        </w:rPr>
        <w:t>元</w:t>
      </w:r>
    </w:p>
    <w:p w14:paraId="27E37B86">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bookmarkStart w:id="22" w:name="_Toc35393632"/>
      <w:bookmarkStart w:id="23" w:name="_Toc28359092"/>
      <w:bookmarkStart w:id="24" w:name="_Toc28359015"/>
      <w:bookmarkStart w:id="25" w:name="_Toc71365365"/>
      <w:bookmarkStart w:id="26" w:name="_Toc71366043"/>
      <w:bookmarkStart w:id="27" w:name="_Toc35393801"/>
      <w:r>
        <w:rPr>
          <w:rFonts w:hint="eastAsia" w:ascii="黑体" w:hAnsi="黑体" w:eastAsia="黑体"/>
          <w:color w:val="auto"/>
          <w:sz w:val="24"/>
          <w:highlight w:val="none"/>
        </w:rPr>
        <w:t>四、响应文件提交</w:t>
      </w:r>
      <w:bookmarkEnd w:id="22"/>
      <w:bookmarkEnd w:id="23"/>
      <w:bookmarkEnd w:id="24"/>
      <w:bookmarkEnd w:id="25"/>
      <w:bookmarkEnd w:id="26"/>
      <w:bookmarkEnd w:id="27"/>
    </w:p>
    <w:p w14:paraId="72FEB64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bCs/>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rPr>
        <w:t>（北京时间，法定节假日除外）</w:t>
      </w:r>
    </w:p>
    <w:p w14:paraId="6EA5DF17">
      <w:pPr>
        <w:keepNext w:val="0"/>
        <w:keepLines w:val="0"/>
        <w:pageBreakBefore w:val="0"/>
        <w:kinsoku/>
        <w:wordWrap/>
        <w:overflowPunct/>
        <w:topLinePunct w:val="0"/>
        <w:autoSpaceDE/>
        <w:autoSpaceDN/>
        <w:bidi w:val="0"/>
        <w:adjustRightInd/>
        <w:spacing w:line="400" w:lineRule="exact"/>
        <w:ind w:left="422"/>
        <w:textAlignment w:val="auto"/>
        <w:rPr>
          <w:rFonts w:hint="eastAsia"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5A8EC957">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bookmarkStart w:id="28" w:name="_Toc28359016"/>
      <w:bookmarkStart w:id="29" w:name="_Toc28359093"/>
      <w:bookmarkStart w:id="30" w:name="_Toc71366044"/>
      <w:bookmarkStart w:id="31" w:name="_Toc35393802"/>
      <w:bookmarkStart w:id="32" w:name="_Toc35393633"/>
      <w:bookmarkStart w:id="33" w:name="_Toc71365366"/>
      <w:r>
        <w:rPr>
          <w:rFonts w:hint="eastAsia" w:ascii="黑体" w:hAnsi="黑体" w:eastAsia="黑体"/>
          <w:color w:val="auto"/>
          <w:sz w:val="24"/>
          <w:highlight w:val="none"/>
        </w:rPr>
        <w:t>五、开启</w:t>
      </w:r>
      <w:bookmarkEnd w:id="28"/>
      <w:bookmarkEnd w:id="29"/>
      <w:bookmarkEnd w:id="30"/>
      <w:bookmarkEnd w:id="31"/>
      <w:bookmarkEnd w:id="32"/>
      <w:bookmarkEnd w:id="33"/>
    </w:p>
    <w:p w14:paraId="2BDE88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lang w:val="en-US" w:eastAsia="zh-CN"/>
        </w:rPr>
        <w:t>2026年1月7日09：30</w:t>
      </w:r>
      <w:r>
        <w:rPr>
          <w:rFonts w:hint="eastAsia" w:ascii="宋体" w:hAnsi="宋体"/>
          <w:bCs/>
          <w:color w:val="auto"/>
          <w:szCs w:val="21"/>
          <w:highlight w:val="none"/>
          <w:u w:val="single"/>
        </w:rPr>
        <w:t>（北京时间）</w:t>
      </w:r>
    </w:p>
    <w:p w14:paraId="5F7118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2071930A">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bookmarkStart w:id="34" w:name="_Toc35393634"/>
      <w:bookmarkStart w:id="35" w:name="_Toc71365367"/>
      <w:bookmarkStart w:id="36" w:name="_Toc35393803"/>
      <w:bookmarkStart w:id="37" w:name="_Toc28359017"/>
      <w:bookmarkStart w:id="38" w:name="_Toc71366045"/>
      <w:bookmarkStart w:id="39" w:name="_Toc28359094"/>
      <w:r>
        <w:rPr>
          <w:rFonts w:hint="eastAsia" w:ascii="黑体" w:hAnsi="黑体" w:eastAsia="黑体"/>
          <w:color w:val="auto"/>
          <w:sz w:val="24"/>
          <w:highlight w:val="none"/>
        </w:rPr>
        <w:t>六、公告期限</w:t>
      </w:r>
      <w:bookmarkEnd w:id="34"/>
      <w:bookmarkEnd w:id="35"/>
      <w:bookmarkEnd w:id="36"/>
      <w:bookmarkEnd w:id="37"/>
      <w:bookmarkEnd w:id="38"/>
      <w:bookmarkEnd w:id="39"/>
    </w:p>
    <w:p w14:paraId="06B68A0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5CB03755">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bookmarkStart w:id="40" w:name="_Toc71366046"/>
      <w:bookmarkStart w:id="41" w:name="_Toc35393804"/>
      <w:bookmarkStart w:id="42" w:name="_Toc71365368"/>
      <w:bookmarkStart w:id="43" w:name="_Toc35393635"/>
      <w:r>
        <w:rPr>
          <w:rFonts w:hint="eastAsia" w:ascii="黑体" w:hAnsi="黑体" w:eastAsia="黑体"/>
          <w:color w:val="auto"/>
          <w:sz w:val="24"/>
          <w:highlight w:val="none"/>
        </w:rPr>
        <w:t>七、其他补充事宜</w:t>
      </w:r>
      <w:bookmarkEnd w:id="40"/>
      <w:bookmarkEnd w:id="41"/>
      <w:bookmarkEnd w:id="42"/>
      <w:bookmarkEnd w:id="43"/>
    </w:p>
    <w:p w14:paraId="038B03E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0C057CF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www.ccgp.gov.cn（中国政府采购网）、zfcg.gxzf.gov.cn（广西壮族自治区政府采购网）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http://117.141.250.58:10030/info/107809（梧州市政府采购网）</w:t>
      </w:r>
      <w:r>
        <w:rPr>
          <w:rFonts w:hint="eastAsia" w:ascii="宋体" w:hAnsi="宋体" w:cs="宋体"/>
          <w:color w:val="auto"/>
          <w:kern w:val="0"/>
          <w:szCs w:val="21"/>
          <w:highlight w:val="none"/>
          <w:lang w:eastAsia="zh-CN"/>
        </w:rPr>
        <w:t>。</w:t>
      </w:r>
    </w:p>
    <w:p w14:paraId="1781B6A6">
      <w:pPr>
        <w:keepNext w:val="0"/>
        <w:keepLines w:val="0"/>
        <w:pageBreakBefore w:val="0"/>
        <w:kinsoku/>
        <w:wordWrap/>
        <w:overflowPunct/>
        <w:topLinePunct w:val="0"/>
        <w:autoSpaceDE/>
        <w:autoSpaceDN/>
        <w:bidi w:val="0"/>
        <w:adjustRightInd/>
        <w:spacing w:line="400" w:lineRule="exact"/>
        <w:ind w:firstLine="424" w:firstLineChars="202"/>
        <w:textAlignment w:val="auto"/>
        <w:rPr>
          <w:rFonts w:hint="eastAsia" w:ascii="宋体" w:hAnsi="宋体" w:cs="宋体"/>
          <w:color w:val="auto"/>
          <w:kern w:val="0"/>
          <w:szCs w:val="21"/>
          <w:highlight w:val="none"/>
        </w:rPr>
      </w:pPr>
      <w:bookmarkStart w:id="44" w:name="_Hlk37429674"/>
      <w:bookmarkStart w:id="45" w:name="_Toc35393805"/>
      <w:bookmarkStart w:id="46" w:name="_Toc35393636"/>
      <w:bookmarkStart w:id="47" w:name="_Toc71366047"/>
      <w:bookmarkStart w:id="48" w:name="_Toc28359018"/>
      <w:bookmarkStart w:id="49" w:name="_Toc28359095"/>
      <w:bookmarkStart w:id="50" w:name="_Toc71365369"/>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12ABA64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（1）政府采购促进中小企业发展。</w:t>
      </w:r>
    </w:p>
    <w:p w14:paraId="7C72485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（2）政府采购支持采用本国产品的政策。</w:t>
      </w:r>
    </w:p>
    <w:p w14:paraId="74C9579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（3）强制采购节能产品；优先采购节能产品、环境标志产品。</w:t>
      </w:r>
    </w:p>
    <w:p w14:paraId="369CE4F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（4）政府采购促进残疾人就业政策。</w:t>
      </w:r>
    </w:p>
    <w:p w14:paraId="05D0943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（5）政府采购支持监狱企业发展。</w:t>
      </w:r>
    </w:p>
    <w:p w14:paraId="5B2CD31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3CD1EA0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4EED2CCB">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6E8CCE4F">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1B6D09E">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3231F9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w:t>
      </w:r>
      <w:r>
        <w:rPr>
          <w:rFonts w:hint="eastAsia" w:ascii="宋体" w:hAnsi="宋体" w:cs="宋体"/>
          <w:color w:val="auto"/>
          <w:kern w:val="0"/>
          <w:szCs w:val="21"/>
          <w:highlight w:val="none"/>
          <w:lang w:eastAsia="zh-CN"/>
        </w:rPr>
        <w:t>具备</w:t>
      </w:r>
      <w:r>
        <w:rPr>
          <w:rFonts w:hint="eastAsia" w:ascii="宋体" w:hAnsi="宋体" w:cs="宋体"/>
          <w:color w:val="auto"/>
          <w:kern w:val="0"/>
          <w:szCs w:val="21"/>
          <w:highlight w:val="none"/>
        </w:rPr>
        <w:t>摄像头及语音功能且互联网网络状况良好的电脑登录广西政府采购云平台远程开标大厅参与本次谈判，否则后果自负。</w:t>
      </w:r>
    </w:p>
    <w:bookmarkEnd w:id="44"/>
    <w:p w14:paraId="0F2519E5">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5"/>
      <w:bookmarkEnd w:id="46"/>
      <w:bookmarkEnd w:id="47"/>
      <w:bookmarkEnd w:id="48"/>
      <w:bookmarkEnd w:id="49"/>
      <w:bookmarkEnd w:id="50"/>
    </w:p>
    <w:p w14:paraId="6CC8CF0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bookmarkStart w:id="51" w:name="_Toc35393806"/>
      <w:bookmarkStart w:id="52" w:name="_Toc28359019"/>
      <w:bookmarkStart w:id="53" w:name="_Toc28359096"/>
      <w:bookmarkStart w:id="54" w:name="_Toc35393637"/>
      <w:r>
        <w:rPr>
          <w:rFonts w:hint="eastAsia" w:ascii="宋体" w:hAnsi="宋体" w:cs="宋体"/>
          <w:color w:val="auto"/>
          <w:kern w:val="0"/>
          <w:szCs w:val="21"/>
          <w:highlight w:val="none"/>
        </w:rPr>
        <w:t>1.采购人信息</w:t>
      </w:r>
      <w:bookmarkEnd w:id="51"/>
      <w:bookmarkEnd w:id="52"/>
      <w:bookmarkEnd w:id="53"/>
      <w:bookmarkEnd w:id="54"/>
    </w:p>
    <w:p w14:paraId="68953C01">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梧州市工人医院</w:t>
      </w:r>
    </w:p>
    <w:p w14:paraId="19E5CD93">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bCs/>
          <w:color w:val="auto"/>
          <w:szCs w:val="21"/>
          <w:highlight w:val="none"/>
          <w:u w:val="single"/>
        </w:rPr>
      </w:pPr>
      <w:bookmarkStart w:id="55" w:name="_Toc35393807"/>
      <w:bookmarkStart w:id="56" w:name="_Toc35393638"/>
      <w:bookmarkStart w:id="57" w:name="_Toc28359020"/>
      <w:bookmarkStart w:id="58" w:name="_Toc28359097"/>
      <w:r>
        <w:rPr>
          <w:rFonts w:hint="eastAsia" w:ascii="宋体" w:hAnsi="宋体"/>
          <w:bCs/>
          <w:color w:val="auto"/>
          <w:szCs w:val="21"/>
          <w:highlight w:val="none"/>
        </w:rPr>
        <w:t>地    址：</w:t>
      </w:r>
      <w:r>
        <w:rPr>
          <w:rFonts w:hint="eastAsia" w:ascii="宋体" w:hAnsi="宋体"/>
          <w:bCs/>
          <w:color w:val="auto"/>
          <w:szCs w:val="21"/>
          <w:highlight w:val="none"/>
          <w:u w:val="single"/>
        </w:rPr>
        <w:t>广西梧州市高地路南三巷1号</w:t>
      </w:r>
    </w:p>
    <w:p w14:paraId="1AB818CF">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联系方式：</w:t>
      </w:r>
      <w:r>
        <w:rPr>
          <w:rFonts w:hint="eastAsia" w:ascii="宋体" w:hAnsi="宋体"/>
          <w:bCs/>
          <w:color w:val="auto"/>
          <w:szCs w:val="21"/>
          <w:highlight w:val="none"/>
          <w:u w:val="single"/>
        </w:rPr>
        <w:t>叶达明，0774-2030686</w:t>
      </w:r>
    </w:p>
    <w:p w14:paraId="6812313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55"/>
      <w:bookmarkEnd w:id="56"/>
      <w:bookmarkEnd w:id="57"/>
      <w:bookmarkEnd w:id="58"/>
    </w:p>
    <w:p w14:paraId="76C007A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云之龙咨询集团有限公司</w:t>
      </w:r>
    </w:p>
    <w:p w14:paraId="109408E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梧州市新兴三路30号神冠豪都B栋1单元1008号房</w:t>
      </w:r>
    </w:p>
    <w:p w14:paraId="1C2D566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lang w:eastAsia="zh-CN"/>
        </w:rPr>
        <w:t>周子然、陈丽莹</w:t>
      </w:r>
      <w:r>
        <w:rPr>
          <w:rFonts w:hint="eastAsia" w:ascii="宋体" w:hAnsi="宋体"/>
          <w:color w:val="auto"/>
          <w:szCs w:val="21"/>
          <w:highlight w:val="none"/>
          <w:u w:val="single"/>
        </w:rPr>
        <w:t>，0774-3859935</w:t>
      </w:r>
    </w:p>
    <w:p w14:paraId="1A913C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bookmarkStart w:id="59" w:name="_Toc28359021"/>
      <w:bookmarkStart w:id="60" w:name="_Toc35393639"/>
      <w:bookmarkStart w:id="61" w:name="_Toc35393808"/>
      <w:bookmarkStart w:id="62" w:name="_Toc28359098"/>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9"/>
      <w:bookmarkEnd w:id="60"/>
      <w:bookmarkEnd w:id="61"/>
      <w:bookmarkEnd w:id="62"/>
    </w:p>
    <w:p w14:paraId="6CDFF520">
      <w:pPr>
        <w:pStyle w:val="7"/>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u w:val="none"/>
          <w:lang w:val="en-US" w:eastAsia="zh-CN"/>
        </w:rPr>
      </w:pPr>
      <w:r>
        <w:rPr>
          <w:rFonts w:hint="eastAsia" w:hAnsi="宋体"/>
          <w:color w:val="auto"/>
          <w:sz w:val="21"/>
          <w:highlight w:val="none"/>
        </w:rPr>
        <w:t>项目联系人：</w:t>
      </w:r>
      <w:r>
        <w:rPr>
          <w:rFonts w:hint="eastAsia" w:hAnsi="宋体"/>
          <w:color w:val="auto"/>
          <w:sz w:val="21"/>
          <w:highlight w:val="none"/>
          <w:u w:val="single"/>
          <w:lang w:eastAsia="zh-CN"/>
        </w:rPr>
        <w:t>周子然、陈丽莹</w:t>
      </w:r>
      <w:r>
        <w:rPr>
          <w:rFonts w:hint="eastAsia" w:hAnsi="宋体"/>
          <w:color w:val="auto"/>
          <w:sz w:val="21"/>
          <w:highlight w:val="none"/>
          <w:u w:val="single"/>
          <w:lang w:val="en-US" w:eastAsia="zh-CN"/>
        </w:rPr>
        <w:t xml:space="preserve">  </w:t>
      </w:r>
      <w:r>
        <w:rPr>
          <w:rFonts w:hint="eastAsia" w:ascii="宋体" w:hAnsi="宋体"/>
          <w:color w:val="auto"/>
          <w:szCs w:val="21"/>
          <w:highlight w:val="none"/>
        </w:rPr>
        <w:t>电　　话：</w:t>
      </w:r>
      <w:r>
        <w:rPr>
          <w:rFonts w:hint="eastAsia" w:ascii="宋体" w:hAnsi="宋体"/>
          <w:color w:val="auto"/>
          <w:szCs w:val="21"/>
          <w:highlight w:val="none"/>
          <w:u w:val="single"/>
        </w:rPr>
        <w:t>0774-3859935</w:t>
      </w:r>
      <w:r>
        <w:rPr>
          <w:rFonts w:hint="eastAsia" w:ascii="宋体" w:hAnsi="宋体"/>
          <w:color w:val="auto"/>
          <w:szCs w:val="21"/>
          <w:highlight w:val="none"/>
          <w:u w:val="none"/>
          <w:lang w:val="en-US" w:eastAsia="zh-CN"/>
        </w:rPr>
        <w:t xml:space="preserve"> </w:t>
      </w:r>
    </w:p>
    <w:p w14:paraId="6F4AD659">
      <w:pPr>
        <w:pStyle w:val="7"/>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eastAsia="宋体"/>
          <w:color w:val="auto"/>
          <w:highlight w:val="none"/>
          <w:lang w:val="en-US" w:eastAsia="zh-CN"/>
        </w:rPr>
      </w:pPr>
      <w:r>
        <w:rPr>
          <w:rFonts w:hint="eastAsia"/>
          <w:color w:val="auto"/>
          <w:highlight w:val="none"/>
          <w:lang w:val="en-US" w:eastAsia="zh-CN"/>
        </w:rPr>
        <w:t>附件：采购需求</w:t>
      </w:r>
    </w:p>
    <w:bookmarkEnd w:id="3"/>
    <w:p w14:paraId="65608862">
      <w:pPr>
        <w:pStyle w:val="2"/>
        <w:jc w:val="center"/>
        <w:rPr>
          <w:rFonts w:hint="eastAsia"/>
          <w:color w:val="auto"/>
          <w:highlight w:val="none"/>
        </w:rPr>
      </w:pPr>
      <w:bookmarkStart w:id="63" w:name="_Toc74322009"/>
      <w:r>
        <w:rPr>
          <w:rFonts w:hint="eastAsia"/>
          <w:color w:val="auto"/>
          <w:highlight w:val="none"/>
        </w:rPr>
        <w:br w:type="page"/>
      </w:r>
      <w:r>
        <w:rPr>
          <w:rFonts w:hint="eastAsia"/>
          <w:color w:val="auto"/>
          <w:highlight w:val="none"/>
        </w:rPr>
        <w:t>第二章 供应商须知</w:t>
      </w:r>
      <w:bookmarkEnd w:id="63"/>
    </w:p>
    <w:p w14:paraId="1575EB26">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63AD147E">
      <w:pPr>
        <w:spacing w:line="400" w:lineRule="exact"/>
        <w:jc w:val="center"/>
        <w:rPr>
          <w:rFonts w:hint="eastAsia" w:ascii="宋体" w:hAnsi="宋体"/>
          <w:b/>
          <w:color w:val="auto"/>
          <w:sz w:val="32"/>
          <w:szCs w:val="32"/>
          <w:highlight w:val="none"/>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751D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187DF09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0120924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7299E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5D45A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13BE8D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75B8CCA0">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3224EE0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52AFB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ECDF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AABF2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597CA9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5ACEB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FC3C2A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noWrap w:val="0"/>
            <w:vAlign w:val="center"/>
          </w:tcPr>
          <w:p w14:paraId="43B30A27">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r>
              <w:rPr>
                <w:rFonts w:hint="eastAsia" w:ascii="宋体" w:hAnsi="宋体"/>
                <w:color w:val="auto"/>
                <w:szCs w:val="21"/>
                <w:highlight w:val="none"/>
                <w:lang w:eastAsia="zh-CN"/>
              </w:rPr>
              <w:t>无</w:t>
            </w:r>
          </w:p>
        </w:tc>
      </w:tr>
      <w:tr w14:paraId="5CB88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63CAD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49A5B6F9">
            <w:pPr>
              <w:pStyle w:val="7"/>
              <w:spacing w:line="360" w:lineRule="auto"/>
              <w:rPr>
                <w:rFonts w:hint="eastAsia"/>
                <w:color w:val="auto"/>
                <w:highlight w:val="none"/>
                <w:lang w:val="en-US" w:eastAsia="zh-CN"/>
              </w:rPr>
            </w:pPr>
            <w:r>
              <w:rPr>
                <w:rFonts w:hint="eastAsia"/>
                <w:color w:val="auto"/>
                <w:highlight w:val="none"/>
                <w:lang w:val="en-US" w:eastAsia="zh-CN"/>
              </w:rPr>
              <w:t>☑不允许分包</w:t>
            </w:r>
          </w:p>
          <w:p w14:paraId="26646C89">
            <w:pPr>
              <w:pStyle w:val="7"/>
              <w:spacing w:line="360" w:lineRule="auto"/>
              <w:rPr>
                <w:rFonts w:hint="eastAsia"/>
                <w:color w:val="auto"/>
                <w:highlight w:val="none"/>
                <w:lang w:val="en-US" w:eastAsia="zh-CN"/>
              </w:rPr>
            </w:pPr>
            <w:r>
              <w:rPr>
                <w:rFonts w:hint="eastAsia"/>
                <w:color w:val="auto"/>
                <w:highlight w:val="none"/>
                <w:lang w:val="en-US" w:eastAsia="zh-CN"/>
              </w:rPr>
              <w:t>□允许分包</w:t>
            </w:r>
          </w:p>
          <w:p w14:paraId="007F66A8">
            <w:pPr>
              <w:pStyle w:val="7"/>
              <w:spacing w:line="360" w:lineRule="auto"/>
              <w:rPr>
                <w:rFonts w:hint="eastAsia"/>
                <w:color w:val="auto"/>
                <w:highlight w:val="none"/>
                <w:u w:val="single"/>
                <w:lang w:val="en-US" w:eastAsia="zh-CN"/>
              </w:rPr>
            </w:pPr>
            <w:r>
              <w:rPr>
                <w:rFonts w:hint="eastAsia"/>
                <w:color w:val="auto"/>
                <w:highlight w:val="none"/>
                <w:lang w:val="en-US" w:eastAsia="zh-CN"/>
              </w:rPr>
              <w:t>分包内容：</w:t>
            </w:r>
            <w:r>
              <w:rPr>
                <w:rFonts w:hint="eastAsia"/>
                <w:color w:val="auto"/>
                <w:highlight w:val="none"/>
                <w:u w:val="single"/>
                <w:lang w:val="en-US" w:eastAsia="zh-CN"/>
              </w:rPr>
              <w:t xml:space="preserve">                                     。</w:t>
            </w:r>
          </w:p>
          <w:p w14:paraId="4F24F091">
            <w:pPr>
              <w:pStyle w:val="7"/>
              <w:spacing w:line="360" w:lineRule="auto"/>
              <w:rPr>
                <w:rFonts w:hint="eastAsia"/>
                <w:color w:val="auto"/>
                <w:highlight w:val="none"/>
                <w:u w:val="single"/>
                <w:lang w:val="en-US" w:eastAsia="zh-CN"/>
              </w:rPr>
            </w:pPr>
            <w:r>
              <w:rPr>
                <w:rFonts w:hint="eastAsia"/>
                <w:color w:val="auto"/>
                <w:highlight w:val="none"/>
                <w:lang w:val="en-US" w:eastAsia="zh-CN"/>
              </w:rPr>
              <w:t>分包金额或者比例：</w:t>
            </w:r>
            <w:r>
              <w:rPr>
                <w:rFonts w:hint="eastAsia"/>
                <w:color w:val="auto"/>
                <w:highlight w:val="none"/>
                <w:u w:val="single"/>
                <w:lang w:val="en-US" w:eastAsia="zh-CN"/>
              </w:rPr>
              <w:t xml:space="preserve">                                     。</w:t>
            </w:r>
          </w:p>
          <w:p w14:paraId="42F5B006">
            <w:pPr>
              <w:pStyle w:val="7"/>
              <w:spacing w:line="360" w:lineRule="auto"/>
              <w:rPr>
                <w:rFonts w:hint="eastAsia"/>
                <w:color w:val="auto"/>
                <w:highlight w:val="none"/>
                <w:u w:val="single"/>
                <w:lang w:val="en-US" w:eastAsia="zh-CN"/>
              </w:rPr>
            </w:pPr>
            <w:r>
              <w:rPr>
                <w:rFonts w:hint="eastAsia" w:ascii="宋体" w:hAnsi="宋体"/>
                <w:color w:val="auto"/>
                <w:szCs w:val="21"/>
                <w:highlight w:val="none"/>
                <w:lang w:val="en-US" w:eastAsia="zh-CN"/>
              </w:rPr>
              <w:t>分包供应商必须具备的资质：</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w:t>
            </w:r>
          </w:p>
        </w:tc>
      </w:tr>
      <w:tr w14:paraId="7AB1F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71A6B1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7912" w:type="dxa"/>
            <w:noWrap w:val="0"/>
            <w:vAlign w:val="center"/>
          </w:tcPr>
          <w:p w14:paraId="5D68FD8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w:t>
            </w:r>
            <w:r>
              <w:rPr>
                <w:rFonts w:hint="eastAsia" w:ascii="宋体" w:hAnsi="宋体"/>
                <w:color w:val="auto"/>
                <w:szCs w:val="21"/>
                <w:highlight w:val="none"/>
                <w:lang w:eastAsia="zh-CN"/>
              </w:rPr>
              <w:t>成交供应商</w:t>
            </w:r>
            <w:r>
              <w:rPr>
                <w:rFonts w:hint="eastAsia" w:ascii="宋体" w:hAnsi="宋体"/>
                <w:color w:val="auto"/>
                <w:szCs w:val="21"/>
                <w:highlight w:val="none"/>
              </w:rPr>
              <w:t>推荐资格：</w:t>
            </w:r>
          </w:p>
          <w:p w14:paraId="1C76AB2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p w14:paraId="3D159633">
            <w:pPr>
              <w:pStyle w:val="7"/>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☑技术参数正偏离项数多的优先、均无正偏离或正偏离项数一致时负偏离项数少的优先、保修期长优先、交付时间（交货期）短优先、响应时间短优先的顺序排列。</w:t>
            </w:r>
          </w:p>
        </w:tc>
      </w:tr>
      <w:tr w14:paraId="3B39D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008DA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14:paraId="5D9FFF21">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0BFD5DC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w:t>
            </w:r>
            <w:r>
              <w:rPr>
                <w:rFonts w:hint="eastAsia" w:ascii="宋体" w:hAnsi="宋体" w:cs="宋体"/>
                <w:b/>
                <w:bCs/>
                <w:color w:val="auto"/>
                <w:szCs w:val="21"/>
                <w:highlight w:val="none"/>
              </w:rPr>
              <w:t>营业执照等证明文件</w:t>
            </w:r>
            <w:r>
              <w:rPr>
                <w:rFonts w:hint="eastAsia" w:ascii="宋体" w:hAnsi="宋体" w:cs="宋体"/>
                <w:color w:val="auto"/>
                <w:szCs w:val="21"/>
                <w:highlight w:val="none"/>
              </w:rPr>
              <w:t>（如营业执照或者事业单位法人证书或者执业许可证或者登记证书等），供应商为自然人的提供其身份证复印件；（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A0E5DAB">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F0337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专用收据、社会保险缴纳清单或者社保部门的证明</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BB95805">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color w:val="auto"/>
                <w:szCs w:val="21"/>
                <w:highlight w:val="none"/>
              </w:rPr>
              <w:t>年</w:t>
            </w:r>
            <w:r>
              <w:rPr>
                <w:rFonts w:hint="eastAsia"/>
                <w:color w:val="auto"/>
                <w:szCs w:val="21"/>
                <w:highlight w:val="none"/>
              </w:rPr>
              <w:t>度财务报表复印件，或者银行出具的资信证明，或者中国人民银行征信中心出具的信用报告（企业竞标的提供企业信用报告，自然人竞标的提供个人信用报告）；供应商属于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w:t>
            </w:r>
            <w:r>
              <w:rPr>
                <w:color w:val="auto"/>
                <w:highlight w:val="none"/>
              </w:rPr>
              <w:t>时间</w:t>
            </w:r>
            <w:r>
              <w:rPr>
                <w:rFonts w:hint="eastAsia"/>
                <w:color w:val="auto"/>
                <w:kern w:val="0"/>
                <w:highlight w:val="none"/>
              </w:rPr>
              <w:t>在规定年度之后</w:t>
            </w:r>
            <w:r>
              <w:rPr>
                <w:color w:val="auto"/>
                <w:highlight w:val="none"/>
              </w:rPr>
              <w:t>的</w:t>
            </w:r>
            <w:r>
              <w:rPr>
                <w:rFonts w:hint="eastAsia"/>
                <w:color w:val="auto"/>
                <w:szCs w:val="21"/>
                <w:highlight w:val="none"/>
              </w:rPr>
              <w:t>法人或其他组织</w:t>
            </w:r>
            <w:r>
              <w:rPr>
                <w:color w:val="auto"/>
                <w:highlight w:val="none"/>
              </w:rPr>
              <w:t>，需提供成立</w:t>
            </w:r>
            <w:r>
              <w:rPr>
                <w:rFonts w:hint="eastAsia"/>
                <w:color w:val="auto"/>
                <w:highlight w:val="none"/>
              </w:rPr>
              <w:t>之日起至响应文件提交截止时间前</w:t>
            </w:r>
            <w:r>
              <w:rPr>
                <w:color w:val="auto"/>
                <w:highlight w:val="none"/>
              </w:rPr>
              <w:t>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73D39A8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5A36C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 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0EF96D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 竞标声明（格式后附）；（</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1BB0739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.（1）采购标的</w:t>
            </w:r>
            <w:r>
              <w:rPr>
                <w:rFonts w:hint="eastAsia" w:ascii="宋体" w:hAnsi="宋体" w:cs="宋体"/>
                <w:color w:val="auto"/>
                <w:szCs w:val="21"/>
                <w:highlight w:val="none"/>
                <w:lang w:val="en-US" w:eastAsia="zh-CN"/>
              </w:rPr>
              <w:t>包含</w:t>
            </w:r>
            <w:r>
              <w:rPr>
                <w:rFonts w:hint="eastAsia" w:ascii="宋体" w:hAnsi="宋体" w:cs="宋体"/>
                <w:color w:val="auto"/>
                <w:szCs w:val="21"/>
                <w:highlight w:val="none"/>
              </w:rPr>
              <w:t>第二类医疗器械的，应提供供应商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1444B68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（2）采购标的</w:t>
            </w:r>
            <w:r>
              <w:rPr>
                <w:rFonts w:hint="eastAsia" w:ascii="宋体" w:hAnsi="宋体" w:cs="宋体"/>
                <w:color w:val="auto"/>
                <w:szCs w:val="21"/>
                <w:highlight w:val="none"/>
                <w:lang w:val="en-US" w:eastAsia="zh-CN"/>
              </w:rPr>
              <w:t>包含</w:t>
            </w:r>
            <w:r>
              <w:rPr>
                <w:rFonts w:hint="eastAsia" w:ascii="宋体" w:hAnsi="宋体" w:cs="宋体"/>
                <w:color w:val="auto"/>
                <w:szCs w:val="21"/>
                <w:highlight w:val="none"/>
              </w:rPr>
              <w:t>第三类医疗器械的，应提供供应商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3E587B6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如采购标的有</w:t>
            </w:r>
            <w:r>
              <w:rPr>
                <w:rFonts w:hint="eastAsia" w:ascii="宋体" w:hAnsi="宋体" w:cs="宋体"/>
                <w:color w:val="auto"/>
                <w:szCs w:val="21"/>
                <w:highlight w:val="none"/>
              </w:rPr>
              <w:t>第二类医疗器械</w:t>
            </w:r>
            <w:r>
              <w:rPr>
                <w:rFonts w:hint="eastAsia" w:ascii="宋体" w:hAnsi="宋体" w:cs="宋体"/>
                <w:color w:val="auto"/>
                <w:szCs w:val="21"/>
                <w:highlight w:val="none"/>
                <w:lang w:val="en-US" w:eastAsia="zh-CN"/>
              </w:rPr>
              <w:t>也有</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类医疗器械</w:t>
            </w:r>
            <w:r>
              <w:rPr>
                <w:rFonts w:hint="eastAsia" w:ascii="宋体" w:hAnsi="宋体" w:cs="宋体"/>
                <w:color w:val="auto"/>
                <w:szCs w:val="21"/>
                <w:highlight w:val="none"/>
                <w:lang w:val="en-US" w:eastAsia="zh-CN"/>
              </w:rPr>
              <w:t>的，应按上述要求同时提供</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52914F0">
            <w:pPr>
              <w:snapToGrid w:val="0"/>
              <w:spacing w:line="360" w:lineRule="auto"/>
              <w:jc w:val="left"/>
              <w:rPr>
                <w:rFonts w:hint="eastAsia" w:eastAsia="宋体"/>
                <w:color w:val="auto"/>
                <w:highlight w:val="none"/>
                <w:lang w:eastAsia="zh-CN"/>
              </w:rPr>
            </w:pPr>
            <w:r>
              <w:rPr>
                <w:rFonts w:hint="eastAsia" w:ascii="宋体" w:hAnsi="宋体"/>
                <w:color w:val="auto"/>
                <w:szCs w:val="21"/>
                <w:highlight w:val="none"/>
                <w:lang w:val="en-US" w:eastAsia="zh-CN"/>
              </w:rPr>
              <w:t>9.《中小企业声明函》（格式后附）；</w:t>
            </w:r>
            <w:r>
              <w:rPr>
                <w:rFonts w:hint="eastAsia"/>
                <w:color w:val="auto"/>
                <w:highlight w:val="none"/>
              </w:rPr>
              <w:t>【如属于残疾人福利性单位的提供残疾人福利性单位声明函，属于监狱企业的提供由省级以上监狱管理局、戒毒管理局（含新疆生产建设兵团）出具的属于监狱企业的证明文件】</w:t>
            </w:r>
            <w:r>
              <w:rPr>
                <w:rFonts w:hint="eastAsia"/>
                <w:color w:val="auto"/>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1B27B17E">
            <w:pPr>
              <w:snapToGrid w:val="0"/>
              <w:spacing w:line="360" w:lineRule="auto"/>
              <w:jc w:val="left"/>
              <w:rPr>
                <w:rFonts w:hint="eastAsia" w:ascii="宋体" w:hAnsi="宋体" w:eastAsia="宋体"/>
                <w:i/>
                <w:color w:val="auto"/>
                <w:szCs w:val="21"/>
                <w:highlight w:val="none"/>
                <w:lang w:eastAsia="zh-CN"/>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除谈判文件规定必须提供以外，供应商认为需要提供的其他证明材料</w:t>
            </w:r>
            <w:r>
              <w:rPr>
                <w:rFonts w:hint="eastAsia" w:ascii="宋体" w:hAnsi="宋体" w:cs="宋体"/>
                <w:color w:val="auto"/>
                <w:szCs w:val="21"/>
                <w:highlight w:val="none"/>
                <w:lang w:eastAsia="zh-CN"/>
              </w:rPr>
              <w:t>。</w:t>
            </w:r>
          </w:p>
          <w:p w14:paraId="37ACA918">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132DFCD4">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p>
        </w:tc>
      </w:tr>
      <w:tr w14:paraId="2D561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33E56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54F653B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2714DB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0102A2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2.供应商认为需要提供的其他有关资料。</w:t>
            </w:r>
          </w:p>
        </w:tc>
      </w:tr>
      <w:tr w14:paraId="13191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16962E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0"/>
            <w:vAlign w:val="center"/>
          </w:tcPr>
          <w:p w14:paraId="3754B85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商务技术文件</w:t>
            </w:r>
          </w:p>
          <w:p w14:paraId="6B209D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5E27904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3CF02B50">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3253B7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75ACC2B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038C5C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6A924F8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7.货物配置清单（均不含报价）（格式后附）；（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5A25CC8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8.技术要求偏离表（格式后附）；（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2B8E928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.供应商认为需要提供的其他有关资料。</w:t>
            </w:r>
          </w:p>
          <w:p w14:paraId="0D813927">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p>
        </w:tc>
      </w:tr>
      <w:tr w14:paraId="0FAF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8D10E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5304494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竞标报价</w:t>
            </w:r>
            <w:r>
              <w:rPr>
                <w:rFonts w:hint="eastAsia" w:ascii="宋体" w:hAnsi="宋体" w:eastAsia="宋体" w:cs="宋体"/>
                <w:color w:val="auto"/>
                <w:sz w:val="21"/>
                <w:szCs w:val="21"/>
                <w:highlight w:val="none"/>
              </w:rPr>
              <w:t>包含但不限于</w:t>
            </w:r>
            <w:r>
              <w:rPr>
                <w:rFonts w:hint="eastAsia" w:ascii="宋体" w:hAnsi="宋体" w:cs="仿宋"/>
                <w:bCs/>
                <w:color w:val="auto"/>
                <w:szCs w:val="21"/>
                <w:highlight w:val="none"/>
              </w:rPr>
              <w:t>货物及其所有设备、随配附件、备品备件、易损件、专用工具、包装、运输、装卸、保险、搬运、施工、安装调试、人员薪酬、税费或税金、计量检测费、验收检验、技术培训、技术资料、技术服务、室内技术线路改造、软件升级、后期维护服务或售后服务、其他所有成本费用，以及货物运抵指定交付地点的各种费用、以及进入施工现场安装时的各项费用等本合同、</w:t>
            </w:r>
            <w:r>
              <w:rPr>
                <w:rFonts w:hint="eastAsia" w:ascii="宋体" w:hAnsi="宋体" w:cs="仿宋"/>
                <w:bCs/>
                <w:color w:val="auto"/>
                <w:szCs w:val="21"/>
                <w:highlight w:val="none"/>
                <w:lang w:val="en-US" w:eastAsia="zh-CN"/>
              </w:rPr>
              <w:t>竞争性谈判</w:t>
            </w:r>
            <w:r>
              <w:rPr>
                <w:rFonts w:hint="eastAsia" w:ascii="宋体" w:hAnsi="宋体" w:cs="仿宋"/>
                <w:bCs/>
                <w:color w:val="auto"/>
                <w:szCs w:val="21"/>
                <w:highlight w:val="none"/>
              </w:rPr>
              <w:t>文件（如有）以及响应文件（如有）中规定的所有风险和责任所涉及的全部费用</w:t>
            </w:r>
            <w:r>
              <w:rPr>
                <w:rFonts w:hint="eastAsia" w:ascii="宋体" w:hAnsi="宋体" w:cs="宋体"/>
                <w:color w:val="auto"/>
                <w:szCs w:val="21"/>
                <w:highlight w:val="none"/>
              </w:rPr>
              <w:t>。</w:t>
            </w:r>
          </w:p>
        </w:tc>
      </w:tr>
      <w:tr w14:paraId="082FC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4BDCF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14:paraId="6307ED73">
            <w:pPr>
              <w:pStyle w:val="6"/>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90</w:t>
            </w:r>
            <w:r>
              <w:rPr>
                <w:rFonts w:hint="eastAsia" w:ascii="宋体" w:hAnsi="宋体" w:cs="宋体"/>
                <w:color w:val="auto"/>
                <w:kern w:val="2"/>
                <w:sz w:val="21"/>
                <w:szCs w:val="21"/>
                <w:highlight w:val="none"/>
              </w:rPr>
              <w:t>日。</w:t>
            </w:r>
          </w:p>
        </w:tc>
      </w:tr>
      <w:tr w14:paraId="112C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99412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5E0D9D3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p w14:paraId="3AF4DFBC">
            <w:pPr>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本项目收取竞标保证金，具体规定如下：</w:t>
            </w:r>
          </w:p>
          <w:p w14:paraId="6C531F4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竞标保证金人民币</w:t>
            </w:r>
            <w:r>
              <w:rPr>
                <w:rFonts w:hint="eastAsia" w:ascii="宋体" w:hAnsi="宋体" w:cs="宋体"/>
                <w:color w:val="auto"/>
                <w:kern w:val="0"/>
                <w:szCs w:val="21"/>
                <w:highlight w:val="none"/>
                <w:u w:val="single"/>
                <w:lang w:val="en-US" w:eastAsia="zh-CN"/>
              </w:rPr>
              <w:t>6500</w:t>
            </w:r>
            <w:r>
              <w:rPr>
                <w:rFonts w:hint="eastAsia" w:ascii="宋体" w:hAnsi="宋体" w:cs="宋体"/>
                <w:color w:val="auto"/>
                <w:kern w:val="0"/>
                <w:szCs w:val="21"/>
                <w:highlight w:val="none"/>
              </w:rPr>
              <w:t>元。</w:t>
            </w:r>
          </w:p>
          <w:p w14:paraId="38F9FDE4">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银行、保险机构出具的保函（包含电子保函），禁止采用现钞方式。采用银行转账方式的，在响应文件提交截止时间前交至指定账户并且到账（开户银行：中信银行南宁东葛支行，开户名称：云之龙咨询集团有限公司梧州分公司，银行账号：8113001013700074625）；采用支票、汇票、本票或者保函等方式的，在响应文件提交截止时间前，供应商必须提交单独密封的支票、汇票、本票或者保函原件（电子保函</w:t>
            </w:r>
            <w:r>
              <w:rPr>
                <w:rFonts w:hint="eastAsia" w:ascii="宋体" w:hAnsi="宋体" w:cs="宋体"/>
                <w:color w:val="auto"/>
                <w:kern w:val="0"/>
                <w:szCs w:val="21"/>
                <w:highlight w:val="none"/>
                <w:lang w:eastAsia="zh-CN"/>
              </w:rPr>
              <w:t>须提交复印件并加盖供应商公章</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否则视为无效竞标保证金</w:t>
            </w:r>
            <w:r>
              <w:rPr>
                <w:rFonts w:hint="eastAsia" w:ascii="宋体" w:hAnsi="宋体" w:cs="宋体"/>
                <w:color w:val="auto"/>
                <w:kern w:val="0"/>
                <w:szCs w:val="21"/>
                <w:highlight w:val="none"/>
              </w:rPr>
              <w:t>。</w:t>
            </w:r>
          </w:p>
          <w:p w14:paraId="31EC7C6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59E8EBD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892447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2.竞标保证金采用支票、汇票、本票或者银行、保险机构出具的保函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在响应文件提交截止时间前采用现场或邮寄方式（现场提交地址：梧州市新兴三路30号神冠豪都B栋1单元1008号房；邮寄地址：梧州市新兴三路30号神冠豪都B栋1单元1008号房，收件人：</w:t>
            </w:r>
            <w:r>
              <w:rPr>
                <w:rFonts w:hint="eastAsia"/>
                <w:color w:val="auto"/>
                <w:highlight w:val="none"/>
                <w:lang w:eastAsia="zh-CN"/>
              </w:rPr>
              <w:t>周子然、陈丽莹</w:t>
            </w:r>
            <w:r>
              <w:rPr>
                <w:rFonts w:hint="eastAsia"/>
                <w:color w:val="auto"/>
                <w:highlight w:val="none"/>
              </w:rPr>
              <w:t>，联系方式：0774-3859935）</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w:t>
            </w:r>
            <w:r>
              <w:rPr>
                <w:rFonts w:hint="eastAsia" w:ascii="宋体" w:hAnsi="宋体"/>
                <w:color w:val="auto"/>
                <w:szCs w:val="21"/>
                <w:highlight w:val="none"/>
                <w:lang w:eastAsia="zh-CN"/>
              </w:rPr>
              <w:t>须提交复印件并加盖供应商公章</w:t>
            </w:r>
            <w:r>
              <w:rPr>
                <w:rFonts w:hint="eastAsia" w:ascii="宋体" w:hAnsi="宋体"/>
                <w:color w:val="auto"/>
                <w:szCs w:val="21"/>
                <w:highlight w:val="none"/>
              </w:rPr>
              <w:t>）提交给采购人或者采购代理机构。</w:t>
            </w:r>
          </w:p>
          <w:p w14:paraId="563AED86">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4727341B">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5ED1AF17">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5EF4093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3DE49897">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3AA1814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4.保函有效期低于竞标有效期的，视为无效竞标保证金。</w:t>
            </w:r>
          </w:p>
          <w:p w14:paraId="512D3500">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5.竞标保证金采用银行、保险机构出具的保函（包含电子保函）为有条件保函的，视为无效竞标保证金。</w:t>
            </w:r>
          </w:p>
        </w:tc>
      </w:tr>
      <w:tr w14:paraId="5A20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02AEA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7912" w:type="dxa"/>
            <w:noWrap w:val="0"/>
            <w:vAlign w:val="center"/>
          </w:tcPr>
          <w:p w14:paraId="098CD5B9">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4338B2C3">
            <w:pPr>
              <w:autoSpaceDE w:val="0"/>
              <w:autoSpaceDN w:val="0"/>
              <w:adjustRightIn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w:t>
            </w:r>
            <w:r>
              <w:rPr>
                <w:rFonts w:hint="eastAsia"/>
                <w:color w:val="auto"/>
                <w:highlight w:val="none"/>
              </w:rPr>
              <w:t>本项目接受电子备份响应文件。</w:t>
            </w:r>
          </w:p>
        </w:tc>
      </w:tr>
      <w:tr w14:paraId="1606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00B2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4726F69A">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704F21B3">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430A3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CDA7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3CE3E049">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人。</w:t>
            </w:r>
          </w:p>
        </w:tc>
      </w:tr>
      <w:tr w14:paraId="4FBC1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6DD5FC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0"/>
            <w:vAlign w:val="center"/>
          </w:tcPr>
          <w:p w14:paraId="0D6AED7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346196F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 xml:space="preserve"> </w:t>
            </w:r>
            <w:r>
              <w:rPr>
                <w:rFonts w:hint="eastAsia" w:hAnsi="宋体"/>
                <w:color w:val="auto"/>
                <w:highlight w:val="none"/>
                <w:u w:val="single"/>
                <w:lang w:val="en-US" w:eastAsia="zh-CN"/>
              </w:rPr>
              <w:t>30</w:t>
            </w:r>
            <w:r>
              <w:rPr>
                <w:rFonts w:hAnsi="宋体"/>
                <w:color w:val="auto"/>
                <w:highlight w:val="none"/>
                <w:u w:val="single"/>
              </w:rPr>
              <w:t xml:space="preserve"> </w:t>
            </w:r>
            <w:r>
              <w:rPr>
                <w:rFonts w:hint="eastAsia" w:hAnsi="宋体"/>
                <w:color w:val="auto"/>
                <w:highlight w:val="none"/>
              </w:rPr>
              <w:t>分钟</w:t>
            </w:r>
          </w:p>
        </w:tc>
      </w:tr>
      <w:tr w14:paraId="72B6A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65F7928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26</w:t>
            </w:r>
          </w:p>
        </w:tc>
        <w:tc>
          <w:tcPr>
            <w:tcW w:w="7912" w:type="dxa"/>
            <w:noWrap w:val="0"/>
            <w:vAlign w:val="center"/>
          </w:tcPr>
          <w:p w14:paraId="3557C007">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14A1BEE8">
            <w:pPr>
              <w:spacing w:line="360" w:lineRule="auto"/>
              <w:contextualSpacing/>
              <w:rPr>
                <w:rFonts w:hint="eastAsia" w:ascii="宋体" w:hAnsi="宋体" w:cs="宋体"/>
                <w:i w:val="0"/>
                <w:iCs/>
                <w:color w:val="auto"/>
                <w:szCs w:val="21"/>
                <w:highlight w:val="none"/>
              </w:rPr>
            </w:pPr>
            <w:r>
              <w:rPr>
                <w:rFonts w:hint="eastAsia" w:ascii="宋体" w:hAnsi="宋体" w:cs="宋体"/>
                <w:i w:val="0"/>
                <w:iCs/>
                <w:color w:val="auto"/>
                <w:szCs w:val="21"/>
                <w:highlight w:val="none"/>
                <w:lang w:eastAsia="zh-CN"/>
              </w:rPr>
              <w:t>☑</w:t>
            </w:r>
            <w:r>
              <w:rPr>
                <w:rFonts w:hint="eastAsia" w:ascii="宋体" w:hAnsi="宋体" w:cs="宋体"/>
                <w:i w:val="0"/>
                <w:iCs/>
                <w:color w:val="auto"/>
                <w:szCs w:val="21"/>
                <w:highlight w:val="none"/>
              </w:rPr>
              <w:t>带“▲”的实质性要求正偏离项数多的优先、均无正偏离或者正偏离项数一致时负偏离项数少的优先、</w:t>
            </w:r>
            <w:r>
              <w:rPr>
                <w:rFonts w:hint="eastAsia" w:ascii="宋体" w:hAnsi="宋体" w:cs="宋体"/>
                <w:i w:val="0"/>
                <w:iCs/>
                <w:color w:val="auto"/>
                <w:szCs w:val="21"/>
                <w:highlight w:val="none"/>
                <w:lang w:val="en-US" w:eastAsia="zh-CN"/>
              </w:rPr>
              <w:t>保修期</w:t>
            </w:r>
            <w:r>
              <w:rPr>
                <w:rFonts w:hint="eastAsia" w:ascii="宋体" w:hAnsi="宋体" w:cs="宋体"/>
                <w:i w:val="0"/>
                <w:iCs/>
                <w:color w:val="auto"/>
                <w:szCs w:val="21"/>
                <w:highlight w:val="none"/>
              </w:rPr>
              <w:t>长优先、</w:t>
            </w:r>
            <w:r>
              <w:rPr>
                <w:rFonts w:hint="eastAsia" w:ascii="宋体" w:hAnsi="宋体" w:cs="宋体"/>
                <w:i w:val="0"/>
                <w:iCs/>
                <w:color w:val="auto"/>
                <w:szCs w:val="21"/>
                <w:highlight w:val="none"/>
                <w:lang w:eastAsia="zh-CN"/>
              </w:rPr>
              <w:t>交付时间（</w:t>
            </w:r>
            <w:r>
              <w:rPr>
                <w:rFonts w:hint="eastAsia" w:ascii="宋体" w:hAnsi="宋体" w:cs="宋体"/>
                <w:i w:val="0"/>
                <w:iCs/>
                <w:color w:val="auto"/>
                <w:szCs w:val="21"/>
                <w:highlight w:val="none"/>
              </w:rPr>
              <w:t>交货期</w:t>
            </w:r>
            <w:r>
              <w:rPr>
                <w:rFonts w:hint="eastAsia" w:ascii="宋体" w:hAnsi="宋体" w:cs="宋体"/>
                <w:i w:val="0"/>
                <w:iCs/>
                <w:color w:val="auto"/>
                <w:szCs w:val="21"/>
                <w:highlight w:val="none"/>
                <w:lang w:eastAsia="zh-CN"/>
              </w:rPr>
              <w:t>）</w:t>
            </w:r>
            <w:r>
              <w:rPr>
                <w:rFonts w:hint="eastAsia" w:ascii="宋体" w:hAnsi="宋体" w:cs="宋体"/>
                <w:i w:val="0"/>
                <w:iCs/>
                <w:color w:val="auto"/>
                <w:szCs w:val="21"/>
                <w:highlight w:val="none"/>
              </w:rPr>
              <w:t>短优先、响应时间短优先的顺序推荐。</w:t>
            </w:r>
          </w:p>
          <w:p w14:paraId="16EECB71">
            <w:pPr>
              <w:snapToGrid w:val="0"/>
              <w:spacing w:line="360" w:lineRule="auto"/>
              <w:rPr>
                <w:rFonts w:hint="eastAsia" w:ascii="宋体" w:hAnsi="宋体" w:cs="宋体"/>
                <w:color w:val="auto"/>
                <w:szCs w:val="21"/>
                <w:highlight w:val="none"/>
              </w:rPr>
            </w:pPr>
            <w:r>
              <w:rPr>
                <w:rFonts w:hint="eastAsia" w:ascii="宋体" w:hAnsi="宋体" w:cs="宋体"/>
                <w:i w:val="0"/>
                <w:iCs/>
                <w:color w:val="auto"/>
                <w:szCs w:val="21"/>
                <w:highlight w:val="none"/>
              </w:rPr>
              <w:t>□由谈判小组推荐代表随机抽取。</w:t>
            </w:r>
          </w:p>
        </w:tc>
      </w:tr>
      <w:tr w14:paraId="1D2A4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38B5971E">
            <w:pPr>
              <w:spacing w:line="360" w:lineRule="auto"/>
              <w:jc w:val="center"/>
              <w:rPr>
                <w:rFonts w:hint="eastAsia" w:ascii="宋体" w:hAnsi="宋体" w:cs="宋体"/>
                <w:color w:val="auto"/>
                <w:szCs w:val="21"/>
                <w:highlight w:val="none"/>
              </w:rPr>
            </w:pPr>
          </w:p>
        </w:tc>
        <w:tc>
          <w:tcPr>
            <w:tcW w:w="7912" w:type="dxa"/>
            <w:noWrap w:val="0"/>
            <w:vAlign w:val="center"/>
          </w:tcPr>
          <w:p w14:paraId="202CBCA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111A9E3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项。</w:t>
            </w:r>
          </w:p>
        </w:tc>
      </w:tr>
      <w:tr w14:paraId="6B48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6FE57E">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noWrap w:val="0"/>
            <w:vAlign w:val="center"/>
          </w:tcPr>
          <w:p w14:paraId="2122CE2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673BC76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□本项目收取履约保证金，具体规定如下：</w:t>
            </w:r>
          </w:p>
          <w:p w14:paraId="4D0CE99D">
            <w:pPr>
              <w:spacing w:line="360" w:lineRule="auto"/>
              <w:contextualSpacing/>
              <w:rPr>
                <w:rFonts w:hint="eastAsia" w:ascii="宋体" w:hAnsi="宋体"/>
                <w:color w:val="auto"/>
                <w:szCs w:val="21"/>
                <w:highlight w:val="none"/>
              </w:rPr>
            </w:pPr>
            <w:r>
              <w:rPr>
                <w:rFonts w:hint="eastAsia" w:ascii="宋体" w:hAnsi="宋体" w:cs="宋体"/>
                <w:color w:val="auto"/>
                <w:szCs w:val="21"/>
                <w:highlight w:val="none"/>
              </w:rPr>
              <w:t>履约保证金金额：每分标按成交金额的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w:t>
            </w:r>
          </w:p>
          <w:p w14:paraId="6E21BF98">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7B19F55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履约保证金缴纳期限</w:t>
            </w:r>
            <w:r>
              <w:rPr>
                <w:rFonts w:hint="eastAsia" w:ascii="宋体" w:hAnsi="宋体"/>
                <w:color w:val="auto"/>
                <w:szCs w:val="21"/>
                <w:highlight w:val="none"/>
                <w:lang w:eastAsia="zh-CN"/>
              </w:rPr>
              <w:t>：</w:t>
            </w:r>
            <w:r>
              <w:rPr>
                <w:i w:val="0"/>
                <w:iCs w:val="0"/>
                <w:color w:val="auto"/>
                <w:highlight w:val="none"/>
              </w:rPr>
              <w:t xml:space="preserve"> </w:t>
            </w:r>
            <w:r>
              <w:rPr>
                <w:rFonts w:hint="eastAsia" w:ascii="宋体" w:hAnsi="宋体"/>
                <w:i w:val="0"/>
                <w:iCs w:val="0"/>
                <w:color w:val="auto"/>
                <w:szCs w:val="21"/>
                <w:highlight w:val="none"/>
                <w:u w:val="single"/>
              </w:rPr>
              <w:t>自成交通知书发出之日起     日内</w:t>
            </w:r>
            <w:r>
              <w:rPr>
                <w:rFonts w:hint="eastAsia" w:ascii="宋体" w:hAnsi="宋体"/>
                <w:color w:val="auto"/>
                <w:szCs w:val="21"/>
                <w:highlight w:val="none"/>
              </w:rPr>
              <w:t>。</w:t>
            </w:r>
          </w:p>
          <w:p w14:paraId="75BC43D4">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w:t>
            </w:r>
          </w:p>
          <w:p w14:paraId="24661C4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6E817A4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p>
          <w:p w14:paraId="3928ACD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2F04EA6F">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p>
          <w:p w14:paraId="438F8B9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0BFFA42B">
            <w:pPr>
              <w:spacing w:line="360" w:lineRule="auto"/>
              <w:contextualSpacing/>
              <w:rPr>
                <w:rFonts w:hint="eastAsia" w:ascii="宋体" w:hAnsi="宋体" w:cs="宋体"/>
                <w:b/>
                <w:color w:val="auto"/>
                <w:kern w:val="0"/>
                <w:sz w:val="24"/>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 xml:space="preserve"> </w:t>
            </w:r>
            <w:bookmarkStart w:id="64" w:name="_Hlk54170335"/>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highlight w:val="none"/>
              </w:rPr>
              <w:t>。</w:t>
            </w:r>
            <w:bookmarkEnd w:id="64"/>
          </w:p>
          <w:p w14:paraId="49A601C8">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b/>
                <w:color w:val="auto"/>
                <w:szCs w:val="21"/>
                <w:highlight w:val="none"/>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1899DEB6">
            <w:pPr>
              <w:snapToGrid w:val="0"/>
              <w:spacing w:line="360" w:lineRule="auto"/>
              <w:rPr>
                <w:rFonts w:hint="eastAsia"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4D8B7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1E26B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noWrap w:val="0"/>
            <w:vAlign w:val="center"/>
          </w:tcPr>
          <w:p w14:paraId="33F1B44A">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108082B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E92629A">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6749A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6261B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0"/>
            <w:vAlign w:val="center"/>
          </w:tcPr>
          <w:p w14:paraId="56CB40A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6D23356C">
            <w:pPr>
              <w:pStyle w:val="12"/>
              <w:snapToGrid w:val="0"/>
              <w:spacing w:line="360" w:lineRule="auto"/>
              <w:rPr>
                <w:rFonts w:hint="eastAsia" w:ascii="宋体" w:hAnsi="宋体" w:eastAsia="宋体" w:cs="宋体"/>
                <w:color w:val="auto"/>
                <w:kern w:val="2"/>
                <w:sz w:val="21"/>
                <w:highlight w:val="none"/>
                <w:lang w:val="en-US" w:eastAsia="zh-CN"/>
              </w:rPr>
            </w:pPr>
            <w:r>
              <w:rPr>
                <w:rFonts w:hint="eastAsia" w:hAnsi="宋体" w:cs="宋体"/>
                <w:color w:val="auto"/>
                <w:kern w:val="2"/>
                <w:sz w:val="21"/>
                <w:highlight w:val="none"/>
                <w:lang w:val="en-US" w:eastAsia="zh-CN"/>
              </w:rPr>
              <w:t>质</w:t>
            </w:r>
            <w:r>
              <w:rPr>
                <w:rFonts w:hint="eastAsia" w:ascii="宋体" w:hAnsi="宋体" w:eastAsia="宋体" w:cs="宋体"/>
                <w:color w:val="auto"/>
                <w:kern w:val="2"/>
                <w:sz w:val="21"/>
                <w:highlight w:val="none"/>
                <w:lang w:val="en-US" w:eastAsia="zh-CN"/>
              </w:rPr>
              <w:t>疑联系部门及联系方式：云之龙咨询集团有限公司，联系电话：0774-3859935，通讯地址：（梧州市新兴三路30号神冠豪都B栋1单元1008号房）</w:t>
            </w:r>
          </w:p>
          <w:p w14:paraId="1BD702DA">
            <w:pPr>
              <w:pStyle w:val="12"/>
              <w:snapToGrid w:val="0"/>
              <w:spacing w:line="360" w:lineRule="auto"/>
              <w:rPr>
                <w:rFonts w:hint="eastAsia" w:hAnsi="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业务时间：工作日每天上午8时00分到12时00分，下午3时00分到6时00分。</w:t>
            </w:r>
          </w:p>
        </w:tc>
      </w:tr>
      <w:tr w14:paraId="6EC9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B3B2B0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noWrap w:val="0"/>
            <w:vAlign w:val="center"/>
          </w:tcPr>
          <w:p w14:paraId="098A29DE">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04FFCEA9">
            <w:pPr>
              <w:pStyle w:val="7"/>
              <w:rPr>
                <w:rFonts w:hint="default"/>
                <w:color w:val="auto"/>
                <w:highlight w:val="none"/>
                <w:u w:val="single"/>
                <w:lang w:val="en-US" w:eastAsia="zh-CN"/>
              </w:rPr>
            </w:pPr>
            <w:r>
              <w:rPr>
                <w:rFonts w:hint="eastAsia" w:ascii="宋体" w:hAnsi="宋体" w:eastAsia="宋体" w:cs="宋体"/>
                <w:color w:val="auto"/>
                <w:kern w:val="2"/>
                <w:sz w:val="21"/>
                <w:highlight w:val="none"/>
                <w:lang w:val="en-US" w:eastAsia="zh-CN"/>
              </w:rPr>
              <w:t>☑本项目代理服务费</w:t>
            </w:r>
            <w:r>
              <w:rPr>
                <w:rFonts w:hint="eastAsia"/>
                <w:color w:val="auto"/>
                <w:highlight w:val="none"/>
                <w:lang w:eastAsia="zh-CN"/>
              </w:rPr>
              <w:t>在采购代理机构发出成交通知书后</w:t>
            </w:r>
            <w:r>
              <w:rPr>
                <w:rFonts w:hint="eastAsia"/>
                <w:color w:val="auto"/>
                <w:highlight w:val="none"/>
                <w:u w:val="single"/>
                <w:lang w:val="en-US" w:eastAsia="zh-CN"/>
              </w:rPr>
              <w:t>3</w:t>
            </w:r>
            <w:r>
              <w:rPr>
                <w:rFonts w:hint="eastAsia"/>
                <w:color w:val="auto"/>
                <w:highlight w:val="none"/>
                <w:u w:val="none"/>
                <w:lang w:val="en-US" w:eastAsia="zh-CN"/>
              </w:rPr>
              <w:t>天内由成交供应商支付。</w:t>
            </w:r>
          </w:p>
          <w:p w14:paraId="2199B84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□采购人支付。</w:t>
            </w:r>
          </w:p>
          <w:p w14:paraId="54FA6304">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2CAE918">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□以成交金额为计费额，按本须知正文第32.1条规定的货物类标准采用差额定率累进法计算出收费基准价格，采购代理收费以收费基准价格收取。</w:t>
            </w:r>
          </w:p>
          <w:p w14:paraId="3D10F020">
            <w:pPr>
              <w:pStyle w:val="12"/>
              <w:snapToGrid w:val="0"/>
              <w:spacing w:line="360" w:lineRule="auto"/>
              <w:rPr>
                <w:rFonts w:hAnsi="宋体" w:cs="宋体"/>
                <w:color w:val="auto"/>
                <w:sz w:val="21"/>
                <w:highlight w:val="none"/>
                <w:u w:val="single"/>
                <w:lang w:val="en-US" w:eastAsia="zh-CN"/>
              </w:rPr>
            </w:pPr>
            <w:r>
              <w:rPr>
                <w:rFonts w:hint="eastAsia" w:hAnsi="宋体" w:cs="宋体"/>
                <w:color w:val="auto"/>
                <w:sz w:val="21"/>
                <w:highlight w:val="none"/>
                <w:lang w:val="en-US" w:eastAsia="zh-CN"/>
              </w:rPr>
              <w:t>☑固定采购代理收费人民币</w:t>
            </w:r>
            <w:r>
              <w:rPr>
                <w:rFonts w:hint="eastAsia" w:hAnsi="宋体" w:cs="宋体"/>
                <w:color w:val="auto"/>
                <w:sz w:val="21"/>
                <w:highlight w:val="none"/>
                <w:u w:val="single"/>
                <w:lang w:val="en-US" w:eastAsia="zh-CN"/>
              </w:rPr>
              <w:t>玖仟捌佰元整（</w:t>
            </w:r>
            <w:r>
              <w:rPr>
                <w:rFonts w:hint="default" w:ascii="Arial" w:hAnsi="Arial" w:cs="Arial"/>
                <w:color w:val="auto"/>
                <w:sz w:val="21"/>
                <w:highlight w:val="none"/>
                <w:u w:val="single"/>
                <w:lang w:val="en-US" w:eastAsia="zh-CN"/>
              </w:rPr>
              <w:t>¥</w:t>
            </w:r>
            <w:r>
              <w:rPr>
                <w:rFonts w:hint="eastAsia" w:hAnsi="宋体" w:cs="宋体"/>
                <w:color w:val="auto"/>
                <w:sz w:val="21"/>
                <w:highlight w:val="none"/>
                <w:u w:val="single"/>
                <w:lang w:val="en-US" w:eastAsia="zh-CN"/>
              </w:rPr>
              <w:t>9800.00）。</w:t>
            </w:r>
          </w:p>
          <w:p w14:paraId="319BA898">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 采购代理费收取银行账户</w:t>
            </w:r>
          </w:p>
          <w:p w14:paraId="304F1491">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开户名称：云之龙咨询集团有限公司梧州分公司</w:t>
            </w:r>
          </w:p>
          <w:p w14:paraId="7DD9E776">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开户银行：中信银行南宁东葛支行</w:t>
            </w:r>
          </w:p>
          <w:p w14:paraId="7BE0BA0B">
            <w:pPr>
              <w:pStyle w:val="12"/>
              <w:snapToGrid w:val="0"/>
              <w:spacing w:line="360" w:lineRule="auto"/>
              <w:rPr>
                <w:rFonts w:hint="eastAsia" w:hAnsi="宋体" w:cs="宋体"/>
                <w:color w:val="auto"/>
                <w:sz w:val="21"/>
                <w:highlight w:val="none"/>
                <w:u w:val="single"/>
                <w:lang w:val="en-US" w:eastAsia="zh-CN"/>
              </w:rPr>
            </w:pPr>
            <w:r>
              <w:rPr>
                <w:rFonts w:hint="eastAsia" w:hAnsi="宋体" w:cs="宋体"/>
                <w:color w:val="auto"/>
                <w:sz w:val="21"/>
                <w:highlight w:val="none"/>
                <w:lang w:val="en-US" w:eastAsia="zh-CN"/>
              </w:rPr>
              <w:t>银行账号：8113001014500158361</w:t>
            </w:r>
          </w:p>
        </w:tc>
      </w:tr>
      <w:tr w14:paraId="0BA1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B0E58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0"/>
            <w:vAlign w:val="center"/>
          </w:tcPr>
          <w:p w14:paraId="17428AA3">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解释：</w:t>
            </w:r>
            <w:r>
              <w:rPr>
                <w:rFonts w:hAnsi="宋体" w:cs="宋体"/>
                <w:color w:val="auto"/>
                <w:sz w:val="21"/>
                <w:highlight w:val="none"/>
                <w:lang w:val="en-US" w:eastAsia="zh-CN"/>
              </w:rPr>
              <w:t>构成本</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的各个组成文件应互为解释，互为说明；除</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中有特别规定外，仅适用于</w:t>
            </w:r>
            <w:r>
              <w:rPr>
                <w:rFonts w:hint="eastAsia" w:hAnsi="宋体" w:cs="宋体"/>
                <w:color w:val="auto"/>
                <w:sz w:val="21"/>
                <w:highlight w:val="none"/>
                <w:lang w:val="en-US" w:eastAsia="zh-CN"/>
              </w:rPr>
              <w:t>竞标</w:t>
            </w:r>
            <w:r>
              <w:rPr>
                <w:rFonts w:hAnsi="宋体" w:cs="宋体"/>
                <w:color w:val="auto"/>
                <w:sz w:val="21"/>
                <w:highlight w:val="none"/>
                <w:lang w:val="en-US" w:eastAsia="zh-CN"/>
              </w:rPr>
              <w:t>阶段的规定，按</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w:t>
            </w:r>
            <w:r>
              <w:rPr>
                <w:rFonts w:hint="eastAsia" w:hAnsi="宋体" w:cs="宋体"/>
                <w:color w:val="auto"/>
                <w:sz w:val="21"/>
                <w:highlight w:val="none"/>
                <w:lang w:val="en-US" w:eastAsia="zh-CN"/>
              </w:rPr>
              <w:t>竞争性谈判</w:t>
            </w:r>
            <w:r>
              <w:rPr>
                <w:rFonts w:hAnsi="宋体" w:cs="宋体"/>
                <w:color w:val="auto"/>
                <w:sz w:val="21"/>
                <w:highlight w:val="none"/>
                <w:lang w:val="en-US" w:eastAsia="zh-CN"/>
              </w:rPr>
              <w:t>公告、</w:t>
            </w:r>
            <w:r>
              <w:rPr>
                <w:rFonts w:hint="eastAsia" w:hAnsi="宋体" w:cs="宋体"/>
                <w:color w:val="auto"/>
                <w:sz w:val="21"/>
                <w:highlight w:val="none"/>
                <w:lang w:val="en-US" w:eastAsia="zh-CN"/>
              </w:rPr>
              <w:t>供应商</w:t>
            </w:r>
            <w:r>
              <w:rPr>
                <w:rFonts w:hAnsi="宋体" w:cs="宋体"/>
                <w:color w:val="auto"/>
                <w:sz w:val="21"/>
                <w:highlight w:val="none"/>
                <w:lang w:val="en-US" w:eastAsia="zh-CN"/>
              </w:rPr>
              <w:t>须知</w:t>
            </w:r>
            <w:r>
              <w:rPr>
                <w:rFonts w:hint="eastAsia" w:hAnsi="宋体" w:cs="宋体"/>
                <w:color w:val="auto"/>
                <w:sz w:val="21"/>
                <w:highlight w:val="none"/>
                <w:lang w:val="en-US" w:eastAsia="zh-CN"/>
              </w:rPr>
              <w:t>、采购需求</w:t>
            </w:r>
            <w:r>
              <w:rPr>
                <w:rFonts w:hAnsi="宋体" w:cs="宋体"/>
                <w:color w:val="auto"/>
                <w:sz w:val="21"/>
                <w:highlight w:val="none"/>
                <w:lang w:val="en-US" w:eastAsia="zh-CN"/>
              </w:rPr>
              <w:t>、</w:t>
            </w:r>
            <w:r>
              <w:rPr>
                <w:rFonts w:hint="eastAsia" w:hAnsi="宋体" w:cs="宋体"/>
                <w:color w:val="auto"/>
                <w:sz w:val="21"/>
                <w:highlight w:val="none"/>
                <w:lang w:val="en-US" w:eastAsia="zh-CN"/>
              </w:rPr>
              <w:t>评审程序和评定成交的标准</w:t>
            </w:r>
            <w:r>
              <w:rPr>
                <w:rFonts w:hAnsi="宋体" w:cs="宋体"/>
                <w:color w:val="auto"/>
                <w:sz w:val="21"/>
                <w:highlight w:val="none"/>
                <w:lang w:val="en-US" w:eastAsia="zh-CN"/>
              </w:rPr>
              <w:t>、</w:t>
            </w:r>
            <w:r>
              <w:rPr>
                <w:rFonts w:hint="eastAsia" w:hAnsi="宋体" w:cs="宋体"/>
                <w:color w:val="auto"/>
                <w:sz w:val="21"/>
                <w:highlight w:val="none"/>
                <w:lang w:val="en-US" w:eastAsia="zh-CN"/>
              </w:rPr>
              <w:t>响应</w:t>
            </w:r>
            <w:r>
              <w:rPr>
                <w:rFonts w:hAnsi="宋体" w:cs="宋体"/>
                <w:color w:val="auto"/>
                <w:sz w:val="21"/>
                <w:highlight w:val="none"/>
                <w:lang w:val="en-US" w:eastAsia="zh-CN"/>
              </w:rPr>
              <w:t>文件格式</w:t>
            </w:r>
            <w:r>
              <w:rPr>
                <w:rFonts w:hint="eastAsia" w:hAnsi="宋体" w:cs="宋体"/>
                <w:color w:val="auto"/>
                <w:sz w:val="21"/>
                <w:highlight w:val="none"/>
                <w:lang w:val="en-US" w:eastAsia="zh-CN"/>
              </w:rPr>
              <w:t>、合同文本</w:t>
            </w:r>
            <w:r>
              <w:rPr>
                <w:rFonts w:hAnsi="宋体" w:cs="宋体"/>
                <w:color w:val="auto"/>
                <w:sz w:val="21"/>
                <w:highlight w:val="none"/>
                <w:lang w:val="en-US" w:eastAsia="zh-CN"/>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与同步更新的</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不一致时以</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为准。按本款前述规定仍不能形成结论的，由</w:t>
            </w:r>
            <w:r>
              <w:rPr>
                <w:rFonts w:hint="eastAsia" w:hAnsi="宋体" w:cs="宋体"/>
                <w:color w:val="auto"/>
                <w:sz w:val="21"/>
                <w:highlight w:val="none"/>
                <w:lang w:val="en-US" w:eastAsia="zh-CN"/>
              </w:rPr>
              <w:t>采购</w:t>
            </w:r>
            <w:r>
              <w:rPr>
                <w:rFonts w:hAnsi="宋体" w:cs="宋体"/>
                <w:color w:val="auto"/>
                <w:sz w:val="21"/>
                <w:highlight w:val="none"/>
                <w:lang w:val="en-US" w:eastAsia="zh-CN"/>
              </w:rPr>
              <w:t>人</w:t>
            </w:r>
            <w:r>
              <w:rPr>
                <w:rFonts w:hint="eastAsia" w:hAnsi="宋体" w:cs="宋体"/>
                <w:color w:val="auto"/>
                <w:sz w:val="21"/>
                <w:highlight w:val="none"/>
                <w:lang w:val="en-US" w:eastAsia="zh-CN"/>
              </w:rPr>
              <w:t>或者采购代理机构</w:t>
            </w:r>
            <w:r>
              <w:rPr>
                <w:rFonts w:hAnsi="宋体" w:cs="宋体"/>
                <w:color w:val="auto"/>
                <w:sz w:val="21"/>
                <w:highlight w:val="none"/>
                <w:lang w:val="en-US" w:eastAsia="zh-CN"/>
              </w:rPr>
              <w:t>负责解释。</w:t>
            </w:r>
          </w:p>
        </w:tc>
      </w:tr>
      <w:tr w14:paraId="5329E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C938E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0"/>
            <w:vAlign w:val="center"/>
          </w:tcPr>
          <w:p w14:paraId="49E134EE">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31F53BA5">
            <w:pPr>
              <w:pStyle w:val="12"/>
              <w:snapToGrid w:val="0"/>
              <w:spacing w:line="360" w:lineRule="auto"/>
              <w:rPr>
                <w:rFonts w:hAnsi="宋体" w:cs="宋体"/>
                <w:bCs/>
                <w:color w:val="auto"/>
                <w:sz w:val="21"/>
                <w:highlight w:val="none"/>
                <w:lang w:val="en-US" w:eastAsia="zh-CN"/>
              </w:rPr>
            </w:pPr>
            <w:r>
              <w:rPr>
                <w:rFonts w:hint="eastAsia" w:hAnsi="宋体" w:cs="宋体"/>
                <w:bCs/>
                <w:color w:val="auto"/>
                <w:sz w:val="21"/>
                <w:highlight w:val="none"/>
                <w:lang w:val="en-US" w:eastAsia="zh-CN"/>
              </w:rPr>
              <w:t>2.本谈判文件所称的“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2A73C804">
            <w:pPr>
              <w:pStyle w:val="12"/>
              <w:snapToGrid w:val="0"/>
              <w:spacing w:line="360" w:lineRule="auto"/>
              <w:rPr>
                <w:rFonts w:hint="eastAsia" w:hAnsi="宋体" w:cs="宋体"/>
                <w:bCs/>
                <w:color w:val="auto"/>
                <w:sz w:val="21"/>
                <w:highlight w:val="none"/>
                <w:lang w:val="en-US" w:eastAsia="zh-CN"/>
              </w:rPr>
            </w:pPr>
            <w:r>
              <w:rPr>
                <w:rFonts w:hint="eastAsia" w:hAnsi="宋体" w:cs="宋体"/>
                <w:color w:val="auto"/>
                <w:sz w:val="21"/>
                <w:highlight w:val="none"/>
                <w:lang w:val="en-US" w:eastAsia="zh-CN"/>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lang w:val="en-US" w:eastAsia="zh-CN"/>
              </w:rPr>
              <w:t>营业执照或者执业许可证等证照上</w:t>
            </w:r>
            <w:r>
              <w:rPr>
                <w:rFonts w:hint="eastAsia" w:hAnsi="宋体" w:cs="宋体"/>
                <w:color w:val="auto"/>
                <w:sz w:val="21"/>
                <w:highlight w:val="none"/>
                <w:lang w:val="en-US" w:eastAsia="zh-CN"/>
              </w:rPr>
              <w:t>的负责人，本谈判文件所称自然人指参与竞标的自然人本人，</w:t>
            </w:r>
            <w:r>
              <w:rPr>
                <w:rFonts w:hint="eastAsia" w:hAnsi="宋体" w:cs="宋体"/>
                <w:bCs/>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6588BABA">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4.本谈判文件中描述供应商的“签字”是指供应商的法定代表人或者委托代理人亲自在文件规定签署处亲笔写上个人的名字的行为，私章、签字章、印鉴、影印等其他形式均不能代替亲笔签字。</w:t>
            </w:r>
          </w:p>
          <w:p w14:paraId="58D8FD66">
            <w:pPr>
              <w:pStyle w:val="12"/>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5.</w:t>
            </w:r>
            <w:r>
              <w:rPr>
                <w:rFonts w:hint="eastAsia" w:hAnsi="宋体" w:cs="宋体"/>
                <w:color w:val="auto"/>
                <w:sz w:val="21"/>
                <w:highlight w:val="none"/>
                <w:lang w:val="en-US" w:eastAsia="zh-CN"/>
              </w:rPr>
              <w:t>本谈判文件所称的“以上”“以下”“以内”“届满”，包括本数；所称的“不满”“超过”“以外”，不包括本数。</w:t>
            </w:r>
          </w:p>
        </w:tc>
      </w:tr>
    </w:tbl>
    <w:p w14:paraId="0512368F">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31EBAD7">
      <w:pPr>
        <w:spacing w:line="400" w:lineRule="exact"/>
        <w:jc w:val="center"/>
        <w:rPr>
          <w:rFonts w:hint="eastAsia" w:ascii="宋体" w:hAnsi="宋体"/>
          <w:b/>
          <w:color w:val="auto"/>
          <w:sz w:val="32"/>
          <w:szCs w:val="32"/>
          <w:highlight w:val="none"/>
        </w:rPr>
      </w:pPr>
    </w:p>
    <w:p w14:paraId="7B6CC202">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0CBDE184">
      <w:pPr>
        <w:spacing w:line="400" w:lineRule="exact"/>
        <w:rPr>
          <w:rFonts w:hint="eastAsia" w:ascii="宋体" w:hAnsi="宋体"/>
          <w:color w:val="auto"/>
          <w:szCs w:val="21"/>
          <w:highlight w:val="none"/>
        </w:rPr>
      </w:pPr>
    </w:p>
    <w:p w14:paraId="64A2887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6E1ACD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C64C9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5DD6B91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4CA47C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1C554EAF">
      <w:pPr>
        <w:spacing w:line="360" w:lineRule="auto"/>
        <w:ind w:firstLine="420" w:firstLineChars="200"/>
        <w:rPr>
          <w:rFonts w:hint="eastAsia" w:ascii="宋体" w:hAnsi="宋体"/>
          <w:b/>
          <w:color w:val="auto"/>
          <w:szCs w:val="21"/>
          <w:highlight w:val="none"/>
        </w:rPr>
      </w:pPr>
      <w:r>
        <w:rPr>
          <w:rFonts w:hint="eastAsia" w:ascii="宋体" w:hAnsi="宋体" w:cs="宋体"/>
          <w:color w:val="auto"/>
          <w:szCs w:val="21"/>
          <w:highlight w:val="none"/>
        </w:rPr>
        <w:t>2.2“采购代理机构”</w:t>
      </w:r>
      <w:r>
        <w:rPr>
          <w:rFonts w:hint="eastAsia" w:ascii="宋体" w:hAnsi="宋体"/>
          <w:b/>
          <w:color w:val="auto"/>
          <w:szCs w:val="21"/>
          <w:highlight w:val="none"/>
        </w:rPr>
        <w:t>是指政府采购集中采购机构和集中采购机构以外的采购代理机构。</w:t>
      </w:r>
    </w:p>
    <w:p w14:paraId="003677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943B7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53EA02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626099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0BE66D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1913F7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5FD64F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“实质性要求”是指采购需求中带“▲”的条款或者不能负偏离的条款或者已经指明不满足按响应文件按无效处理的条款。</w:t>
      </w:r>
    </w:p>
    <w:p w14:paraId="196D11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1E82E5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655655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3282F2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2D4061F5">
      <w:pPr>
        <w:spacing w:line="360" w:lineRule="auto"/>
        <w:ind w:firstLine="482" w:firstLineChars="200"/>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07ED7C4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34C7B4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1DDAF0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6A8FC52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3223A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F7330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756EF86C">
      <w:pPr>
        <w:spacing w:line="360" w:lineRule="auto"/>
        <w:ind w:firstLine="420" w:firstLineChars="200"/>
        <w:rPr>
          <w:rFonts w:ascii="宋体" w:hAnsi="宋体"/>
          <w:bCs/>
          <w:color w:val="auto"/>
          <w:szCs w:val="21"/>
          <w:highlight w:val="none"/>
        </w:rPr>
      </w:pPr>
      <w:bookmarkStart w:id="65"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5"/>
    </w:p>
    <w:p w14:paraId="73167AA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1AEE0AD">
      <w:pPr>
        <w:pStyle w:val="4"/>
        <w:keepNext w:val="0"/>
        <w:keepLines w:val="0"/>
        <w:spacing w:before="0" w:after="0" w:line="360" w:lineRule="auto"/>
        <w:ind w:left="420" w:leftChars="200"/>
        <w:rPr>
          <w:rFonts w:hint="eastAsia" w:ascii="宋体" w:hAnsi="宋体"/>
          <w:b w:val="0"/>
          <w:color w:val="auto"/>
          <w:sz w:val="21"/>
          <w:szCs w:val="21"/>
          <w:highlight w:val="none"/>
        </w:rPr>
      </w:pPr>
      <w:bookmarkStart w:id="66" w:name="_Toc254970673"/>
      <w:bookmarkStart w:id="67" w:name="_Toc254970532"/>
      <w:r>
        <w:rPr>
          <w:rFonts w:hint="eastAsia" w:ascii="宋体" w:hAnsi="宋体"/>
          <w:b w:val="0"/>
          <w:color w:val="auto"/>
          <w:sz w:val="21"/>
          <w:szCs w:val="21"/>
          <w:highlight w:val="none"/>
        </w:rPr>
        <w:t>6.1本项目不允许转包。</w:t>
      </w:r>
    </w:p>
    <w:p w14:paraId="3E41F314">
      <w:pPr>
        <w:pStyle w:val="4"/>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w:t>
      </w:r>
      <w:r>
        <w:rPr>
          <w:rFonts w:hint="eastAsia" w:ascii="宋体" w:hAnsi="宋体"/>
          <w:b w:val="0"/>
          <w:color w:val="auto"/>
          <w:sz w:val="21"/>
          <w:szCs w:val="21"/>
          <w:highlight w:val="none"/>
          <w:lang w:eastAsia="zh-CN"/>
        </w:rPr>
        <w:t>应的</w:t>
      </w:r>
      <w:r>
        <w:rPr>
          <w:rFonts w:hint="eastAsia" w:ascii="宋体" w:hAnsi="宋体"/>
          <w:b w:val="0"/>
          <w:color w:val="auto"/>
          <w:sz w:val="21"/>
          <w:szCs w:val="21"/>
          <w:highlight w:val="none"/>
        </w:rPr>
        <w:t>行政许可。</w:t>
      </w:r>
    </w:p>
    <w:p w14:paraId="7FE75FA2">
      <w:pPr>
        <w:pStyle w:val="4"/>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1A5AE0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6"/>
      <w:bookmarkEnd w:id="67"/>
    </w:p>
    <w:p w14:paraId="1BFDE612">
      <w:pPr>
        <w:spacing w:line="360" w:lineRule="auto"/>
        <w:ind w:firstLine="420" w:firstLineChars="200"/>
        <w:rPr>
          <w:rFonts w:hint="eastAsia" w:ascii="宋体" w:hAnsi="宋体" w:cs="宋体"/>
          <w:color w:val="auto"/>
          <w:szCs w:val="21"/>
          <w:highlight w:val="none"/>
        </w:rPr>
      </w:pPr>
      <w:bookmarkStart w:id="68" w:name="_8.1提供相同品牌产品且通过资格审查、符合性审查的不同投标人参加同一合"/>
      <w:bookmarkEnd w:id="68"/>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推荐资格，其他响应文件按无效处理。</w:t>
      </w:r>
    </w:p>
    <w:p w14:paraId="4CE31B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03BDE1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36955A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625576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0B5C4C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6F69B1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CF0D6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A0A66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F5A20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B4B6D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FBD31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0743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25E51B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eastAsia="宋体" w:cs="Times New Roman"/>
          <w:b w:val="0"/>
          <w:bCs/>
          <w:color w:val="auto"/>
          <w:kern w:val="2"/>
          <w:sz w:val="21"/>
          <w:szCs w:val="21"/>
          <w:highlight w:val="none"/>
          <w:lang w:val="en-US" w:eastAsia="zh-CN" w:bidi="ar-SA"/>
        </w:rPr>
        <w:t>，或不同供应商报名的IP地址一致的；或不同供应商竞标设备信息（</w:t>
      </w:r>
      <w:r>
        <w:rPr>
          <w:rFonts w:hint="eastAsia" w:ascii="宋体" w:hAnsi="宋体" w:cs="Times New Roman"/>
          <w:b w:val="0"/>
          <w:bCs/>
          <w:color w:val="auto"/>
          <w:kern w:val="2"/>
          <w:sz w:val="21"/>
          <w:szCs w:val="21"/>
          <w:highlight w:val="none"/>
          <w:lang w:val="en-US" w:eastAsia="zh-CN" w:bidi="ar-SA"/>
        </w:rPr>
        <w:t>包括但不限于</w:t>
      </w:r>
      <w:r>
        <w:rPr>
          <w:rFonts w:hint="eastAsia" w:ascii="宋体" w:hAnsi="宋体" w:eastAsia="宋体" w:cs="Times New Roman"/>
          <w:b w:val="0"/>
          <w:bCs/>
          <w:color w:val="auto"/>
          <w:kern w:val="2"/>
          <w:sz w:val="21"/>
          <w:szCs w:val="21"/>
          <w:highlight w:val="none"/>
          <w:lang w:val="en-US" w:eastAsia="zh-CN" w:bidi="ar-SA"/>
        </w:rPr>
        <w:t>：IP地址、MAC地址、硬盘号、CPU号、主板号）一致的；</w:t>
      </w:r>
    </w:p>
    <w:p w14:paraId="093D3B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C8E9D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645B6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65FFD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40B07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10F0DB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69" w:name="_Hlk54682620"/>
      <w:r>
        <w:rPr>
          <w:rFonts w:hint="eastAsia" w:ascii="宋体" w:hAnsi="宋体" w:cs="宋体"/>
          <w:color w:val="auto"/>
          <w:szCs w:val="21"/>
          <w:highlight w:val="none"/>
        </w:rPr>
        <w:t>，将报同级监督管理部门</w:t>
      </w:r>
      <w:bookmarkEnd w:id="69"/>
      <w:r>
        <w:rPr>
          <w:rFonts w:hint="eastAsia" w:ascii="宋体" w:hAnsi="宋体" w:cs="宋体"/>
          <w:color w:val="auto"/>
          <w:szCs w:val="21"/>
          <w:highlight w:val="none"/>
        </w:rPr>
        <w:t>：</w:t>
      </w:r>
    </w:p>
    <w:p w14:paraId="7AFE4B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FC1C3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D691B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69D1E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641F2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FBCCC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E459E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E88713C">
      <w:pPr>
        <w:spacing w:line="360" w:lineRule="auto"/>
        <w:ind w:left="1" w:firstLine="417" w:firstLineChars="199"/>
        <w:jc w:val="center"/>
        <w:rPr>
          <w:rFonts w:hint="eastAsia" w:ascii="宋体" w:hAnsi="宋体"/>
          <w:color w:val="auto"/>
          <w:highlight w:val="none"/>
        </w:rPr>
      </w:pPr>
      <w:bookmarkStart w:id="70" w:name="_Toc254970534"/>
      <w:bookmarkStart w:id="71" w:name="_Toc254970675"/>
    </w:p>
    <w:p w14:paraId="41E55890">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二、谈判文件</w:t>
      </w:r>
      <w:bookmarkEnd w:id="70"/>
      <w:bookmarkEnd w:id="71"/>
    </w:p>
    <w:p w14:paraId="351394BC">
      <w:pPr>
        <w:spacing w:line="360" w:lineRule="auto"/>
        <w:jc w:val="center"/>
        <w:rPr>
          <w:rFonts w:hint="eastAsia" w:ascii="宋体" w:hAnsi="宋体"/>
          <w:color w:val="auto"/>
          <w:szCs w:val="21"/>
          <w:highlight w:val="none"/>
        </w:rPr>
      </w:pPr>
    </w:p>
    <w:p w14:paraId="6951A17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58ADB1B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（1）竞争性谈判公告；</w:t>
      </w:r>
    </w:p>
    <w:p w14:paraId="37FF2F4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2B8F552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4137AC5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（4）响应文件格式</w:t>
      </w:r>
    </w:p>
    <w:p w14:paraId="50783C8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（5）合同文本；</w:t>
      </w:r>
    </w:p>
    <w:p w14:paraId="4553D64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（6）评审程序和评定成交的标准；</w:t>
      </w:r>
    </w:p>
    <w:p w14:paraId="02F894F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7641EB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158DF0A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4B4A1EFA">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89BFD13">
      <w:pPr>
        <w:spacing w:line="360" w:lineRule="auto"/>
        <w:rPr>
          <w:rFonts w:hint="eastAsia" w:ascii="宋体" w:hAnsi="宋体"/>
          <w:color w:val="auto"/>
          <w:szCs w:val="21"/>
          <w:highlight w:val="none"/>
        </w:rPr>
      </w:pPr>
    </w:p>
    <w:p w14:paraId="57394E05">
      <w:pPr>
        <w:spacing w:line="360" w:lineRule="auto"/>
        <w:jc w:val="center"/>
        <w:rPr>
          <w:rFonts w:hint="eastAsia" w:ascii="宋体" w:hAnsi="宋体"/>
          <w:b/>
          <w:color w:val="auto"/>
          <w:szCs w:val="21"/>
          <w:highlight w:val="none"/>
        </w:rPr>
      </w:pPr>
      <w:r>
        <w:rPr>
          <w:rFonts w:hint="eastAsia" w:ascii="宋体" w:hAnsi="宋体"/>
          <w:b/>
          <w:color w:val="auto"/>
          <w:sz w:val="32"/>
          <w:szCs w:val="32"/>
          <w:highlight w:val="none"/>
        </w:rPr>
        <w:t>三、响应文件的编制</w:t>
      </w:r>
    </w:p>
    <w:p w14:paraId="07FF940B">
      <w:pPr>
        <w:spacing w:line="360" w:lineRule="auto"/>
        <w:rPr>
          <w:rFonts w:hint="eastAsia" w:ascii="宋体" w:hAnsi="宋体"/>
          <w:color w:val="auto"/>
          <w:szCs w:val="21"/>
          <w:highlight w:val="none"/>
        </w:rPr>
      </w:pPr>
    </w:p>
    <w:p w14:paraId="58AF8F3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7A10B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452DB96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1FF126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26063C0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29947138">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3504704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4304BA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E5D9D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491A567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5B9D49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46DCEDC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42AE0D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1AF6E468">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69585891">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3FCB39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0257A27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49188236">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0B144D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72B8B2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50DD64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竞标报价（包含首次报价、最后报价）超过分项采购预算金额或者最高限价的，其响应文件将按无效处理。</w:t>
      </w:r>
    </w:p>
    <w:p w14:paraId="398D14C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21D7F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36ABE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承诺的竞标有效期低于采购文件规定期限的，供应商的响应文件作无效处理。</w:t>
      </w:r>
    </w:p>
    <w:p w14:paraId="6CD6CA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01D8FE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3EDC8A5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5EA200D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4BAC77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30BCB63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0B661DF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2BEEB88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1B3CE34">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46D3226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38825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310F16E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10AD1AD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1CDA4D3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6BD185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246700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756FBB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r>
        <w:rPr>
          <w:rFonts w:hint="eastAsia" w:ascii="宋体" w:hAnsi="宋体" w:cs="宋体"/>
          <w:color w:val="auto"/>
          <w:szCs w:val="21"/>
          <w:highlight w:val="none"/>
        </w:rPr>
        <w:t>。</w:t>
      </w:r>
    </w:p>
    <w:p w14:paraId="7E473B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w:t>
      </w:r>
      <w:r>
        <w:rPr>
          <w:rFonts w:hint="eastAsia"/>
          <w:b/>
          <w:bCs/>
          <w:color w:val="auto"/>
          <w:highlight w:val="none"/>
        </w:rPr>
        <w:t>并与广西政府采购云平台中获取采购文件的供应商名称一致</w:t>
      </w:r>
      <w:r>
        <w:rPr>
          <w:rFonts w:hint="eastAsia"/>
          <w:b/>
          <w:bCs/>
          <w:color w:val="auto"/>
          <w:highlight w:val="none"/>
          <w:lang w:eastAsia="zh-CN"/>
        </w:rPr>
        <w:t>。</w:t>
      </w:r>
      <w:r>
        <w:rPr>
          <w:rFonts w:hint="eastAsia" w:ascii="宋体" w:hAnsi="宋体" w:cs="宋体"/>
          <w:color w:val="auto"/>
          <w:szCs w:val="21"/>
          <w:highlight w:val="none"/>
        </w:rPr>
        <w:t>供应商为自然人的，标注的供应商名称应与身份证姓名及签名一致，</w:t>
      </w:r>
      <w:r>
        <w:rPr>
          <w:rFonts w:hint="eastAsia" w:ascii="宋体" w:hAnsi="宋体" w:cs="宋体"/>
          <w:b/>
          <w:bCs/>
          <w:color w:val="auto"/>
          <w:szCs w:val="21"/>
          <w:highlight w:val="none"/>
        </w:rPr>
        <w:t>否则其响应文件按无效响应处理</w:t>
      </w:r>
      <w:r>
        <w:rPr>
          <w:rFonts w:hint="eastAsia" w:ascii="宋体" w:hAnsi="宋体" w:cs="宋体"/>
          <w:color w:val="auto"/>
          <w:szCs w:val="21"/>
          <w:highlight w:val="none"/>
        </w:rPr>
        <w:t>。</w:t>
      </w:r>
    </w:p>
    <w:p w14:paraId="5F3A1D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42CCBCB">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009CDC1E">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w:t>
      </w:r>
      <w:r>
        <w:rPr>
          <w:rFonts w:hint="eastAsia"/>
          <w:color w:val="auto"/>
          <w:highlight w:val="none"/>
          <w:lang w:eastAsia="zh-CN"/>
        </w:rPr>
        <w:t>详见</w:t>
      </w:r>
      <w:r>
        <w:rPr>
          <w:rFonts w:hint="eastAsia" w:hAnsi="宋体"/>
          <w:bCs/>
          <w:color w:val="auto"/>
          <w:szCs w:val="21"/>
          <w:highlight w:val="none"/>
        </w:rPr>
        <w:t>“供应商须知前附表”。</w:t>
      </w:r>
    </w:p>
    <w:p w14:paraId="7894182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8E6F898">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2B6E0F7E">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4DE917B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1CAC9D31">
      <w:pPr>
        <w:snapToGrid w:val="0"/>
        <w:spacing w:line="360" w:lineRule="auto"/>
        <w:ind w:firstLine="420"/>
        <w:jc w:val="left"/>
        <w:rPr>
          <w:rFonts w:hint="eastAsia" w:ascii="宋体" w:hAnsi="宋体"/>
          <w:color w:val="auto"/>
          <w:szCs w:val="21"/>
          <w:highlight w:val="none"/>
        </w:rPr>
      </w:pPr>
      <w:bookmarkStart w:id="72" w:name="_Toc254970684"/>
      <w:bookmarkStart w:id="73"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72"/>
    <w:bookmarkEnd w:id="73"/>
    <w:p w14:paraId="4C4008DB">
      <w:pPr>
        <w:pStyle w:val="55"/>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lang w:eastAsia="zh-CN"/>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4297BB7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60A8D8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2C4D38E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00C32324">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3F0534C4">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四、评审及谈判</w:t>
      </w:r>
    </w:p>
    <w:p w14:paraId="51CD02A2">
      <w:pPr>
        <w:spacing w:line="360" w:lineRule="auto"/>
        <w:ind w:left="420" w:firstLine="420"/>
        <w:rPr>
          <w:rFonts w:hint="eastAsia" w:ascii="宋体" w:hAnsi="宋体"/>
          <w:color w:val="auto"/>
          <w:szCs w:val="21"/>
          <w:highlight w:val="none"/>
        </w:rPr>
      </w:pPr>
    </w:p>
    <w:p w14:paraId="62CB6D7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2A38F3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AB098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24EFD73">
      <w:pPr>
        <w:spacing w:line="360" w:lineRule="auto"/>
        <w:ind w:firstLine="420" w:firstLineChars="20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053F63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52F92B5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5234E343">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358E1A7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2E1A8223">
      <w:pPr>
        <w:spacing w:line="360" w:lineRule="auto"/>
        <w:ind w:firstLine="420" w:firstLineChars="200"/>
        <w:rPr>
          <w:rFonts w:hint="eastAsia"/>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07165F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160F3038">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2DD4546">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3E2AAB0">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219C1C65">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4C5A113F">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71D9E94F">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51C09526">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71D57A1D">
      <w:pPr>
        <w:spacing w:line="360" w:lineRule="auto"/>
        <w:ind w:firstLine="420" w:firstLineChars="200"/>
        <w:rPr>
          <w:rFonts w:hint="eastAsia"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285C5A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49E8C86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CAC0546">
      <w:pPr>
        <w:pStyle w:val="7"/>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781CE8C4">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27.3出现下列情形之一的，采购人或者采购代理机构应当终止竞争性谈判采购活动，发布项目终止公告并说明原因，重新开展采购活动：</w:t>
      </w:r>
    </w:p>
    <w:p w14:paraId="1E4B95F7">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69828C4E">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（2）出现影响采购公正的违法、违规行为的；</w:t>
      </w:r>
    </w:p>
    <w:p w14:paraId="73DFB399">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2775BEE4">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02BB2FD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6B28A640">
      <w:pPr>
        <w:pStyle w:val="7"/>
        <w:spacing w:line="360" w:lineRule="auto"/>
        <w:ind w:firstLine="420" w:firstLineChars="200"/>
        <w:rPr>
          <w:rFonts w:hint="eastAsia"/>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履约保证金的金额、提交方式、退付的时间和条件详见 “供应商须知前附表”。成交供应商未按规定提交履约保证金的，视为拒绝</w:t>
      </w:r>
      <w:r>
        <w:rPr>
          <w:rFonts w:ascii="宋体" w:hAnsi="宋体" w:cs="宋体"/>
          <w:color w:val="auto"/>
          <w:szCs w:val="21"/>
          <w:highlight w:val="none"/>
          <w:lang w:val="en-US" w:eastAsia="zh-CN"/>
        </w:rPr>
        <w:t>与采购人</w:t>
      </w:r>
      <w:r>
        <w:rPr>
          <w:rFonts w:hint="eastAsia" w:ascii="宋体" w:hAnsi="宋体" w:cs="宋体"/>
          <w:color w:val="auto"/>
          <w:szCs w:val="21"/>
          <w:highlight w:val="none"/>
          <w:lang w:val="en-US" w:eastAsia="zh-CN"/>
        </w:rPr>
        <w:t>签订合同。</w:t>
      </w:r>
    </w:p>
    <w:p w14:paraId="2FD4CB98">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1F88630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2CF255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E13AD2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4266228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9D277E5">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A7C73D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73110F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4E5A771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CD0239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7B6966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0D8DE5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AF6C5C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47B77729">
      <w:pPr>
        <w:pStyle w:val="5"/>
        <w:spacing w:after="120" w:line="360" w:lineRule="auto"/>
        <w:rPr>
          <w:rFonts w:hint="eastAsia"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4BFADFD5">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5735D41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397031C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628DAD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4F8051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D66FED5">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BEC27A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7D379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795786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13767E7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3354EDE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475678A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4FDD3D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02547D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1B124E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81D89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F23367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8312326">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AB7958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6C486CB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color w:val="auto"/>
          <w:highlight w:val="none"/>
          <w:lang w:val="en-US" w:eastAsia="zh-CN"/>
        </w:rPr>
        <w:t>费</w:t>
      </w:r>
      <w:r>
        <w:rPr>
          <w:rFonts w:hint="eastAsia" w:ascii="宋体" w:hAnsi="宋体" w:cs="宋体"/>
          <w:color w:val="auto"/>
          <w:szCs w:val="21"/>
          <w:highlight w:val="none"/>
        </w:rPr>
        <w:t>收取标准详见“供应商须知前附表”，供应商为联合体的，可以由联合体中的一方或者多方共同交纳代理服务费：</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9C9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F93BD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35D092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4103BAE1">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509B91E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519A98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20B3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3C02DEE">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7CA7EC6A">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423C297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51C1243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0A3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D9FEFC1">
            <w:pPr>
              <w:spacing w:line="360" w:lineRule="auto"/>
              <w:rPr>
                <w:rFonts w:ascii="宋体" w:hAnsi="宋体" w:cs="宋体"/>
                <w:color w:val="auto"/>
                <w:szCs w:val="21"/>
                <w:highlight w:val="none"/>
              </w:rPr>
            </w:pPr>
            <w:r>
              <w:rPr>
                <w:rFonts w:hint="eastAsia" w:ascii="宋体" w:hAnsi="宋体" w:cs="宋体"/>
                <w:color w:val="auto"/>
                <w:szCs w:val="21"/>
                <w:highlight w:val="none"/>
              </w:rPr>
              <w:t>100万～500万元</w:t>
            </w:r>
          </w:p>
        </w:tc>
        <w:tc>
          <w:tcPr>
            <w:tcW w:w="1659" w:type="dxa"/>
            <w:noWrap w:val="0"/>
            <w:vAlign w:val="top"/>
          </w:tcPr>
          <w:p w14:paraId="1347103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4AC58D2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2267F61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439B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4F0FC59">
            <w:pPr>
              <w:spacing w:line="360" w:lineRule="auto"/>
              <w:rPr>
                <w:rFonts w:ascii="宋体" w:hAnsi="宋体" w:cs="宋体"/>
                <w:color w:val="auto"/>
                <w:szCs w:val="21"/>
                <w:highlight w:val="none"/>
              </w:rPr>
            </w:pPr>
            <w:r>
              <w:rPr>
                <w:rFonts w:hint="eastAsia" w:ascii="宋体" w:hAnsi="宋体" w:cs="宋体"/>
                <w:color w:val="auto"/>
                <w:szCs w:val="21"/>
                <w:highlight w:val="none"/>
              </w:rPr>
              <w:t>500万～1000万元</w:t>
            </w:r>
          </w:p>
        </w:tc>
        <w:tc>
          <w:tcPr>
            <w:tcW w:w="1659" w:type="dxa"/>
            <w:noWrap w:val="0"/>
            <w:vAlign w:val="top"/>
          </w:tcPr>
          <w:p w14:paraId="1D59DA73">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632A00E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51BE522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192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21072F">
            <w:pPr>
              <w:spacing w:line="360" w:lineRule="auto"/>
              <w:rPr>
                <w:rFonts w:ascii="宋体" w:hAnsi="宋体" w:cs="宋体"/>
                <w:color w:val="auto"/>
                <w:szCs w:val="21"/>
                <w:highlight w:val="none"/>
              </w:rPr>
            </w:pPr>
            <w:r>
              <w:rPr>
                <w:rFonts w:hint="eastAsia" w:ascii="宋体" w:hAnsi="宋体" w:cs="宋体"/>
                <w:color w:val="auto"/>
                <w:szCs w:val="21"/>
                <w:highlight w:val="none"/>
              </w:rPr>
              <w:t>1000万～5000万元</w:t>
            </w:r>
          </w:p>
        </w:tc>
        <w:tc>
          <w:tcPr>
            <w:tcW w:w="1659" w:type="dxa"/>
            <w:noWrap w:val="0"/>
            <w:vAlign w:val="top"/>
          </w:tcPr>
          <w:p w14:paraId="262953B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5E0AA28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7B00E18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2C64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6D82CDC">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7863624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5711355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3059CB6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3816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DFF96B">
            <w:pPr>
              <w:spacing w:line="360" w:lineRule="auto"/>
              <w:rPr>
                <w:rFonts w:ascii="宋体" w:hAnsi="宋体" w:cs="宋体"/>
                <w:color w:val="auto"/>
                <w:szCs w:val="21"/>
                <w:highlight w:val="none"/>
              </w:rPr>
            </w:pPr>
            <w:r>
              <w:rPr>
                <w:rFonts w:hint="eastAsia" w:ascii="宋体" w:hAnsi="宋体" w:cs="宋体"/>
                <w:color w:val="auto"/>
                <w:szCs w:val="21"/>
                <w:highlight w:val="none"/>
              </w:rPr>
              <w:t>1亿～5亿元</w:t>
            </w:r>
          </w:p>
        </w:tc>
        <w:tc>
          <w:tcPr>
            <w:tcW w:w="1659" w:type="dxa"/>
            <w:noWrap w:val="0"/>
            <w:vAlign w:val="top"/>
          </w:tcPr>
          <w:p w14:paraId="7A44736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2EB32C7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264D31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41A4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C84BD1">
            <w:pPr>
              <w:spacing w:line="360" w:lineRule="auto"/>
              <w:rPr>
                <w:rFonts w:ascii="宋体" w:hAnsi="宋体" w:cs="宋体"/>
                <w:color w:val="auto"/>
                <w:szCs w:val="21"/>
                <w:highlight w:val="none"/>
              </w:rPr>
            </w:pPr>
            <w:r>
              <w:rPr>
                <w:rFonts w:hint="eastAsia" w:ascii="宋体" w:hAnsi="宋体" w:cs="宋体"/>
                <w:color w:val="auto"/>
                <w:szCs w:val="21"/>
                <w:highlight w:val="none"/>
              </w:rPr>
              <w:t>5亿～10亿元</w:t>
            </w:r>
          </w:p>
        </w:tc>
        <w:tc>
          <w:tcPr>
            <w:tcW w:w="1659" w:type="dxa"/>
            <w:noWrap w:val="0"/>
            <w:vAlign w:val="top"/>
          </w:tcPr>
          <w:p w14:paraId="7E81ACE3">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698534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58E32CBF">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6CFC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A4BECB">
            <w:pPr>
              <w:spacing w:line="360" w:lineRule="auto"/>
              <w:rPr>
                <w:rFonts w:ascii="宋体" w:hAnsi="宋体" w:cs="宋体"/>
                <w:color w:val="auto"/>
                <w:szCs w:val="21"/>
                <w:highlight w:val="none"/>
              </w:rPr>
            </w:pPr>
            <w:r>
              <w:rPr>
                <w:rFonts w:hint="eastAsia" w:ascii="宋体" w:hAnsi="宋体" w:cs="宋体"/>
                <w:color w:val="auto"/>
                <w:szCs w:val="21"/>
                <w:highlight w:val="none"/>
              </w:rPr>
              <w:t>10亿～50亿元</w:t>
            </w:r>
          </w:p>
        </w:tc>
        <w:tc>
          <w:tcPr>
            <w:tcW w:w="1659" w:type="dxa"/>
            <w:noWrap w:val="0"/>
            <w:vAlign w:val="top"/>
          </w:tcPr>
          <w:p w14:paraId="7B216959">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47B2E10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5368AAF3">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2940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5BBD37">
            <w:pPr>
              <w:spacing w:line="360" w:lineRule="auto"/>
              <w:rPr>
                <w:rFonts w:ascii="宋体" w:hAnsi="宋体" w:cs="宋体"/>
                <w:color w:val="auto"/>
                <w:szCs w:val="21"/>
                <w:highlight w:val="none"/>
              </w:rPr>
            </w:pPr>
            <w:r>
              <w:rPr>
                <w:rFonts w:hint="eastAsia" w:ascii="宋体" w:hAnsi="宋体" w:cs="宋体"/>
                <w:color w:val="auto"/>
                <w:szCs w:val="21"/>
                <w:highlight w:val="none"/>
              </w:rPr>
              <w:t>50亿～100亿元</w:t>
            </w:r>
          </w:p>
        </w:tc>
        <w:tc>
          <w:tcPr>
            <w:tcW w:w="1659" w:type="dxa"/>
            <w:noWrap w:val="0"/>
            <w:vAlign w:val="top"/>
          </w:tcPr>
          <w:p w14:paraId="17BBDE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1D54CB2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4E21D50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679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5180F3">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729F3B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6B7EE9A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7E148318">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1EDB129">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xml:space="preserve">注： </w:t>
      </w:r>
    </w:p>
    <w:p w14:paraId="2F82D34D">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3D906A31">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2459D955">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货物采购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7D82676E">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100 万元 ×l.5 %＝ 1.5 万元</w:t>
      </w:r>
    </w:p>
    <w:p w14:paraId="565648AB">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150 － 100 ）万元 ×1.1%＝ 0.55 万元</w:t>
      </w:r>
    </w:p>
    <w:p w14:paraId="49397856">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合计收费＝ 1.5 ＋ 0.55＝ 2.05 （万元）</w:t>
      </w:r>
    </w:p>
    <w:p w14:paraId="45F9A8CF">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3684C8A3">
      <w:pPr>
        <w:pStyle w:val="12"/>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7D687B6C">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14:paraId="3447E34D">
      <w:pPr>
        <w:pStyle w:val="12"/>
        <w:spacing w:line="360" w:lineRule="auto"/>
        <w:ind w:firstLine="400" w:firstLineChars="200"/>
        <w:contextualSpacing/>
        <w:rPr>
          <w:rFonts w:hint="eastAsia" w:hAnsi="宋体"/>
          <w:color w:val="auto"/>
          <w:sz w:val="21"/>
          <w:highlight w:val="none"/>
        </w:rPr>
      </w:pPr>
      <w:r>
        <w:rPr>
          <w:rFonts w:hint="eastAsia" w:hAnsi="宋体"/>
          <w:color w:val="auto"/>
          <w:highlight w:val="none"/>
        </w:rPr>
        <w:t>3</w:t>
      </w:r>
      <w:r>
        <w:rPr>
          <w:rFonts w:hAnsi="宋体"/>
          <w:color w:val="auto"/>
          <w:highlight w:val="none"/>
        </w:rPr>
        <w:t>3.3</w:t>
      </w:r>
      <w:bookmarkStart w:id="74"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35C5B7CA">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C9B2442">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4AFF15E7">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26F778C">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66A8280F">
      <w:pPr>
        <w:spacing w:line="360" w:lineRule="auto"/>
        <w:ind w:firstLine="420" w:firstLineChars="200"/>
        <w:contextualSpacing/>
        <w:rPr>
          <w:rFonts w:hint="eastAsia" w:ascii="宋体" w:hAnsi="宋体" w:cs="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74"/>
    </w:p>
    <w:p w14:paraId="7644FFD3">
      <w:pPr>
        <w:pStyle w:val="9"/>
        <w:ind w:left="1" w:firstLine="3" w:firstLineChars="1"/>
        <w:rPr>
          <w:rFonts w:hint="eastAsia" w:ascii="宋体"/>
          <w:b/>
          <w:bCs/>
          <w:color w:val="auto"/>
          <w:sz w:val="18"/>
          <w:szCs w:val="18"/>
          <w:highlight w:val="none"/>
        </w:rPr>
      </w:pPr>
      <w:r>
        <w:rPr>
          <w:rFonts w:ascii="黑体" w:hAnsi="黑体" w:eastAsia="黑体" w:cs="黑体"/>
          <w:bCs/>
          <w:color w:val="auto"/>
          <w:sz w:val="32"/>
          <w:szCs w:val="32"/>
          <w:highlight w:val="none"/>
        </w:rPr>
        <w:br w:type="page"/>
      </w:r>
    </w:p>
    <w:p w14:paraId="2D7F8725">
      <w:pPr>
        <w:pStyle w:val="12"/>
        <w:snapToGrid w:val="0"/>
        <w:spacing w:before="120" w:after="120"/>
        <w:rPr>
          <w:rFonts w:hint="eastAsia" w:hAnsi="宋体"/>
          <w:color w:val="auto"/>
          <w:highlight w:val="none"/>
        </w:rPr>
      </w:pPr>
    </w:p>
    <w:p w14:paraId="6FD3411D">
      <w:pPr>
        <w:pStyle w:val="2"/>
        <w:jc w:val="center"/>
        <w:rPr>
          <w:rFonts w:hint="eastAsia"/>
          <w:color w:val="auto"/>
          <w:highlight w:val="none"/>
        </w:rPr>
      </w:pPr>
      <w:bookmarkStart w:id="75" w:name="_Toc74322010"/>
      <w:r>
        <w:rPr>
          <w:rFonts w:hint="eastAsia"/>
          <w:color w:val="auto"/>
          <w:highlight w:val="none"/>
        </w:rPr>
        <w:t>第三章 采购需求</w:t>
      </w:r>
      <w:bookmarkEnd w:id="75"/>
    </w:p>
    <w:p w14:paraId="03E0CDB9">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79A9D235">
      <w:pPr>
        <w:spacing w:line="440" w:lineRule="exact"/>
        <w:jc w:val="left"/>
        <w:rPr>
          <w:rFonts w:hint="eastAsia" w:ascii="宋体" w:hAnsi="宋体" w:cs="宋体"/>
          <w:color w:val="auto"/>
          <w:szCs w:val="21"/>
          <w:highlight w:val="none"/>
        </w:rPr>
      </w:pPr>
    </w:p>
    <w:p w14:paraId="15F4188E">
      <w:pPr>
        <w:spacing w:line="360" w:lineRule="auto"/>
        <w:jc w:val="left"/>
        <w:rPr>
          <w:color w:val="auto"/>
          <w:highlight w:val="none"/>
        </w:rPr>
      </w:pPr>
      <w:r>
        <w:rPr>
          <w:rFonts w:hint="eastAsia" w:ascii="宋体" w:hAnsi="宋体" w:cs="宋体"/>
          <w:color w:val="auto"/>
          <w:szCs w:val="21"/>
          <w:highlight w:val="none"/>
        </w:rPr>
        <w:t>说明：</w:t>
      </w:r>
    </w:p>
    <w:p w14:paraId="17F80854">
      <w:pPr>
        <w:spacing w:line="360" w:lineRule="auto"/>
        <w:ind w:firstLine="420" w:firstLineChars="200"/>
        <w:jc w:val="left"/>
        <w:rPr>
          <w:rFonts w:hint="eastAsia" w:ascii="宋体" w:hAnsi="宋体" w:cs="宋体"/>
          <w:color w:val="auto"/>
          <w:szCs w:val="21"/>
          <w:highlight w:val="none"/>
        </w:rPr>
      </w:pPr>
      <w:r>
        <w:rPr>
          <w:rFonts w:hint="eastAsia"/>
          <w:color w:val="auto"/>
          <w:highlight w:val="none"/>
        </w:rPr>
        <w:t>1. 为落实政府采购政策需满足的要求</w:t>
      </w:r>
      <w:r>
        <w:rPr>
          <w:rFonts w:hint="eastAsia"/>
          <w:color w:val="auto"/>
          <w:highlight w:val="none"/>
          <w:lang w:eastAsia="zh-CN"/>
        </w:rPr>
        <w:t>：</w:t>
      </w:r>
      <w:r>
        <w:rPr>
          <w:rFonts w:hint="eastAsia" w:ascii="宋体" w:hAnsi="宋体" w:cs="宋体"/>
          <w:color w:val="auto"/>
          <w:szCs w:val="21"/>
          <w:highlight w:val="none"/>
        </w:rPr>
        <w:t>本竞争性谈判采购文件所称中小企业必须符合《政府采购促进中小企业发展管理办法》（财库〔2020〕46号）的规定。</w:t>
      </w:r>
    </w:p>
    <w:p w14:paraId="358816F7">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2. “实质性要求”是指采购需求中带“▲”的条款或者不能负偏离的条款或者已经指明不满足响应文件按无效处理的条款。</w:t>
      </w:r>
    </w:p>
    <w:p w14:paraId="63ACE39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6F5CD61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 供应商应根据自身实际情况如实响应谈判文件，对谈判文件提出的要求和条件作出明确响应，</w:t>
      </w:r>
      <w:r>
        <w:rPr>
          <w:rFonts w:hint="eastAsia" w:ascii="宋体" w:hAnsi="宋体" w:cs="宋体"/>
          <w:b/>
          <w:bCs/>
          <w:color w:val="auto"/>
          <w:szCs w:val="21"/>
          <w:highlight w:val="none"/>
        </w:rPr>
        <w:t>否则将作无效响应处理</w:t>
      </w:r>
      <w:r>
        <w:rPr>
          <w:rFonts w:hint="eastAsia" w:ascii="宋体" w:hAnsi="宋体" w:cs="宋体"/>
          <w:color w:val="auto"/>
          <w:szCs w:val="21"/>
          <w:highlight w:val="none"/>
        </w:rPr>
        <w:t>。对于重要技术条款或技术参数应当在响应文件中提供技术支持资料，技术支持资料以谈判文件中规定的形式为准，否则将视为无效技术支持资料。</w:t>
      </w:r>
    </w:p>
    <w:p w14:paraId="35529867">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5.</w:t>
      </w:r>
      <w:r>
        <w:rPr>
          <w:rFonts w:hint="eastAsia"/>
          <w:color w:val="auto"/>
          <w:highlight w:val="none"/>
        </w:rPr>
        <w:t>供应商必须自行为其竞标产品侵犯他人的知识产权或者专利成果的行为承担相应法律责任。</w:t>
      </w:r>
    </w:p>
    <w:p w14:paraId="308E0E46">
      <w:pPr>
        <w:spacing w:line="360" w:lineRule="auto"/>
        <w:ind w:firstLine="420" w:firstLineChars="200"/>
        <w:jc w:val="left"/>
        <w:rPr>
          <w:rFonts w:ascii="宋体" w:hAnsi="宋体" w:cs="Arial"/>
          <w:bCs/>
          <w:color w:val="auto"/>
          <w:szCs w:val="21"/>
          <w:highlight w:val="none"/>
          <w:u w:val="single"/>
        </w:rPr>
      </w:pPr>
      <w:bookmarkStart w:id="76" w:name="_Hlk48036094"/>
      <w:r>
        <w:rPr>
          <w:rFonts w:hint="eastAsia" w:ascii="宋体" w:hAnsi="宋体" w:eastAsia="宋体" w:cs="宋体"/>
          <w:color w:val="auto"/>
          <w:sz w:val="21"/>
          <w:szCs w:val="21"/>
          <w:highlight w:val="none"/>
          <w:lang w:val="en-US" w:eastAsia="zh-CN"/>
        </w:rPr>
        <w:t>6.所属行业依照《中小企业划型标准规定》（工信部联企业〔2011〕300号）及《国民经济行业分类》（GB/T4754-2017）的有关规定执行。</w:t>
      </w:r>
      <w:r>
        <w:rPr>
          <w:rFonts w:hint="eastAsia" w:ascii="宋体" w:hAnsi="宋体" w:eastAsia="宋体" w:cs="宋体"/>
          <w:b/>
          <w:bCs/>
          <w:color w:val="auto"/>
          <w:sz w:val="21"/>
          <w:szCs w:val="21"/>
          <w:highlight w:val="none"/>
          <w:lang w:val="en-US" w:eastAsia="zh-CN"/>
        </w:rPr>
        <w:t>本项目标的所属行业为“工业”。</w:t>
      </w:r>
    </w:p>
    <w:p w14:paraId="2F60DB1A">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7.</w:t>
      </w:r>
      <w:r>
        <w:rPr>
          <w:rFonts w:hint="eastAsia" w:ascii="宋体" w:hAnsi="宋体" w:cs="宋体"/>
          <w:b/>
          <w:bCs/>
          <w:color w:val="auto"/>
          <w:szCs w:val="21"/>
          <w:highlight w:val="none"/>
        </w:rPr>
        <w:t>带“▲”的条款</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须在响应文件中提供相关证明材料（证明材料包括但不限于生产厂家的宣传彩页或官网截图或国家认可的第三方检测机构出具的检测报告复印件等证明材料，所提供的证明材料内容须体现相应功能并加盖投标人公章</w:t>
      </w:r>
      <w:r>
        <w:rPr>
          <w:rFonts w:hint="eastAsia" w:ascii="宋体" w:hAnsi="宋体" w:cs="宋体"/>
          <w:b/>
          <w:bCs/>
          <w:color w:val="auto"/>
          <w:sz w:val="21"/>
          <w:szCs w:val="21"/>
          <w:highlight w:val="none"/>
          <w:lang w:val="en-US" w:eastAsia="zh-CN"/>
        </w:rPr>
        <w:t>），否则</w:t>
      </w:r>
      <w:r>
        <w:rPr>
          <w:rFonts w:hint="eastAsia" w:ascii="宋体" w:hAnsi="宋体" w:cs="宋体"/>
          <w:b/>
          <w:bCs/>
          <w:color w:val="auto"/>
          <w:szCs w:val="21"/>
          <w:highlight w:val="none"/>
        </w:rPr>
        <w:t>响应文件按无效处理</w:t>
      </w:r>
      <w:r>
        <w:rPr>
          <w:rFonts w:hint="eastAsia" w:ascii="宋体" w:hAnsi="宋体" w:cs="宋体"/>
          <w:b/>
          <w:bCs/>
          <w:color w:val="auto"/>
          <w:szCs w:val="21"/>
          <w:highlight w:val="none"/>
          <w:lang w:eastAsia="zh-CN"/>
        </w:rPr>
        <w:t>。</w:t>
      </w:r>
    </w:p>
    <w:p w14:paraId="389C9068">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lang w:val="en-US" w:eastAsia="zh-CN"/>
        </w:rPr>
        <w:t>1</w:t>
      </w:r>
      <w:r>
        <w:rPr>
          <w:rFonts w:hint="eastAsia" w:ascii="宋体" w:hAnsi="宋体" w:cs="Arial"/>
          <w:bCs/>
          <w:color w:val="auto"/>
          <w:szCs w:val="21"/>
          <w:highlight w:val="none"/>
          <w:u w:val="single"/>
        </w:rPr>
        <w:t xml:space="preserve">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lang w:val="en-US" w:eastAsia="zh-CN"/>
        </w:rPr>
        <w:t>657000.00元</w:t>
      </w:r>
      <w:r>
        <w:rPr>
          <w:rFonts w:hint="eastAsia" w:ascii="宋体" w:hAnsi="宋体" w:cs="Arial"/>
          <w:bCs/>
          <w:color w:val="auto"/>
          <w:szCs w:val="21"/>
          <w:highlight w:val="none"/>
          <w:u w:val="single"/>
        </w:rPr>
        <w:t xml:space="preserve"> </w:t>
      </w:r>
    </w:p>
    <w:tbl>
      <w:tblPr>
        <w:tblStyle w:val="23"/>
        <w:tblW w:w="88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4"/>
        <w:gridCol w:w="1057"/>
        <w:gridCol w:w="662"/>
        <w:gridCol w:w="352"/>
        <w:gridCol w:w="6371"/>
      </w:tblGrid>
      <w:tr w14:paraId="45FF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34" w:type="dxa"/>
            <w:vAlign w:val="center"/>
          </w:tcPr>
          <w:p w14:paraId="1A5363A9">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57" w:type="dxa"/>
            <w:vAlign w:val="center"/>
          </w:tcPr>
          <w:p w14:paraId="4BD90CE3">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标的的</w:t>
            </w:r>
          </w:p>
          <w:p w14:paraId="32FF6B1F">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014" w:type="dxa"/>
            <w:gridSpan w:val="2"/>
            <w:vAlign w:val="center"/>
          </w:tcPr>
          <w:p w14:paraId="1E983CB9">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6371" w:type="dxa"/>
            <w:vAlign w:val="center"/>
          </w:tcPr>
          <w:p w14:paraId="69B4784A">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w:t>
            </w:r>
            <w:r>
              <w:rPr>
                <w:rFonts w:hint="eastAsia" w:ascii="宋体" w:hAnsi="宋体" w:eastAsia="宋体" w:cs="宋体"/>
                <w:b/>
                <w:bCs/>
                <w:color w:val="auto"/>
                <w:sz w:val="21"/>
                <w:szCs w:val="21"/>
                <w:highlight w:val="none"/>
                <w:lang w:val="en-US" w:eastAsia="zh-CN"/>
              </w:rPr>
              <w:t>要</w:t>
            </w:r>
            <w:r>
              <w:rPr>
                <w:rFonts w:hint="eastAsia" w:ascii="宋体" w:hAnsi="宋体" w:eastAsia="宋体" w:cs="宋体"/>
                <w:b/>
                <w:bCs/>
                <w:color w:val="auto"/>
                <w:sz w:val="21"/>
                <w:szCs w:val="21"/>
                <w:highlight w:val="none"/>
              </w:rPr>
              <w:t>求</w:t>
            </w:r>
          </w:p>
        </w:tc>
      </w:tr>
      <w:tr w14:paraId="7CAB1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34" w:type="dxa"/>
            <w:vAlign w:val="center"/>
          </w:tcPr>
          <w:p w14:paraId="3FD4947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57" w:type="dxa"/>
            <w:vAlign w:val="center"/>
          </w:tcPr>
          <w:p w14:paraId="738F971D">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血液透析滤过机</w:t>
            </w:r>
          </w:p>
        </w:tc>
        <w:tc>
          <w:tcPr>
            <w:tcW w:w="1014" w:type="dxa"/>
            <w:gridSpan w:val="2"/>
            <w:vAlign w:val="center"/>
          </w:tcPr>
          <w:p w14:paraId="5785DD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3台</w:t>
            </w:r>
          </w:p>
        </w:tc>
        <w:tc>
          <w:tcPr>
            <w:tcW w:w="6371" w:type="dxa"/>
            <w:vAlign w:val="center"/>
          </w:tcPr>
          <w:p w14:paraId="56FB7E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一、技术要求</w:t>
            </w:r>
          </w:p>
          <w:p w14:paraId="37F95D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适用于血液透析、在线血液滤过（HF-online）、在线血液透析滤过（HDF-online）、单纯超滤等治疗模式。</w:t>
            </w:r>
          </w:p>
          <w:p w14:paraId="06B94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采用≥15 英寸多角度旋转液晶触摸屏，中英文等多种语言界面，引导式操作界面。</w:t>
            </w:r>
          </w:p>
          <w:p w14:paraId="25BE28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具有多种钠离子、超滤速率、碳酸氢盐、肝素流量、透析液流量、透析液温度等标准曲线和自设曲线功能，可自选多种模式组合。</w:t>
            </w:r>
          </w:p>
          <w:p w14:paraId="3874F8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具备容量平衡反馈控制系统。</w:t>
            </w:r>
          </w:p>
          <w:p w14:paraId="531AE0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具备序贯透析（透析←→单纯超滤）、高低钠序贯透析。</w:t>
            </w:r>
          </w:p>
          <w:p w14:paraId="5D5767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预设多种标准透析液配制比例，亦可自设比例，适应多种品牌的透析粉或浓缩液。</w:t>
            </w:r>
          </w:p>
          <w:p w14:paraId="364E49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具备透析液配制反馈控制系统。</w:t>
            </w:r>
          </w:p>
          <w:p w14:paraId="3A751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具备报警指示灯，配合音乐提示和报警。</w:t>
            </w:r>
          </w:p>
          <w:p w14:paraId="1071B0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内置后备电源，停电后可维持治疗血液回路工作30分钟以上。</w:t>
            </w:r>
          </w:p>
          <w:p w14:paraId="5E4A9F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可使用 10mL、 20mL、 30 mL、50mL 注射器，自动检测注射器型号，具备功能自检和报警系统，支持肝素曲线。</w:t>
            </w:r>
          </w:p>
          <w:p w14:paraId="71BD23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具备置换液自动充管。</w:t>
            </w:r>
          </w:p>
          <w:p w14:paraId="03CD26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具有双级内毒素过滤功能（HDF-online），保证置换液高于静脉注射用液的标准。</w:t>
            </w:r>
          </w:p>
          <w:p w14:paraId="04B036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在线无创血压监测，可自动检测和记录患者透析期间的心率、血压变化。</w:t>
            </w:r>
          </w:p>
          <w:p w14:paraId="756A5E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具备在线尿素监测、血压监测、血容量监测、血温监测功能。</w:t>
            </w:r>
          </w:p>
          <w:p w14:paraId="56751A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液面调节：静脉壶液面自动或电动调节。</w:t>
            </w:r>
          </w:p>
          <w:p w14:paraId="61EE02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可兼容第三方管路耗材使用。</w:t>
            </w:r>
          </w:p>
          <w:p w14:paraId="20A68D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二、技术参数</w:t>
            </w:r>
          </w:p>
          <w:p w14:paraId="1B507E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1．动脉压监测: -400mmHg～610mmHg，精度可达：±10 mmHg</w:t>
            </w:r>
          </w:p>
          <w:p w14:paraId="6ECF29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2．静脉压监测: -400mmHg～610mmHg，精度可达: ±10 mmHg</w:t>
            </w:r>
          </w:p>
          <w:p w14:paraId="3DE238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3．跨膜压监测: -180mmHg～600mmHg，精度可达: ±10 mmHg</w:t>
            </w:r>
          </w:p>
          <w:p w14:paraId="098D9E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4．透析液流量：100mL/min～800mL/min，精度：±5%</w:t>
            </w:r>
          </w:p>
          <w:p w14:paraId="7FFD05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5．透析液温度范围：33℃～40℃，精度：±0.5℃</w:t>
            </w:r>
          </w:p>
          <w:p w14:paraId="004080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6．透析液电导率: 12.0mS/cm～18.0mS/cm</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，精度: ±0.1 mS/cm</w:t>
            </w:r>
          </w:p>
          <w:p w14:paraId="6E48FD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7．置换液流量：30～600mL/min(HDF-online)</w:t>
            </w:r>
            <w:r>
              <w:rPr>
                <w:rFonts w:hint="eastAsia" w:ascii="宋体" w:hAnsi="宋体" w:eastAsia="宋体" w:cs="宋体"/>
                <w:color w:val="auto"/>
                <w:sz w:val="21"/>
                <w:szCs w:val="21"/>
                <w:highlight w:val="none"/>
                <w:lang w:val="en-US" w:eastAsia="zh-CN"/>
              </w:rPr>
              <w:tab/>
            </w:r>
          </w:p>
          <w:p w14:paraId="7B57EE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8．血流量：30～600mL/min，精度±10%</w:t>
            </w:r>
          </w:p>
          <w:p w14:paraId="5B322C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▲9．超滤控制超滤率：0～4000mL/h，精度：±30mL/h</w:t>
            </w:r>
          </w:p>
          <w:p w14:paraId="1428D9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10．肝素泵注入流量：0～10ml/h</w:t>
            </w:r>
          </w:p>
          <w:p w14:paraId="1EB67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11．气泡检测器：可监测＞0.02 mL的气泡，可监测液面和累积气泡</w:t>
            </w:r>
          </w:p>
          <w:p w14:paraId="7F05BF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12．漏血监测：可监测≤0.35mL/min的漏血(HCT32%)</w:t>
            </w:r>
          </w:p>
          <w:p w14:paraId="00B02C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13．消毒功能：具有化学剂消毒和热消毒两种，消毒可使用柠檬酸消毒液、次氯酸钠消毒。</w:t>
            </w:r>
          </w:p>
          <w:p w14:paraId="09E0AA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14．供水条件温度：进水压：1.5-6.0bar，供水温度：5～30℃。</w:t>
            </w:r>
          </w:p>
          <w:p w14:paraId="2DF58C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▲三、配置清单（每台）</w:t>
            </w:r>
          </w:p>
          <w:tbl>
            <w:tblPr>
              <w:tblStyle w:val="24"/>
              <w:tblW w:w="4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62"/>
              <w:gridCol w:w="738"/>
              <w:gridCol w:w="750"/>
            </w:tblGrid>
            <w:tr w14:paraId="5FF2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62748D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962" w:type="dxa"/>
                  <w:vAlign w:val="center"/>
                </w:tcPr>
                <w:p w14:paraId="0A1682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名称</w:t>
                  </w:r>
                </w:p>
              </w:tc>
              <w:tc>
                <w:tcPr>
                  <w:tcW w:w="738" w:type="dxa"/>
                  <w:vAlign w:val="center"/>
                </w:tcPr>
                <w:p w14:paraId="7BDA15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w:t>
                  </w:r>
                </w:p>
              </w:tc>
              <w:tc>
                <w:tcPr>
                  <w:tcW w:w="750" w:type="dxa"/>
                  <w:vAlign w:val="center"/>
                </w:tcPr>
                <w:p w14:paraId="03DB85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r>
            <w:tr w14:paraId="079E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1E1DA0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62" w:type="dxa"/>
                  <w:vAlign w:val="center"/>
                </w:tcPr>
                <w:p w14:paraId="10C3E3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主机</w:t>
                  </w:r>
                </w:p>
              </w:tc>
              <w:tc>
                <w:tcPr>
                  <w:tcW w:w="738" w:type="dxa"/>
                  <w:vAlign w:val="center"/>
                </w:tcPr>
                <w:p w14:paraId="44E6BE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765EC0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r>
            <w:tr w14:paraId="0A60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1FEA4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62" w:type="dxa"/>
                  <w:vAlign w:val="center"/>
                </w:tcPr>
                <w:p w14:paraId="26120E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透析液过滤系统</w:t>
                  </w:r>
                </w:p>
              </w:tc>
              <w:tc>
                <w:tcPr>
                  <w:tcW w:w="738" w:type="dxa"/>
                  <w:vAlign w:val="center"/>
                </w:tcPr>
                <w:p w14:paraId="361E43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47CF1F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r>
            <w:tr w14:paraId="225B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134E9A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62" w:type="dxa"/>
                  <w:vAlign w:val="center"/>
                </w:tcPr>
                <w:p w14:paraId="5CB4C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干粉筒装置</w:t>
                  </w:r>
                </w:p>
              </w:tc>
              <w:tc>
                <w:tcPr>
                  <w:tcW w:w="738" w:type="dxa"/>
                  <w:vAlign w:val="center"/>
                </w:tcPr>
                <w:p w14:paraId="15FD78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521CC2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r>
            <w:tr w14:paraId="611D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6EE355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62" w:type="dxa"/>
                  <w:vAlign w:val="center"/>
                </w:tcPr>
                <w:p w14:paraId="6FAE15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在线尿素监测功能</w:t>
                  </w:r>
                </w:p>
              </w:tc>
              <w:tc>
                <w:tcPr>
                  <w:tcW w:w="738" w:type="dxa"/>
                  <w:vAlign w:val="center"/>
                </w:tcPr>
                <w:p w14:paraId="2EAED7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5FFCC9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r>
            <w:tr w14:paraId="3272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5EE5AD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62" w:type="dxa"/>
                  <w:vAlign w:val="center"/>
                </w:tcPr>
                <w:p w14:paraId="65EEAE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血压监测功能</w:t>
                  </w:r>
                </w:p>
              </w:tc>
              <w:tc>
                <w:tcPr>
                  <w:tcW w:w="738" w:type="dxa"/>
                  <w:vAlign w:val="center"/>
                </w:tcPr>
                <w:p w14:paraId="719E67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7C09D2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r>
            <w:tr w14:paraId="3D2A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5D06C8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962" w:type="dxa"/>
                  <w:vAlign w:val="center"/>
                </w:tcPr>
                <w:p w14:paraId="62B87C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血容量监测功能</w:t>
                  </w:r>
                </w:p>
              </w:tc>
              <w:tc>
                <w:tcPr>
                  <w:tcW w:w="738" w:type="dxa"/>
                  <w:vAlign w:val="center"/>
                </w:tcPr>
                <w:p w14:paraId="6E0F95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2E2EFA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r>
            <w:tr w14:paraId="4A21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0773E4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962" w:type="dxa"/>
                  <w:vAlign w:val="center"/>
                </w:tcPr>
                <w:p w14:paraId="2596EE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血温监测功能</w:t>
                  </w:r>
                </w:p>
              </w:tc>
              <w:tc>
                <w:tcPr>
                  <w:tcW w:w="738" w:type="dxa"/>
                  <w:vAlign w:val="center"/>
                </w:tcPr>
                <w:p w14:paraId="2E33C8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713690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r>
            <w:tr w14:paraId="5889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6EB7DE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962" w:type="dxa"/>
                  <w:vAlign w:val="center"/>
                </w:tcPr>
                <w:p w14:paraId="3C4BE3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标准装机附件</w:t>
                  </w:r>
                </w:p>
              </w:tc>
              <w:tc>
                <w:tcPr>
                  <w:tcW w:w="738" w:type="dxa"/>
                  <w:vAlign w:val="center"/>
                </w:tcPr>
                <w:p w14:paraId="5C6932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31E379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r>
            <w:tr w14:paraId="59F9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02B98F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962" w:type="dxa"/>
                  <w:vAlign w:val="center"/>
                </w:tcPr>
                <w:p w14:paraId="659B32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使用说明书</w:t>
                  </w:r>
                </w:p>
              </w:tc>
              <w:tc>
                <w:tcPr>
                  <w:tcW w:w="738" w:type="dxa"/>
                  <w:vAlign w:val="center"/>
                </w:tcPr>
                <w:p w14:paraId="14A082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7A0BC0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w:t>
                  </w:r>
                </w:p>
              </w:tc>
            </w:tr>
            <w:tr w14:paraId="6C41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160D7E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962" w:type="dxa"/>
                  <w:vAlign w:val="center"/>
                </w:tcPr>
                <w:p w14:paraId="018A2F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快速操作流程图</w:t>
                  </w:r>
                </w:p>
              </w:tc>
              <w:tc>
                <w:tcPr>
                  <w:tcW w:w="738" w:type="dxa"/>
                  <w:vAlign w:val="center"/>
                </w:tcPr>
                <w:p w14:paraId="0C5E5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238C4C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r>
            <w:tr w14:paraId="0A0C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050C40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962" w:type="dxa"/>
                  <w:vAlign w:val="center"/>
                </w:tcPr>
                <w:p w14:paraId="4501C7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合格证</w:t>
                  </w:r>
                </w:p>
              </w:tc>
              <w:tc>
                <w:tcPr>
                  <w:tcW w:w="738" w:type="dxa"/>
                  <w:vAlign w:val="center"/>
                </w:tcPr>
                <w:p w14:paraId="70DD21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53764C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r>
            <w:tr w14:paraId="69E7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292C83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962" w:type="dxa"/>
                  <w:vAlign w:val="center"/>
                </w:tcPr>
                <w:p w14:paraId="0000D1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保修卡</w:t>
                  </w:r>
                </w:p>
              </w:tc>
              <w:tc>
                <w:tcPr>
                  <w:tcW w:w="738" w:type="dxa"/>
                  <w:vAlign w:val="center"/>
                </w:tcPr>
                <w:p w14:paraId="3B9651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76D23A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r>
          </w:tbl>
          <w:p w14:paraId="2B1FAE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tc>
      </w:tr>
      <w:tr w14:paraId="2F73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76" w:type="dxa"/>
            <w:gridSpan w:val="5"/>
            <w:vAlign w:val="top"/>
          </w:tcPr>
          <w:p w14:paraId="589AC361">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采购预算：</w:t>
            </w:r>
            <w:r>
              <w:rPr>
                <w:rFonts w:hint="eastAsia" w:ascii="宋体" w:hAnsi="宋体" w:eastAsia="宋体" w:cs="宋体"/>
                <w:color w:val="auto"/>
                <w:sz w:val="21"/>
                <w:szCs w:val="21"/>
                <w:highlight w:val="none"/>
                <w:lang w:val="en-US" w:eastAsia="zh-CN"/>
              </w:rPr>
              <w:t>65.7万元</w:t>
            </w:r>
          </w:p>
        </w:tc>
      </w:tr>
      <w:tr w14:paraId="2C434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6" w:type="dxa"/>
            <w:gridSpan w:val="5"/>
            <w:tcBorders>
              <w:top w:val="single" w:color="auto" w:sz="4" w:space="0"/>
              <w:left w:val="single" w:color="auto" w:sz="4" w:space="0"/>
              <w:bottom w:val="single" w:color="auto" w:sz="4" w:space="0"/>
              <w:right w:val="single" w:color="auto" w:sz="4" w:space="0"/>
            </w:tcBorders>
            <w:vAlign w:val="center"/>
          </w:tcPr>
          <w:p w14:paraId="4F14D2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一、商务要求</w:t>
            </w:r>
          </w:p>
        </w:tc>
      </w:tr>
      <w:tr w14:paraId="2CA39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2E2A557F">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6723" w:type="dxa"/>
            <w:gridSpan w:val="2"/>
            <w:tcBorders>
              <w:top w:val="single" w:color="auto" w:sz="4" w:space="0"/>
              <w:left w:val="single" w:color="auto" w:sz="4" w:space="0"/>
              <w:bottom w:val="single" w:color="auto" w:sz="4" w:space="0"/>
              <w:right w:val="single" w:color="auto" w:sz="4" w:space="0"/>
            </w:tcBorders>
            <w:vAlign w:val="center"/>
          </w:tcPr>
          <w:p w14:paraId="19CD94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报价包含但不限于</w:t>
            </w:r>
            <w:r>
              <w:rPr>
                <w:rFonts w:hint="eastAsia" w:ascii="宋体" w:hAnsi="宋体" w:eastAsia="宋体" w:cs="宋体"/>
                <w:bCs/>
                <w:color w:val="auto"/>
                <w:sz w:val="21"/>
                <w:szCs w:val="21"/>
                <w:highlight w:val="none"/>
              </w:rPr>
              <w:t>货物及其所有设备、随配附件、备品备件、易损件、专用工具、包装、运输、装卸、保险、搬运、施工、安装调试、人员薪酬、税费或税金、计量检测费、验收检验、技术培训、技术资料、技术服务、室内技术线路改造、软件升级、后期维护服务或售后服务、其他所有成本费用，以及货物运抵指定交付地点的各种费用、以及进入施工现场安装时的各项费用等本合同、</w:t>
            </w:r>
            <w:r>
              <w:rPr>
                <w:rFonts w:hint="eastAsia" w:ascii="宋体" w:hAnsi="宋体" w:eastAsia="宋体" w:cs="宋体"/>
                <w:bCs/>
                <w:color w:val="auto"/>
                <w:sz w:val="21"/>
                <w:szCs w:val="21"/>
                <w:highlight w:val="none"/>
                <w:lang w:val="en-US" w:eastAsia="zh-CN"/>
              </w:rPr>
              <w:t>竞争性谈判</w:t>
            </w:r>
            <w:r>
              <w:rPr>
                <w:rFonts w:hint="eastAsia" w:ascii="宋体" w:hAnsi="宋体" w:eastAsia="宋体" w:cs="宋体"/>
                <w:bCs/>
                <w:color w:val="auto"/>
                <w:sz w:val="21"/>
                <w:szCs w:val="21"/>
                <w:highlight w:val="none"/>
              </w:rPr>
              <w:t>文件（如有）以及响应文件（如有）中规定的所有风险和责任所涉及的全部费用</w:t>
            </w:r>
            <w:r>
              <w:rPr>
                <w:rFonts w:hint="eastAsia" w:ascii="宋体" w:hAnsi="宋体" w:eastAsia="宋体" w:cs="宋体"/>
                <w:color w:val="auto"/>
                <w:sz w:val="21"/>
                <w:szCs w:val="21"/>
                <w:highlight w:val="none"/>
              </w:rPr>
              <w:t>。</w:t>
            </w:r>
          </w:p>
        </w:tc>
      </w:tr>
      <w:tr w14:paraId="437EB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14CC3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合同履行期限和地点</w:t>
            </w:r>
          </w:p>
        </w:tc>
        <w:tc>
          <w:tcPr>
            <w:tcW w:w="6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2751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1.合同履行期限：自合同签订之日起30天内，需完成全部货物的供货、安装调试，并通过最终验收合格后交付使用。</w:t>
            </w:r>
          </w:p>
          <w:p w14:paraId="7175FE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eastAsia="zh-CN"/>
              </w:rPr>
              <w:t>梧州市</w:t>
            </w:r>
            <w:r>
              <w:rPr>
                <w:rFonts w:hint="eastAsia" w:ascii="宋体" w:hAnsi="宋体" w:eastAsia="宋体" w:cs="宋体"/>
                <w:color w:val="auto"/>
                <w:sz w:val="21"/>
                <w:szCs w:val="21"/>
                <w:highlight w:val="none"/>
                <w:lang w:val="en-US" w:eastAsia="zh-CN"/>
              </w:rPr>
              <w:t>采购人指定地点（梧州市工人医院）</w:t>
            </w:r>
            <w:r>
              <w:rPr>
                <w:rFonts w:hint="eastAsia" w:ascii="宋体" w:hAnsi="宋体" w:eastAsia="宋体" w:cs="宋体"/>
                <w:color w:val="auto"/>
                <w:sz w:val="21"/>
                <w:szCs w:val="21"/>
                <w:highlight w:val="none"/>
              </w:rPr>
              <w:t>。</w:t>
            </w:r>
          </w:p>
        </w:tc>
      </w:tr>
      <w:tr w14:paraId="40504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4740CB7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合同签订时间</w:t>
            </w:r>
          </w:p>
        </w:tc>
        <w:tc>
          <w:tcPr>
            <w:tcW w:w="6723" w:type="dxa"/>
            <w:gridSpan w:val="2"/>
            <w:tcBorders>
              <w:top w:val="single" w:color="auto" w:sz="4" w:space="0"/>
              <w:left w:val="single" w:color="auto" w:sz="4" w:space="0"/>
              <w:bottom w:val="single" w:color="auto" w:sz="4" w:space="0"/>
              <w:right w:val="single" w:color="auto" w:sz="4" w:space="0"/>
            </w:tcBorders>
            <w:vAlign w:val="center"/>
          </w:tcPr>
          <w:p w14:paraId="6B1D73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自成交通知书发出之日起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个日历日内</w:t>
            </w:r>
            <w:r>
              <w:rPr>
                <w:rFonts w:hint="eastAsia" w:ascii="宋体" w:hAnsi="宋体" w:eastAsia="宋体" w:cs="宋体"/>
                <w:color w:val="auto"/>
                <w:sz w:val="21"/>
                <w:szCs w:val="21"/>
                <w:highlight w:val="none"/>
              </w:rPr>
              <w:t>。</w:t>
            </w:r>
          </w:p>
        </w:tc>
      </w:tr>
      <w:tr w14:paraId="4E403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03CA41D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付款条件</w:t>
            </w:r>
          </w:p>
        </w:tc>
        <w:tc>
          <w:tcPr>
            <w:tcW w:w="6723" w:type="dxa"/>
            <w:gridSpan w:val="2"/>
            <w:tcBorders>
              <w:top w:val="single" w:color="auto" w:sz="4" w:space="0"/>
              <w:left w:val="single" w:color="auto" w:sz="4" w:space="0"/>
              <w:bottom w:val="single" w:color="auto" w:sz="4" w:space="0"/>
              <w:right w:val="single" w:color="auto" w:sz="4" w:space="0"/>
            </w:tcBorders>
            <w:vAlign w:val="center"/>
          </w:tcPr>
          <w:p w14:paraId="4331AAEF">
            <w:pPr>
              <w:keepNext w:val="0"/>
              <w:keepLines w:val="0"/>
              <w:pageBreakBefore w:val="0"/>
              <w:widowControl w:val="0"/>
              <w:kinsoku/>
              <w:wordWrap/>
              <w:overflowPunct/>
              <w:topLinePunct w:val="0"/>
              <w:autoSpaceDE/>
              <w:autoSpaceDN/>
              <w:bidi w:val="0"/>
              <w:adjustRightInd/>
              <w:snapToGrid/>
              <w:spacing w:line="360" w:lineRule="auto"/>
              <w:ind w:left="0" w:firstLine="424" w:firstLineChars="202"/>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本项目采用分期付款方式结算。</w:t>
            </w:r>
          </w:p>
          <w:p w14:paraId="442EBD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首期款：签订合同后10个工作日内，成交商开具30%合同总金额的预付款保函（保函有效期至采购人提取全部货物并完成验收合格后），采购人收到成交商付款申请和银行保函后支付30%合同款至成交商指定对公银行账户。</w:t>
            </w:r>
          </w:p>
          <w:p w14:paraId="6EDFA4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Cs/>
                <w:color w:val="auto"/>
                <w:sz w:val="21"/>
                <w:szCs w:val="21"/>
                <w:highlight w:val="none"/>
              </w:rPr>
              <w:t>二期款：所有设备送达采购人指定地点，安装调试完毕且验收合格后，成交商开立发票（发票类型根据采购人要求提供）和付款申请给采购人，采购人收到前述资料后的10个工作日内支付70%合同款至成交商指定对公银行账户。因成交商未向采购人提供发票致使采购人迟延付款的，采购人不承担违约责任。</w:t>
            </w:r>
          </w:p>
        </w:tc>
      </w:tr>
      <w:tr w14:paraId="3E26A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0DB20DB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产品基本要求</w:t>
            </w:r>
          </w:p>
        </w:tc>
        <w:tc>
          <w:tcPr>
            <w:tcW w:w="6723" w:type="dxa"/>
            <w:gridSpan w:val="2"/>
            <w:tcBorders>
              <w:top w:val="single" w:color="auto" w:sz="4" w:space="0"/>
              <w:left w:val="single" w:color="auto" w:sz="4" w:space="0"/>
              <w:bottom w:val="single" w:color="auto" w:sz="4" w:space="0"/>
              <w:right w:val="single" w:color="auto" w:sz="4" w:space="0"/>
            </w:tcBorders>
            <w:vAlign w:val="center"/>
          </w:tcPr>
          <w:p w14:paraId="09893F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.成交供应商</w:t>
            </w:r>
            <w:r>
              <w:rPr>
                <w:rFonts w:hint="eastAsia" w:ascii="宋体" w:hAnsi="宋体" w:eastAsia="宋体" w:cs="宋体"/>
                <w:b w:val="0"/>
                <w:bCs/>
                <w:color w:val="auto"/>
                <w:sz w:val="21"/>
                <w:szCs w:val="21"/>
                <w:highlight w:val="none"/>
              </w:rPr>
              <w:t>所提供的产品名称、商标品牌、生产厂家、规格型号、技术参数等质量必须与</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和承诺相一致。</w:t>
            </w:r>
            <w:r>
              <w:rPr>
                <w:rFonts w:hint="eastAsia" w:ascii="宋体" w:hAnsi="宋体" w:eastAsia="宋体" w:cs="宋体"/>
                <w:b w:val="0"/>
                <w:bCs/>
                <w:color w:val="auto"/>
                <w:sz w:val="21"/>
                <w:szCs w:val="21"/>
                <w:highlight w:val="none"/>
                <w:lang w:eastAsia="zh-CN"/>
              </w:rPr>
              <w:t>成交供应商</w:t>
            </w:r>
            <w:r>
              <w:rPr>
                <w:rFonts w:hint="eastAsia" w:ascii="宋体" w:hAnsi="宋体" w:eastAsia="宋体" w:cs="宋体"/>
                <w:b w:val="0"/>
                <w:bCs/>
                <w:color w:val="auto"/>
                <w:sz w:val="21"/>
                <w:szCs w:val="21"/>
                <w:highlight w:val="none"/>
              </w:rPr>
              <w:t>提供的节能和环保产品必须是列入政府采购清单的产品。</w:t>
            </w:r>
          </w:p>
          <w:p w14:paraId="7AC8C3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.成交供应商</w:t>
            </w:r>
            <w:r>
              <w:rPr>
                <w:rFonts w:hint="eastAsia" w:ascii="宋体" w:hAnsi="宋体" w:eastAsia="宋体" w:cs="宋体"/>
                <w:b w:val="0"/>
                <w:bCs/>
                <w:color w:val="auto"/>
                <w:sz w:val="21"/>
                <w:szCs w:val="21"/>
                <w:highlight w:val="none"/>
              </w:rPr>
              <w:t>所提供的货物必须是</w:t>
            </w:r>
            <w:r>
              <w:rPr>
                <w:rFonts w:hint="eastAsia" w:ascii="宋体" w:hAnsi="宋体" w:eastAsia="宋体" w:cs="宋体"/>
                <w:b w:val="0"/>
                <w:bCs/>
                <w:color w:val="auto"/>
                <w:sz w:val="21"/>
                <w:szCs w:val="21"/>
                <w:highlight w:val="none"/>
                <w:lang w:eastAsia="zh-CN"/>
              </w:rPr>
              <w:t>原装、</w:t>
            </w:r>
            <w:r>
              <w:rPr>
                <w:rFonts w:hint="eastAsia" w:ascii="宋体" w:hAnsi="宋体" w:eastAsia="宋体" w:cs="宋体"/>
                <w:b w:val="0"/>
                <w:bCs/>
                <w:color w:val="auto"/>
                <w:sz w:val="21"/>
                <w:szCs w:val="21"/>
                <w:highlight w:val="none"/>
              </w:rPr>
              <w:t>全新、</w:t>
            </w:r>
            <w:r>
              <w:rPr>
                <w:rFonts w:hint="eastAsia" w:ascii="宋体" w:hAnsi="宋体" w:eastAsia="宋体" w:cs="宋体"/>
                <w:color w:val="auto"/>
                <w:sz w:val="21"/>
                <w:szCs w:val="21"/>
                <w:highlight w:val="none"/>
              </w:rPr>
              <w:t>未使用的且是在近</w:t>
            </w:r>
            <w:r>
              <w:rPr>
                <w:rFonts w:hint="eastAsia" w:ascii="宋体" w:hAnsi="宋体" w:eastAsia="宋体" w:cs="宋体"/>
                <w:color w:val="auto"/>
                <w:sz w:val="21"/>
                <w:szCs w:val="21"/>
                <w:highlight w:val="none"/>
                <w:lang w:val="en-US" w:eastAsia="zh-CN"/>
              </w:rPr>
              <w:t>半</w:t>
            </w:r>
            <w:r>
              <w:rPr>
                <w:rFonts w:hint="eastAsia" w:ascii="宋体" w:hAnsi="宋体" w:eastAsia="宋体" w:cs="宋体"/>
                <w:color w:val="auto"/>
                <w:sz w:val="21"/>
                <w:szCs w:val="21"/>
                <w:highlight w:val="none"/>
              </w:rPr>
              <w:t>年内</w:t>
            </w:r>
            <w:r>
              <w:rPr>
                <w:rFonts w:hint="eastAsia" w:ascii="宋体" w:hAnsi="宋体" w:eastAsia="宋体" w:cs="宋体"/>
                <w:color w:val="auto"/>
                <w:sz w:val="21"/>
                <w:szCs w:val="21"/>
                <w:highlight w:val="none"/>
                <w:lang w:eastAsia="zh-CN"/>
              </w:rPr>
              <w:t>生产的</w:t>
            </w:r>
            <w:r>
              <w:rPr>
                <w:rFonts w:hint="eastAsia" w:ascii="宋体" w:hAnsi="宋体" w:eastAsia="宋体" w:cs="宋体"/>
                <w:color w:val="auto"/>
                <w:sz w:val="21"/>
                <w:szCs w:val="21"/>
                <w:highlight w:val="none"/>
              </w:rPr>
              <w:t>、符合行业和国家及采购人提出的有关质量标准的货物</w:t>
            </w:r>
            <w:r>
              <w:rPr>
                <w:rFonts w:hint="eastAsia" w:ascii="宋体" w:hAnsi="宋体" w:eastAsia="宋体" w:cs="宋体"/>
                <w:b w:val="0"/>
                <w:bCs/>
                <w:color w:val="auto"/>
                <w:sz w:val="21"/>
                <w:szCs w:val="21"/>
                <w:highlight w:val="none"/>
              </w:rPr>
              <w:t>，并提供相关合法有效证明文件；且在正常安装、使用和保养条件下，其使用寿命期内各项指标均达到质量要求。</w:t>
            </w:r>
          </w:p>
          <w:p w14:paraId="1E9B1E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成交供应商</w:t>
            </w:r>
            <w:r>
              <w:rPr>
                <w:rFonts w:hint="eastAsia" w:ascii="宋体" w:hAnsi="宋体" w:eastAsia="宋体" w:cs="宋体"/>
                <w:b w:val="0"/>
                <w:bCs/>
                <w:color w:val="auto"/>
                <w:sz w:val="21"/>
                <w:szCs w:val="21"/>
                <w:highlight w:val="none"/>
              </w:rPr>
              <w:t>保证所提供的货物（包含但不限于配套软硬件设备及其伴随服务等；下同）必须是没有任何抵押、质押、查封或其他权利瑕疵，</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正常使用不会侵犯任何第三方合法权益。</w:t>
            </w:r>
          </w:p>
          <w:p w14:paraId="58AC046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4.响应文件中提供产品的《中华人民共和国医疗器械注册证》复印件并加盖供应商公章。</w:t>
            </w:r>
          </w:p>
        </w:tc>
      </w:tr>
      <w:tr w14:paraId="0F170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64A4D8D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售后服务</w:t>
            </w:r>
          </w:p>
        </w:tc>
        <w:tc>
          <w:tcPr>
            <w:tcW w:w="6723" w:type="dxa"/>
            <w:gridSpan w:val="2"/>
            <w:tcBorders>
              <w:top w:val="single" w:color="auto" w:sz="4" w:space="0"/>
              <w:left w:val="single" w:color="auto" w:sz="4" w:space="0"/>
              <w:bottom w:val="single" w:color="auto" w:sz="4" w:space="0"/>
              <w:right w:val="single" w:color="auto" w:sz="4" w:space="0"/>
            </w:tcBorders>
            <w:vAlign w:val="center"/>
          </w:tcPr>
          <w:p w14:paraId="4A9ACC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1.成交供应商</w:t>
            </w:r>
            <w:r>
              <w:rPr>
                <w:rFonts w:hint="eastAsia" w:ascii="宋体" w:hAnsi="宋体" w:eastAsia="宋体" w:cs="宋体"/>
                <w:b w:val="0"/>
                <w:bCs/>
                <w:color w:val="auto"/>
                <w:sz w:val="21"/>
                <w:szCs w:val="21"/>
                <w:highlight w:val="none"/>
              </w:rPr>
              <w:t>负责送货上门，安装调试。从通过验收即日起</w:t>
            </w:r>
            <w:r>
              <w:rPr>
                <w:rFonts w:hint="eastAsia" w:ascii="宋体" w:hAnsi="宋体" w:eastAsia="宋体" w:cs="宋体"/>
                <w:b w:val="0"/>
                <w:bCs/>
                <w:color w:val="auto"/>
                <w:sz w:val="21"/>
                <w:szCs w:val="21"/>
                <w:highlight w:val="none"/>
                <w:lang w:eastAsia="zh-CN"/>
              </w:rPr>
              <w:t>保修期</w:t>
            </w:r>
            <w:r>
              <w:rPr>
                <w:rFonts w:hint="eastAsia" w:ascii="宋体" w:hAnsi="宋体" w:eastAsia="宋体" w:cs="宋体"/>
                <w:b w:val="0"/>
                <w:bCs/>
                <w:color w:val="auto"/>
                <w:sz w:val="21"/>
                <w:szCs w:val="21"/>
                <w:highlight w:val="none"/>
              </w:rPr>
              <w:t>内所有由于质量问题导致的软、硬件产品故障</w:t>
            </w:r>
            <w:r>
              <w:rPr>
                <w:rFonts w:hint="eastAsia" w:ascii="宋体" w:hAnsi="宋体" w:eastAsia="宋体" w:cs="宋体"/>
                <w:b w:val="0"/>
                <w:bCs/>
                <w:color w:val="auto"/>
                <w:sz w:val="21"/>
                <w:szCs w:val="21"/>
                <w:highlight w:val="none"/>
                <w:lang w:val="en-US" w:eastAsia="zh-CN"/>
              </w:rPr>
              <w:t>负责</w:t>
            </w:r>
            <w:r>
              <w:rPr>
                <w:rFonts w:hint="eastAsia" w:ascii="宋体" w:hAnsi="宋体" w:eastAsia="宋体" w:cs="宋体"/>
                <w:b w:val="0"/>
                <w:bCs/>
                <w:color w:val="auto"/>
                <w:sz w:val="21"/>
                <w:szCs w:val="21"/>
                <w:highlight w:val="none"/>
              </w:rPr>
              <w:t xml:space="preserve">保修、人工及更换备件标准上门服务，并提供终身维护。 </w:t>
            </w:r>
          </w:p>
          <w:p w14:paraId="2E6D61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技术及维修服务：</w:t>
            </w:r>
            <w:r>
              <w:rPr>
                <w:rFonts w:hint="eastAsia" w:ascii="宋体" w:hAnsi="宋体" w:eastAsia="宋体" w:cs="宋体"/>
                <w:b w:val="0"/>
                <w:bCs/>
                <w:color w:val="auto"/>
                <w:sz w:val="21"/>
                <w:szCs w:val="21"/>
                <w:highlight w:val="none"/>
                <w:lang w:val="en-US" w:eastAsia="zh-CN"/>
              </w:rPr>
              <w:t>成交供应商</w:t>
            </w:r>
            <w:r>
              <w:rPr>
                <w:rFonts w:hint="eastAsia" w:ascii="宋体" w:hAnsi="宋体" w:eastAsia="宋体" w:cs="宋体"/>
                <w:b w:val="0"/>
                <w:bCs/>
                <w:color w:val="auto"/>
                <w:sz w:val="21"/>
                <w:szCs w:val="21"/>
                <w:highlight w:val="none"/>
              </w:rPr>
              <w:t>应配置工程技术人员，随时提供开箱验货、安装、调试或维修等服务。</w:t>
            </w:r>
          </w:p>
          <w:p w14:paraId="3E24B3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使用年限：</w:t>
            </w:r>
            <w:r>
              <w:rPr>
                <w:rFonts w:hint="eastAsia" w:ascii="宋体" w:hAnsi="宋体" w:eastAsia="宋体" w:cs="宋体"/>
                <w:b w:val="0"/>
                <w:bCs/>
                <w:color w:val="auto"/>
                <w:sz w:val="21"/>
                <w:szCs w:val="21"/>
                <w:highlight w:val="none"/>
                <w:lang w:eastAsia="zh-CN"/>
              </w:rPr>
              <w:t>不少于</w:t>
            </w:r>
            <w:r>
              <w:rPr>
                <w:rFonts w:hint="eastAsia" w:ascii="宋体" w:hAnsi="宋体" w:eastAsia="宋体" w:cs="宋体"/>
                <w:b w:val="0"/>
                <w:bCs/>
                <w:color w:val="auto"/>
                <w:sz w:val="21"/>
                <w:szCs w:val="21"/>
                <w:highlight w:val="none"/>
              </w:rPr>
              <w:t>10年</w:t>
            </w:r>
            <w:r>
              <w:rPr>
                <w:rFonts w:hint="eastAsia" w:ascii="宋体" w:hAnsi="宋体" w:eastAsia="宋体" w:cs="宋体"/>
                <w:b w:val="0"/>
                <w:bCs/>
                <w:color w:val="auto"/>
                <w:sz w:val="21"/>
                <w:szCs w:val="21"/>
                <w:highlight w:val="none"/>
                <w:lang w:eastAsia="zh-CN"/>
              </w:rPr>
              <w:t>。</w:t>
            </w:r>
          </w:p>
          <w:p w14:paraId="7B792B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保修期≥3年，保修期内全免费无条件维修和更换零配件</w:t>
            </w:r>
            <w:r>
              <w:rPr>
                <w:rFonts w:hint="eastAsia" w:ascii="宋体" w:hAnsi="宋体" w:eastAsia="宋体" w:cs="宋体"/>
                <w:b w:val="0"/>
                <w:bCs/>
                <w:color w:val="auto"/>
                <w:sz w:val="21"/>
                <w:szCs w:val="21"/>
                <w:highlight w:val="none"/>
              </w:rPr>
              <w:t>。</w:t>
            </w:r>
          </w:p>
          <w:p w14:paraId="2BCDD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故障处理：厂家须设有24小时服务电话，</w:t>
            </w:r>
            <w:r>
              <w:rPr>
                <w:rFonts w:hint="eastAsia" w:ascii="宋体" w:hAnsi="宋体" w:eastAsia="宋体" w:cs="宋体"/>
                <w:b w:val="0"/>
                <w:bCs/>
                <w:color w:val="auto"/>
                <w:sz w:val="21"/>
                <w:szCs w:val="21"/>
                <w:highlight w:val="none"/>
                <w:lang w:eastAsia="zh-CN"/>
              </w:rPr>
              <w:t>保修期</w:t>
            </w:r>
            <w:r>
              <w:rPr>
                <w:rFonts w:hint="eastAsia" w:ascii="宋体" w:hAnsi="宋体" w:eastAsia="宋体" w:cs="宋体"/>
                <w:b w:val="0"/>
                <w:bCs/>
                <w:color w:val="auto"/>
                <w:sz w:val="21"/>
                <w:szCs w:val="21"/>
                <w:highlight w:val="none"/>
              </w:rPr>
              <w:t>内，在使用过程中发现质量问题或故障时，接到维修通知后，2小时内响应，24小时内实施维修服务。一般问题应在48小时内解决，重大问题或其它无法迅速解决的问题应在一周内解决，所发生的一切费用由成交供应商负责。</w:t>
            </w:r>
          </w:p>
          <w:p w14:paraId="1D4B24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6.维修备件必须是原厂备件。</w:t>
            </w:r>
          </w:p>
          <w:p w14:paraId="15DE16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其余按厂家承诺。</w:t>
            </w:r>
          </w:p>
        </w:tc>
      </w:tr>
      <w:tr w14:paraId="69D19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1A5A4B5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验收标准（质量要求）</w:t>
            </w:r>
          </w:p>
        </w:tc>
        <w:tc>
          <w:tcPr>
            <w:tcW w:w="6723" w:type="dxa"/>
            <w:gridSpan w:val="2"/>
            <w:tcBorders>
              <w:top w:val="single" w:color="auto" w:sz="4" w:space="0"/>
              <w:left w:val="single" w:color="auto" w:sz="4" w:space="0"/>
              <w:bottom w:val="single" w:color="auto" w:sz="4" w:space="0"/>
              <w:right w:val="single" w:color="auto" w:sz="4" w:space="0"/>
            </w:tcBorders>
            <w:vAlign w:val="center"/>
          </w:tcPr>
          <w:p w14:paraId="67F103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符合现行国家相关标准、行业标准、地方标准或者其他标准、规范，且以较高标准的为准。</w:t>
            </w:r>
          </w:p>
        </w:tc>
      </w:tr>
      <w:tr w14:paraId="21C8E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6" w:type="dxa"/>
            <w:gridSpan w:val="5"/>
            <w:tcBorders>
              <w:top w:val="single" w:color="auto" w:sz="4" w:space="0"/>
              <w:left w:val="single" w:color="auto" w:sz="4" w:space="0"/>
              <w:bottom w:val="single" w:color="auto" w:sz="4" w:space="0"/>
              <w:right w:val="single" w:color="auto" w:sz="4" w:space="0"/>
            </w:tcBorders>
            <w:vAlign w:val="center"/>
          </w:tcPr>
          <w:p w14:paraId="293BA5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二、</w:t>
            </w:r>
            <w:r>
              <w:rPr>
                <w:rFonts w:hint="eastAsia" w:ascii="宋体" w:hAnsi="宋体" w:eastAsia="宋体" w:cs="宋体"/>
                <w:b/>
                <w:color w:val="auto"/>
                <w:sz w:val="21"/>
                <w:szCs w:val="21"/>
                <w:highlight w:val="none"/>
              </w:rPr>
              <w:t>进口产品说</w:t>
            </w:r>
            <w:r>
              <w:rPr>
                <w:rFonts w:hint="eastAsia" w:ascii="宋体" w:hAnsi="宋体" w:eastAsia="宋体" w:cs="宋体"/>
                <w:b/>
                <w:color w:val="auto"/>
                <w:sz w:val="21"/>
                <w:szCs w:val="21"/>
                <w:highlight w:val="none"/>
                <w:lang w:val="en-US" w:eastAsia="zh-CN"/>
              </w:rPr>
              <w:t>明</w:t>
            </w:r>
          </w:p>
        </w:tc>
      </w:tr>
      <w:tr w14:paraId="5BF6C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0579A4C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tc>
        <w:tc>
          <w:tcPr>
            <w:tcW w:w="6723" w:type="dxa"/>
            <w:gridSpan w:val="2"/>
            <w:tcBorders>
              <w:top w:val="single" w:color="auto" w:sz="4" w:space="0"/>
              <w:left w:val="single" w:color="auto" w:sz="4" w:space="0"/>
              <w:bottom w:val="single" w:color="auto" w:sz="4" w:space="0"/>
              <w:right w:val="single" w:color="auto" w:sz="4" w:space="0"/>
            </w:tcBorders>
            <w:vAlign w:val="center"/>
          </w:tcPr>
          <w:p w14:paraId="56336C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本项目货物不接受进口产品（即通过中国海关报关验放进入中国境内且产自关境外的产品）参与竞标，</w:t>
            </w:r>
            <w:r>
              <w:rPr>
                <w:rFonts w:hint="eastAsia" w:ascii="宋体" w:hAnsi="宋体" w:eastAsia="宋体" w:cs="宋体"/>
                <w:b/>
                <w:color w:val="auto"/>
                <w:sz w:val="21"/>
                <w:szCs w:val="21"/>
                <w:highlight w:val="none"/>
              </w:rPr>
              <w:t>如有进口产品参与竞标的，其响应文件按无效处理</w:t>
            </w:r>
            <w:r>
              <w:rPr>
                <w:rFonts w:hint="eastAsia" w:ascii="宋体" w:hAnsi="宋体" w:eastAsia="宋体" w:cs="宋体"/>
                <w:color w:val="auto"/>
                <w:sz w:val="21"/>
                <w:szCs w:val="21"/>
                <w:highlight w:val="none"/>
              </w:rPr>
              <w:t>。</w:t>
            </w:r>
          </w:p>
        </w:tc>
      </w:tr>
      <w:bookmarkEnd w:id="76"/>
    </w:tbl>
    <w:p w14:paraId="008A1EBD">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0D5B7771">
      <w:pPr>
        <w:spacing w:line="428" w:lineRule="exact"/>
        <w:ind w:left="119"/>
        <w:rPr>
          <w:rFonts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w:t>
      </w:r>
    </w:p>
    <w:p w14:paraId="53E3D611">
      <w:pPr>
        <w:spacing w:before="7"/>
        <w:rPr>
          <w:rFonts w:hint="eastAsia" w:ascii="Arial Unicode MS" w:hAnsi="Arial Unicode MS" w:eastAsia="Arial Unicode MS" w:cs="Arial Unicode MS"/>
          <w:color w:val="auto"/>
          <w:sz w:val="17"/>
          <w:szCs w:val="17"/>
          <w:highlight w:val="none"/>
        </w:rPr>
      </w:pPr>
    </w:p>
    <w:p w14:paraId="197C873C">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61CF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CB10A9B">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6F849A93">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7727555">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1DDB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A6E6FE">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C24341">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F4A315">
            <w:pPr>
              <w:pStyle w:val="60"/>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4B546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A355EF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212B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EFB5D">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17B03">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EB76D73">
            <w:pPr>
              <w:pStyle w:val="60"/>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93EEB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2DC060D">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135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2AEFA">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177A9">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B1B5AFD">
            <w:pPr>
              <w:pStyle w:val="60"/>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9FFF77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68B897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41C1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0AC05">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535D19">
            <w:pPr>
              <w:pStyle w:val="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F3540">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91749A">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CD6A06">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ED8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B1C0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04C99">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F424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D917D7">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1E94A3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50E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42BF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DC61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650BB">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241C1A">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4958AB7">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7D1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6951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BD48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C436D">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F95BB5">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0AC657B">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4AC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4ED0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38C2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408E7">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3F208D0">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CC91BBD">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F3E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339D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8279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15DD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D73BBFF">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5B3E0E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03D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8836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763B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E5458">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0279A2A">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77D5EC7">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323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02A4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67CC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CC34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9FEE41B">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302F81D">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727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E3A39">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4D41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E2FA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BDB1DE">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2C59C27">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175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C446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F040A">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AF95D">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BB39993">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38514B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2C37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CFD4A">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D3E3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34A30">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9FDB50D">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08D8080">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4F97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F7A86F7">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E35164C">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2D09A5B">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96A9D5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89478A6">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33A6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2C6A35">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7BADF2D">
            <w:pPr>
              <w:pStyle w:val="60"/>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F31AD00">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74BD06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C9313AF">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DEF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55E0F24">
            <w:pPr>
              <w:pStyle w:val="60"/>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76E8DD9">
            <w:pPr>
              <w:pStyle w:val="60"/>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DC5FCFE">
            <w:pPr>
              <w:pStyle w:val="60"/>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D30C8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4758BE8">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2EAA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F2F3010">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FE759">
            <w:pPr>
              <w:pStyle w:val="6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95FD7">
            <w:pPr>
              <w:pStyle w:val="6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0ED835">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7CF4565">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7BB1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6A5FC">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8B25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07BD5">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24F2AFD">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384AD03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7C18ABDA">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68BF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C38C2">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0F477">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E098E">
            <w:pPr>
              <w:pStyle w:val="6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A8FAE1">
            <w:pPr>
              <w:pStyle w:val="60"/>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8ECE4F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7E4F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0111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A7256">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4DB03">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F57FE9">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F42A66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6723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7F0B5">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E0855">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E01B8DE">
            <w:pPr>
              <w:pStyle w:val="60"/>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CCA535">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A35B02B">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080A2ECB">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325C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8A5A4">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3615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826B931">
            <w:pPr>
              <w:pStyle w:val="60"/>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52D64659">
            <w:pPr>
              <w:pStyle w:val="60"/>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BA333B">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15C5D6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59073D78">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439D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36802B3">
            <w:pPr>
              <w:pStyle w:val="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44CF1D2">
            <w:pPr>
              <w:pStyle w:val="6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CF982E1">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34880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AC7A8B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5AAE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82D382C">
            <w:pPr>
              <w:pStyle w:val="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B3C2470">
            <w:pPr>
              <w:pStyle w:val="60"/>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24BAD3">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ADCBF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F1A9B2A">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5A08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5663998">
            <w:pPr>
              <w:pStyle w:val="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9786D58">
            <w:pPr>
              <w:pStyle w:val="60"/>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76B645">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627B1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E0AC5FF">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7537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69EA19">
            <w:pPr>
              <w:pStyle w:val="60"/>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6569A">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4E2D49A">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1820D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62ABA2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4550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83C2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5C60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4BE0C6">
            <w:pPr>
              <w:pStyle w:val="60"/>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DEEE01">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84C5B40">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248A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29FD5">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D0A4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2104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C3D883">
            <w:pPr>
              <w:pStyle w:val="60"/>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58439DE">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1713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08C8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AD04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6EB01">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89349A7">
            <w:pPr>
              <w:pStyle w:val="60"/>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6436EAB">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4864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9359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E99F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4E0E32">
            <w:pPr>
              <w:pStyle w:val="60"/>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B713CD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4DE8711">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4525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46BE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001C7">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F32ED">
            <w:pPr>
              <w:pStyle w:val="60"/>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06EF9A9">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04A3471">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1B08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ABF9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FEF4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DA6C6">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9730DC8">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43AE7E6">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2AB6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208E6">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A588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3A930">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5C40EC8">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68BC3B5">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0CBA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B16F">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4639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48D65">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EF1AF3D">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9D0A2F3">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19C3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2716BE">
            <w:pPr>
              <w:pStyle w:val="6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2ABA5">
            <w:pPr>
              <w:pStyle w:val="60"/>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F9F1F86">
            <w:pPr>
              <w:pStyle w:val="60"/>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36D7D8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858832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30CE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1FCD9">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3AB5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09A1E6B">
            <w:pPr>
              <w:pStyle w:val="60"/>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DCB0FB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E9824B0">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4C7A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A70E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59E2B">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8DBB258">
            <w:pPr>
              <w:pStyle w:val="6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45FEB9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B119932">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136D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08CF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F5DF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45F74D">
            <w:pPr>
              <w:pStyle w:val="60"/>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FC181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942A30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5590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2AE59DB">
            <w:pPr>
              <w:pStyle w:val="6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318463F">
            <w:pPr>
              <w:pStyle w:val="60"/>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05B1351">
            <w:pPr>
              <w:pStyle w:val="60"/>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BE3BD6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BBBCDBD">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4106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F1A1E9A">
            <w:pPr>
              <w:pStyle w:val="6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6066D1A">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720B028">
            <w:pPr>
              <w:pStyle w:val="60"/>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58F0455">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7848B70">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2F06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DEA42F9">
            <w:pPr>
              <w:pStyle w:val="6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92D87EE">
            <w:pPr>
              <w:pStyle w:val="60"/>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E4B5304">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442993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A35D5B6">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5F26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E0CFAC">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BCBE6">
            <w:pPr>
              <w:pStyle w:val="60"/>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D90855">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F226C1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6175A82">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6A1F71EA">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7268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B4A04">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71797">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FD383FA">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804859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18A2B44">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51B2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C5D2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E994C">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9991303">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818BFA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312FA22">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54AC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7A5185D">
            <w:pPr>
              <w:pStyle w:val="6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7B77040">
            <w:pPr>
              <w:pStyle w:val="60"/>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6595CF">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BAE680">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60279EA">
            <w:pPr>
              <w:pStyle w:val="60"/>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FB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D41C495">
            <w:pPr>
              <w:pStyle w:val="6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20A7375">
            <w:pPr>
              <w:pStyle w:val="60"/>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79F5007">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4C7B28">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A30D730">
            <w:pPr>
              <w:pStyle w:val="60"/>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7E11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7DF42DE">
            <w:pPr>
              <w:pStyle w:val="6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E080970">
            <w:pPr>
              <w:pStyle w:val="60"/>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B747CD8">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C768DA2">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8DF8D4E">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1D64E353">
      <w:pPr>
        <w:pStyle w:val="9"/>
        <w:spacing w:line="360" w:lineRule="auto"/>
        <w:rPr>
          <w:rFonts w:hint="eastAsia"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7EE52B3F">
      <w:pPr>
        <w:pStyle w:val="9"/>
        <w:spacing w:line="360" w:lineRule="auto"/>
        <w:ind w:firstLine="465"/>
        <w:rPr>
          <w:rFonts w:hint="eastAsia" w:ascii="宋体" w:hAnsi="宋体"/>
          <w:color w:val="auto"/>
          <w:szCs w:val="21"/>
          <w:highlight w:val="none"/>
        </w:rPr>
      </w:pPr>
      <w:r>
        <w:rPr>
          <w:rFonts w:hint="eastAsia" w:ascii="宋体" w:hAnsi="宋体"/>
          <w:color w:val="auto"/>
          <w:szCs w:val="21"/>
          <w:highlight w:val="none"/>
        </w:rPr>
        <w:t>2.以“★”标注的为政府强制采购产品。</w:t>
      </w:r>
    </w:p>
    <w:p w14:paraId="609C8F07">
      <w:pPr>
        <w:pStyle w:val="9"/>
        <w:spacing w:line="360" w:lineRule="auto"/>
        <w:ind w:firstLine="465"/>
        <w:rPr>
          <w:rFonts w:hint="eastAsia"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51A6B8B5">
      <w:pPr>
        <w:widowControl/>
        <w:jc w:val="left"/>
        <w:rPr>
          <w:rFonts w:hint="eastAsia" w:ascii="宋体" w:hAnsi="宋体" w:cs="宋体"/>
          <w:color w:val="auto"/>
          <w:sz w:val="20"/>
          <w:szCs w:val="20"/>
          <w:highlight w:val="none"/>
        </w:rPr>
      </w:pPr>
    </w:p>
    <w:p w14:paraId="409973C7">
      <w:pPr>
        <w:widowControl/>
        <w:jc w:val="left"/>
        <w:rPr>
          <w:rFonts w:hint="eastAsia" w:ascii="宋体" w:hAnsi="宋体" w:cs="宋体"/>
          <w:color w:val="auto"/>
          <w:sz w:val="20"/>
          <w:szCs w:val="20"/>
          <w:highlight w:val="none"/>
        </w:rPr>
      </w:pPr>
    </w:p>
    <w:p w14:paraId="49E13E2A">
      <w:pPr>
        <w:widowControl/>
        <w:jc w:val="left"/>
        <w:rPr>
          <w:rFonts w:hint="eastAsia" w:ascii="黑体" w:hAnsi="黑体" w:eastAsia="黑体" w:cs="黑体"/>
          <w:color w:val="auto"/>
          <w:sz w:val="32"/>
          <w:szCs w:val="32"/>
          <w:highlight w:val="none"/>
        </w:rPr>
      </w:pPr>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241CB52D">
      <w:pPr>
        <w:pStyle w:val="9"/>
        <w:jc w:val="center"/>
        <w:rPr>
          <w:rFonts w:hint="eastAsia"/>
          <w:b/>
          <w:color w:val="auto"/>
          <w:sz w:val="28"/>
          <w:szCs w:val="28"/>
          <w:highlight w:val="none"/>
        </w:rPr>
      </w:pPr>
      <w:r>
        <w:rPr>
          <w:rFonts w:hint="eastAsia"/>
          <w:b/>
          <w:color w:val="auto"/>
          <w:sz w:val="28"/>
          <w:szCs w:val="28"/>
          <w:highlight w:val="none"/>
        </w:rPr>
        <w:t>中小企业划型标准规定</w:t>
      </w:r>
    </w:p>
    <w:p w14:paraId="52D85289">
      <w:pPr>
        <w:pStyle w:val="9"/>
        <w:jc w:val="center"/>
        <w:rPr>
          <w:rFonts w:ascii="宋体" w:hAnsi="宋体"/>
          <w:color w:val="auto"/>
          <w:szCs w:val="21"/>
          <w:highlight w:val="none"/>
        </w:rPr>
      </w:pPr>
      <w:r>
        <w:rPr>
          <w:rFonts w:hint="eastAsia" w:ascii="宋体" w:hAnsi="宋体"/>
          <w:color w:val="auto"/>
          <w:szCs w:val="21"/>
          <w:highlight w:val="none"/>
        </w:rPr>
        <w:t>工信部联企业</w:t>
      </w:r>
      <w:r>
        <w:rPr>
          <w:rFonts w:hint="eastAsia" w:ascii="宋体" w:hAnsi="宋体"/>
          <w:color w:val="auto"/>
          <w:szCs w:val="21"/>
          <w:highlight w:val="none"/>
          <w:lang w:eastAsia="zh-CN"/>
        </w:rPr>
        <w:t>〔2011〕300号</w:t>
      </w:r>
    </w:p>
    <w:p w14:paraId="6D839D92">
      <w:pPr>
        <w:pStyle w:val="9"/>
        <w:rPr>
          <w:rFonts w:hint="eastAsia"/>
          <w:color w:val="auto"/>
          <w:szCs w:val="21"/>
          <w:highlight w:val="none"/>
        </w:rPr>
      </w:pPr>
    </w:p>
    <w:p w14:paraId="7CF3D881">
      <w:pPr>
        <w:pStyle w:val="9"/>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rFonts w:hint="eastAsia"/>
          <w:color w:val="auto"/>
          <w:szCs w:val="21"/>
          <w:highlight w:val="none"/>
          <w:lang w:eastAsia="zh-CN"/>
        </w:rPr>
        <w:t>〔2009〕36号</w:t>
      </w:r>
      <w:r>
        <w:rPr>
          <w:color w:val="auto"/>
          <w:szCs w:val="21"/>
          <w:highlight w:val="none"/>
        </w:rPr>
        <w:t>)</w:t>
      </w:r>
      <w:r>
        <w:rPr>
          <w:rFonts w:hint="eastAsia"/>
          <w:color w:val="auto"/>
          <w:szCs w:val="21"/>
          <w:highlight w:val="none"/>
        </w:rPr>
        <w:t>，制定本规定。</w:t>
      </w:r>
    </w:p>
    <w:p w14:paraId="7AC2D544">
      <w:pPr>
        <w:pStyle w:val="9"/>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3718DA36">
      <w:pPr>
        <w:pStyle w:val="9"/>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8C546F">
      <w:pPr>
        <w:pStyle w:val="9"/>
        <w:rPr>
          <w:color w:val="auto"/>
          <w:szCs w:val="21"/>
          <w:highlight w:val="none"/>
        </w:rPr>
      </w:pPr>
      <w:r>
        <w:rPr>
          <w:rFonts w:hint="eastAsia"/>
          <w:color w:val="auto"/>
          <w:szCs w:val="21"/>
          <w:highlight w:val="none"/>
        </w:rPr>
        <w:t>　　四、各行业划型标准为：</w:t>
      </w:r>
    </w:p>
    <w:p w14:paraId="7F9A2965">
      <w:pPr>
        <w:pStyle w:val="9"/>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483E406B">
      <w:pPr>
        <w:pStyle w:val="9"/>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2464C99E">
      <w:pPr>
        <w:pStyle w:val="9"/>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73823438">
      <w:pPr>
        <w:pStyle w:val="9"/>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72EEC737">
      <w:pPr>
        <w:pStyle w:val="9"/>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279908A">
      <w:pPr>
        <w:pStyle w:val="9"/>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0354FB23">
      <w:pPr>
        <w:pStyle w:val="9"/>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C1FF195">
      <w:pPr>
        <w:pStyle w:val="9"/>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FDF726C">
      <w:pPr>
        <w:pStyle w:val="9"/>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8BCD8AA">
      <w:pPr>
        <w:pStyle w:val="9"/>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DDCE561">
      <w:pPr>
        <w:pStyle w:val="9"/>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45AA62E">
      <w:pPr>
        <w:pStyle w:val="9"/>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6396FFE3">
      <w:pPr>
        <w:pStyle w:val="9"/>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6148A95E">
      <w:pPr>
        <w:pStyle w:val="9"/>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521BD208">
      <w:pPr>
        <w:pStyle w:val="9"/>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462F6F74">
      <w:pPr>
        <w:pStyle w:val="9"/>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42B2C772">
      <w:pPr>
        <w:pStyle w:val="9"/>
        <w:rPr>
          <w:color w:val="auto"/>
          <w:szCs w:val="21"/>
          <w:highlight w:val="none"/>
        </w:rPr>
      </w:pPr>
      <w:r>
        <w:rPr>
          <w:rFonts w:hint="eastAsia"/>
          <w:color w:val="auto"/>
          <w:szCs w:val="21"/>
          <w:highlight w:val="none"/>
        </w:rPr>
        <w:t>　　五、企业类型的划分以统计部门的统计数据为依据。</w:t>
      </w:r>
    </w:p>
    <w:p w14:paraId="3F26F0CA">
      <w:pPr>
        <w:pStyle w:val="9"/>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49836445">
      <w:pPr>
        <w:pStyle w:val="9"/>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3DC9DF0">
      <w:pPr>
        <w:pStyle w:val="9"/>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7A31A435">
      <w:pPr>
        <w:pStyle w:val="9"/>
        <w:rPr>
          <w:color w:val="auto"/>
          <w:szCs w:val="21"/>
          <w:highlight w:val="none"/>
        </w:rPr>
      </w:pPr>
      <w:r>
        <w:rPr>
          <w:rFonts w:hint="eastAsia"/>
          <w:color w:val="auto"/>
          <w:szCs w:val="21"/>
          <w:highlight w:val="none"/>
        </w:rPr>
        <w:t>　　九、本规定由工业和信息化部、国家统计局会同有关部门负责解释。</w:t>
      </w:r>
    </w:p>
    <w:p w14:paraId="0DA3E225">
      <w:pPr>
        <w:pStyle w:val="9"/>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4501AC00">
      <w:pPr>
        <w:widowControl/>
        <w:jc w:val="left"/>
        <w:rPr>
          <w:rFonts w:ascii="宋体" w:hAnsi="宋体" w:cs="宋体"/>
          <w:color w:val="auto"/>
          <w:sz w:val="20"/>
          <w:szCs w:val="20"/>
          <w:highlight w:val="none"/>
        </w:rPr>
      </w:pPr>
    </w:p>
    <w:p w14:paraId="071373B1">
      <w:pPr>
        <w:pStyle w:val="2"/>
        <w:jc w:val="center"/>
        <w:rPr>
          <w:rFonts w:hint="eastAsia"/>
          <w:color w:val="auto"/>
          <w:highlight w:val="none"/>
        </w:rPr>
      </w:pPr>
      <w:r>
        <w:rPr>
          <w:rFonts w:ascii="宋体" w:hAnsi="宋体" w:cs="宋体"/>
          <w:color w:val="auto"/>
          <w:sz w:val="20"/>
          <w:szCs w:val="20"/>
          <w:highlight w:val="none"/>
        </w:rPr>
        <w:br w:type="page"/>
      </w:r>
      <w:bookmarkStart w:id="77" w:name="_Toc74322011"/>
      <w:r>
        <w:rPr>
          <w:rFonts w:hint="eastAsia"/>
          <w:color w:val="auto"/>
          <w:highlight w:val="none"/>
        </w:rPr>
        <w:t xml:space="preserve">第四章  </w:t>
      </w:r>
      <w:bookmarkStart w:id="78" w:name="_Hlk68601507"/>
      <w:r>
        <w:rPr>
          <w:rFonts w:hint="eastAsia"/>
          <w:color w:val="auto"/>
          <w:highlight w:val="none"/>
        </w:rPr>
        <w:t>评审程序和评定成交的标准</w:t>
      </w:r>
      <w:bookmarkEnd w:id="77"/>
      <w:bookmarkEnd w:id="78"/>
    </w:p>
    <w:p w14:paraId="39081E39">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w:t>
      </w:r>
    </w:p>
    <w:p w14:paraId="2BE03AA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46E67B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0FA850E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35B9139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0510510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5B182BC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2A06A49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3C86EF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4A0ED692">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w:t>
      </w:r>
      <w:r>
        <w:rPr>
          <w:rFonts w:hint="eastAsia" w:ascii="宋体" w:hAnsi="宋体" w:eastAsia="宋体" w:cs="宋体"/>
          <w:color w:val="auto"/>
          <w:szCs w:val="21"/>
          <w:highlight w:val="none"/>
        </w:rPr>
        <w:t>十二条规定条件的供应商）的，视同联合体存在不良信用记录。</w:t>
      </w:r>
    </w:p>
    <w:p w14:paraId="2BEA12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343F7B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供应商有下列情形之一的，资格审查不通过，其响应文件按无效处理：</w:t>
      </w:r>
    </w:p>
    <w:p w14:paraId="3DEACC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1B69E5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（2）未按谈判文件规定的方式获取本谈判文件的供应商；</w:t>
      </w:r>
    </w:p>
    <w:p w14:paraId="6CDC1BA2">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（3）响应文件中的资格证明文件缺</w:t>
      </w:r>
      <w:r>
        <w:rPr>
          <w:rFonts w:hint="eastAsia" w:ascii="宋体" w:hAnsi="宋体" w:cs="宋体"/>
          <w:color w:val="auto"/>
          <w:szCs w:val="21"/>
          <w:highlight w:val="none"/>
        </w:rPr>
        <w:t>少任一项“供应商须知前附表”资格证明文件规定的“必须提供”的文件资料的；</w:t>
      </w:r>
    </w:p>
    <w:p w14:paraId="336B162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06CCF7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2D1141E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54C5060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59D6B1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66D6EE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79A1CD">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3D21771D">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4208420A">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52825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E64C7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D111D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1736A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61753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41598F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32EEA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84215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1EAE3F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7307F1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CE0CA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45304A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CBA62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74E03F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60D495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28975C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342A56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4967241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06E960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73737CD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7F5A1EE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79"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79"/>
    </w:p>
    <w:p w14:paraId="6EA5B62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4）响应文件标注的项目名称或者项目编号与谈判文件标注的项目名称或者项目编号不一致的；</w:t>
      </w:r>
    </w:p>
    <w:p w14:paraId="228CD2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谈判文件明确不允许分包，响应文件拟分包的；</w:t>
      </w:r>
    </w:p>
    <w:p w14:paraId="16B4FC7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6）未响应谈判文件实质性要求；</w:t>
      </w:r>
    </w:p>
    <w:p w14:paraId="78E431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19FE92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273C5D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598BF3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2FFEF5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197644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67C963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4BF966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w:t>
      </w:r>
      <w:r>
        <w:rPr>
          <w:rFonts w:hint="eastAsia" w:ascii="宋体" w:hAnsi="宋体"/>
          <w:color w:val="auto"/>
          <w:szCs w:val="21"/>
          <w:highlight w:val="none"/>
          <w:lang w:val="en-US" w:eastAsia="zh-CN"/>
        </w:rPr>
        <w:t>文件</w:t>
      </w:r>
      <w:r>
        <w:rPr>
          <w:rFonts w:hint="eastAsia" w:ascii="宋体" w:hAnsi="宋体"/>
          <w:color w:val="auto"/>
          <w:szCs w:val="21"/>
          <w:highlight w:val="none"/>
        </w:rPr>
        <w:t>要求实质性不一致的。</w:t>
      </w:r>
    </w:p>
    <w:p w14:paraId="770900E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C71F0F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2183733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0442C55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6CEE1CF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7B66A1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BEEABC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74534FA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5383845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0105C5D4">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2C1A40EC">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39B76FA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5C06D7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1087038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7692E03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772BED9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70631F0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337396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55FE33C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59BC201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419D39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293B8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5FF07A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6946BA1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695EFF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30574AB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1E92F1B3">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594313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124836D">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14:paraId="4996079E">
      <w:pPr>
        <w:spacing w:line="360" w:lineRule="auto"/>
        <w:ind w:firstLine="369" w:firstLineChars="176"/>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w:t>
      </w:r>
      <w:r>
        <w:rPr>
          <w:rFonts w:hint="eastAsia" w:ascii="宋体" w:hAnsi="宋体"/>
          <w:bCs/>
          <w:color w:val="auto"/>
          <w:szCs w:val="21"/>
          <w:highlight w:val="none"/>
        </w:rPr>
        <w:t>及《广西壮族自治区财政厅关于持续优化政府采购营商环境推动高质量发展的通知》（桂财采〔2024〕55号）的规定，供应商在其响应文件中提供《中小企业声明函》，且响应货物全部由小微企业制造，对供应商的竞标报价给予</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 xml:space="preserve">的扣除，扣除后的价格为评审价，即评审价=竞标报价×（1- </w:t>
      </w:r>
      <w:r>
        <w:rPr>
          <w:rFonts w:hint="eastAsia" w:ascii="宋体" w:hAnsi="宋体"/>
          <w:bCs/>
          <w:color w:val="auto"/>
          <w:szCs w:val="21"/>
          <w:highlight w:val="none"/>
          <w:lang w:val="en-US" w:eastAsia="zh-CN"/>
        </w:rPr>
        <w:t>10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4%</w:t>
      </w:r>
      <w:r>
        <w:rPr>
          <w:rFonts w:hint="eastAsia" w:ascii="宋体" w:hAnsi="宋体"/>
          <w:bCs/>
          <w:color w:val="auto"/>
          <w:szCs w:val="21"/>
          <w:highlight w:val="none"/>
        </w:rPr>
        <w:t>的扣除，用扣除后的价格参加评审，扣除后的价格为评审价，即评审价=竞标报价×（1-</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rPr>
        <w:t>%）。除上述情况外，评审价=竞标报价。</w:t>
      </w:r>
    </w:p>
    <w:p w14:paraId="7207043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s="宋体"/>
          <w:color w:val="auto"/>
          <w:szCs w:val="21"/>
          <w:highlight w:val="none"/>
        </w:rPr>
        <w:t>不重复享受政策。</w:t>
      </w:r>
    </w:p>
    <w:p w14:paraId="350A2346">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A06150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rPr>
        <w:t>除上述情况外，评审价＝最后报价。</w:t>
      </w:r>
    </w:p>
    <w:p w14:paraId="5267E4DA">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6.6.如本项目专门面向中小企业采购，则最后报价不执行价格折扣。</w:t>
      </w:r>
    </w:p>
    <w:p w14:paraId="29AC9477">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二、评定成交的标准</w:t>
      </w:r>
    </w:p>
    <w:p w14:paraId="66465F0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 xml:space="preserve"> 成交候选人推荐</w:t>
      </w:r>
      <w:r>
        <w:rPr>
          <w:rFonts w:hint="eastAsia" w:ascii="黑体" w:hAnsi="黑体" w:eastAsia="黑体" w:cs="宋体"/>
          <w:b/>
          <w:bCs/>
          <w:color w:val="auto"/>
          <w:sz w:val="24"/>
          <w:highlight w:val="none"/>
          <w:lang w:val="en-US" w:eastAsia="zh-CN"/>
        </w:rPr>
        <w:t>原则</w:t>
      </w:r>
    </w:p>
    <w:p w14:paraId="6AD5703E">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w:t>
      </w:r>
      <w:r>
        <w:rPr>
          <w:rFonts w:hint="eastAsia" w:ascii="宋体" w:hAnsi="宋体" w:cs="宋体"/>
          <w:color w:val="auto"/>
          <w:highlight w:val="none"/>
          <w:lang w:val="en-US" w:eastAsia="zh-CN"/>
        </w:rPr>
        <w:t>及</w:t>
      </w:r>
      <w:r>
        <w:rPr>
          <w:rFonts w:hint="eastAsia" w:ascii="宋体" w:hAnsi="宋体" w:cs="宋体"/>
          <w:color w:val="auto"/>
          <w:highlight w:val="none"/>
        </w:rPr>
        <w:t>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7E1CA819">
      <w:pPr>
        <w:spacing w:line="360" w:lineRule="auto"/>
        <w:ind w:firstLine="420" w:firstLineChars="200"/>
        <w:rPr>
          <w:rFonts w:hint="eastAsia" w:ascii="宋体" w:hAnsi="宋体" w:cs="宋体"/>
          <w:color w:val="auto"/>
          <w:highlight w:val="none"/>
        </w:rPr>
      </w:pPr>
    </w:p>
    <w:p w14:paraId="4007A9F8">
      <w:pPr>
        <w:pStyle w:val="2"/>
        <w:jc w:val="center"/>
        <w:rPr>
          <w:rFonts w:hint="eastAsia"/>
          <w:color w:val="auto"/>
          <w:highlight w:val="none"/>
        </w:rPr>
      </w:pPr>
      <w:bookmarkStart w:id="86" w:name="_GoBack"/>
      <w:bookmarkEnd w:id="86"/>
      <w:r>
        <w:rPr>
          <w:color w:val="auto"/>
          <w:highlight w:val="none"/>
        </w:rPr>
        <w:br w:type="page"/>
      </w:r>
    </w:p>
    <w:p w14:paraId="2BF9A912">
      <w:pPr>
        <w:rPr>
          <w:rFonts w:hint="eastAsia"/>
          <w:color w:val="auto"/>
          <w:highlight w:val="none"/>
        </w:rPr>
      </w:pPr>
    </w:p>
    <w:p w14:paraId="17BF4BF0">
      <w:pPr>
        <w:rPr>
          <w:rFonts w:hint="eastAsia"/>
          <w:color w:val="auto"/>
          <w:highlight w:val="none"/>
        </w:rPr>
      </w:pPr>
    </w:p>
    <w:p w14:paraId="4B787FFE">
      <w:pPr>
        <w:rPr>
          <w:rFonts w:hint="eastAsia"/>
          <w:color w:val="auto"/>
          <w:highlight w:val="none"/>
        </w:rPr>
      </w:pPr>
    </w:p>
    <w:p w14:paraId="3033455A">
      <w:pPr>
        <w:rPr>
          <w:rFonts w:hint="eastAsia"/>
          <w:color w:val="auto"/>
          <w:highlight w:val="none"/>
        </w:rPr>
      </w:pPr>
    </w:p>
    <w:p w14:paraId="05B75EE5">
      <w:pPr>
        <w:rPr>
          <w:rFonts w:hint="eastAsia"/>
          <w:color w:val="auto"/>
          <w:highlight w:val="none"/>
        </w:rPr>
      </w:pPr>
    </w:p>
    <w:p w14:paraId="57AB8B1B">
      <w:pPr>
        <w:rPr>
          <w:rFonts w:hint="eastAsia"/>
          <w:color w:val="auto"/>
          <w:highlight w:val="none"/>
        </w:rPr>
      </w:pPr>
    </w:p>
    <w:p w14:paraId="1DF17BCE">
      <w:pPr>
        <w:rPr>
          <w:rFonts w:hint="eastAsia"/>
          <w:color w:val="auto"/>
          <w:highlight w:val="none"/>
        </w:rPr>
      </w:pPr>
    </w:p>
    <w:p w14:paraId="04974B76">
      <w:pPr>
        <w:rPr>
          <w:rFonts w:hint="eastAsia"/>
          <w:color w:val="auto"/>
          <w:highlight w:val="none"/>
        </w:rPr>
      </w:pPr>
    </w:p>
    <w:p w14:paraId="2977C515">
      <w:pPr>
        <w:rPr>
          <w:rFonts w:hint="eastAsia"/>
          <w:color w:val="auto"/>
          <w:highlight w:val="none"/>
        </w:rPr>
      </w:pPr>
    </w:p>
    <w:p w14:paraId="1FB38023">
      <w:pPr>
        <w:rPr>
          <w:rFonts w:hint="eastAsia"/>
          <w:color w:val="auto"/>
          <w:highlight w:val="none"/>
        </w:rPr>
      </w:pPr>
    </w:p>
    <w:p w14:paraId="1E27755E">
      <w:pPr>
        <w:rPr>
          <w:rFonts w:hint="eastAsia"/>
          <w:color w:val="auto"/>
          <w:highlight w:val="none"/>
        </w:rPr>
      </w:pPr>
    </w:p>
    <w:p w14:paraId="1C363E97">
      <w:pPr>
        <w:rPr>
          <w:rFonts w:hint="eastAsia"/>
          <w:color w:val="auto"/>
          <w:highlight w:val="none"/>
        </w:rPr>
      </w:pPr>
    </w:p>
    <w:p w14:paraId="70461179">
      <w:pPr>
        <w:rPr>
          <w:rFonts w:hint="eastAsia"/>
          <w:color w:val="auto"/>
          <w:highlight w:val="none"/>
        </w:rPr>
      </w:pPr>
    </w:p>
    <w:p w14:paraId="60DD2076">
      <w:pPr>
        <w:pStyle w:val="2"/>
        <w:jc w:val="center"/>
        <w:rPr>
          <w:rFonts w:hint="eastAsia"/>
          <w:color w:val="auto"/>
          <w:highlight w:val="none"/>
        </w:rPr>
      </w:pPr>
      <w:bookmarkStart w:id="80" w:name="_Toc74322012"/>
      <w:r>
        <w:rPr>
          <w:rFonts w:hint="eastAsia"/>
          <w:color w:val="auto"/>
          <w:highlight w:val="none"/>
        </w:rPr>
        <w:t>第五章 响应文件格式</w:t>
      </w:r>
      <w:bookmarkEnd w:id="80"/>
    </w:p>
    <w:p w14:paraId="790286C9">
      <w:pPr>
        <w:spacing w:line="240" w:lineRule="atLeast"/>
        <w:rPr>
          <w:rFonts w:hint="eastAsia" w:ascii="宋体" w:hAnsi="宋体"/>
          <w:b/>
          <w:color w:val="auto"/>
          <w:sz w:val="32"/>
          <w:szCs w:val="32"/>
          <w:highlight w:val="none"/>
        </w:rPr>
      </w:pPr>
    </w:p>
    <w:p w14:paraId="39D083A5">
      <w:pPr>
        <w:spacing w:line="240" w:lineRule="atLeast"/>
        <w:rPr>
          <w:rFonts w:hint="eastAsia" w:ascii="宋体" w:hAnsi="宋体"/>
          <w:b/>
          <w:color w:val="auto"/>
          <w:sz w:val="32"/>
          <w:szCs w:val="32"/>
          <w:highlight w:val="none"/>
        </w:rPr>
      </w:pPr>
    </w:p>
    <w:p w14:paraId="607BE623">
      <w:pPr>
        <w:spacing w:line="240" w:lineRule="atLeast"/>
        <w:rPr>
          <w:rFonts w:hint="eastAsia" w:ascii="宋体" w:hAnsi="宋体"/>
          <w:b/>
          <w:color w:val="auto"/>
          <w:sz w:val="32"/>
          <w:szCs w:val="32"/>
          <w:highlight w:val="none"/>
        </w:rPr>
      </w:pPr>
    </w:p>
    <w:p w14:paraId="5C21BBBA">
      <w:pPr>
        <w:spacing w:line="240" w:lineRule="atLeast"/>
        <w:rPr>
          <w:rFonts w:hint="eastAsia" w:ascii="宋体" w:hAnsi="宋体"/>
          <w:b/>
          <w:color w:val="auto"/>
          <w:sz w:val="32"/>
          <w:szCs w:val="32"/>
          <w:highlight w:val="none"/>
        </w:rPr>
      </w:pPr>
    </w:p>
    <w:p w14:paraId="3BD3EFFB">
      <w:pPr>
        <w:spacing w:line="240" w:lineRule="atLeast"/>
        <w:rPr>
          <w:rFonts w:hint="eastAsia" w:ascii="宋体" w:hAnsi="宋体"/>
          <w:b/>
          <w:color w:val="auto"/>
          <w:sz w:val="32"/>
          <w:szCs w:val="32"/>
          <w:highlight w:val="none"/>
        </w:rPr>
      </w:pPr>
    </w:p>
    <w:p w14:paraId="6170396D">
      <w:pPr>
        <w:spacing w:line="240" w:lineRule="atLeast"/>
        <w:rPr>
          <w:rFonts w:hint="eastAsia" w:ascii="宋体" w:hAnsi="宋体"/>
          <w:b/>
          <w:color w:val="auto"/>
          <w:sz w:val="32"/>
          <w:szCs w:val="32"/>
          <w:highlight w:val="none"/>
        </w:rPr>
      </w:pPr>
    </w:p>
    <w:p w14:paraId="6B67EBB6">
      <w:pPr>
        <w:spacing w:line="240" w:lineRule="atLeast"/>
        <w:rPr>
          <w:rFonts w:hint="eastAsia" w:ascii="宋体" w:hAnsi="宋体"/>
          <w:b/>
          <w:color w:val="auto"/>
          <w:sz w:val="32"/>
          <w:szCs w:val="32"/>
          <w:highlight w:val="none"/>
        </w:rPr>
      </w:pPr>
    </w:p>
    <w:p w14:paraId="07B83585">
      <w:pPr>
        <w:spacing w:line="240" w:lineRule="atLeast"/>
        <w:rPr>
          <w:rFonts w:hint="eastAsia" w:ascii="宋体" w:hAnsi="宋体"/>
          <w:b/>
          <w:color w:val="auto"/>
          <w:sz w:val="32"/>
          <w:szCs w:val="32"/>
          <w:highlight w:val="none"/>
        </w:rPr>
      </w:pPr>
    </w:p>
    <w:p w14:paraId="0ACF2344">
      <w:pPr>
        <w:spacing w:line="240" w:lineRule="atLeast"/>
        <w:rPr>
          <w:rFonts w:hint="eastAsia" w:ascii="宋体" w:hAnsi="宋体"/>
          <w:b/>
          <w:color w:val="auto"/>
          <w:sz w:val="32"/>
          <w:szCs w:val="32"/>
          <w:highlight w:val="none"/>
        </w:rPr>
      </w:pPr>
    </w:p>
    <w:p w14:paraId="0B6FF248">
      <w:pPr>
        <w:spacing w:line="240" w:lineRule="atLeast"/>
        <w:rPr>
          <w:rFonts w:hint="eastAsia" w:ascii="宋体" w:hAnsi="宋体"/>
          <w:b/>
          <w:color w:val="auto"/>
          <w:sz w:val="32"/>
          <w:szCs w:val="32"/>
          <w:highlight w:val="none"/>
        </w:rPr>
      </w:pPr>
    </w:p>
    <w:p w14:paraId="1573AF2A">
      <w:pPr>
        <w:spacing w:line="240" w:lineRule="atLeast"/>
        <w:rPr>
          <w:rFonts w:hint="eastAsia" w:ascii="宋体" w:hAnsi="宋体"/>
          <w:b/>
          <w:color w:val="auto"/>
          <w:sz w:val="32"/>
          <w:szCs w:val="32"/>
          <w:highlight w:val="none"/>
        </w:rPr>
      </w:pPr>
    </w:p>
    <w:p w14:paraId="284F05F4">
      <w:pPr>
        <w:rPr>
          <w:rFonts w:hint="eastAsia"/>
          <w:b/>
          <w:color w:val="auto"/>
          <w:sz w:val="32"/>
          <w:szCs w:val="32"/>
          <w:highlight w:val="none"/>
        </w:rPr>
      </w:pPr>
      <w:bookmarkStart w:id="81" w:name="_Toc71365382"/>
      <w:bookmarkStart w:id="82" w:name="_Toc71366060"/>
      <w:r>
        <w:rPr>
          <w:rFonts w:hint="eastAsia"/>
          <w:b/>
          <w:color w:val="auto"/>
          <w:sz w:val="32"/>
          <w:szCs w:val="32"/>
          <w:highlight w:val="none"/>
        </w:rPr>
        <w:br w:type="page"/>
      </w:r>
      <w:r>
        <w:rPr>
          <w:rFonts w:hint="eastAsia"/>
          <w:b/>
          <w:color w:val="auto"/>
          <w:sz w:val="32"/>
          <w:szCs w:val="32"/>
          <w:highlight w:val="none"/>
        </w:rPr>
        <w:t>一、资格证明文件格式</w:t>
      </w:r>
      <w:bookmarkEnd w:id="81"/>
      <w:bookmarkEnd w:id="82"/>
    </w:p>
    <w:p w14:paraId="3A8B5D40">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4273E40D">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B4D6068">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34AB8178">
      <w:pPr>
        <w:snapToGrid w:val="0"/>
        <w:spacing w:before="156" w:beforeLines="50" w:after="50"/>
        <w:rPr>
          <w:rFonts w:hint="eastAsia" w:ascii="宋体" w:hAnsi="宋体"/>
          <w:color w:val="auto"/>
          <w:sz w:val="24"/>
          <w:szCs w:val="20"/>
          <w:highlight w:val="none"/>
        </w:rPr>
      </w:pPr>
    </w:p>
    <w:p w14:paraId="73D6A78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8EC53BA">
      <w:pPr>
        <w:snapToGrid w:val="0"/>
        <w:spacing w:before="156" w:beforeLines="50" w:after="50"/>
        <w:rPr>
          <w:rFonts w:hint="eastAsia" w:ascii="宋体" w:hAnsi="宋体"/>
          <w:bCs/>
          <w:color w:val="auto"/>
          <w:sz w:val="24"/>
          <w:szCs w:val="20"/>
          <w:highlight w:val="none"/>
        </w:rPr>
      </w:pPr>
    </w:p>
    <w:p w14:paraId="0C4D4713">
      <w:pPr>
        <w:snapToGrid w:val="0"/>
        <w:spacing w:before="156" w:beforeLines="50" w:after="50"/>
        <w:rPr>
          <w:rFonts w:hint="eastAsia" w:ascii="宋体" w:hAnsi="宋体"/>
          <w:bCs/>
          <w:color w:val="auto"/>
          <w:sz w:val="24"/>
          <w:szCs w:val="20"/>
          <w:highlight w:val="none"/>
        </w:rPr>
      </w:pPr>
    </w:p>
    <w:p w14:paraId="3281AD5E">
      <w:pPr>
        <w:snapToGrid w:val="0"/>
        <w:spacing w:before="156" w:beforeLines="50" w:after="50"/>
        <w:rPr>
          <w:rFonts w:hint="eastAsia" w:ascii="宋体" w:hAnsi="宋体"/>
          <w:bCs/>
          <w:color w:val="auto"/>
          <w:sz w:val="24"/>
          <w:szCs w:val="20"/>
          <w:highlight w:val="none"/>
        </w:rPr>
      </w:pPr>
    </w:p>
    <w:p w14:paraId="4749E365">
      <w:pPr>
        <w:snapToGrid w:val="0"/>
        <w:spacing w:before="156" w:beforeLines="50" w:after="50"/>
        <w:rPr>
          <w:rFonts w:hint="eastAsia" w:ascii="宋体" w:hAnsi="宋体"/>
          <w:bCs/>
          <w:color w:val="auto"/>
          <w:sz w:val="24"/>
          <w:szCs w:val="20"/>
          <w:highlight w:val="none"/>
        </w:rPr>
      </w:pPr>
    </w:p>
    <w:p w14:paraId="49068644">
      <w:pPr>
        <w:snapToGrid w:val="0"/>
        <w:spacing w:before="156" w:beforeLines="50" w:after="50"/>
        <w:rPr>
          <w:rFonts w:hint="eastAsia" w:ascii="宋体" w:hAnsi="宋体"/>
          <w:bCs/>
          <w:color w:val="auto"/>
          <w:sz w:val="24"/>
          <w:szCs w:val="20"/>
          <w:highlight w:val="none"/>
        </w:rPr>
      </w:pPr>
    </w:p>
    <w:p w14:paraId="7FCE18F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9AA7241">
      <w:pPr>
        <w:snapToGrid w:val="0"/>
        <w:spacing w:before="156" w:beforeLines="50" w:after="50"/>
        <w:ind w:firstLine="720" w:firstLineChars="225"/>
        <w:rPr>
          <w:rFonts w:hint="eastAsia" w:ascii="宋体" w:hAnsi="宋体" w:cs="仿宋_GB2312"/>
          <w:bCs/>
          <w:color w:val="auto"/>
          <w:sz w:val="32"/>
          <w:szCs w:val="32"/>
          <w:highlight w:val="none"/>
        </w:rPr>
      </w:pPr>
    </w:p>
    <w:p w14:paraId="196AEDEF">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11B02F4">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14AF5B2">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5297544">
      <w:pPr>
        <w:snapToGrid w:val="0"/>
        <w:spacing w:before="156" w:beforeLines="50" w:after="50"/>
        <w:ind w:firstLine="720" w:firstLineChars="225"/>
        <w:rPr>
          <w:rFonts w:hint="eastAsia" w:ascii="宋体" w:hAnsi="宋体" w:cs="仿宋_GB2312"/>
          <w:bCs/>
          <w:color w:val="auto"/>
          <w:sz w:val="32"/>
          <w:szCs w:val="32"/>
          <w:highlight w:val="none"/>
        </w:rPr>
      </w:pPr>
    </w:p>
    <w:p w14:paraId="44823B47">
      <w:pPr>
        <w:pStyle w:val="5"/>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D24F376">
      <w:pPr>
        <w:snapToGrid w:val="0"/>
        <w:spacing w:before="156" w:beforeLines="50" w:after="50"/>
        <w:ind w:firstLine="640" w:firstLineChars="200"/>
        <w:rPr>
          <w:rFonts w:hint="eastAsia" w:ascii="宋体" w:hAnsi="宋体" w:cs="仿宋_GB2312"/>
          <w:bCs/>
          <w:color w:val="auto"/>
          <w:sz w:val="32"/>
          <w:szCs w:val="32"/>
          <w:highlight w:val="none"/>
        </w:rPr>
      </w:pPr>
    </w:p>
    <w:p w14:paraId="7704A8C4">
      <w:pPr>
        <w:pStyle w:val="5"/>
        <w:snapToGrid w:val="0"/>
        <w:spacing w:before="50" w:after="50"/>
        <w:ind w:firstLine="720" w:firstLineChars="225"/>
        <w:rPr>
          <w:rFonts w:hint="eastAsia" w:ascii="宋体" w:hAnsi="宋体" w:cs="仿宋_GB2312"/>
          <w:bCs/>
          <w:color w:val="auto"/>
          <w:sz w:val="32"/>
          <w:szCs w:val="32"/>
          <w:highlight w:val="none"/>
        </w:rPr>
      </w:pPr>
    </w:p>
    <w:p w14:paraId="2CAA5601">
      <w:pPr>
        <w:pStyle w:val="5"/>
        <w:snapToGrid w:val="0"/>
        <w:spacing w:before="50" w:after="50"/>
        <w:ind w:firstLine="720" w:firstLineChars="225"/>
        <w:rPr>
          <w:rFonts w:hint="eastAsia" w:ascii="宋体" w:hAnsi="宋体" w:cs="仿宋_GB2312"/>
          <w:bCs/>
          <w:color w:val="auto"/>
          <w:sz w:val="32"/>
          <w:szCs w:val="32"/>
          <w:highlight w:val="none"/>
        </w:rPr>
      </w:pPr>
    </w:p>
    <w:p w14:paraId="28E6E440">
      <w:pPr>
        <w:pStyle w:val="5"/>
        <w:snapToGrid w:val="0"/>
        <w:spacing w:before="50" w:after="50"/>
        <w:ind w:firstLine="1280" w:firstLineChars="400"/>
        <w:rPr>
          <w:rFonts w:hint="eastAsia" w:ascii="宋体" w:hAnsi="宋体" w:cs="仿宋_GB2312"/>
          <w:bCs/>
          <w:color w:val="auto"/>
          <w:sz w:val="32"/>
          <w:szCs w:val="32"/>
          <w:highlight w:val="none"/>
        </w:rPr>
      </w:pPr>
    </w:p>
    <w:p w14:paraId="6A74F9CC">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36219DF">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2DD1068">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5A4DEFBF">
      <w:pPr>
        <w:snapToGrid w:val="0"/>
        <w:spacing w:before="156"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63FB71F3">
      <w:pPr>
        <w:spacing w:line="360" w:lineRule="auto"/>
        <w:rPr>
          <w:rFonts w:hint="eastAsia" w:ascii="宋体" w:hAnsi="宋体"/>
          <w:color w:val="auto"/>
          <w:szCs w:val="21"/>
          <w:highlight w:val="none"/>
        </w:rPr>
      </w:pPr>
    </w:p>
    <w:p w14:paraId="707E6E34">
      <w:pPr>
        <w:spacing w:line="360" w:lineRule="auto"/>
        <w:rPr>
          <w:rFonts w:hint="eastAsia" w:ascii="宋体" w:hAnsi="宋体"/>
          <w:color w:val="auto"/>
          <w:szCs w:val="21"/>
          <w:highlight w:val="none"/>
        </w:rPr>
      </w:pPr>
    </w:p>
    <w:p w14:paraId="18FDFD68">
      <w:pPr>
        <w:spacing w:line="360" w:lineRule="auto"/>
        <w:rPr>
          <w:rFonts w:hint="eastAsia" w:ascii="宋体" w:hAnsi="宋体"/>
          <w:color w:val="auto"/>
          <w:szCs w:val="21"/>
          <w:highlight w:val="none"/>
        </w:rPr>
      </w:pPr>
    </w:p>
    <w:p w14:paraId="08698D4B">
      <w:pPr>
        <w:spacing w:line="360" w:lineRule="auto"/>
        <w:rPr>
          <w:rFonts w:hint="eastAsia" w:ascii="宋体" w:hAnsi="宋体"/>
          <w:color w:val="auto"/>
          <w:szCs w:val="21"/>
          <w:highlight w:val="none"/>
        </w:rPr>
      </w:pPr>
    </w:p>
    <w:p w14:paraId="4FF139B1">
      <w:pPr>
        <w:spacing w:line="300" w:lineRule="auto"/>
        <w:rPr>
          <w:rFonts w:hint="eastAsia" w:ascii="宋体" w:hAnsi="宋体"/>
          <w:color w:val="auto"/>
          <w:szCs w:val="21"/>
          <w:highlight w:val="none"/>
        </w:rPr>
      </w:pPr>
    </w:p>
    <w:p w14:paraId="407A1012">
      <w:pPr>
        <w:spacing w:line="300" w:lineRule="auto"/>
        <w:rPr>
          <w:rFonts w:hint="eastAsia" w:ascii="宋体" w:hAnsi="宋体"/>
          <w:color w:val="auto"/>
          <w:szCs w:val="21"/>
          <w:highlight w:val="none"/>
        </w:rPr>
      </w:pPr>
    </w:p>
    <w:p w14:paraId="0BB11AE8">
      <w:pPr>
        <w:spacing w:line="300" w:lineRule="auto"/>
        <w:rPr>
          <w:rFonts w:hint="eastAsia" w:ascii="宋体" w:hAnsi="宋体"/>
          <w:color w:val="auto"/>
          <w:szCs w:val="21"/>
          <w:highlight w:val="none"/>
        </w:rPr>
      </w:pPr>
    </w:p>
    <w:p w14:paraId="7EC79782">
      <w:pPr>
        <w:spacing w:line="300" w:lineRule="auto"/>
        <w:rPr>
          <w:rFonts w:hint="eastAsia" w:ascii="宋体" w:hAnsi="宋体"/>
          <w:color w:val="auto"/>
          <w:szCs w:val="21"/>
          <w:highlight w:val="none"/>
        </w:rPr>
      </w:pPr>
    </w:p>
    <w:p w14:paraId="72D42F35">
      <w:pPr>
        <w:spacing w:line="300" w:lineRule="auto"/>
        <w:rPr>
          <w:rFonts w:hint="eastAsia" w:ascii="宋体" w:hAnsi="宋体"/>
          <w:color w:val="auto"/>
          <w:szCs w:val="21"/>
          <w:highlight w:val="none"/>
        </w:rPr>
      </w:pPr>
    </w:p>
    <w:p w14:paraId="43F0B07E">
      <w:pPr>
        <w:spacing w:line="300" w:lineRule="auto"/>
        <w:rPr>
          <w:rFonts w:hint="eastAsia" w:ascii="宋体" w:hAnsi="宋体"/>
          <w:color w:val="auto"/>
          <w:szCs w:val="21"/>
          <w:highlight w:val="none"/>
        </w:rPr>
      </w:pPr>
    </w:p>
    <w:p w14:paraId="156102F9">
      <w:pPr>
        <w:spacing w:line="300" w:lineRule="auto"/>
        <w:rPr>
          <w:rFonts w:hint="eastAsia" w:ascii="宋体" w:hAnsi="宋体"/>
          <w:color w:val="auto"/>
          <w:szCs w:val="21"/>
          <w:highlight w:val="none"/>
        </w:rPr>
      </w:pPr>
    </w:p>
    <w:p w14:paraId="445EB79B">
      <w:pPr>
        <w:spacing w:line="300" w:lineRule="auto"/>
        <w:rPr>
          <w:rFonts w:hint="eastAsia" w:ascii="宋体" w:hAnsi="宋体"/>
          <w:color w:val="auto"/>
          <w:szCs w:val="21"/>
          <w:highlight w:val="none"/>
        </w:rPr>
      </w:pPr>
    </w:p>
    <w:p w14:paraId="6262187B">
      <w:pPr>
        <w:spacing w:line="300" w:lineRule="auto"/>
        <w:rPr>
          <w:rFonts w:hint="eastAsia" w:ascii="宋体" w:hAnsi="宋体"/>
          <w:color w:val="auto"/>
          <w:szCs w:val="21"/>
          <w:highlight w:val="none"/>
        </w:rPr>
      </w:pPr>
    </w:p>
    <w:p w14:paraId="520B4069">
      <w:pPr>
        <w:spacing w:line="300" w:lineRule="auto"/>
        <w:rPr>
          <w:rFonts w:hint="eastAsia" w:ascii="宋体" w:hAnsi="宋体"/>
          <w:color w:val="auto"/>
          <w:szCs w:val="21"/>
          <w:highlight w:val="none"/>
        </w:rPr>
      </w:pPr>
    </w:p>
    <w:p w14:paraId="056195F8">
      <w:pPr>
        <w:spacing w:line="300" w:lineRule="auto"/>
        <w:rPr>
          <w:rFonts w:hint="eastAsia" w:ascii="宋体" w:hAnsi="宋体"/>
          <w:color w:val="auto"/>
          <w:szCs w:val="21"/>
          <w:highlight w:val="none"/>
        </w:rPr>
      </w:pPr>
    </w:p>
    <w:p w14:paraId="5852CDFE">
      <w:pPr>
        <w:spacing w:line="320" w:lineRule="exact"/>
        <w:jc w:val="left"/>
        <w:rPr>
          <w:rFonts w:hint="eastAsia" w:ascii="宋体" w:hAnsi="宋体"/>
          <w:color w:val="auto"/>
          <w:szCs w:val="21"/>
          <w:highlight w:val="none"/>
        </w:rPr>
      </w:pPr>
    </w:p>
    <w:p w14:paraId="36ADD0FC">
      <w:pPr>
        <w:snapToGrid w:val="0"/>
        <w:spacing w:before="156" w:beforeLines="50" w:after="50"/>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4C4D0B6C">
      <w:pPr>
        <w:snapToGrid w:val="0"/>
        <w:spacing w:before="156" w:beforeLines="50" w:after="50"/>
        <w:jc w:val="center"/>
        <w:rPr>
          <w:rFonts w:hint="eastAsia" w:ascii="宋体" w:hAnsi="宋体"/>
          <w:b/>
          <w:color w:val="auto"/>
          <w:sz w:val="32"/>
          <w:szCs w:val="32"/>
          <w:highlight w:val="none"/>
        </w:rPr>
      </w:pPr>
    </w:p>
    <w:p w14:paraId="2A1152AC">
      <w:pPr>
        <w:snapToGrid w:val="0"/>
        <w:spacing w:before="156"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89FD6BB">
      <w:pPr>
        <w:snapToGrid w:val="0"/>
        <w:spacing w:before="50" w:after="156" w:afterLines="50"/>
        <w:jc w:val="center"/>
        <w:rPr>
          <w:rFonts w:hint="eastAsia" w:ascii="宋体" w:hAnsi="宋体"/>
          <w:b/>
          <w:color w:val="auto"/>
          <w:sz w:val="32"/>
          <w:szCs w:val="32"/>
          <w:highlight w:val="none"/>
        </w:rPr>
      </w:pPr>
    </w:p>
    <w:tbl>
      <w:tblPr>
        <w:tblStyle w:val="2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1BC5E2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FC185D4">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571D071">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9536DF">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7AC04B">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D0962BD">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692CFB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5D9722">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C4EFF0">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2DF254">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2306E4">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0C7907">
            <w:pPr>
              <w:widowControl/>
              <w:spacing w:line="360" w:lineRule="auto"/>
              <w:jc w:val="center"/>
              <w:rPr>
                <w:rFonts w:hint="eastAsia" w:ascii="宋体" w:hAnsi="宋体" w:cs="宋体"/>
                <w:color w:val="auto"/>
                <w:kern w:val="0"/>
                <w:sz w:val="28"/>
                <w:szCs w:val="28"/>
                <w:highlight w:val="none"/>
              </w:rPr>
            </w:pPr>
          </w:p>
        </w:tc>
      </w:tr>
      <w:tr w14:paraId="71BBD70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4C59AF">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31A8CE">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748FF9">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122F6F">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883A47">
            <w:pPr>
              <w:widowControl/>
              <w:spacing w:line="360" w:lineRule="auto"/>
              <w:jc w:val="center"/>
              <w:rPr>
                <w:rFonts w:hint="eastAsia" w:ascii="宋体" w:hAnsi="宋体" w:cs="宋体"/>
                <w:color w:val="auto"/>
                <w:kern w:val="0"/>
                <w:sz w:val="28"/>
                <w:szCs w:val="28"/>
                <w:highlight w:val="none"/>
              </w:rPr>
            </w:pPr>
          </w:p>
        </w:tc>
      </w:tr>
      <w:tr w14:paraId="19BFE8A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22F4C9">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2C0CDD">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4FB8A6">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DA41C3">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5408E6">
            <w:pPr>
              <w:widowControl/>
              <w:spacing w:line="360" w:lineRule="auto"/>
              <w:jc w:val="center"/>
              <w:rPr>
                <w:rFonts w:hint="eastAsia" w:ascii="宋体" w:hAnsi="宋体" w:cs="宋体"/>
                <w:color w:val="auto"/>
                <w:kern w:val="0"/>
                <w:sz w:val="28"/>
                <w:szCs w:val="28"/>
                <w:highlight w:val="none"/>
              </w:rPr>
            </w:pPr>
          </w:p>
        </w:tc>
      </w:tr>
      <w:tr w14:paraId="2199A18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D956ED">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A710A7">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57AC65">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D7E82D">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974AD">
            <w:pPr>
              <w:widowControl/>
              <w:spacing w:line="360" w:lineRule="auto"/>
              <w:jc w:val="center"/>
              <w:rPr>
                <w:rFonts w:hint="eastAsia" w:ascii="宋体" w:hAnsi="宋体" w:cs="宋体"/>
                <w:color w:val="auto"/>
                <w:kern w:val="0"/>
                <w:sz w:val="28"/>
                <w:szCs w:val="28"/>
                <w:highlight w:val="none"/>
              </w:rPr>
            </w:pPr>
          </w:p>
        </w:tc>
      </w:tr>
    </w:tbl>
    <w:p w14:paraId="08417719">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220D2A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C19493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A6DEC8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6444BDF">
      <w:pPr>
        <w:spacing w:line="360" w:lineRule="auto"/>
        <w:ind w:firstLine="420" w:firstLineChars="200"/>
        <w:contextualSpacing/>
        <w:jc w:val="left"/>
        <w:rPr>
          <w:rFonts w:ascii="宋体" w:hAnsi="宋体" w:cs="宋体"/>
          <w:color w:val="auto"/>
          <w:szCs w:val="21"/>
          <w:highlight w:val="none"/>
        </w:rPr>
      </w:pPr>
    </w:p>
    <w:p w14:paraId="4A957605">
      <w:pPr>
        <w:spacing w:line="360" w:lineRule="auto"/>
        <w:ind w:firstLine="560" w:firstLineChars="200"/>
        <w:contextualSpacing/>
        <w:jc w:val="left"/>
        <w:rPr>
          <w:rFonts w:hint="eastAsia" w:ascii="宋体" w:hAnsi="宋体" w:cs="宋体"/>
          <w:color w:val="auto"/>
          <w:sz w:val="28"/>
          <w:szCs w:val="28"/>
          <w:highlight w:val="none"/>
        </w:rPr>
      </w:pPr>
    </w:p>
    <w:p w14:paraId="31D3C351">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AD6A734">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234E52A5">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5D48CC0">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0CD96F72">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2A5363D">
      <w:pPr>
        <w:snapToGrid w:val="0"/>
        <w:jc w:val="center"/>
        <w:rPr>
          <w:rFonts w:hint="eastAsia" w:ascii="宋体" w:hAnsi="宋体"/>
          <w:b/>
          <w:color w:val="auto"/>
          <w:sz w:val="32"/>
          <w:szCs w:val="32"/>
          <w:highlight w:val="none"/>
        </w:rPr>
      </w:pPr>
    </w:p>
    <w:tbl>
      <w:tblPr>
        <w:tblStyle w:val="2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95D440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7C652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FFB0409">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A49358">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FE72DC0">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1023FF4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4A91E2">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AB8262">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6F9D30">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817A99">
            <w:pPr>
              <w:widowControl/>
              <w:wordWrap w:val="0"/>
              <w:spacing w:line="200" w:lineRule="atLeast"/>
              <w:jc w:val="center"/>
              <w:rPr>
                <w:rFonts w:ascii="宋体" w:hAnsi="宋体" w:cs="宋体"/>
                <w:color w:val="auto"/>
                <w:kern w:val="0"/>
                <w:sz w:val="28"/>
                <w:szCs w:val="28"/>
                <w:highlight w:val="none"/>
              </w:rPr>
            </w:pPr>
          </w:p>
        </w:tc>
      </w:tr>
      <w:tr w14:paraId="336C139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602FBD">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3BE961">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545B04">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40CBC8">
            <w:pPr>
              <w:widowControl/>
              <w:wordWrap w:val="0"/>
              <w:spacing w:line="200" w:lineRule="atLeast"/>
              <w:jc w:val="center"/>
              <w:rPr>
                <w:rFonts w:ascii="宋体" w:hAnsi="宋体" w:cs="宋体"/>
                <w:color w:val="auto"/>
                <w:kern w:val="0"/>
                <w:sz w:val="28"/>
                <w:szCs w:val="28"/>
                <w:highlight w:val="none"/>
              </w:rPr>
            </w:pPr>
          </w:p>
        </w:tc>
      </w:tr>
      <w:tr w14:paraId="7263CDF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776907">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60C34C">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AE826D">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516D1A">
            <w:pPr>
              <w:widowControl/>
              <w:wordWrap w:val="0"/>
              <w:spacing w:line="200" w:lineRule="atLeast"/>
              <w:jc w:val="center"/>
              <w:rPr>
                <w:rFonts w:ascii="宋体" w:hAnsi="宋体" w:cs="宋体"/>
                <w:color w:val="auto"/>
                <w:kern w:val="0"/>
                <w:sz w:val="28"/>
                <w:szCs w:val="28"/>
                <w:highlight w:val="none"/>
              </w:rPr>
            </w:pPr>
          </w:p>
        </w:tc>
      </w:tr>
      <w:tr w14:paraId="3E9B700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7F6CA0">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9E73D4">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9D5C31">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A64F0B">
            <w:pPr>
              <w:widowControl/>
              <w:wordWrap w:val="0"/>
              <w:spacing w:line="200" w:lineRule="atLeast"/>
              <w:jc w:val="center"/>
              <w:rPr>
                <w:rFonts w:ascii="宋体" w:hAnsi="宋体" w:cs="宋体"/>
                <w:color w:val="auto"/>
                <w:kern w:val="0"/>
                <w:sz w:val="28"/>
                <w:szCs w:val="28"/>
                <w:highlight w:val="none"/>
              </w:rPr>
            </w:pPr>
          </w:p>
        </w:tc>
      </w:tr>
    </w:tbl>
    <w:p w14:paraId="105E870F">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362BF15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1DDDD6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830BC3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030857E7">
      <w:pPr>
        <w:spacing w:line="360" w:lineRule="auto"/>
        <w:contextualSpacing/>
        <w:jc w:val="left"/>
        <w:rPr>
          <w:rFonts w:hint="eastAsia" w:ascii="宋体" w:hAnsi="宋体"/>
          <w:color w:val="auto"/>
          <w:sz w:val="28"/>
          <w:szCs w:val="28"/>
          <w:highlight w:val="none"/>
        </w:rPr>
      </w:pPr>
    </w:p>
    <w:p w14:paraId="47377266">
      <w:pPr>
        <w:spacing w:line="360" w:lineRule="auto"/>
        <w:contextualSpacing/>
        <w:jc w:val="left"/>
        <w:rPr>
          <w:rFonts w:hint="eastAsia" w:ascii="宋体" w:hAnsi="宋体"/>
          <w:color w:val="auto"/>
          <w:sz w:val="28"/>
          <w:szCs w:val="28"/>
          <w:highlight w:val="none"/>
        </w:rPr>
      </w:pPr>
    </w:p>
    <w:p w14:paraId="74544B30">
      <w:pPr>
        <w:spacing w:line="360" w:lineRule="auto"/>
        <w:contextualSpacing/>
        <w:jc w:val="left"/>
        <w:rPr>
          <w:rFonts w:hint="eastAsia"/>
          <w:color w:val="auto"/>
          <w:sz w:val="28"/>
          <w:szCs w:val="28"/>
          <w:highlight w:val="none"/>
        </w:rPr>
      </w:pPr>
    </w:p>
    <w:p w14:paraId="6D9B2FCB">
      <w:pPr>
        <w:spacing w:line="360" w:lineRule="auto"/>
        <w:contextualSpacing/>
        <w:jc w:val="left"/>
        <w:rPr>
          <w:rFonts w:hint="eastAsia"/>
          <w:color w:val="auto"/>
          <w:sz w:val="28"/>
          <w:szCs w:val="28"/>
          <w:highlight w:val="none"/>
        </w:rPr>
      </w:pPr>
    </w:p>
    <w:p w14:paraId="409CFEC3">
      <w:pPr>
        <w:spacing w:line="360" w:lineRule="auto"/>
        <w:contextualSpacing/>
        <w:jc w:val="left"/>
        <w:rPr>
          <w:rFonts w:hint="eastAsia"/>
          <w:color w:val="auto"/>
          <w:sz w:val="28"/>
          <w:szCs w:val="28"/>
          <w:highlight w:val="none"/>
        </w:rPr>
      </w:pPr>
    </w:p>
    <w:p w14:paraId="5E4AEDB4">
      <w:pPr>
        <w:spacing w:line="360" w:lineRule="auto"/>
        <w:contextualSpacing/>
        <w:jc w:val="left"/>
        <w:rPr>
          <w:rFonts w:hint="eastAsia" w:ascii="宋体" w:hAnsi="宋体"/>
          <w:color w:val="auto"/>
          <w:sz w:val="28"/>
          <w:szCs w:val="28"/>
          <w:highlight w:val="none"/>
        </w:rPr>
      </w:pPr>
    </w:p>
    <w:p w14:paraId="78C1ED8D">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7267112">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0DD33092">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6EAEFAED">
      <w:pPr>
        <w:spacing w:line="500" w:lineRule="exact"/>
        <w:jc w:val="center"/>
        <w:rPr>
          <w:rFonts w:hint="eastAsia" w:ascii="方正小标宋简体" w:hAnsi="宋体" w:eastAsia="方正小标宋简体"/>
          <w:b/>
          <w:color w:val="auto"/>
          <w:sz w:val="32"/>
          <w:szCs w:val="32"/>
          <w:highlight w:val="none"/>
        </w:rPr>
      </w:pPr>
      <w:r>
        <w:rPr>
          <w:rFonts w:ascii="宋体" w:hAnsi="宋体"/>
          <w:b/>
          <w:color w:val="auto"/>
          <w:sz w:val="32"/>
          <w:szCs w:val="32"/>
          <w:highlight w:val="none"/>
        </w:rPr>
        <w:br w:type="page"/>
      </w:r>
      <w:r>
        <w:rPr>
          <w:rFonts w:hint="eastAsia" w:ascii="方正小标宋简体" w:hAnsi="宋体" w:eastAsia="方正小标宋简体"/>
          <w:b/>
          <w:color w:val="auto"/>
          <w:sz w:val="32"/>
          <w:szCs w:val="32"/>
          <w:highlight w:val="none"/>
        </w:rPr>
        <w:t>竞标声明</w:t>
      </w:r>
    </w:p>
    <w:p w14:paraId="095A0E41">
      <w:pPr>
        <w:spacing w:line="320" w:lineRule="exact"/>
        <w:jc w:val="center"/>
        <w:rPr>
          <w:rFonts w:hint="eastAsia" w:ascii="宋体" w:hAnsi="宋体"/>
          <w:color w:val="auto"/>
          <w:sz w:val="24"/>
          <w:szCs w:val="20"/>
          <w:highlight w:val="none"/>
        </w:rPr>
      </w:pPr>
    </w:p>
    <w:p w14:paraId="1BA3CEF0">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7FA888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D7E1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3A7EDF0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8FCEAF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31EC18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EACFFE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60AFD1B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329812B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71A9EB4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28997C1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97981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3CC2D52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59BD54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7D72AD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1C75D0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26BFC6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F596E3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6C2E93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83BAE6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F4A15B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E1236B4">
      <w:pPr>
        <w:pStyle w:val="12"/>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067C6DB5">
      <w:pPr>
        <w:pStyle w:val="12"/>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w:t>
      </w:r>
      <w:r>
        <w:rPr>
          <w:rFonts w:hint="eastAsia" w:hAnsi="宋体" w:cs="宋体"/>
          <w:color w:val="auto"/>
          <w:sz w:val="24"/>
          <w:szCs w:val="24"/>
          <w:highlight w:val="none"/>
          <w:lang w:eastAsia="zh-CN"/>
        </w:rPr>
        <w:t>邮箱</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C15B13D">
      <w:pPr>
        <w:pStyle w:val="1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1FFE2EA1">
      <w:pPr>
        <w:pStyle w:val="1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F8CA067">
      <w:pPr>
        <w:pStyle w:val="11"/>
        <w:tabs>
          <w:tab w:val="left" w:pos="939"/>
        </w:tabs>
        <w:spacing w:line="360" w:lineRule="auto"/>
        <w:ind w:left="141" w:leftChars="67" w:firstLine="360" w:firstLineChars="150"/>
        <w:rPr>
          <w:rFonts w:hint="eastAsia" w:ascii="宋体" w:hAnsi="宋体" w:cs="宋体"/>
          <w:color w:val="auto"/>
          <w:szCs w:val="21"/>
          <w:highlight w:val="none"/>
        </w:rPr>
      </w:pPr>
      <w:r>
        <w:rPr>
          <w:rFonts w:hint="eastAsia" w:ascii="宋体" w:hAnsi="宋体" w:cs="宋体"/>
          <w:color w:val="auto"/>
          <w:sz w:val="24"/>
          <w:highlight w:val="none"/>
        </w:rPr>
        <w:t>特此承诺。</w:t>
      </w:r>
    </w:p>
    <w:p w14:paraId="3463E97D">
      <w:pPr>
        <w:spacing w:line="360" w:lineRule="auto"/>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注：如为联合体竞标，盖章处须加盖联合体牵头人电子签章并由联合体牵头人法定代表人分别签字或者盖章或者电子签名，否则响应文件按无效处理。</w:t>
      </w:r>
    </w:p>
    <w:p w14:paraId="2D93C7B6">
      <w:pPr>
        <w:spacing w:line="360" w:lineRule="auto"/>
        <w:contextualSpacing/>
        <w:jc w:val="left"/>
        <w:rPr>
          <w:rFonts w:hint="eastAsia" w:ascii="宋体" w:hAnsi="宋体" w:cs="宋体"/>
          <w:color w:val="auto"/>
          <w:szCs w:val="21"/>
          <w:highlight w:val="none"/>
        </w:rPr>
      </w:pPr>
    </w:p>
    <w:p w14:paraId="64B10C81">
      <w:pPr>
        <w:spacing w:line="360" w:lineRule="auto"/>
        <w:ind w:firstLine="1807" w:firstLineChars="750"/>
        <w:contextualSpacing/>
        <w:rPr>
          <w:rFonts w:hint="eastAsia"/>
          <w:color w:val="auto"/>
          <w:highlight w:val="none"/>
        </w:rPr>
      </w:pPr>
      <w:r>
        <w:rPr>
          <w:rFonts w:hint="eastAsia" w:ascii="宋体" w:hAnsi="宋体" w:eastAsia="宋体" w:cs="Times New Roman"/>
          <w:b/>
          <w:bCs/>
          <w:color w:val="auto"/>
          <w:sz w:val="24"/>
          <w:highlight w:val="none"/>
        </w:rPr>
        <w:t>法定代表人</w:t>
      </w:r>
      <w:r>
        <w:rPr>
          <w:rFonts w:hint="eastAsia" w:ascii="宋体" w:hAnsi="宋体" w:eastAsia="宋体" w:cs="Times New Roman"/>
          <w:color w:val="auto"/>
          <w:sz w:val="24"/>
          <w:highlight w:val="none"/>
        </w:rPr>
        <w:t>（签字或者盖章或者</w:t>
      </w:r>
      <w:r>
        <w:rPr>
          <w:rFonts w:hint="eastAsia" w:ascii="宋体" w:hAnsi="宋体"/>
          <w:color w:val="auto"/>
          <w:sz w:val="24"/>
          <w:highlight w:val="none"/>
        </w:rPr>
        <w:t>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523EDEC0">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供应商名称（电子签章）：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16F57748">
      <w:pPr>
        <w:spacing w:line="360" w:lineRule="auto"/>
        <w:ind w:right="482" w:firstLine="210" w:firstLineChars="100"/>
        <w:contextualSpacing/>
        <w:jc w:val="center"/>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0DAE4739">
      <w:pPr>
        <w:spacing w:line="360" w:lineRule="auto"/>
        <w:contextualSpacing/>
        <w:jc w:val="both"/>
        <w:rPr>
          <w:rFonts w:hint="eastAsia" w:ascii="宋体" w:hAnsi="宋体" w:cs="仿宋_GB2312"/>
          <w:color w:val="auto"/>
          <w:sz w:val="24"/>
          <w:highlight w:val="none"/>
        </w:rPr>
      </w:pPr>
    </w:p>
    <w:p w14:paraId="7B868192">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1D939E8C">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5F94FFBC">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10595D1">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14A9A57D">
      <w:pPr>
        <w:snapToGrid w:val="0"/>
        <w:spacing w:before="156" w:beforeLines="50" w:after="50"/>
        <w:rPr>
          <w:rFonts w:hint="eastAsia" w:ascii="宋体" w:hAnsi="宋体"/>
          <w:color w:val="auto"/>
          <w:sz w:val="24"/>
          <w:szCs w:val="20"/>
          <w:highlight w:val="none"/>
        </w:rPr>
      </w:pPr>
    </w:p>
    <w:p w14:paraId="15E57E7C">
      <w:pPr>
        <w:snapToGrid w:val="0"/>
        <w:spacing w:before="156" w:beforeLines="50" w:after="50"/>
        <w:rPr>
          <w:rFonts w:hint="eastAsia" w:ascii="宋体" w:hAnsi="宋体"/>
          <w:color w:val="auto"/>
          <w:sz w:val="24"/>
          <w:szCs w:val="20"/>
          <w:highlight w:val="none"/>
        </w:rPr>
      </w:pPr>
    </w:p>
    <w:p w14:paraId="5D133F72">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2E5CFECC">
      <w:pPr>
        <w:snapToGrid w:val="0"/>
        <w:spacing w:before="156" w:beforeLines="50" w:after="50"/>
        <w:rPr>
          <w:rFonts w:hint="eastAsia" w:ascii="宋体" w:hAnsi="宋体"/>
          <w:bCs/>
          <w:color w:val="auto"/>
          <w:sz w:val="24"/>
          <w:szCs w:val="20"/>
          <w:highlight w:val="none"/>
        </w:rPr>
      </w:pPr>
    </w:p>
    <w:p w14:paraId="683763FE">
      <w:pPr>
        <w:snapToGrid w:val="0"/>
        <w:spacing w:before="156" w:beforeLines="50" w:after="50"/>
        <w:rPr>
          <w:rFonts w:hint="eastAsia" w:ascii="宋体" w:hAnsi="宋体"/>
          <w:bCs/>
          <w:color w:val="auto"/>
          <w:sz w:val="24"/>
          <w:szCs w:val="20"/>
          <w:highlight w:val="none"/>
        </w:rPr>
      </w:pPr>
    </w:p>
    <w:p w14:paraId="771F8A2C">
      <w:pPr>
        <w:snapToGrid w:val="0"/>
        <w:spacing w:before="156" w:beforeLines="50" w:after="50"/>
        <w:rPr>
          <w:rFonts w:hint="eastAsia" w:ascii="宋体" w:hAnsi="宋体"/>
          <w:bCs/>
          <w:color w:val="auto"/>
          <w:sz w:val="24"/>
          <w:szCs w:val="20"/>
          <w:highlight w:val="none"/>
        </w:rPr>
      </w:pPr>
    </w:p>
    <w:p w14:paraId="74DC1F75">
      <w:pPr>
        <w:snapToGrid w:val="0"/>
        <w:spacing w:before="156" w:beforeLines="50" w:after="50"/>
        <w:rPr>
          <w:rFonts w:hint="eastAsia" w:ascii="宋体" w:hAnsi="宋体"/>
          <w:bCs/>
          <w:color w:val="auto"/>
          <w:sz w:val="24"/>
          <w:szCs w:val="20"/>
          <w:highlight w:val="none"/>
        </w:rPr>
      </w:pPr>
    </w:p>
    <w:p w14:paraId="57419553">
      <w:pPr>
        <w:snapToGrid w:val="0"/>
        <w:spacing w:before="156" w:beforeLines="50" w:after="50"/>
        <w:rPr>
          <w:rFonts w:hint="eastAsia" w:ascii="宋体" w:hAnsi="宋体"/>
          <w:bCs/>
          <w:color w:val="auto"/>
          <w:sz w:val="24"/>
          <w:szCs w:val="20"/>
          <w:highlight w:val="none"/>
        </w:rPr>
      </w:pPr>
    </w:p>
    <w:p w14:paraId="5190494E">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30E53D3">
      <w:pPr>
        <w:snapToGrid w:val="0"/>
        <w:spacing w:before="156" w:beforeLines="50" w:after="50"/>
        <w:ind w:firstLine="720" w:firstLineChars="225"/>
        <w:rPr>
          <w:rFonts w:hint="eastAsia" w:ascii="宋体" w:hAnsi="宋体" w:cs="仿宋_GB2312"/>
          <w:bCs/>
          <w:color w:val="auto"/>
          <w:sz w:val="32"/>
          <w:szCs w:val="32"/>
          <w:highlight w:val="none"/>
        </w:rPr>
      </w:pPr>
    </w:p>
    <w:p w14:paraId="224A0647">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61B78E6">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9A37A1E">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8C3E612">
      <w:pPr>
        <w:snapToGrid w:val="0"/>
        <w:spacing w:before="156" w:beforeLines="50" w:after="50"/>
        <w:ind w:firstLine="720" w:firstLineChars="225"/>
        <w:rPr>
          <w:rFonts w:hint="eastAsia" w:ascii="宋体" w:hAnsi="宋体" w:cs="仿宋_GB2312"/>
          <w:bCs/>
          <w:color w:val="auto"/>
          <w:sz w:val="32"/>
          <w:szCs w:val="32"/>
          <w:highlight w:val="none"/>
        </w:rPr>
      </w:pPr>
    </w:p>
    <w:p w14:paraId="39B27F05">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40596EA">
      <w:pPr>
        <w:pStyle w:val="5"/>
        <w:snapToGrid w:val="0"/>
        <w:spacing w:before="50" w:after="50"/>
        <w:ind w:firstLine="640" w:firstLineChars="200"/>
        <w:rPr>
          <w:rFonts w:hint="eastAsia" w:ascii="宋体" w:hAnsi="宋体" w:cs="仿宋_GB2312"/>
          <w:bCs/>
          <w:color w:val="auto"/>
          <w:sz w:val="32"/>
          <w:szCs w:val="32"/>
          <w:highlight w:val="none"/>
        </w:rPr>
      </w:pPr>
    </w:p>
    <w:p w14:paraId="3360FABF">
      <w:pPr>
        <w:pStyle w:val="5"/>
        <w:snapToGrid w:val="0"/>
        <w:spacing w:before="50" w:after="50"/>
        <w:ind w:firstLine="720" w:firstLineChars="225"/>
        <w:rPr>
          <w:rFonts w:hint="eastAsia" w:ascii="宋体" w:hAnsi="宋体" w:cs="仿宋_GB2312"/>
          <w:bCs/>
          <w:color w:val="auto"/>
          <w:sz w:val="32"/>
          <w:szCs w:val="32"/>
          <w:highlight w:val="none"/>
        </w:rPr>
      </w:pPr>
    </w:p>
    <w:p w14:paraId="60044373">
      <w:pPr>
        <w:pStyle w:val="5"/>
        <w:snapToGrid w:val="0"/>
        <w:spacing w:before="50" w:after="50"/>
        <w:ind w:firstLine="0"/>
        <w:rPr>
          <w:rFonts w:hint="eastAsia" w:ascii="宋体" w:hAnsi="宋体" w:cs="仿宋_GB2312"/>
          <w:bCs/>
          <w:color w:val="auto"/>
          <w:sz w:val="32"/>
          <w:szCs w:val="32"/>
          <w:highlight w:val="none"/>
        </w:rPr>
      </w:pPr>
    </w:p>
    <w:p w14:paraId="76B588FA">
      <w:pPr>
        <w:pStyle w:val="5"/>
        <w:snapToGrid w:val="0"/>
        <w:spacing w:before="50" w:after="50"/>
        <w:ind w:firstLine="1280" w:firstLineChars="400"/>
        <w:rPr>
          <w:rFonts w:hint="eastAsia" w:ascii="宋体" w:hAnsi="宋体" w:cs="仿宋_GB2312"/>
          <w:bCs/>
          <w:color w:val="auto"/>
          <w:sz w:val="32"/>
          <w:szCs w:val="32"/>
          <w:highlight w:val="none"/>
        </w:rPr>
      </w:pPr>
    </w:p>
    <w:p w14:paraId="768527F8">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BEF6E8D">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3A7BF7F8">
      <w:pPr>
        <w:tabs>
          <w:tab w:val="left" w:pos="3479"/>
        </w:tabs>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15AFF232">
      <w:pPr>
        <w:tabs>
          <w:tab w:val="left" w:pos="3479"/>
        </w:tabs>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ascii="宋体" w:hAnsi="宋体"/>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2DE450EC">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25BB5F5C">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分标（如有）：</w:t>
      </w:r>
      <w:r>
        <w:rPr>
          <w:rFonts w:hint="eastAsia" w:ascii="宋体" w:hAnsi="宋体" w:cs="仿宋_GB2312"/>
          <w:color w:val="auto"/>
          <w:sz w:val="24"/>
          <w:highlight w:val="none"/>
          <w:u w:val="single"/>
        </w:rPr>
        <w:t xml:space="preserve">            </w:t>
      </w:r>
    </w:p>
    <w:p w14:paraId="26119C84">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DA2748A">
      <w:pPr>
        <w:snapToGrid w:val="0"/>
        <w:spacing w:before="50" w:after="50" w:line="360" w:lineRule="auto"/>
        <w:ind w:firstLine="5520" w:firstLineChars="2300"/>
        <w:rPr>
          <w:rFonts w:hint="eastAsia" w:ascii="宋体" w:hAnsi="宋体" w:cs="仿宋_GB2312"/>
          <w:color w:val="auto"/>
          <w:sz w:val="24"/>
          <w:highlight w:val="none"/>
        </w:rPr>
      </w:pPr>
    </w:p>
    <w:p w14:paraId="59F66D44">
      <w:pPr>
        <w:snapToGrid w:val="0"/>
        <w:spacing w:before="50" w:after="50" w:line="360" w:lineRule="auto"/>
        <w:jc w:val="right"/>
        <w:rPr>
          <w:rFonts w:hint="eastAsia" w:ascii="宋体" w:hAnsi="宋体"/>
          <w:color w:val="auto"/>
          <w:sz w:val="24"/>
          <w:highlight w:val="none"/>
        </w:rPr>
      </w:pPr>
      <w:r>
        <w:rPr>
          <w:rFonts w:hint="eastAsia" w:ascii="宋体" w:hAnsi="宋体"/>
          <w:color w:val="auto"/>
          <w:sz w:val="24"/>
          <w:highlight w:val="none"/>
        </w:rPr>
        <w:t>单位：元</w:t>
      </w: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566"/>
        <w:gridCol w:w="1344"/>
        <w:gridCol w:w="1465"/>
        <w:gridCol w:w="1209"/>
        <w:gridCol w:w="1011"/>
        <w:gridCol w:w="1621"/>
      </w:tblGrid>
      <w:tr w14:paraId="11CF6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31F7FFF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178C484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751" w:type="pct"/>
            <w:tcBorders>
              <w:top w:val="single" w:color="auto" w:sz="4" w:space="0"/>
              <w:left w:val="single" w:color="auto" w:sz="4" w:space="0"/>
              <w:bottom w:val="single" w:color="auto" w:sz="4" w:space="0"/>
              <w:right w:val="single" w:color="auto" w:sz="4" w:space="0"/>
            </w:tcBorders>
            <w:noWrap w:val="0"/>
            <w:vAlign w:val="center"/>
          </w:tcPr>
          <w:p w14:paraId="212562C7">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品牌</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62D2EC7E">
            <w:pPr>
              <w:snapToGrid w:val="0"/>
              <w:spacing w:before="50" w:after="50" w:line="360" w:lineRule="auto"/>
              <w:jc w:val="center"/>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规格型号</w:t>
            </w:r>
          </w:p>
        </w:tc>
        <w:tc>
          <w:tcPr>
            <w:tcW w:w="676" w:type="pct"/>
            <w:tcBorders>
              <w:top w:val="single" w:color="auto" w:sz="4" w:space="0"/>
              <w:left w:val="single" w:color="auto" w:sz="4" w:space="0"/>
              <w:bottom w:val="single" w:color="auto" w:sz="4" w:space="0"/>
              <w:right w:val="single" w:color="auto" w:sz="4" w:space="0"/>
            </w:tcBorders>
            <w:noWrap w:val="0"/>
            <w:vAlign w:val="center"/>
          </w:tcPr>
          <w:p w14:paraId="3DC09DE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38D70009">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4BAB61D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903" w:type="pct"/>
            <w:tcBorders>
              <w:top w:val="single" w:color="auto" w:sz="4" w:space="0"/>
              <w:left w:val="single" w:color="auto" w:sz="4" w:space="0"/>
              <w:bottom w:val="single" w:color="auto" w:sz="4" w:space="0"/>
              <w:right w:val="single" w:color="auto" w:sz="4" w:space="0"/>
            </w:tcBorders>
            <w:noWrap w:val="0"/>
            <w:vAlign w:val="center"/>
          </w:tcPr>
          <w:p w14:paraId="67994E06">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lang w:val="en-US" w:eastAsia="zh-CN"/>
              </w:rPr>
              <w:t>竞</w:t>
            </w:r>
            <w:r>
              <w:rPr>
                <w:rFonts w:hint="eastAsia" w:ascii="宋体" w:hAnsi="宋体"/>
                <w:b/>
                <w:color w:val="auto"/>
                <w:sz w:val="24"/>
                <w:highlight w:val="none"/>
              </w:rPr>
              <w:t>标报价</w:t>
            </w:r>
          </w:p>
          <w:p w14:paraId="5E9AB9E9">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24086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416D6FC1">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31BB5910">
            <w:pPr>
              <w:snapToGrid w:val="0"/>
              <w:spacing w:before="50" w:after="50" w:line="360" w:lineRule="auto"/>
              <w:jc w:val="center"/>
              <w:rPr>
                <w:rFonts w:hint="eastAsia" w:ascii="宋体" w:hAnsi="宋体"/>
                <w:b/>
                <w:color w:val="auto"/>
                <w:sz w:val="24"/>
                <w:highlight w:val="none"/>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2033D870">
            <w:pPr>
              <w:snapToGrid w:val="0"/>
              <w:spacing w:before="50" w:after="50" w:line="360" w:lineRule="auto"/>
              <w:rPr>
                <w:rFonts w:hint="eastAsia" w:ascii="宋体" w:hAnsi="宋体"/>
                <w:color w:val="auto"/>
                <w:sz w:val="24"/>
                <w:highlight w:val="none"/>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59F0F5DD">
            <w:pPr>
              <w:snapToGrid w:val="0"/>
              <w:spacing w:before="50" w:after="50" w:line="360" w:lineRule="auto"/>
              <w:rPr>
                <w:rFonts w:hint="eastAsia" w:ascii="宋体" w:hAnsi="宋体"/>
                <w:color w:val="auto"/>
                <w:sz w:val="24"/>
                <w:highlight w:val="none"/>
              </w:rPr>
            </w:pPr>
          </w:p>
        </w:tc>
        <w:tc>
          <w:tcPr>
            <w:tcW w:w="676" w:type="pct"/>
            <w:tcBorders>
              <w:top w:val="single" w:color="auto" w:sz="4" w:space="0"/>
              <w:left w:val="single" w:color="auto" w:sz="4" w:space="0"/>
              <w:bottom w:val="single" w:color="auto" w:sz="4" w:space="0"/>
              <w:right w:val="single" w:color="auto" w:sz="4" w:space="0"/>
            </w:tcBorders>
            <w:noWrap w:val="0"/>
            <w:vAlign w:val="center"/>
          </w:tcPr>
          <w:p w14:paraId="6794B325">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5A3ADE23">
            <w:pPr>
              <w:snapToGrid w:val="0"/>
              <w:spacing w:before="50" w:after="50" w:line="360" w:lineRule="auto"/>
              <w:rPr>
                <w:rFonts w:hint="eastAsia" w:ascii="宋体" w:hAnsi="宋体"/>
                <w:color w:val="auto"/>
                <w:sz w:val="24"/>
                <w:highlight w:val="none"/>
              </w:rPr>
            </w:pPr>
          </w:p>
        </w:tc>
        <w:tc>
          <w:tcPr>
            <w:tcW w:w="903" w:type="pct"/>
            <w:tcBorders>
              <w:top w:val="single" w:color="auto" w:sz="4" w:space="0"/>
              <w:left w:val="single" w:color="auto" w:sz="4" w:space="0"/>
              <w:bottom w:val="single" w:color="auto" w:sz="4" w:space="0"/>
              <w:right w:val="single" w:color="auto" w:sz="4" w:space="0"/>
            </w:tcBorders>
            <w:noWrap w:val="0"/>
            <w:vAlign w:val="center"/>
          </w:tcPr>
          <w:p w14:paraId="3E730722">
            <w:pPr>
              <w:snapToGrid w:val="0"/>
              <w:spacing w:before="50" w:after="50" w:line="360" w:lineRule="auto"/>
              <w:rPr>
                <w:rFonts w:hint="eastAsia" w:ascii="宋体" w:hAnsi="宋体"/>
                <w:color w:val="auto"/>
                <w:sz w:val="24"/>
                <w:highlight w:val="none"/>
              </w:rPr>
            </w:pPr>
          </w:p>
        </w:tc>
      </w:tr>
      <w:tr w14:paraId="0370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4213D3D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2</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46FFC12B">
            <w:pPr>
              <w:snapToGrid w:val="0"/>
              <w:spacing w:before="50" w:after="50" w:line="360" w:lineRule="auto"/>
              <w:jc w:val="center"/>
              <w:rPr>
                <w:rFonts w:hint="eastAsia" w:ascii="宋体" w:hAnsi="宋体"/>
                <w:b/>
                <w:color w:val="auto"/>
                <w:sz w:val="24"/>
                <w:highlight w:val="none"/>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025041EA">
            <w:pPr>
              <w:snapToGrid w:val="0"/>
              <w:spacing w:before="50" w:after="50" w:line="360" w:lineRule="auto"/>
              <w:rPr>
                <w:rFonts w:hint="eastAsia" w:ascii="宋体" w:hAnsi="宋体"/>
                <w:color w:val="auto"/>
                <w:sz w:val="24"/>
                <w:highlight w:val="none"/>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765DDE9A">
            <w:pPr>
              <w:snapToGrid w:val="0"/>
              <w:spacing w:before="50" w:after="50" w:line="360" w:lineRule="auto"/>
              <w:rPr>
                <w:rFonts w:hint="eastAsia" w:ascii="宋体" w:hAnsi="宋体"/>
                <w:color w:val="auto"/>
                <w:sz w:val="24"/>
                <w:highlight w:val="none"/>
              </w:rPr>
            </w:pPr>
          </w:p>
        </w:tc>
        <w:tc>
          <w:tcPr>
            <w:tcW w:w="676" w:type="pct"/>
            <w:tcBorders>
              <w:top w:val="single" w:color="auto" w:sz="4" w:space="0"/>
              <w:left w:val="single" w:color="auto" w:sz="4" w:space="0"/>
              <w:bottom w:val="single" w:color="auto" w:sz="4" w:space="0"/>
              <w:right w:val="single" w:color="auto" w:sz="4" w:space="0"/>
            </w:tcBorders>
            <w:noWrap w:val="0"/>
            <w:vAlign w:val="center"/>
          </w:tcPr>
          <w:p w14:paraId="1DBD95D0">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355B9C72">
            <w:pPr>
              <w:snapToGrid w:val="0"/>
              <w:spacing w:before="50" w:after="50" w:line="360" w:lineRule="auto"/>
              <w:rPr>
                <w:rFonts w:hint="eastAsia" w:ascii="宋体" w:hAnsi="宋体"/>
                <w:color w:val="auto"/>
                <w:sz w:val="24"/>
                <w:highlight w:val="none"/>
              </w:rPr>
            </w:pPr>
          </w:p>
        </w:tc>
        <w:tc>
          <w:tcPr>
            <w:tcW w:w="903" w:type="pct"/>
            <w:tcBorders>
              <w:top w:val="single" w:color="auto" w:sz="4" w:space="0"/>
              <w:left w:val="single" w:color="auto" w:sz="4" w:space="0"/>
              <w:bottom w:val="single" w:color="auto" w:sz="4" w:space="0"/>
              <w:right w:val="single" w:color="auto" w:sz="4" w:space="0"/>
            </w:tcBorders>
            <w:noWrap w:val="0"/>
            <w:vAlign w:val="center"/>
          </w:tcPr>
          <w:p w14:paraId="640BE7D7">
            <w:pPr>
              <w:snapToGrid w:val="0"/>
              <w:spacing w:before="50" w:after="50" w:line="360" w:lineRule="auto"/>
              <w:rPr>
                <w:rFonts w:hint="eastAsia" w:ascii="宋体" w:hAnsi="宋体"/>
                <w:color w:val="auto"/>
                <w:sz w:val="24"/>
                <w:highlight w:val="none"/>
              </w:rPr>
            </w:pPr>
          </w:p>
        </w:tc>
      </w:tr>
      <w:tr w14:paraId="512F9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0D67686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78CC388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751" w:type="pct"/>
            <w:tcBorders>
              <w:top w:val="single" w:color="auto" w:sz="4" w:space="0"/>
              <w:left w:val="single" w:color="auto" w:sz="4" w:space="0"/>
              <w:bottom w:val="single" w:color="auto" w:sz="4" w:space="0"/>
              <w:right w:val="single" w:color="auto" w:sz="4" w:space="0"/>
            </w:tcBorders>
            <w:noWrap w:val="0"/>
            <w:vAlign w:val="center"/>
          </w:tcPr>
          <w:p w14:paraId="3E2B921D">
            <w:pPr>
              <w:snapToGrid w:val="0"/>
              <w:spacing w:before="50" w:after="50" w:line="360" w:lineRule="auto"/>
              <w:rPr>
                <w:rFonts w:hint="eastAsia" w:ascii="宋体" w:hAnsi="宋体"/>
                <w:color w:val="auto"/>
                <w:sz w:val="24"/>
                <w:highlight w:val="none"/>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5BAF3693">
            <w:pPr>
              <w:snapToGrid w:val="0"/>
              <w:spacing w:before="50" w:after="50" w:line="360" w:lineRule="auto"/>
              <w:rPr>
                <w:rFonts w:hint="eastAsia" w:ascii="宋体" w:hAnsi="宋体"/>
                <w:color w:val="auto"/>
                <w:sz w:val="24"/>
                <w:highlight w:val="none"/>
              </w:rPr>
            </w:pPr>
          </w:p>
        </w:tc>
        <w:tc>
          <w:tcPr>
            <w:tcW w:w="676" w:type="pct"/>
            <w:tcBorders>
              <w:top w:val="single" w:color="auto" w:sz="4" w:space="0"/>
              <w:left w:val="single" w:color="auto" w:sz="4" w:space="0"/>
              <w:bottom w:val="single" w:color="auto" w:sz="4" w:space="0"/>
              <w:right w:val="single" w:color="auto" w:sz="4" w:space="0"/>
            </w:tcBorders>
            <w:noWrap w:val="0"/>
            <w:vAlign w:val="center"/>
          </w:tcPr>
          <w:p w14:paraId="5BDE26DB">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4668F05E">
            <w:pPr>
              <w:snapToGrid w:val="0"/>
              <w:spacing w:before="50" w:after="50" w:line="360" w:lineRule="auto"/>
              <w:rPr>
                <w:rFonts w:hint="eastAsia" w:ascii="宋体" w:hAnsi="宋体"/>
                <w:color w:val="auto"/>
                <w:sz w:val="24"/>
                <w:highlight w:val="none"/>
              </w:rPr>
            </w:pPr>
          </w:p>
        </w:tc>
        <w:tc>
          <w:tcPr>
            <w:tcW w:w="903" w:type="pct"/>
            <w:tcBorders>
              <w:top w:val="single" w:color="auto" w:sz="4" w:space="0"/>
              <w:left w:val="single" w:color="auto" w:sz="4" w:space="0"/>
              <w:bottom w:val="single" w:color="auto" w:sz="4" w:space="0"/>
              <w:right w:val="single" w:color="auto" w:sz="4" w:space="0"/>
            </w:tcBorders>
            <w:noWrap w:val="0"/>
            <w:vAlign w:val="center"/>
          </w:tcPr>
          <w:p w14:paraId="4FECDBD8">
            <w:pPr>
              <w:snapToGrid w:val="0"/>
              <w:spacing w:before="50" w:after="50" w:line="360" w:lineRule="auto"/>
              <w:rPr>
                <w:rFonts w:hint="eastAsia" w:ascii="宋体" w:hAnsi="宋体"/>
                <w:color w:val="auto"/>
                <w:sz w:val="24"/>
                <w:highlight w:val="none"/>
              </w:rPr>
            </w:pPr>
          </w:p>
        </w:tc>
      </w:tr>
      <w:tr w14:paraId="5A75C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00AE9E46">
            <w:pPr>
              <w:snapToGrid w:val="0"/>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111904CE">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695166F1">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2D09DF30">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lang w:val="en-US" w:eastAsia="zh-CN"/>
        </w:rPr>
        <w:t>2</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47C020EC">
      <w:pPr>
        <w:pStyle w:val="18"/>
        <w:rPr>
          <w:rFonts w:hint="eastAsia"/>
          <w:color w:val="auto"/>
          <w:highlight w:val="none"/>
        </w:rPr>
      </w:pPr>
    </w:p>
    <w:p w14:paraId="756E50A6">
      <w:pPr>
        <w:pStyle w:val="18"/>
        <w:rPr>
          <w:rFonts w:hint="eastAsia"/>
          <w:color w:val="auto"/>
          <w:highlight w:val="none"/>
        </w:rPr>
      </w:pPr>
    </w:p>
    <w:p w14:paraId="015C697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4873DE8">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77DA89DE">
      <w:pPr>
        <w:spacing w:line="360" w:lineRule="auto"/>
        <w:ind w:right="-817" w:rightChars="-389"/>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321597C1">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5774DBBB">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3FEAA589">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CBD8E18">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046F917">
      <w:pPr>
        <w:snapToGrid w:val="0"/>
        <w:spacing w:before="156" w:beforeLines="50" w:after="50"/>
        <w:rPr>
          <w:rFonts w:hint="eastAsia" w:ascii="宋体" w:hAnsi="宋体"/>
          <w:color w:val="auto"/>
          <w:sz w:val="24"/>
          <w:szCs w:val="20"/>
          <w:highlight w:val="none"/>
        </w:rPr>
      </w:pPr>
    </w:p>
    <w:p w14:paraId="2142FC10">
      <w:pPr>
        <w:snapToGrid w:val="0"/>
        <w:spacing w:before="156" w:beforeLines="50" w:after="50"/>
        <w:rPr>
          <w:rFonts w:hint="eastAsia" w:ascii="宋体" w:hAnsi="宋体"/>
          <w:color w:val="auto"/>
          <w:sz w:val="24"/>
          <w:szCs w:val="20"/>
          <w:highlight w:val="none"/>
        </w:rPr>
      </w:pPr>
    </w:p>
    <w:p w14:paraId="15932488">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C1384C1">
      <w:pPr>
        <w:snapToGrid w:val="0"/>
        <w:spacing w:before="156" w:beforeLines="50" w:after="50"/>
        <w:rPr>
          <w:rFonts w:hint="eastAsia" w:ascii="宋体" w:hAnsi="宋体"/>
          <w:bCs/>
          <w:color w:val="auto"/>
          <w:sz w:val="24"/>
          <w:szCs w:val="20"/>
          <w:highlight w:val="none"/>
        </w:rPr>
      </w:pPr>
    </w:p>
    <w:p w14:paraId="450E4DDE">
      <w:pPr>
        <w:snapToGrid w:val="0"/>
        <w:spacing w:before="156" w:beforeLines="50" w:after="50"/>
        <w:rPr>
          <w:rFonts w:hint="eastAsia" w:ascii="宋体" w:hAnsi="宋体"/>
          <w:bCs/>
          <w:color w:val="auto"/>
          <w:sz w:val="24"/>
          <w:szCs w:val="20"/>
          <w:highlight w:val="none"/>
        </w:rPr>
      </w:pPr>
    </w:p>
    <w:p w14:paraId="15F1FDE8">
      <w:pPr>
        <w:snapToGrid w:val="0"/>
        <w:spacing w:before="156" w:beforeLines="50" w:after="50"/>
        <w:rPr>
          <w:rFonts w:hint="eastAsia" w:ascii="宋体" w:hAnsi="宋体"/>
          <w:bCs/>
          <w:color w:val="auto"/>
          <w:sz w:val="24"/>
          <w:szCs w:val="20"/>
          <w:highlight w:val="none"/>
        </w:rPr>
      </w:pPr>
    </w:p>
    <w:p w14:paraId="454CA798">
      <w:pPr>
        <w:snapToGrid w:val="0"/>
        <w:spacing w:before="156" w:beforeLines="50" w:after="50"/>
        <w:rPr>
          <w:rFonts w:hint="eastAsia" w:ascii="宋体" w:hAnsi="宋体"/>
          <w:bCs/>
          <w:color w:val="auto"/>
          <w:sz w:val="24"/>
          <w:szCs w:val="20"/>
          <w:highlight w:val="none"/>
        </w:rPr>
      </w:pPr>
    </w:p>
    <w:p w14:paraId="6AB01C0D">
      <w:pPr>
        <w:snapToGrid w:val="0"/>
        <w:spacing w:before="156" w:beforeLines="50" w:after="50"/>
        <w:rPr>
          <w:rFonts w:hint="eastAsia" w:ascii="宋体" w:hAnsi="宋体"/>
          <w:bCs/>
          <w:color w:val="auto"/>
          <w:sz w:val="24"/>
          <w:szCs w:val="20"/>
          <w:highlight w:val="none"/>
        </w:rPr>
      </w:pPr>
    </w:p>
    <w:p w14:paraId="3B0D4E2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1A31ABD">
      <w:pPr>
        <w:snapToGrid w:val="0"/>
        <w:spacing w:before="156" w:beforeLines="50" w:after="50"/>
        <w:ind w:firstLine="720" w:firstLineChars="225"/>
        <w:rPr>
          <w:rFonts w:hint="eastAsia" w:ascii="宋体" w:hAnsi="宋体" w:cs="仿宋_GB2312"/>
          <w:bCs/>
          <w:color w:val="auto"/>
          <w:sz w:val="32"/>
          <w:szCs w:val="32"/>
          <w:highlight w:val="none"/>
        </w:rPr>
      </w:pPr>
    </w:p>
    <w:p w14:paraId="72B7E19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8A5918C">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ACC0BC3">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A90F5F0">
      <w:pPr>
        <w:snapToGrid w:val="0"/>
        <w:spacing w:before="156" w:beforeLines="50" w:after="50"/>
        <w:ind w:firstLine="720" w:firstLineChars="225"/>
        <w:rPr>
          <w:rFonts w:hint="eastAsia" w:ascii="宋体" w:hAnsi="宋体" w:cs="仿宋_GB2312"/>
          <w:bCs/>
          <w:color w:val="auto"/>
          <w:sz w:val="32"/>
          <w:szCs w:val="32"/>
          <w:highlight w:val="none"/>
        </w:rPr>
      </w:pPr>
    </w:p>
    <w:p w14:paraId="07BEA3AA">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4D56184">
      <w:pPr>
        <w:pStyle w:val="5"/>
        <w:snapToGrid w:val="0"/>
        <w:spacing w:before="50" w:after="50"/>
        <w:ind w:firstLine="640" w:firstLineChars="200"/>
        <w:rPr>
          <w:rFonts w:hint="eastAsia" w:ascii="宋体" w:hAnsi="宋体" w:cs="仿宋_GB2312"/>
          <w:bCs/>
          <w:color w:val="auto"/>
          <w:sz w:val="32"/>
          <w:szCs w:val="32"/>
          <w:highlight w:val="none"/>
        </w:rPr>
      </w:pPr>
    </w:p>
    <w:p w14:paraId="3584E801">
      <w:pPr>
        <w:pStyle w:val="5"/>
        <w:snapToGrid w:val="0"/>
        <w:spacing w:before="50" w:after="50"/>
        <w:ind w:firstLine="720" w:firstLineChars="225"/>
        <w:rPr>
          <w:rFonts w:hint="eastAsia" w:ascii="宋体" w:hAnsi="宋体" w:cs="仿宋_GB2312"/>
          <w:bCs/>
          <w:color w:val="auto"/>
          <w:sz w:val="32"/>
          <w:szCs w:val="32"/>
          <w:highlight w:val="none"/>
        </w:rPr>
      </w:pPr>
    </w:p>
    <w:p w14:paraId="3201BB5C">
      <w:pPr>
        <w:pStyle w:val="5"/>
        <w:snapToGrid w:val="0"/>
        <w:spacing w:before="50" w:after="50"/>
        <w:ind w:firstLine="0"/>
        <w:rPr>
          <w:rFonts w:hint="eastAsia" w:ascii="宋体" w:hAnsi="宋体" w:cs="仿宋_GB2312"/>
          <w:bCs/>
          <w:color w:val="auto"/>
          <w:sz w:val="32"/>
          <w:szCs w:val="32"/>
          <w:highlight w:val="none"/>
        </w:rPr>
      </w:pPr>
    </w:p>
    <w:p w14:paraId="55167191">
      <w:pPr>
        <w:pStyle w:val="5"/>
        <w:snapToGrid w:val="0"/>
        <w:spacing w:before="50" w:after="50"/>
        <w:ind w:firstLine="1280" w:firstLineChars="400"/>
        <w:rPr>
          <w:rFonts w:hint="eastAsia" w:ascii="宋体" w:hAnsi="宋体" w:cs="仿宋_GB2312"/>
          <w:bCs/>
          <w:color w:val="auto"/>
          <w:sz w:val="32"/>
          <w:szCs w:val="32"/>
          <w:highlight w:val="none"/>
        </w:rPr>
      </w:pPr>
    </w:p>
    <w:p w14:paraId="25035A47">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E0D84A2">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3330E4B9">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2D239B8B">
      <w:pPr>
        <w:spacing w:line="400" w:lineRule="exact"/>
        <w:rPr>
          <w:rFonts w:hint="eastAsia" w:ascii="仿宋_GB2312" w:hAnsi="仿宋_GB2312" w:eastAsia="仿宋_GB2312" w:cs="仿宋_GB2312"/>
          <w:color w:val="auto"/>
          <w:sz w:val="32"/>
          <w:szCs w:val="32"/>
          <w:highlight w:val="none"/>
        </w:rPr>
      </w:pPr>
    </w:p>
    <w:p w14:paraId="1FF748E5">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24AB1B5B">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B257B6D">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39743F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78C5A83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B2F652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551C5C2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896D33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C9F9F8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09F5D034">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5343143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2AFA61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B6178B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9F1436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21BF1B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219AAE9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496971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82F4BA7">
      <w:pPr>
        <w:spacing w:line="360" w:lineRule="auto"/>
        <w:ind w:firstLine="480" w:firstLineChars="200"/>
        <w:contextualSpacing/>
        <w:rPr>
          <w:rFonts w:hint="eastAsia" w:ascii="宋体" w:hAnsi="宋体" w:cs="仿宋_GB2312"/>
          <w:color w:val="auto"/>
          <w:sz w:val="24"/>
          <w:highlight w:val="none"/>
        </w:rPr>
      </w:pPr>
    </w:p>
    <w:p w14:paraId="48D6CF07">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BE02759">
      <w:pPr>
        <w:spacing w:line="360" w:lineRule="auto"/>
        <w:ind w:firstLine="480" w:firstLineChars="200"/>
        <w:contextualSpacing/>
        <w:rPr>
          <w:rFonts w:hint="eastAsia" w:ascii="宋体" w:hAnsi="宋体" w:cs="仿宋_GB2312"/>
          <w:color w:val="auto"/>
          <w:sz w:val="24"/>
          <w:highlight w:val="none"/>
        </w:rPr>
      </w:pPr>
    </w:p>
    <w:p w14:paraId="77CF4320">
      <w:pPr>
        <w:spacing w:line="360" w:lineRule="auto"/>
        <w:contextualSpacing/>
        <w:rPr>
          <w:rFonts w:hint="eastAsia" w:ascii="宋体" w:hAnsi="宋体" w:cs="仿宋_GB2312"/>
          <w:color w:val="auto"/>
          <w:sz w:val="24"/>
          <w:highlight w:val="none"/>
        </w:rPr>
      </w:pPr>
    </w:p>
    <w:p w14:paraId="3D52C961">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66F0CFDB">
      <w:pPr>
        <w:spacing w:line="360" w:lineRule="auto"/>
        <w:ind w:firstLine="480" w:firstLineChars="2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14C08140">
      <w:pPr>
        <w:spacing w:line="360" w:lineRule="auto"/>
        <w:ind w:firstLine="640" w:firstLineChars="200"/>
        <w:contextualSpacing/>
        <w:jc w:val="center"/>
        <w:rPr>
          <w:rFonts w:hint="eastAsia" w:ascii="宋体" w:hAnsi="宋体" w:cs="仿宋_GB2312"/>
          <w:color w:val="auto"/>
          <w:sz w:val="32"/>
          <w:szCs w:val="32"/>
          <w:highlight w:val="none"/>
        </w:rPr>
      </w:pPr>
    </w:p>
    <w:p w14:paraId="77123BB3">
      <w:pPr>
        <w:spacing w:before="312" w:beforeLines="100" w:after="156" w:afterLines="50" w:line="520" w:lineRule="exact"/>
        <w:ind w:left="540"/>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0644EE31">
      <w:pPr>
        <w:spacing w:line="360" w:lineRule="auto"/>
        <w:ind w:left="540"/>
        <w:contextualSpacing/>
        <w:rPr>
          <w:rFonts w:hint="eastAsia" w:ascii="仿宋_GB2312" w:hAnsi="仿宋_GB2312" w:eastAsia="仿宋_GB2312" w:cs="仿宋_GB2312"/>
          <w:color w:val="auto"/>
          <w:sz w:val="32"/>
          <w:szCs w:val="32"/>
          <w:highlight w:val="none"/>
        </w:rPr>
      </w:pPr>
    </w:p>
    <w:p w14:paraId="1DE485A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1F2219E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D00CDB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6D92C966">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D25C66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1B792A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51E0224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51F8081E">
      <w:pPr>
        <w:spacing w:line="360" w:lineRule="auto"/>
        <w:ind w:left="540"/>
        <w:contextualSpacing/>
        <w:rPr>
          <w:rFonts w:hint="eastAsia" w:ascii="宋体" w:hAnsi="宋体" w:cs="仿宋_GB2312"/>
          <w:color w:val="auto"/>
          <w:sz w:val="24"/>
          <w:highlight w:val="none"/>
        </w:rPr>
      </w:pPr>
    </w:p>
    <w:p w14:paraId="1D76BF49">
      <w:pPr>
        <w:spacing w:line="360" w:lineRule="auto"/>
        <w:ind w:left="540"/>
        <w:contextualSpacing/>
        <w:rPr>
          <w:rFonts w:hint="eastAsia" w:ascii="宋体" w:hAnsi="宋体" w:cs="仿宋_GB2312"/>
          <w:color w:val="auto"/>
          <w:sz w:val="24"/>
          <w:highlight w:val="none"/>
        </w:rPr>
      </w:pPr>
    </w:p>
    <w:p w14:paraId="51EAD74A">
      <w:pPr>
        <w:spacing w:line="360" w:lineRule="auto"/>
        <w:ind w:left="540"/>
        <w:contextualSpacing/>
        <w:rPr>
          <w:rFonts w:hint="eastAsia" w:ascii="宋体" w:hAnsi="宋体" w:cs="仿宋_GB2312"/>
          <w:color w:val="auto"/>
          <w:sz w:val="24"/>
          <w:highlight w:val="none"/>
        </w:rPr>
      </w:pPr>
    </w:p>
    <w:p w14:paraId="100E8BA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FD896BF">
      <w:pPr>
        <w:spacing w:line="360" w:lineRule="auto"/>
        <w:ind w:left="540"/>
        <w:contextualSpacing/>
        <w:rPr>
          <w:rFonts w:hint="eastAsia" w:ascii="宋体" w:hAnsi="宋体" w:cs="仿宋_GB2312"/>
          <w:color w:val="auto"/>
          <w:sz w:val="24"/>
          <w:highlight w:val="none"/>
        </w:rPr>
      </w:pPr>
    </w:p>
    <w:p w14:paraId="50D7C0F8">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74327FA7">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395D018E">
      <w:pPr>
        <w:spacing w:line="360" w:lineRule="auto"/>
        <w:contextualSpacing/>
        <w:jc w:val="center"/>
        <w:rPr>
          <w:rFonts w:hint="eastAsia" w:ascii="宋体" w:hAnsi="宋体" w:cs="仿宋_GB2312"/>
          <w:b/>
          <w:color w:val="auto"/>
          <w:sz w:val="24"/>
          <w:highlight w:val="none"/>
        </w:rPr>
      </w:pPr>
    </w:p>
    <w:p w14:paraId="17490D92">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7A20AD2A">
      <w:pPr>
        <w:adjustRightInd w:val="0"/>
        <w:snapToGrid w:val="0"/>
        <w:spacing w:line="300" w:lineRule="auto"/>
        <w:jc w:val="left"/>
        <w:rPr>
          <w:rFonts w:hint="eastAsia" w:ascii="宋体" w:hAnsi="宋体"/>
          <w:b/>
          <w:color w:val="auto"/>
          <w:szCs w:val="21"/>
          <w:highlight w:val="none"/>
        </w:rPr>
      </w:pPr>
    </w:p>
    <w:p w14:paraId="6674547C">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0ABDCEFF">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（非联合体竞标格式）</w:t>
      </w:r>
    </w:p>
    <w:p w14:paraId="2A03C981">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1D63E295">
      <w:pPr>
        <w:spacing w:line="360" w:lineRule="auto"/>
        <w:contextualSpacing/>
        <w:rPr>
          <w:rFonts w:hint="eastAsia" w:ascii="仿宋_GB2312" w:hAnsi="仿宋_GB2312" w:eastAsia="仿宋_GB2312" w:cs="仿宋_GB2312"/>
          <w:color w:val="auto"/>
          <w:sz w:val="32"/>
          <w:szCs w:val="32"/>
          <w:highlight w:val="none"/>
        </w:rPr>
      </w:pPr>
    </w:p>
    <w:p w14:paraId="34DF04D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80C622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2E4DA5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7EE2CBD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D75E7F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86D406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588DF5A">
      <w:pPr>
        <w:spacing w:line="360" w:lineRule="auto"/>
        <w:contextualSpacing/>
        <w:rPr>
          <w:rFonts w:hint="eastAsia" w:ascii="宋体" w:hAnsi="宋体" w:cs="仿宋_GB2312"/>
          <w:color w:val="auto"/>
          <w:sz w:val="24"/>
          <w:highlight w:val="none"/>
        </w:rPr>
      </w:pPr>
    </w:p>
    <w:p w14:paraId="46AFD59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EDF7C0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0DE2BF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C1A1AF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4FFBAAB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075E849B">
      <w:pPr>
        <w:spacing w:line="360" w:lineRule="auto"/>
        <w:contextualSpacing/>
        <w:rPr>
          <w:rFonts w:hint="eastAsia" w:ascii="宋体" w:hAnsi="宋体" w:cs="仿宋_GB2312"/>
          <w:color w:val="auto"/>
          <w:sz w:val="24"/>
          <w:highlight w:val="none"/>
        </w:rPr>
      </w:pPr>
    </w:p>
    <w:p w14:paraId="6EED839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7C2432B3">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61967F67">
      <w:pPr>
        <w:spacing w:line="360" w:lineRule="auto"/>
        <w:ind w:firstLine="420" w:firstLineChars="200"/>
        <w:contextualSpacing/>
        <w:jc w:val="left"/>
        <w:rPr>
          <w:rFonts w:hint="eastAsia" w:ascii="仿宋_GB2312" w:hAnsi="仿宋_GB2312" w:eastAsia="仿宋_GB2312" w:cs="仿宋_GB2312"/>
          <w:color w:val="auto"/>
          <w:szCs w:val="21"/>
          <w:highlight w:val="none"/>
        </w:rPr>
      </w:pPr>
    </w:p>
    <w:p w14:paraId="45616004">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14:paraId="3E9287C2">
      <w:pPr>
        <w:spacing w:line="500" w:lineRule="exact"/>
        <w:jc w:val="center"/>
        <w:rPr>
          <w:rFonts w:ascii="宋体" w:hAnsi="宋体"/>
          <w:b/>
          <w:i/>
          <w:color w:val="auto"/>
          <w:sz w:val="32"/>
          <w:szCs w:val="32"/>
          <w:highlight w:val="none"/>
        </w:rPr>
      </w:pPr>
    </w:p>
    <w:p w14:paraId="3C8D1048">
      <w:pPr>
        <w:snapToGrid w:val="0"/>
        <w:spacing w:before="50"/>
        <w:jc w:val="left"/>
        <w:rPr>
          <w:rFonts w:hint="eastAsia" w:ascii="宋体" w:hAnsi="宋体"/>
          <w:color w:val="auto"/>
          <w:sz w:val="24"/>
          <w:highlight w:val="none"/>
        </w:rPr>
      </w:pPr>
    </w:p>
    <w:p w14:paraId="0FB0729F">
      <w:pPr>
        <w:pStyle w:val="12"/>
        <w:spacing w:line="360" w:lineRule="auto"/>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3"/>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24696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4AAB513">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BA4EC8E">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F4E6EE0">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BCF0666">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58DBB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42204A4">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lang w:eastAsia="zh-CN"/>
              </w:rPr>
              <w:t>报价</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944864A">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791A25C0">
            <w:pPr>
              <w:snapToGrid w:val="0"/>
              <w:spacing w:before="156" w:beforeLines="5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29FE344">
            <w:pPr>
              <w:snapToGrid w:val="0"/>
              <w:spacing w:before="156" w:beforeLines="50" w:line="360" w:lineRule="auto"/>
              <w:jc w:val="center"/>
              <w:rPr>
                <w:rFonts w:hint="eastAsia" w:ascii="宋体" w:hAnsi="宋体" w:cs="仿宋_GB2312"/>
                <w:color w:val="auto"/>
                <w:sz w:val="24"/>
                <w:highlight w:val="none"/>
              </w:rPr>
            </w:pPr>
          </w:p>
        </w:tc>
      </w:tr>
      <w:tr w14:paraId="1069E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6373468">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合同履行期限和地点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3C02554">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4BC1DA6">
            <w:pPr>
              <w:snapToGrid w:val="0"/>
              <w:spacing w:before="156" w:beforeLines="5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D8C0306">
            <w:pPr>
              <w:snapToGrid w:val="0"/>
              <w:spacing w:before="156" w:beforeLines="50" w:line="360" w:lineRule="auto"/>
              <w:ind w:left="43"/>
              <w:jc w:val="center"/>
              <w:rPr>
                <w:rFonts w:hint="eastAsia" w:ascii="宋体" w:hAnsi="宋体" w:cs="仿宋_GB2312"/>
                <w:color w:val="auto"/>
                <w:sz w:val="24"/>
                <w:highlight w:val="none"/>
              </w:rPr>
            </w:pPr>
          </w:p>
        </w:tc>
      </w:tr>
      <w:tr w14:paraId="2D986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5C9FBB38">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B3725BE">
            <w:pPr>
              <w:snapToGrid w:val="0"/>
              <w:spacing w:before="156" w:beforeLines="5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4FDB6D3">
            <w:pPr>
              <w:snapToGrid w:val="0"/>
              <w:spacing w:before="156" w:beforeLines="5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947F97E">
            <w:pPr>
              <w:snapToGrid w:val="0"/>
              <w:spacing w:before="156" w:beforeLines="50" w:line="360" w:lineRule="auto"/>
              <w:jc w:val="center"/>
              <w:rPr>
                <w:rFonts w:hint="eastAsia" w:ascii="宋体" w:hAnsi="宋体" w:cs="仿宋_GB2312"/>
                <w:color w:val="auto"/>
                <w:sz w:val="24"/>
                <w:highlight w:val="none"/>
              </w:rPr>
            </w:pPr>
          </w:p>
        </w:tc>
      </w:tr>
    </w:tbl>
    <w:p w14:paraId="421C46F4">
      <w:pPr>
        <w:pStyle w:val="8"/>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696E2389">
      <w:pPr>
        <w:pStyle w:val="8"/>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说明：应对照谈判文件“第三章 采购需求”中的商务要求逐条明确响应，并作出偏离说明。</w:t>
      </w:r>
    </w:p>
    <w:p w14:paraId="39F5EEF6">
      <w:pPr>
        <w:pStyle w:val="8"/>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2.供应商应根据自身的承诺，对照谈判文件要求在“偏离说明”中注明“正偏离</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负偏离”或者“无偏离”。既不属于“正偏离”也不属于“负偏离”即为“无偏离”。</w:t>
      </w:r>
    </w:p>
    <w:p w14:paraId="07248527">
      <w:pPr>
        <w:spacing w:line="360" w:lineRule="auto"/>
        <w:contextualSpacing/>
        <w:jc w:val="left"/>
        <w:rPr>
          <w:rFonts w:hint="eastAsia" w:ascii="宋体" w:hAnsi="宋体" w:cs="仿宋_GB2312"/>
          <w:color w:val="auto"/>
          <w:sz w:val="24"/>
          <w:highlight w:val="none"/>
          <w:u w:val="single"/>
        </w:rPr>
      </w:pPr>
    </w:p>
    <w:p w14:paraId="0144B432">
      <w:pPr>
        <w:spacing w:line="360" w:lineRule="auto"/>
        <w:contextualSpacing/>
        <w:jc w:val="left"/>
        <w:rPr>
          <w:rFonts w:hint="eastAsia" w:ascii="宋体" w:hAnsi="宋体" w:cs="仿宋_GB2312"/>
          <w:color w:val="auto"/>
          <w:sz w:val="24"/>
          <w:highlight w:val="none"/>
          <w:u w:val="single"/>
        </w:rPr>
      </w:pPr>
    </w:p>
    <w:p w14:paraId="6259ECA5">
      <w:pPr>
        <w:spacing w:line="360" w:lineRule="auto"/>
        <w:ind w:right="-817" w:rightChars="-389"/>
        <w:contextualSpacing/>
        <w:rPr>
          <w:rFonts w:hint="eastAsia" w:ascii="宋体" w:hAnsi="宋体" w:cs="仿宋_GB2312"/>
          <w:color w:val="auto"/>
          <w:sz w:val="24"/>
          <w:highlight w:val="none"/>
        </w:rPr>
      </w:pPr>
    </w:p>
    <w:p w14:paraId="5DFADDA5">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15650FD">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12729833">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0E7CD77D">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7055E04B">
      <w:pPr>
        <w:adjustRightInd w:val="0"/>
        <w:snapToGrid w:val="0"/>
        <w:spacing w:line="520" w:lineRule="exact"/>
        <w:jc w:val="center"/>
        <w:rPr>
          <w:rFonts w:hint="eastAsia" w:ascii="宋体" w:hAnsi="宋体"/>
          <w:b/>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货物配置清单</w:t>
      </w:r>
    </w:p>
    <w:p w14:paraId="16A9FAA9">
      <w:pPr>
        <w:spacing w:line="300" w:lineRule="auto"/>
        <w:rPr>
          <w:rFonts w:hint="eastAsia" w:ascii="宋体" w:hAnsi="宋体"/>
          <w:color w:val="auto"/>
          <w:szCs w:val="21"/>
          <w:highlight w:val="none"/>
        </w:rPr>
      </w:pPr>
    </w:p>
    <w:p w14:paraId="6062419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88FA80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B33753E">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803"/>
        <w:gridCol w:w="895"/>
        <w:gridCol w:w="1786"/>
        <w:gridCol w:w="1245"/>
        <w:gridCol w:w="737"/>
        <w:gridCol w:w="1496"/>
      </w:tblGrid>
      <w:tr w14:paraId="26485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0F48B9E3">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38A5EB9">
            <w:pPr>
              <w:snapToGrid w:val="0"/>
              <w:spacing w:before="50" w:after="5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标的的名称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694D69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7A593E8E">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noWrap w:val="0"/>
            <w:vAlign w:val="top"/>
          </w:tcPr>
          <w:p w14:paraId="0A045F05">
            <w:pPr>
              <w:snapToGrid w:val="0"/>
              <w:spacing w:before="50" w:after="50"/>
              <w:jc w:val="center"/>
              <w:rPr>
                <w:rFonts w:ascii="宋体" w:hAnsi="宋体"/>
                <w:color w:val="auto"/>
                <w:sz w:val="24"/>
                <w:highlight w:val="none"/>
              </w:rPr>
            </w:pPr>
          </w:p>
          <w:p w14:paraId="27EAD3C7">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C54405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0D5AF7A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EE88EC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79DBF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71ACFE98">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9BD4E14">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2C73C91B">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11AA254">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0D208B09">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11576D5">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7FC4E83">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70EE21A">
            <w:pPr>
              <w:snapToGrid w:val="0"/>
              <w:spacing w:before="50" w:after="50"/>
              <w:jc w:val="center"/>
              <w:rPr>
                <w:rFonts w:hint="eastAsia" w:ascii="宋体" w:hAnsi="宋体"/>
                <w:color w:val="auto"/>
                <w:sz w:val="24"/>
                <w:highlight w:val="none"/>
              </w:rPr>
            </w:pPr>
          </w:p>
        </w:tc>
      </w:tr>
      <w:tr w14:paraId="5AF83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5D5C7235">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0012519">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6F68D524">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6667305">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168A11F8">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C25823E">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944447F">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1C307F2">
            <w:pPr>
              <w:snapToGrid w:val="0"/>
              <w:spacing w:before="50" w:after="50"/>
              <w:jc w:val="center"/>
              <w:rPr>
                <w:rFonts w:hint="eastAsia" w:ascii="宋体" w:hAnsi="宋体"/>
                <w:color w:val="auto"/>
                <w:sz w:val="24"/>
                <w:highlight w:val="none"/>
              </w:rPr>
            </w:pPr>
          </w:p>
        </w:tc>
      </w:tr>
      <w:tr w14:paraId="66EF0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4842B946">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F30CEA4">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6464FF42">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C7CBF1E">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16C0E668">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207F615">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0B5F4EC">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5B20FB0">
            <w:pPr>
              <w:snapToGrid w:val="0"/>
              <w:spacing w:before="50" w:after="50"/>
              <w:jc w:val="center"/>
              <w:rPr>
                <w:rFonts w:hint="eastAsia" w:ascii="宋体" w:hAnsi="宋体"/>
                <w:color w:val="auto"/>
                <w:sz w:val="24"/>
                <w:highlight w:val="none"/>
              </w:rPr>
            </w:pPr>
          </w:p>
        </w:tc>
      </w:tr>
    </w:tbl>
    <w:p w14:paraId="0E0488D0">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72594051">
      <w:pPr>
        <w:tabs>
          <w:tab w:val="left" w:pos="1065"/>
        </w:tabs>
        <w:adjustRightInd w:val="0"/>
        <w:spacing w:line="360" w:lineRule="auto"/>
        <w:contextualSpacing/>
        <w:rPr>
          <w:rFonts w:hint="eastAsia" w:ascii="宋体" w:hAnsi="宋体" w:cs="仿宋_GB2312"/>
          <w:color w:val="auto"/>
          <w:sz w:val="24"/>
          <w:highlight w:val="none"/>
        </w:rPr>
      </w:pPr>
      <w:r>
        <w:rPr>
          <w:rFonts w:hint="eastAsia" w:ascii="宋体" w:hAnsi="宋体"/>
          <w:b/>
          <w:bCs/>
          <w:color w:val="auto"/>
          <w:sz w:val="24"/>
          <w:highlight w:val="none"/>
        </w:rPr>
        <w:t>以上货物配置清单中“</w:t>
      </w:r>
      <w:r>
        <w:rPr>
          <w:rFonts w:hint="eastAsia" w:ascii="宋体" w:hAnsi="宋体"/>
          <w:b/>
          <w:bCs/>
          <w:color w:val="auto"/>
          <w:sz w:val="24"/>
          <w:highlight w:val="none"/>
          <w:lang w:val="en-US" w:eastAsia="zh-CN"/>
        </w:rPr>
        <w:t>标的的名称</w:t>
      </w:r>
      <w:r>
        <w:rPr>
          <w:rFonts w:hint="eastAsia" w:ascii="宋体" w:hAnsi="宋体"/>
          <w:b/>
          <w:bCs/>
          <w:color w:val="auto"/>
          <w:sz w:val="24"/>
          <w:highlight w:val="none"/>
        </w:rPr>
        <w:t>、数量及单位、品牌、规格型号、制造商、原产地、参数性能、指标及配置”必须如实填写完整，品牌、规格型号没有则填无，填写有缺漏的，响应文件按无效处理</w:t>
      </w:r>
      <w:r>
        <w:rPr>
          <w:rFonts w:hint="eastAsia" w:ascii="宋体" w:hAnsi="宋体"/>
          <w:b/>
          <w:color w:val="auto"/>
          <w:sz w:val="24"/>
          <w:highlight w:val="none"/>
        </w:rPr>
        <w:t>。</w:t>
      </w:r>
      <w:r>
        <w:rPr>
          <w:rFonts w:hint="eastAsia" w:ascii="宋体" w:hAnsi="宋体" w:cs="仿宋_GB2312"/>
          <w:color w:val="auto"/>
          <w:sz w:val="24"/>
          <w:highlight w:val="none"/>
        </w:rPr>
        <w:tab/>
      </w:r>
    </w:p>
    <w:p w14:paraId="00853DA9">
      <w:pPr>
        <w:adjustRightInd w:val="0"/>
        <w:spacing w:line="360" w:lineRule="auto"/>
        <w:contextualSpacing/>
        <w:jc w:val="left"/>
        <w:rPr>
          <w:rFonts w:hint="eastAsia" w:ascii="宋体" w:hAnsi="宋体" w:cs="仿宋_GB2312"/>
          <w:color w:val="auto"/>
          <w:sz w:val="24"/>
          <w:highlight w:val="none"/>
        </w:rPr>
      </w:pPr>
    </w:p>
    <w:p w14:paraId="613C374C">
      <w:pPr>
        <w:adjustRightInd w:val="0"/>
        <w:spacing w:line="360" w:lineRule="auto"/>
        <w:contextualSpacing/>
        <w:jc w:val="left"/>
        <w:rPr>
          <w:rFonts w:hint="eastAsia" w:ascii="宋体" w:hAnsi="宋体" w:cs="仿宋_GB2312"/>
          <w:color w:val="auto"/>
          <w:sz w:val="24"/>
          <w:highlight w:val="none"/>
        </w:rPr>
      </w:pPr>
    </w:p>
    <w:p w14:paraId="2CD03D96">
      <w:pPr>
        <w:adjustRightInd w:val="0"/>
        <w:spacing w:line="360" w:lineRule="auto"/>
        <w:contextualSpacing/>
        <w:jc w:val="left"/>
        <w:rPr>
          <w:rFonts w:hint="eastAsia" w:ascii="宋体" w:hAnsi="宋体" w:cs="仿宋_GB2312"/>
          <w:color w:val="auto"/>
          <w:sz w:val="24"/>
          <w:highlight w:val="none"/>
        </w:rPr>
      </w:pPr>
    </w:p>
    <w:p w14:paraId="6B7AF8B0">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F34E73B">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2DE435F">
      <w:pPr>
        <w:spacing w:line="360" w:lineRule="auto"/>
        <w:ind w:right="-817" w:rightChars="-389" w:firstLine="2880" w:firstLineChars="12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1112C058">
      <w:pPr>
        <w:adjustRightInd w:val="0"/>
        <w:snapToGrid w:val="0"/>
        <w:spacing w:line="300" w:lineRule="auto"/>
        <w:rPr>
          <w:rFonts w:hint="eastAsia" w:ascii="宋体" w:hAnsi="宋体"/>
          <w:color w:val="auto"/>
          <w:szCs w:val="21"/>
          <w:highlight w:val="none"/>
          <w:u w:val="single"/>
        </w:rPr>
      </w:pPr>
    </w:p>
    <w:p w14:paraId="1A8906BF">
      <w:pPr>
        <w:adjustRightInd w:val="0"/>
        <w:snapToGrid w:val="0"/>
        <w:spacing w:line="300" w:lineRule="auto"/>
        <w:rPr>
          <w:rFonts w:hint="eastAsia" w:ascii="宋体" w:hAnsi="宋体"/>
          <w:color w:val="auto"/>
          <w:szCs w:val="21"/>
          <w:highlight w:val="none"/>
          <w:u w:val="single"/>
        </w:rPr>
      </w:pPr>
    </w:p>
    <w:p w14:paraId="5E69B75F">
      <w:pPr>
        <w:adjustRightInd w:val="0"/>
        <w:snapToGrid w:val="0"/>
        <w:spacing w:line="300" w:lineRule="auto"/>
        <w:rPr>
          <w:rFonts w:hint="eastAsia" w:ascii="宋体" w:hAnsi="宋体"/>
          <w:color w:val="auto"/>
          <w:szCs w:val="21"/>
          <w:highlight w:val="none"/>
          <w:u w:val="single"/>
        </w:rPr>
      </w:pPr>
    </w:p>
    <w:p w14:paraId="64D08FE6">
      <w:pPr>
        <w:adjustRightInd w:val="0"/>
        <w:snapToGrid w:val="0"/>
        <w:spacing w:line="300" w:lineRule="auto"/>
        <w:rPr>
          <w:rFonts w:hint="eastAsia" w:ascii="宋体" w:hAnsi="宋体"/>
          <w:color w:val="auto"/>
          <w:szCs w:val="21"/>
          <w:highlight w:val="none"/>
          <w:u w:val="single"/>
        </w:rPr>
      </w:pPr>
    </w:p>
    <w:p w14:paraId="121ED689">
      <w:pPr>
        <w:adjustRightInd w:val="0"/>
        <w:snapToGrid w:val="0"/>
        <w:spacing w:line="300" w:lineRule="auto"/>
        <w:rPr>
          <w:rFonts w:hint="eastAsia" w:ascii="宋体" w:hAnsi="宋体"/>
          <w:color w:val="auto"/>
          <w:szCs w:val="21"/>
          <w:highlight w:val="none"/>
          <w:u w:val="single"/>
        </w:rPr>
      </w:pPr>
    </w:p>
    <w:p w14:paraId="52F781BD">
      <w:pPr>
        <w:adjustRightInd w:val="0"/>
        <w:snapToGrid w:val="0"/>
        <w:spacing w:line="300" w:lineRule="auto"/>
        <w:rPr>
          <w:rFonts w:hint="eastAsia" w:ascii="宋体" w:hAnsi="宋体"/>
          <w:color w:val="auto"/>
          <w:szCs w:val="21"/>
          <w:highlight w:val="none"/>
          <w:u w:val="single"/>
        </w:rPr>
      </w:pPr>
    </w:p>
    <w:p w14:paraId="7626D302">
      <w:pPr>
        <w:adjustRightInd w:val="0"/>
        <w:snapToGrid w:val="0"/>
        <w:spacing w:line="300" w:lineRule="auto"/>
        <w:rPr>
          <w:rFonts w:hint="eastAsia" w:ascii="宋体" w:hAnsi="宋体"/>
          <w:color w:val="auto"/>
          <w:szCs w:val="21"/>
          <w:highlight w:val="none"/>
          <w:u w:val="single"/>
        </w:rPr>
      </w:pPr>
    </w:p>
    <w:p w14:paraId="2D24CA2A">
      <w:pPr>
        <w:adjustRightInd w:val="0"/>
        <w:snapToGrid w:val="0"/>
        <w:spacing w:line="300" w:lineRule="auto"/>
        <w:rPr>
          <w:rFonts w:hint="eastAsia" w:ascii="宋体" w:hAnsi="宋体"/>
          <w:color w:val="auto"/>
          <w:szCs w:val="21"/>
          <w:highlight w:val="none"/>
          <w:u w:val="single"/>
        </w:rPr>
      </w:pPr>
    </w:p>
    <w:p w14:paraId="65AF7F27">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41EE8D6C">
      <w:pPr>
        <w:spacing w:line="520" w:lineRule="exact"/>
        <w:rPr>
          <w:rFonts w:hint="eastAsia" w:ascii="仿宋_GB2312" w:hAnsi="仿宋_GB2312" w:eastAsia="仿宋_GB2312" w:cs="仿宋_GB2312"/>
          <w:color w:val="auto"/>
          <w:sz w:val="32"/>
          <w:szCs w:val="32"/>
          <w:highlight w:val="none"/>
        </w:rPr>
      </w:pPr>
    </w:p>
    <w:p w14:paraId="062FE7E8">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2C4737F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1ECB528B">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7FA502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769F18E1">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序号</w:t>
            </w:r>
          </w:p>
        </w:tc>
        <w:tc>
          <w:tcPr>
            <w:tcW w:w="900" w:type="dxa"/>
            <w:tcBorders>
              <w:right w:val="single" w:color="auto" w:sz="4" w:space="0"/>
            </w:tcBorders>
            <w:noWrap w:val="0"/>
            <w:vAlign w:val="center"/>
          </w:tcPr>
          <w:p w14:paraId="611E6FA6">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名称</w:t>
            </w:r>
          </w:p>
        </w:tc>
        <w:tc>
          <w:tcPr>
            <w:tcW w:w="2989" w:type="dxa"/>
            <w:tcBorders>
              <w:left w:val="single" w:color="auto" w:sz="4" w:space="0"/>
            </w:tcBorders>
            <w:noWrap w:val="0"/>
            <w:vAlign w:val="center"/>
          </w:tcPr>
          <w:p w14:paraId="5CAA877F">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谈判文件要求</w:t>
            </w:r>
          </w:p>
        </w:tc>
        <w:tc>
          <w:tcPr>
            <w:tcW w:w="2690" w:type="dxa"/>
            <w:noWrap w:val="0"/>
            <w:vAlign w:val="center"/>
          </w:tcPr>
          <w:p w14:paraId="4526F59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竞标响应</w:t>
            </w:r>
          </w:p>
        </w:tc>
        <w:tc>
          <w:tcPr>
            <w:tcW w:w="1467" w:type="dxa"/>
            <w:noWrap w:val="0"/>
            <w:vAlign w:val="center"/>
          </w:tcPr>
          <w:p w14:paraId="622CDF7E">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偏离说明</w:t>
            </w:r>
          </w:p>
        </w:tc>
      </w:tr>
      <w:tr w14:paraId="1597F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1089843">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w:t>
            </w:r>
          </w:p>
        </w:tc>
        <w:tc>
          <w:tcPr>
            <w:tcW w:w="900" w:type="dxa"/>
            <w:tcBorders>
              <w:right w:val="single" w:color="auto" w:sz="4" w:space="0"/>
            </w:tcBorders>
            <w:noWrap w:val="0"/>
            <w:vAlign w:val="center"/>
          </w:tcPr>
          <w:p w14:paraId="3BA45C96">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20191DC5">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66927379">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37851D96">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15E287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jc w:val="center"/>
        </w:trPr>
        <w:tc>
          <w:tcPr>
            <w:tcW w:w="900" w:type="dxa"/>
            <w:noWrap w:val="0"/>
            <w:vAlign w:val="center"/>
          </w:tcPr>
          <w:p w14:paraId="26C8C1C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2</w:t>
            </w:r>
          </w:p>
        </w:tc>
        <w:tc>
          <w:tcPr>
            <w:tcW w:w="900" w:type="dxa"/>
            <w:tcBorders>
              <w:right w:val="single" w:color="auto" w:sz="4" w:space="0"/>
            </w:tcBorders>
            <w:noWrap w:val="0"/>
            <w:vAlign w:val="center"/>
          </w:tcPr>
          <w:p w14:paraId="3FC7A6D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5971ECA3">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7BA0A77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284A1FA8">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14649C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jc w:val="center"/>
        </w:trPr>
        <w:tc>
          <w:tcPr>
            <w:tcW w:w="900" w:type="dxa"/>
            <w:noWrap w:val="0"/>
            <w:vAlign w:val="center"/>
          </w:tcPr>
          <w:p w14:paraId="69D3CD9F">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w:t>
            </w:r>
          </w:p>
        </w:tc>
        <w:tc>
          <w:tcPr>
            <w:tcW w:w="900" w:type="dxa"/>
            <w:tcBorders>
              <w:right w:val="single" w:color="auto" w:sz="4" w:space="0"/>
            </w:tcBorders>
            <w:noWrap w:val="0"/>
            <w:vAlign w:val="center"/>
          </w:tcPr>
          <w:p w14:paraId="0749D7D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06DE3FDD">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6659773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3F8A5C72">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1D912B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CB766A2">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w:t>
            </w:r>
          </w:p>
        </w:tc>
        <w:tc>
          <w:tcPr>
            <w:tcW w:w="900" w:type="dxa"/>
            <w:tcBorders>
              <w:right w:val="single" w:color="auto" w:sz="4" w:space="0"/>
            </w:tcBorders>
            <w:noWrap w:val="0"/>
            <w:vAlign w:val="center"/>
          </w:tcPr>
          <w:p w14:paraId="2CC0A527">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74D041BE">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01A5EA0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08BE595D">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2B3157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6B8CC0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5</w:t>
            </w:r>
          </w:p>
        </w:tc>
        <w:tc>
          <w:tcPr>
            <w:tcW w:w="900" w:type="dxa"/>
            <w:tcBorders>
              <w:right w:val="single" w:color="auto" w:sz="4" w:space="0"/>
            </w:tcBorders>
            <w:noWrap w:val="0"/>
            <w:vAlign w:val="center"/>
          </w:tcPr>
          <w:p w14:paraId="5DE1527B">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34CF36CB">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3D352B6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5249E29E">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707347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1A19F36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w:t>
            </w:r>
          </w:p>
        </w:tc>
        <w:tc>
          <w:tcPr>
            <w:tcW w:w="900" w:type="dxa"/>
            <w:tcBorders>
              <w:right w:val="single" w:color="auto" w:sz="4" w:space="0"/>
            </w:tcBorders>
            <w:noWrap w:val="0"/>
            <w:vAlign w:val="center"/>
          </w:tcPr>
          <w:p w14:paraId="1968B0E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12B5DCF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79293784">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tcBorders>
              <w:right w:val="single" w:color="auto" w:sz="4" w:space="0"/>
            </w:tcBorders>
            <w:noWrap w:val="0"/>
            <w:vAlign w:val="center"/>
          </w:tcPr>
          <w:p w14:paraId="73F0E091">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bl>
    <w:p w14:paraId="36525710">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5246E133">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说明：应对照谈判文件“第三章 采购需求”中的技术要求逐条实质性响应，并作出偏离说明。</w:t>
      </w:r>
    </w:p>
    <w:p w14:paraId="3890A475">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2.供应商应根据竞标设备的性能指标，对照谈判文件要求，在“偏离说明”中注明“正偏离</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负偏离”或者“无偏离”。既不属于“正偏离”也不属于“负偏离”即为“无偏离”。</w:t>
      </w:r>
    </w:p>
    <w:p w14:paraId="288F91C2">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3.供应商认为其竞标响应有正偏离的，请在技术要求偏离表中列明，且在响应文件中提供竞标产品的彩页或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4843047F">
      <w:pPr>
        <w:pStyle w:val="10"/>
        <w:spacing w:line="360" w:lineRule="auto"/>
        <w:ind w:firstLine="0" w:firstLineChars="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如技术要求偏离表中的竞标响应与佐证材料不一致的，以佐证材料为准。</w:t>
      </w:r>
    </w:p>
    <w:p w14:paraId="30FEA912">
      <w:pPr>
        <w:pStyle w:val="10"/>
        <w:spacing w:line="360" w:lineRule="auto"/>
        <w:ind w:firstLine="0" w:firstLineChars="0"/>
        <w:contextualSpacing/>
        <w:rPr>
          <w:rFonts w:hint="eastAsia" w:ascii="宋体" w:hAnsi="宋体" w:eastAsia="宋体" w:cs="仿宋_GB2312"/>
          <w:color w:val="auto"/>
          <w:sz w:val="24"/>
          <w:szCs w:val="24"/>
          <w:highlight w:val="none"/>
        </w:rPr>
      </w:pPr>
    </w:p>
    <w:p w14:paraId="1BC0A3A9">
      <w:pPr>
        <w:spacing w:line="360" w:lineRule="auto"/>
        <w:ind w:right="-817" w:rightChars="-389"/>
        <w:contextualSpacing/>
        <w:rPr>
          <w:rFonts w:hint="eastAsia" w:ascii="宋体" w:hAnsi="宋体" w:cs="仿宋_GB2312"/>
          <w:color w:val="auto"/>
          <w:sz w:val="24"/>
          <w:highlight w:val="none"/>
        </w:rPr>
      </w:pPr>
    </w:p>
    <w:p w14:paraId="4CB68FD4">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C375371">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44CE601F">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7E925DA">
      <w:pPr>
        <w:snapToGrid w:val="0"/>
        <w:spacing w:before="156" w:beforeLines="50" w:after="50"/>
        <w:jc w:val="left"/>
        <w:rPr>
          <w:rFonts w:hint="eastAsia" w:ascii="宋体" w:hAnsi="宋体"/>
          <w:color w:val="auto"/>
          <w:szCs w:val="21"/>
          <w:highlight w:val="none"/>
        </w:rPr>
      </w:pPr>
      <w:r>
        <w:rPr>
          <w:rFonts w:ascii="宋体" w:hAnsi="宋体" w:cs="仿宋_GB2312"/>
          <w:color w:val="auto"/>
          <w:sz w:val="24"/>
          <w:highlight w:val="none"/>
        </w:rPr>
        <w:br w:type="page"/>
      </w:r>
      <w:r>
        <w:rPr>
          <w:rFonts w:hint="eastAsia" w:ascii="宋体" w:hAnsi="宋体"/>
          <w:b/>
          <w:bCs/>
          <w:color w:val="auto"/>
          <w:sz w:val="24"/>
          <w:highlight w:val="none"/>
        </w:rPr>
        <w:t>其他文书、文件格式</w:t>
      </w:r>
    </w:p>
    <w:p w14:paraId="0F4A278D">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bookmarkStart w:id="83" w:name="_Toc71366061"/>
      <w:bookmarkStart w:id="84" w:name="_Toc71365383"/>
      <w:r>
        <w:rPr>
          <w:rFonts w:hint="eastAsia" w:ascii="方正小标宋简体" w:hAnsi="方正小标宋简体" w:eastAsia="方正小标宋简体" w:cs="方正小标宋简体"/>
          <w:bCs/>
          <w:color w:val="auto"/>
          <w:sz w:val="44"/>
          <w:szCs w:val="44"/>
          <w:highlight w:val="none"/>
        </w:rPr>
        <w:t>中小企业声明函（货物）</w:t>
      </w:r>
      <w:bookmarkEnd w:id="83"/>
      <w:bookmarkEnd w:id="84"/>
    </w:p>
    <w:p w14:paraId="4E200DCF">
      <w:pPr>
        <w:rPr>
          <w:rFonts w:hint="eastAsia"/>
          <w:color w:val="auto"/>
          <w:highlight w:val="none"/>
        </w:rPr>
      </w:pPr>
    </w:p>
    <w:p w14:paraId="05067835">
      <w:pPr>
        <w:pStyle w:val="9"/>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226B0AF4">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443BDFC2">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29F9840F">
      <w:pPr>
        <w:pStyle w:val="9"/>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14:paraId="3AE0090F">
      <w:pPr>
        <w:pStyle w:val="9"/>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D6A1D9C">
      <w:pPr>
        <w:pStyle w:val="9"/>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18703C41">
      <w:pPr>
        <w:pStyle w:val="9"/>
        <w:spacing w:after="0" w:line="360" w:lineRule="auto"/>
        <w:ind w:left="3960" w:right="1808"/>
        <w:contextualSpacing/>
        <w:rPr>
          <w:rFonts w:hint="eastAsia" w:ascii="宋体" w:hAnsi="宋体"/>
          <w:color w:val="auto"/>
          <w:sz w:val="24"/>
          <w:highlight w:val="none"/>
        </w:rPr>
      </w:pPr>
    </w:p>
    <w:p w14:paraId="2C6CEB57">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151FAE62">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7FF886A5">
      <w:pPr>
        <w:pStyle w:val="9"/>
        <w:spacing w:after="0" w:line="360" w:lineRule="auto"/>
        <w:ind w:left="3960" w:right="1808"/>
        <w:contextualSpacing/>
        <w:rPr>
          <w:color w:val="auto"/>
          <w:highlight w:val="none"/>
        </w:rPr>
      </w:pPr>
    </w:p>
    <w:p w14:paraId="6C52448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6F5B960">
      <w:pPr>
        <w:spacing w:line="360" w:lineRule="auto"/>
        <w:contextualSpacing/>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25BAD48D">
      <w:pPr>
        <w:spacing w:line="520" w:lineRule="exact"/>
        <w:rPr>
          <w:rFonts w:hint="eastAsia" w:ascii="仿宋_GB2312" w:hAnsi="仿宋_GB2312" w:eastAsia="仿宋_GB2312" w:cs="仿宋_GB2312"/>
          <w:color w:val="auto"/>
          <w:sz w:val="32"/>
          <w:szCs w:val="32"/>
          <w:highlight w:val="none"/>
        </w:rPr>
      </w:pPr>
    </w:p>
    <w:p w14:paraId="750C8AB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3F6755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564222DF">
      <w:pPr>
        <w:spacing w:line="360" w:lineRule="auto"/>
        <w:contextualSpacing/>
        <w:rPr>
          <w:rFonts w:hint="eastAsia" w:ascii="宋体" w:hAnsi="宋体" w:cs="仿宋_GB2312"/>
          <w:color w:val="auto"/>
          <w:sz w:val="24"/>
          <w:highlight w:val="none"/>
        </w:rPr>
      </w:pPr>
    </w:p>
    <w:p w14:paraId="63C7D257">
      <w:pPr>
        <w:spacing w:line="360" w:lineRule="auto"/>
        <w:contextualSpacing/>
        <w:rPr>
          <w:rFonts w:hint="eastAsia" w:ascii="宋体" w:hAnsi="宋体" w:cs="仿宋_GB2312"/>
          <w:color w:val="auto"/>
          <w:sz w:val="24"/>
          <w:highlight w:val="none"/>
        </w:rPr>
      </w:pPr>
    </w:p>
    <w:p w14:paraId="6C151F68">
      <w:pPr>
        <w:spacing w:line="360" w:lineRule="auto"/>
        <w:contextualSpacing/>
        <w:rPr>
          <w:rFonts w:hint="eastAsia" w:ascii="宋体" w:hAnsi="宋体" w:cs="仿宋_GB2312"/>
          <w:color w:val="auto"/>
          <w:sz w:val="24"/>
          <w:highlight w:val="none"/>
        </w:rPr>
      </w:pPr>
    </w:p>
    <w:p w14:paraId="7D595651">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2947794E">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644F1B96">
      <w:pPr>
        <w:spacing w:line="360" w:lineRule="auto"/>
        <w:contextualSpacing/>
        <w:rPr>
          <w:rFonts w:hint="eastAsia" w:ascii="宋体" w:hAnsi="宋体" w:cs="仿宋_GB2312"/>
          <w:color w:val="auto"/>
          <w:sz w:val="24"/>
          <w:highlight w:val="none"/>
        </w:rPr>
      </w:pPr>
    </w:p>
    <w:p w14:paraId="779F8FEB">
      <w:pPr>
        <w:spacing w:line="360" w:lineRule="auto"/>
        <w:contextualSpacing/>
        <w:rPr>
          <w:rFonts w:hint="eastAsia" w:ascii="宋体" w:hAnsi="宋体" w:cs="仿宋_GB2312"/>
          <w:color w:val="auto"/>
          <w:sz w:val="24"/>
          <w:highlight w:val="none"/>
        </w:rPr>
      </w:pPr>
    </w:p>
    <w:p w14:paraId="7493FE48">
      <w:pPr>
        <w:spacing w:line="360" w:lineRule="auto"/>
        <w:contextualSpacing/>
        <w:rPr>
          <w:rFonts w:hint="eastAsia" w:ascii="宋体" w:hAnsi="宋体" w:cs="仿宋_GB2312"/>
          <w:color w:val="auto"/>
          <w:sz w:val="24"/>
          <w:highlight w:val="none"/>
        </w:rPr>
      </w:pPr>
    </w:p>
    <w:p w14:paraId="788C9CA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w:t>
      </w:r>
      <w:r>
        <w:rPr>
          <w:rFonts w:hint="eastAsia" w:ascii="宋体" w:hAnsi="宋体" w:cs="仿宋_GB2312"/>
          <w:color w:val="auto"/>
          <w:sz w:val="24"/>
          <w:highlight w:val="none"/>
          <w:lang w:val="en-US" w:eastAsia="zh-CN"/>
        </w:rPr>
        <w:t>成交</w:t>
      </w:r>
      <w:r>
        <w:rPr>
          <w:rFonts w:hint="eastAsia" w:ascii="宋体" w:hAnsi="宋体" w:cs="仿宋_GB2312"/>
          <w:color w:val="auto"/>
          <w:sz w:val="24"/>
          <w:highlight w:val="none"/>
        </w:rPr>
        <w:t>结果时，同时公告其《残疾人福利性单位声明函》，接受社会监督。</w:t>
      </w:r>
    </w:p>
    <w:p w14:paraId="15907BE5">
      <w:pPr>
        <w:spacing w:line="360" w:lineRule="auto"/>
        <w:jc w:val="center"/>
        <w:rPr>
          <w:rFonts w:hint="eastAsia"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14:paraId="7C287FE6">
      <w:pPr>
        <w:spacing w:line="360" w:lineRule="auto"/>
        <w:jc w:val="center"/>
        <w:rPr>
          <w:rFonts w:hint="eastAsia" w:ascii="宋体" w:hAnsi="宋体"/>
          <w:b/>
          <w:bCs/>
          <w:color w:val="auto"/>
          <w:sz w:val="32"/>
          <w:szCs w:val="32"/>
          <w:highlight w:val="none"/>
        </w:rPr>
      </w:pPr>
    </w:p>
    <w:p w14:paraId="6109BC02">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35E48EC7">
      <w:pPr>
        <w:pStyle w:val="12"/>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C286823">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4CE2173">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8EAEBC1">
      <w:pPr>
        <w:pStyle w:val="12"/>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DEF42DF">
      <w:pPr>
        <w:pStyle w:val="12"/>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54D3C34">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FC7D25A">
      <w:pPr>
        <w:pStyle w:val="1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6B1697B">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E441387">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178FED9">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BAF4F7E">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0E51DA9A">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526DF118">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1F5DF9CE">
      <w:pPr>
        <w:pStyle w:val="12"/>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5EA4C589">
      <w:pPr>
        <w:pStyle w:val="12"/>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31B27538">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1DB6757">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AE3F0EC">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279F295">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53F10647">
      <w:pPr>
        <w:pStyle w:val="12"/>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3749662">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2FE8FD6C">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A3CD38A">
      <w:pPr>
        <w:pStyle w:val="12"/>
        <w:spacing w:line="360" w:lineRule="auto"/>
        <w:ind w:left="25" w:leftChars="12" w:firstLine="352" w:firstLineChars="147"/>
        <w:contextualSpacing/>
        <w:rPr>
          <w:rFonts w:hint="eastAsia" w:hAnsi="宋体"/>
          <w:color w:val="auto"/>
          <w:sz w:val="24"/>
          <w:szCs w:val="24"/>
          <w:highlight w:val="none"/>
        </w:rPr>
      </w:pPr>
    </w:p>
    <w:p w14:paraId="55E0550E">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7C340913">
      <w:pPr>
        <w:pStyle w:val="12"/>
        <w:spacing w:line="360" w:lineRule="auto"/>
        <w:ind w:left="25" w:leftChars="12" w:firstLine="352" w:firstLineChars="147"/>
        <w:contextualSpacing/>
        <w:rPr>
          <w:rFonts w:hint="eastAsia" w:hAnsi="宋体"/>
          <w:color w:val="auto"/>
          <w:sz w:val="24"/>
          <w:szCs w:val="24"/>
          <w:highlight w:val="none"/>
        </w:rPr>
      </w:pPr>
    </w:p>
    <w:p w14:paraId="586D8061">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5C4AE7EF">
      <w:pPr>
        <w:pStyle w:val="12"/>
        <w:spacing w:line="360" w:lineRule="auto"/>
        <w:contextualSpacing/>
        <w:rPr>
          <w:rFonts w:hint="eastAsia" w:hAnsi="宋体"/>
          <w:b/>
          <w:color w:val="auto"/>
          <w:sz w:val="24"/>
          <w:szCs w:val="24"/>
          <w:highlight w:val="none"/>
        </w:rPr>
      </w:pPr>
    </w:p>
    <w:p w14:paraId="49028EAD">
      <w:pPr>
        <w:pStyle w:val="12"/>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13EA8FC">
      <w:pPr>
        <w:pStyle w:val="12"/>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3D016B3">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1C1EC2E">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90AE09F">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E169B00">
      <w:pPr>
        <w:pStyle w:val="12"/>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D0C7206">
      <w:pPr>
        <w:pStyle w:val="12"/>
        <w:snapToGrid w:val="0"/>
        <w:rPr>
          <w:rFonts w:hint="eastAsia"/>
          <w:b/>
          <w:color w:val="auto"/>
          <w:sz w:val="24"/>
          <w:szCs w:val="24"/>
          <w:highlight w:val="none"/>
        </w:rPr>
      </w:pPr>
    </w:p>
    <w:p w14:paraId="0A3A06D7">
      <w:pPr>
        <w:rPr>
          <w:rFonts w:hint="eastAsia"/>
          <w:color w:val="auto"/>
          <w:highlight w:val="none"/>
        </w:rPr>
      </w:pPr>
      <w:r>
        <w:rPr>
          <w:color w:val="auto"/>
          <w:highlight w:val="none"/>
        </w:rPr>
        <w:br w:type="page"/>
      </w:r>
    </w:p>
    <w:p w14:paraId="1C60E228">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38BBD80">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5C1A8829">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845E187">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9A05221">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8EB78CB">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58DB199">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28463B7">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3E24D9D">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17E5F3F">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4487FFD8">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9F0C774">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3473CF1">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2CB9234">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7B202B2E">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6AECC271">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1C9491CD">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7825CE6">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A400C67">
      <w:pPr>
        <w:pStyle w:val="1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057E9A4">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2BF3AA8">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CE71015">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A058EAA">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92DDA02">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208B942">
      <w:pPr>
        <w:pStyle w:val="12"/>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CFA1229">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7F3DF638">
      <w:pPr>
        <w:pStyle w:val="12"/>
        <w:spacing w:line="360" w:lineRule="auto"/>
        <w:ind w:left="23" w:leftChars="11" w:firstLine="540" w:firstLineChars="225"/>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5C131DF7">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9264D20">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E40D98F">
      <w:pPr>
        <w:pStyle w:val="12"/>
        <w:spacing w:line="360" w:lineRule="auto"/>
        <w:ind w:left="23" w:leftChars="11" w:firstLine="540" w:firstLineChars="225"/>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896925F">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600999EE">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52B4984">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24F5778">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60E2A97B">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3AC4D7D">
      <w:pPr>
        <w:pStyle w:val="12"/>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CE9C396">
      <w:pPr>
        <w:pStyle w:val="12"/>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88ADE79">
      <w:pPr>
        <w:pStyle w:val="12"/>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02FE5F9B">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70BDE49">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616734F">
      <w:pPr>
        <w:pStyle w:val="12"/>
        <w:spacing w:line="360" w:lineRule="auto"/>
        <w:ind w:left="25" w:leftChars="12" w:firstLine="352" w:firstLineChars="147"/>
        <w:rPr>
          <w:rFonts w:hint="eastAsia" w:hAnsi="宋体"/>
          <w:color w:val="auto"/>
          <w:sz w:val="24"/>
          <w:szCs w:val="24"/>
          <w:highlight w:val="none"/>
        </w:rPr>
      </w:pPr>
    </w:p>
    <w:p w14:paraId="7E11AB41">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8DCB624">
      <w:pPr>
        <w:pStyle w:val="12"/>
        <w:spacing w:line="360" w:lineRule="auto"/>
        <w:ind w:left="25" w:leftChars="12" w:firstLine="352" w:firstLineChars="147"/>
        <w:rPr>
          <w:rFonts w:hint="eastAsia" w:hAnsi="宋体"/>
          <w:color w:val="auto"/>
          <w:sz w:val="24"/>
          <w:szCs w:val="24"/>
          <w:highlight w:val="none"/>
        </w:rPr>
      </w:pPr>
    </w:p>
    <w:p w14:paraId="01D38141">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CEB1613">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029B920E">
      <w:pPr>
        <w:pStyle w:val="12"/>
        <w:snapToGrid w:val="0"/>
        <w:spacing w:line="360" w:lineRule="auto"/>
        <w:rPr>
          <w:rFonts w:hint="eastAsia" w:hAnsi="宋体"/>
          <w:b/>
          <w:color w:val="auto"/>
          <w:sz w:val="24"/>
          <w:szCs w:val="24"/>
          <w:highlight w:val="none"/>
        </w:rPr>
      </w:pPr>
    </w:p>
    <w:p w14:paraId="12E2F574">
      <w:pPr>
        <w:pStyle w:val="12"/>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6D52746">
      <w:pPr>
        <w:pStyle w:val="12"/>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CC0A6AD">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ABDC3F9">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BA3B9ED">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2E06D7CC">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3A2133B">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E4CB91D">
      <w:pPr>
        <w:snapToGrid w:val="0"/>
        <w:spacing w:line="480" w:lineRule="exact"/>
        <w:jc w:val="center"/>
        <w:rPr>
          <w:color w:val="auto"/>
          <w:highlight w:val="none"/>
        </w:rPr>
      </w:pPr>
      <w:r>
        <w:rPr>
          <w:color w:val="auto"/>
          <w:highlight w:val="none"/>
        </w:rPr>
        <w:br w:type="page"/>
      </w:r>
      <w:bookmarkStart w:id="85" w:name="_Toc74322013"/>
    </w:p>
    <w:p w14:paraId="6B97C1F5">
      <w:pPr>
        <w:snapToGrid w:val="0"/>
        <w:spacing w:line="480" w:lineRule="exact"/>
        <w:jc w:val="center"/>
        <w:rPr>
          <w:color w:val="auto"/>
          <w:highlight w:val="none"/>
        </w:rPr>
      </w:pPr>
    </w:p>
    <w:p w14:paraId="76FDAB3F">
      <w:pPr>
        <w:snapToGrid w:val="0"/>
        <w:spacing w:line="480" w:lineRule="exact"/>
        <w:jc w:val="center"/>
        <w:rPr>
          <w:color w:val="auto"/>
          <w:highlight w:val="none"/>
        </w:rPr>
      </w:pPr>
    </w:p>
    <w:p w14:paraId="33B04C67">
      <w:pPr>
        <w:snapToGrid w:val="0"/>
        <w:spacing w:line="480" w:lineRule="exact"/>
        <w:jc w:val="center"/>
        <w:rPr>
          <w:color w:val="auto"/>
          <w:highlight w:val="none"/>
        </w:rPr>
      </w:pPr>
    </w:p>
    <w:p w14:paraId="43E864CA">
      <w:pPr>
        <w:snapToGrid w:val="0"/>
        <w:spacing w:line="480" w:lineRule="exact"/>
        <w:jc w:val="center"/>
        <w:rPr>
          <w:color w:val="auto"/>
          <w:highlight w:val="none"/>
        </w:rPr>
      </w:pPr>
    </w:p>
    <w:p w14:paraId="71B007D6">
      <w:pPr>
        <w:snapToGrid w:val="0"/>
        <w:spacing w:line="480" w:lineRule="exact"/>
        <w:jc w:val="center"/>
        <w:rPr>
          <w:color w:val="auto"/>
          <w:highlight w:val="none"/>
        </w:rPr>
      </w:pPr>
    </w:p>
    <w:p w14:paraId="4DC80731">
      <w:pPr>
        <w:snapToGrid w:val="0"/>
        <w:spacing w:line="480" w:lineRule="exact"/>
        <w:jc w:val="center"/>
        <w:rPr>
          <w:color w:val="auto"/>
          <w:highlight w:val="none"/>
        </w:rPr>
      </w:pPr>
    </w:p>
    <w:p w14:paraId="6DE59F57">
      <w:pPr>
        <w:snapToGrid w:val="0"/>
        <w:spacing w:line="480" w:lineRule="exact"/>
        <w:jc w:val="center"/>
        <w:rPr>
          <w:color w:val="auto"/>
          <w:highlight w:val="none"/>
        </w:rPr>
      </w:pPr>
    </w:p>
    <w:p w14:paraId="186F77A8">
      <w:pPr>
        <w:pStyle w:val="2"/>
        <w:bidi w:val="0"/>
        <w:jc w:val="center"/>
        <w:rPr>
          <w:rFonts w:hint="eastAsia"/>
          <w:color w:val="auto"/>
          <w:highlight w:val="none"/>
        </w:rPr>
      </w:pPr>
      <w:r>
        <w:rPr>
          <w:rFonts w:hint="eastAsia"/>
          <w:color w:val="auto"/>
          <w:highlight w:val="none"/>
          <w:lang w:val="en-US" w:eastAsia="zh-CN"/>
        </w:rPr>
        <w:t>第六章 合同文本</w:t>
      </w:r>
      <w:bookmarkEnd w:id="85"/>
    </w:p>
    <w:p w14:paraId="7FDB0DBC">
      <w:pPr>
        <w:snapToGrid w:val="0"/>
        <w:spacing w:line="480" w:lineRule="exact"/>
        <w:jc w:val="center"/>
        <w:rPr>
          <w:rFonts w:hint="eastAsia"/>
          <w:color w:val="auto"/>
          <w:highlight w:val="none"/>
        </w:rPr>
      </w:pPr>
    </w:p>
    <w:p w14:paraId="6369E52D">
      <w:pPr>
        <w:snapToGrid w:val="0"/>
        <w:spacing w:line="48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br w:type="page"/>
      </w:r>
      <w:r>
        <w:rPr>
          <w:rFonts w:hint="eastAsia" w:ascii="宋体" w:hAnsi="宋体" w:eastAsia="宋体" w:cs="Times New Roman"/>
          <w:b/>
          <w:bCs/>
          <w:color w:val="auto"/>
          <w:sz w:val="32"/>
          <w:szCs w:val="32"/>
          <w:highlight w:val="none"/>
        </w:rPr>
        <w:t>政府采购合同</w:t>
      </w:r>
    </w:p>
    <w:p w14:paraId="35B1D394">
      <w:pPr>
        <w:snapToGrid w:val="0"/>
        <w:spacing w:line="360" w:lineRule="auto"/>
        <w:ind w:left="440" w:hanging="420" w:hanging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bidi="ar"/>
        </w:rPr>
        <w:t>合同编号：</w:t>
      </w:r>
    </w:p>
    <w:p w14:paraId="400DF291">
      <w:pPr>
        <w:snapToGrid w:val="0"/>
        <w:spacing w:line="360" w:lineRule="auto"/>
        <w:ind w:left="440" w:hanging="420" w:hanging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bidi="ar"/>
        </w:rPr>
        <w:t>采购单位（甲方）：</w:t>
      </w: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 xml:space="preserve">      采购计划号：</w:t>
      </w:r>
      <w:r>
        <w:rPr>
          <w:rFonts w:hint="eastAsia" w:ascii="宋体" w:hAnsi="宋体" w:eastAsia="宋体" w:cs="宋体"/>
          <w:bCs/>
          <w:color w:val="auto"/>
          <w:sz w:val="21"/>
          <w:szCs w:val="21"/>
          <w:highlight w:val="none"/>
          <w:u w:val="single"/>
          <w:lang w:bidi="ar"/>
        </w:rPr>
        <w:t xml:space="preserve">              </w:t>
      </w:r>
    </w:p>
    <w:p w14:paraId="07D5EE69">
      <w:pPr>
        <w:snapToGrid w:val="0"/>
        <w:spacing w:line="360" w:lineRule="auto"/>
        <w:ind w:left="440" w:hanging="420" w:hangingChars="200"/>
        <w:rPr>
          <w:rFonts w:hint="eastAsia" w:ascii="宋体" w:hAnsi="宋体" w:eastAsia="宋体" w:cs="宋体"/>
          <w:bCs/>
          <w:color w:val="auto"/>
          <w:sz w:val="21"/>
          <w:szCs w:val="21"/>
          <w:highlight w:val="none"/>
          <w:u w:val="single"/>
        </w:rPr>
      </w:pPr>
      <w:r>
        <w:rPr>
          <w:rFonts w:hint="eastAsia" w:ascii="宋体" w:hAnsi="宋体" w:cs="宋体"/>
          <w:bCs/>
          <w:color w:val="auto"/>
          <w:sz w:val="21"/>
          <w:szCs w:val="21"/>
          <w:highlight w:val="none"/>
          <w:lang w:val="en-US" w:eastAsia="zh-CN" w:bidi="ar"/>
        </w:rPr>
        <w:t>成交</w:t>
      </w:r>
      <w:r>
        <w:rPr>
          <w:rFonts w:hint="eastAsia" w:ascii="宋体" w:hAnsi="宋体" w:eastAsia="宋体" w:cs="宋体"/>
          <w:bCs/>
          <w:color w:val="auto"/>
          <w:sz w:val="21"/>
          <w:szCs w:val="21"/>
          <w:highlight w:val="none"/>
          <w:lang w:bidi="ar"/>
        </w:rPr>
        <w:t>供应商（乙方）：</w:t>
      </w: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 xml:space="preserve">    项目名称和编号：</w:t>
      </w:r>
      <w:r>
        <w:rPr>
          <w:rFonts w:hint="eastAsia" w:ascii="宋体" w:hAnsi="宋体" w:eastAsia="宋体" w:cs="宋体"/>
          <w:bCs/>
          <w:color w:val="auto"/>
          <w:sz w:val="21"/>
          <w:szCs w:val="21"/>
          <w:highlight w:val="none"/>
          <w:u w:val="single"/>
          <w:lang w:bidi="ar"/>
        </w:rPr>
        <w:t xml:space="preserve">          </w:t>
      </w:r>
    </w:p>
    <w:p w14:paraId="02EBBACB">
      <w:pPr>
        <w:snapToGrid w:val="0"/>
        <w:spacing w:line="360" w:lineRule="auto"/>
        <w:ind w:left="440" w:hanging="420" w:hanging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bidi="ar"/>
        </w:rPr>
        <w:t>签  订  地  点：</w:t>
      </w: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 xml:space="preserve">      签订时间：</w:t>
      </w:r>
      <w:r>
        <w:rPr>
          <w:rFonts w:hint="eastAsia" w:ascii="宋体" w:hAnsi="宋体" w:eastAsia="宋体" w:cs="宋体"/>
          <w:bCs/>
          <w:color w:val="auto"/>
          <w:sz w:val="21"/>
          <w:szCs w:val="21"/>
          <w:highlight w:val="none"/>
          <w:u w:val="single"/>
          <w:lang w:bidi="ar"/>
        </w:rPr>
        <w:t xml:space="preserve">                </w:t>
      </w:r>
    </w:p>
    <w:p w14:paraId="4496ED0C">
      <w:pPr>
        <w:snapToGrid w:val="0"/>
        <w:spacing w:line="360" w:lineRule="auto"/>
        <w:ind w:left="440" w:hanging="420" w:hangingChars="200"/>
        <w:rPr>
          <w:rFonts w:hint="eastAsia" w:ascii="宋体" w:hAnsi="宋体" w:eastAsia="宋体" w:cs="宋体"/>
          <w:bCs/>
          <w:color w:val="auto"/>
          <w:sz w:val="21"/>
          <w:szCs w:val="21"/>
          <w:highlight w:val="none"/>
          <w:u w:val="single"/>
          <w:lang w:bidi="ar"/>
        </w:rPr>
      </w:pPr>
      <w:r>
        <w:rPr>
          <w:rFonts w:hint="eastAsia" w:ascii="宋体" w:hAnsi="宋体" w:eastAsia="宋体" w:cs="宋体"/>
          <w:bCs/>
          <w:color w:val="auto"/>
          <w:sz w:val="21"/>
          <w:szCs w:val="21"/>
          <w:highlight w:val="none"/>
        </w:rPr>
        <w:t>分 标 号：</w:t>
      </w:r>
      <w:r>
        <w:rPr>
          <w:rFonts w:hint="eastAsia" w:ascii="宋体" w:hAnsi="宋体" w:eastAsia="宋体" w:cs="宋体"/>
          <w:bCs/>
          <w:color w:val="auto"/>
          <w:sz w:val="21"/>
          <w:szCs w:val="21"/>
          <w:highlight w:val="none"/>
          <w:u w:val="single"/>
          <w:lang w:bidi="ar"/>
        </w:rPr>
        <w:t xml:space="preserve">                </w:t>
      </w:r>
    </w:p>
    <w:p w14:paraId="21D41383">
      <w:pPr>
        <w:spacing w:line="360" w:lineRule="auto"/>
        <w:rPr>
          <w:rFonts w:hint="eastAsia" w:ascii="宋体" w:hAnsi="宋体" w:eastAsia="宋体" w:cs="宋体"/>
          <w:bCs/>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本合同</w:t>
      </w:r>
      <w:r>
        <w:rPr>
          <w:rFonts w:hint="eastAsia" w:asciiTheme="minorEastAsia" w:hAnsiTheme="minorEastAsia" w:eastAsiaTheme="minorEastAsia" w:cstheme="minorEastAsia"/>
          <w:color w:val="auto"/>
          <w:sz w:val="21"/>
          <w:szCs w:val="21"/>
          <w:highlight w:val="none"/>
          <w:lang w:val="en-US" w:eastAsia="zh-CN"/>
        </w:rPr>
        <w:t>是否</w:t>
      </w:r>
      <w:r>
        <w:rPr>
          <w:rFonts w:hint="eastAsia" w:asciiTheme="minorEastAsia" w:hAnsiTheme="minorEastAsia" w:eastAsiaTheme="minorEastAsia" w:cstheme="minorEastAsia"/>
          <w:color w:val="auto"/>
          <w:sz w:val="21"/>
          <w:szCs w:val="21"/>
          <w:highlight w:val="none"/>
        </w:rPr>
        <w:t>为中小企业预留合同：</w:t>
      </w:r>
      <w:r>
        <w:rPr>
          <w:rFonts w:hint="eastAsia" w:asciiTheme="minorEastAsia" w:hAnsiTheme="minorEastAsia" w:eastAsiaTheme="minorEastAsia" w:cstheme="minorEastAsia"/>
          <w:color w:val="auto"/>
          <w:sz w:val="21"/>
          <w:szCs w:val="21"/>
          <w:highlight w:val="none"/>
          <w:u w:val="single"/>
          <w:lang w:val="en-US" w:eastAsia="zh-CN"/>
        </w:rPr>
        <w:t xml:space="preserve">是 </w:t>
      </w:r>
      <w:r>
        <w:rPr>
          <w:rFonts w:hint="eastAsia" w:asciiTheme="minorEastAsia" w:hAnsiTheme="minorEastAsia" w:eastAsiaTheme="minorEastAsia" w:cstheme="minorEastAsia"/>
          <w:color w:val="auto"/>
          <w:sz w:val="21"/>
          <w:szCs w:val="21"/>
          <w:highlight w:val="none"/>
        </w:rPr>
        <w:t>。</w:t>
      </w:r>
    </w:p>
    <w:p w14:paraId="20DA1812">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根据《中华人民共和国政府采购法》《中华人民共和国民法典》等法律、法规规定，按照</w:t>
      </w:r>
      <w:r>
        <w:rPr>
          <w:rFonts w:hint="eastAsia" w:ascii="宋体" w:hAnsi="宋体" w:eastAsia="宋体" w:cs="宋体"/>
          <w:bCs/>
          <w:color w:val="auto"/>
          <w:sz w:val="21"/>
          <w:szCs w:val="21"/>
          <w:highlight w:val="none"/>
          <w:lang w:eastAsia="zh-CN"/>
        </w:rPr>
        <w:t>竞争性谈判文件</w:t>
      </w:r>
      <w:r>
        <w:rPr>
          <w:rFonts w:hint="eastAsia" w:ascii="宋体" w:hAnsi="宋体" w:eastAsia="宋体" w:cs="宋体"/>
          <w:bCs/>
          <w:color w:val="auto"/>
          <w:sz w:val="21"/>
          <w:szCs w:val="21"/>
          <w:highlight w:val="none"/>
        </w:rPr>
        <w:t>规定条款和</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承诺，甲乙双方签订本合同。</w:t>
      </w:r>
    </w:p>
    <w:p w14:paraId="4A842785">
      <w:pPr>
        <w:snapToGrid w:val="0"/>
        <w:spacing w:line="360" w:lineRule="auto"/>
        <w:ind w:left="422" w:hanging="422" w:hanging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46A2B936">
      <w:p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1、供货一览表</w:t>
      </w:r>
    </w:p>
    <w:tbl>
      <w:tblPr>
        <w:tblStyle w:val="23"/>
        <w:tblW w:w="10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87"/>
        <w:gridCol w:w="887"/>
        <w:gridCol w:w="887"/>
        <w:gridCol w:w="887"/>
        <w:gridCol w:w="887"/>
        <w:gridCol w:w="846"/>
        <w:gridCol w:w="846"/>
        <w:gridCol w:w="1266"/>
        <w:gridCol w:w="1266"/>
        <w:gridCol w:w="993"/>
      </w:tblGrid>
      <w:tr w14:paraId="436F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3BF2F61F">
            <w:p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4C70FCE6">
            <w:pPr>
              <w:snapToGrid w:val="0"/>
              <w:spacing w:line="360" w:lineRule="auto"/>
              <w:ind w:left="420" w:hanging="420" w:hanging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w:t>
            </w:r>
          </w:p>
          <w:p w14:paraId="13BD2E9C">
            <w:pPr>
              <w:snapToGrid w:val="0"/>
              <w:spacing w:line="360" w:lineRule="auto"/>
              <w:ind w:left="420" w:hanging="420" w:hanging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名称</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192EA9B4">
            <w:pPr>
              <w:snapToGrid w:val="0"/>
              <w:spacing w:line="360" w:lineRule="auto"/>
              <w:ind w:left="420" w:hanging="420" w:hanging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商标</w:t>
            </w:r>
          </w:p>
          <w:p w14:paraId="1C065968">
            <w:pPr>
              <w:snapToGrid w:val="0"/>
              <w:spacing w:line="360" w:lineRule="auto"/>
              <w:ind w:left="420" w:hanging="420" w:hanging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2F6E87CB">
            <w:pPr>
              <w:snapToGrid w:val="0"/>
              <w:spacing w:line="360" w:lineRule="auto"/>
              <w:ind w:left="420" w:hanging="420" w:hanging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w:t>
            </w:r>
          </w:p>
          <w:p w14:paraId="381608A8">
            <w:pPr>
              <w:snapToGrid w:val="0"/>
              <w:spacing w:line="360" w:lineRule="auto"/>
              <w:ind w:left="420" w:hanging="420" w:hanging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型号</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3979A267">
            <w:pPr>
              <w:snapToGrid w:val="0"/>
              <w:spacing w:line="360" w:lineRule="auto"/>
              <w:ind w:left="420" w:hanging="420" w:hangingChars="20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技术</w:t>
            </w:r>
          </w:p>
          <w:p w14:paraId="444FA8C4">
            <w:pPr>
              <w:snapToGrid w:val="0"/>
              <w:spacing w:line="360" w:lineRule="auto"/>
              <w:ind w:left="420" w:hanging="420" w:hangingChars="20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参数</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2C7391D1">
            <w:pPr>
              <w:snapToGrid w:val="0"/>
              <w:spacing w:line="360" w:lineRule="auto"/>
              <w:ind w:left="420" w:hanging="420" w:hanging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w:t>
            </w:r>
          </w:p>
          <w:p w14:paraId="2DD955F5">
            <w:pPr>
              <w:snapToGrid w:val="0"/>
              <w:spacing w:line="360" w:lineRule="auto"/>
              <w:ind w:left="420" w:hanging="420" w:hanging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厂家</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40BC53BE">
            <w:p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0083834D">
            <w:p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EB76A41">
            <w:p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单价（元）</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294763C">
            <w:p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金额（元）</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A48ED7B">
            <w:pPr>
              <w:snapToGrid w:val="0"/>
              <w:spacing w:line="360" w:lineRule="auto"/>
              <w:ind w:left="55" w:hanging="54" w:hangingChars="26"/>
              <w:jc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保修期</w:t>
            </w:r>
            <w:r>
              <w:rPr>
                <w:rFonts w:hint="eastAsia" w:ascii="宋体" w:hAnsi="宋体" w:eastAsia="宋体" w:cs="宋体"/>
                <w:bCs/>
                <w:color w:val="auto"/>
                <w:sz w:val="21"/>
                <w:szCs w:val="21"/>
                <w:highlight w:val="none"/>
              </w:rPr>
              <w:t>（年）</w:t>
            </w:r>
          </w:p>
        </w:tc>
      </w:tr>
      <w:tr w14:paraId="2553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3DFCB928">
            <w:pPr>
              <w:snapToGrid w:val="0"/>
              <w:spacing w:line="360" w:lineRule="auto"/>
              <w:ind w:left="420" w:hanging="420" w:hanging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69D688E">
            <w:pPr>
              <w:snapToGrid w:val="0"/>
              <w:spacing w:line="360" w:lineRule="auto"/>
              <w:ind w:left="420" w:hanging="420" w:hangingChars="200"/>
              <w:rPr>
                <w:rFonts w:hint="eastAsia" w:ascii="宋体" w:hAnsi="宋体" w:eastAsia="宋体" w:cs="宋体"/>
                <w:bCs/>
                <w:color w:val="auto"/>
                <w:sz w:val="21"/>
                <w:szCs w:val="21"/>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26FE9AE6">
            <w:pPr>
              <w:snapToGrid w:val="0"/>
              <w:spacing w:line="360" w:lineRule="auto"/>
              <w:ind w:left="420" w:hanging="420" w:hangingChars="200"/>
              <w:rPr>
                <w:rFonts w:hint="eastAsia" w:ascii="宋体" w:hAnsi="宋体" w:eastAsia="宋体" w:cs="宋体"/>
                <w:bCs/>
                <w:color w:val="auto"/>
                <w:sz w:val="21"/>
                <w:szCs w:val="21"/>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078945AD">
            <w:pPr>
              <w:snapToGrid w:val="0"/>
              <w:spacing w:line="360" w:lineRule="auto"/>
              <w:ind w:left="420" w:hanging="420" w:hangingChars="200"/>
              <w:rPr>
                <w:rFonts w:hint="eastAsia" w:ascii="宋体" w:hAnsi="宋体" w:eastAsia="宋体" w:cs="宋体"/>
                <w:bCs/>
                <w:color w:val="auto"/>
                <w:sz w:val="21"/>
                <w:szCs w:val="21"/>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133B5AB7">
            <w:pPr>
              <w:snapToGrid w:val="0"/>
              <w:spacing w:line="360" w:lineRule="auto"/>
              <w:ind w:left="420" w:hanging="420" w:hangingChars="200"/>
              <w:rPr>
                <w:rFonts w:hint="eastAsia" w:ascii="宋体" w:hAnsi="宋体" w:eastAsia="宋体" w:cs="宋体"/>
                <w:bCs/>
                <w:color w:val="auto"/>
                <w:sz w:val="21"/>
                <w:szCs w:val="21"/>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51B4EA3C">
            <w:pPr>
              <w:snapToGrid w:val="0"/>
              <w:spacing w:line="360" w:lineRule="auto"/>
              <w:ind w:left="420" w:hanging="420" w:hangingChars="200"/>
              <w:rPr>
                <w:rFonts w:hint="eastAsia" w:ascii="宋体" w:hAnsi="宋体" w:eastAsia="宋体" w:cs="宋体"/>
                <w:bCs/>
                <w:color w:val="auto"/>
                <w:sz w:val="21"/>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1DE1279">
            <w:pPr>
              <w:snapToGrid w:val="0"/>
              <w:spacing w:line="360" w:lineRule="auto"/>
              <w:ind w:left="420" w:hanging="420" w:hangingChars="200"/>
              <w:rPr>
                <w:rFonts w:hint="eastAsia" w:ascii="宋体" w:hAnsi="宋体" w:eastAsia="宋体" w:cs="宋体"/>
                <w:bCs/>
                <w:color w:val="auto"/>
                <w:sz w:val="21"/>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A795220">
            <w:pPr>
              <w:snapToGrid w:val="0"/>
              <w:spacing w:line="360" w:lineRule="auto"/>
              <w:ind w:left="420" w:hanging="420" w:hangingChars="200"/>
              <w:rPr>
                <w:rFonts w:hint="eastAsia" w:ascii="宋体" w:hAnsi="宋体" w:eastAsia="宋体" w:cs="宋体"/>
                <w:bCs/>
                <w:color w:val="auto"/>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B430120">
            <w:pPr>
              <w:snapToGrid w:val="0"/>
              <w:spacing w:line="360" w:lineRule="auto"/>
              <w:ind w:left="420" w:hanging="420" w:hangingChars="200"/>
              <w:rPr>
                <w:rFonts w:hint="eastAsia" w:ascii="宋体" w:hAnsi="宋体" w:eastAsia="宋体" w:cs="宋体"/>
                <w:bCs/>
                <w:color w:val="auto"/>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9FA066D">
            <w:pPr>
              <w:snapToGrid w:val="0"/>
              <w:spacing w:line="360" w:lineRule="auto"/>
              <w:ind w:left="420" w:hanging="420" w:hangingChars="200"/>
              <w:rPr>
                <w:rFonts w:hint="eastAsia" w:ascii="宋体" w:hAnsi="宋体" w:eastAsia="宋体" w:cs="宋体"/>
                <w:bCs/>
                <w:color w:val="auto"/>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30E1FE3">
            <w:pPr>
              <w:snapToGrid w:val="0"/>
              <w:spacing w:line="360" w:lineRule="auto"/>
              <w:ind w:left="55" w:hanging="54" w:hangingChars="26"/>
              <w:rPr>
                <w:rFonts w:hint="eastAsia" w:ascii="宋体" w:hAnsi="宋体" w:eastAsia="宋体" w:cs="宋体"/>
                <w:bCs/>
                <w:color w:val="auto"/>
                <w:sz w:val="21"/>
                <w:szCs w:val="21"/>
                <w:highlight w:val="none"/>
              </w:rPr>
            </w:pPr>
          </w:p>
        </w:tc>
      </w:tr>
      <w:tr w14:paraId="2526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498" w:type="dxa"/>
            <w:gridSpan w:val="11"/>
            <w:tcBorders>
              <w:top w:val="single" w:color="auto" w:sz="4" w:space="0"/>
              <w:left w:val="single" w:color="auto" w:sz="4" w:space="0"/>
              <w:bottom w:val="single" w:color="auto" w:sz="4" w:space="0"/>
              <w:right w:val="single" w:color="auto" w:sz="4" w:space="0"/>
            </w:tcBorders>
            <w:noWrap w:val="0"/>
            <w:vAlign w:val="center"/>
          </w:tcPr>
          <w:p w14:paraId="0302AB4F">
            <w:p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人民币合计总金额：（大写）</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Cs/>
                <w:color w:val="auto"/>
                <w:sz w:val="21"/>
                <w:szCs w:val="21"/>
                <w:highlight w:val="none"/>
                <w:u w:val="single"/>
              </w:rPr>
              <w:t>（</w:t>
            </w:r>
            <w:r>
              <w:rPr>
                <w:rFonts w:hint="default" w:ascii="Arial" w:hAnsi="Arial" w:eastAsia="宋体" w:cs="Arial"/>
                <w:bCs/>
                <w:color w:val="auto"/>
                <w:sz w:val="21"/>
                <w:szCs w:val="21"/>
                <w:highlight w:val="none"/>
                <w:u w:val="single"/>
              </w:rPr>
              <w:t>¥</w:t>
            </w:r>
            <w:r>
              <w:rPr>
                <w:rFonts w:hint="eastAsia" w:ascii="宋体" w:hAnsi="宋体" w:eastAsia="宋体" w:cs="宋体"/>
                <w:bCs/>
                <w:color w:val="auto"/>
                <w:sz w:val="21"/>
                <w:szCs w:val="21"/>
                <w:highlight w:val="none"/>
                <w:u w:val="single"/>
              </w:rPr>
              <w:t xml:space="preserve">     元）</w:t>
            </w:r>
            <w:r>
              <w:rPr>
                <w:rFonts w:hint="eastAsia" w:ascii="宋体" w:hAnsi="宋体" w:eastAsia="宋体" w:cs="宋体"/>
                <w:b/>
                <w:bCs/>
                <w:color w:val="auto"/>
                <w:sz w:val="21"/>
                <w:szCs w:val="21"/>
                <w:highlight w:val="none"/>
                <w:u w:val="single"/>
              </w:rPr>
              <w:t xml:space="preserve">    </w:t>
            </w:r>
          </w:p>
        </w:tc>
      </w:tr>
    </w:tbl>
    <w:p w14:paraId="4E2769B6">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cs="仿宋"/>
          <w:bCs/>
          <w:color w:val="auto"/>
          <w:szCs w:val="21"/>
          <w:highlight w:val="none"/>
        </w:rPr>
        <w:t>合同合计总金额包含货物及其所有设备、随配附件、备品备件、易损件、专用工具、包装、运输、装卸、保险、搬运、施工、安装调试、人员薪酬、税费或税金、计量检测费、验收检验、技术培训、技术资料、技术服务、室内技术线路改造、软件升级、后期维护服务或售后服务、其他所有成本费用，以及货物运抵指定交付地点的各种费用、以及进入施工现场安装时的各项费用等本合同、</w:t>
      </w:r>
      <w:r>
        <w:rPr>
          <w:rFonts w:hint="eastAsia" w:ascii="宋体" w:hAnsi="宋体" w:cs="仿宋"/>
          <w:bCs/>
          <w:color w:val="auto"/>
          <w:szCs w:val="21"/>
          <w:highlight w:val="none"/>
          <w:lang w:val="en-US" w:eastAsia="zh-CN"/>
        </w:rPr>
        <w:t>竞争性谈判</w:t>
      </w:r>
      <w:r>
        <w:rPr>
          <w:rFonts w:hint="eastAsia" w:ascii="宋体" w:hAnsi="宋体" w:cs="仿宋"/>
          <w:bCs/>
          <w:color w:val="auto"/>
          <w:szCs w:val="21"/>
          <w:highlight w:val="none"/>
        </w:rPr>
        <w:t>文件（如有）以及响应文件（如有）中规定的所有风险和责任所涉及的全部费用。</w:t>
      </w:r>
    </w:p>
    <w:p w14:paraId="310FE0E1">
      <w:pPr>
        <w:snapToGrid w:val="0"/>
        <w:spacing w:line="360" w:lineRule="auto"/>
        <w:ind w:left="4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3、产品配置清单。</w:t>
      </w:r>
    </w:p>
    <w:p w14:paraId="0A3EFCEC">
      <w:pPr>
        <w:snapToGrid w:val="0"/>
        <w:spacing w:line="360" w:lineRule="auto"/>
        <w:ind w:left="422" w:hanging="422" w:hanging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 xml:space="preserve">第二条  </w:t>
      </w:r>
      <w:r>
        <w:rPr>
          <w:rFonts w:hint="eastAsia" w:ascii="宋体" w:hAnsi="宋体" w:cs="宋体"/>
          <w:b/>
          <w:color w:val="auto"/>
          <w:sz w:val="21"/>
          <w:szCs w:val="21"/>
          <w:highlight w:val="none"/>
          <w:lang w:eastAsia="zh-CN"/>
        </w:rPr>
        <w:t>供货</w:t>
      </w:r>
      <w:r>
        <w:rPr>
          <w:rFonts w:hint="eastAsia" w:ascii="宋体" w:hAnsi="宋体" w:eastAsia="宋体" w:cs="宋体"/>
          <w:b/>
          <w:color w:val="auto"/>
          <w:sz w:val="21"/>
          <w:szCs w:val="21"/>
          <w:highlight w:val="none"/>
        </w:rPr>
        <w:t>保证</w:t>
      </w:r>
    </w:p>
    <w:p w14:paraId="14DC16C4">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1、乙方所提供的产品名称、商标品牌、生产厂家、规格型号、技术参数等质量必须与</w:t>
      </w:r>
      <w:r>
        <w:rPr>
          <w:rFonts w:hint="eastAsia" w:ascii="宋体" w:hAnsi="宋体" w:cs="仿宋"/>
          <w:bCs/>
          <w:color w:val="auto"/>
          <w:szCs w:val="21"/>
          <w:highlight w:val="none"/>
          <w:lang w:eastAsia="zh-CN"/>
        </w:rPr>
        <w:t>响应文件</w:t>
      </w:r>
      <w:r>
        <w:rPr>
          <w:rFonts w:hint="eastAsia" w:ascii="宋体" w:hAnsi="宋体" w:cs="仿宋"/>
          <w:bCs/>
          <w:color w:val="auto"/>
          <w:szCs w:val="21"/>
          <w:highlight w:val="none"/>
        </w:rPr>
        <w:t>和承诺相一致。乙方提供的节能和环保产品必须是列入政府采购清单的产品。不符合要求者，根据实际情况，经双方协商，可按以下办法处理：</w:t>
      </w:r>
    </w:p>
    <w:p w14:paraId="67C266DD">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⑴更换：由乙方承担所发生的全部费用。</w:t>
      </w:r>
    </w:p>
    <w:p w14:paraId="4F67B084">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⑵贬值处理：由甲乙双方合议定价。</w:t>
      </w:r>
    </w:p>
    <w:p w14:paraId="2ABE7E9B">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⑶退货处理：乙方应退还甲方支付的合同款，同时应承担该货物的直接费用（运输、保险、检验、货款利息及银行手续费等）。如发生前述情况，甲方有权解除本合同，并向财政部门（政府采购监管部门）备案处理。</w:t>
      </w:r>
    </w:p>
    <w:p w14:paraId="15D76063">
      <w:pPr>
        <w:snapToGrid w:val="0"/>
        <w:spacing w:line="360" w:lineRule="auto"/>
        <w:ind w:firstLine="424" w:firstLineChars="202"/>
        <w:rPr>
          <w:rFonts w:hint="eastAsia" w:ascii="宋体" w:hAnsi="宋体" w:eastAsia="宋体" w:cs="宋体"/>
          <w:bCs/>
          <w:color w:val="auto"/>
          <w:sz w:val="21"/>
          <w:szCs w:val="21"/>
          <w:highlight w:val="none"/>
        </w:rPr>
      </w:pPr>
    </w:p>
    <w:p w14:paraId="2D6ADAC3">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2、乙方所提供的货物必须是全新、未使用的原装产品，并提供相关合法有效证明文件；且在正常安装、使用和保养条件下，其使用寿命期内各项指标均达到质量要求。</w:t>
      </w:r>
    </w:p>
    <w:p w14:paraId="62B0452C">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3.乙方保证所提供的货物（包含但不限于配套软硬件设备及其伴随服务等；下同）必须是没有任何抵押、质押、查封或其他权利瑕疵，甲方正常使用不会侵犯任何第三方合法权益。</w:t>
      </w:r>
    </w:p>
    <w:p w14:paraId="50E373B7">
      <w:pPr>
        <w:snapToGrid w:val="0"/>
        <w:spacing w:line="360" w:lineRule="auto"/>
        <w:ind w:left="422" w:hanging="422" w:hanging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第三条  权利保证</w:t>
      </w:r>
    </w:p>
    <w:p w14:paraId="145BB856">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1、乙方应保证所提供货物在使用时不会侵犯任何第三方的专利权、商标权、工业设计权或其他权利。</w:t>
      </w:r>
    </w:p>
    <w:p w14:paraId="3E45203F">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2、乙方应按</w:t>
      </w:r>
      <w:r>
        <w:rPr>
          <w:rFonts w:hint="eastAsia" w:ascii="宋体" w:hAnsi="宋体" w:eastAsia="宋体" w:cs="宋体"/>
          <w:bCs/>
          <w:color w:val="auto"/>
          <w:sz w:val="21"/>
          <w:szCs w:val="21"/>
          <w:highlight w:val="none"/>
          <w:lang w:eastAsia="zh-CN"/>
        </w:rPr>
        <w:t>竞争性谈判文件</w:t>
      </w:r>
      <w:r>
        <w:rPr>
          <w:rFonts w:hint="eastAsia" w:ascii="宋体" w:hAnsi="宋体" w:eastAsia="宋体" w:cs="宋体"/>
          <w:bCs/>
          <w:color w:val="auto"/>
          <w:sz w:val="21"/>
          <w:szCs w:val="21"/>
          <w:highlight w:val="none"/>
        </w:rPr>
        <w:t>规定的时间向甲方提供使用货物的有关技术资料。</w:t>
      </w:r>
    </w:p>
    <w:p w14:paraId="2239A5EA">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A72C46C">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4、乙方保证所交付的货物的所有权完全属于乙方且无任何抵押、质押、查封等产权瑕疵。</w:t>
      </w:r>
    </w:p>
    <w:p w14:paraId="5900EF05">
      <w:pPr>
        <w:snapToGrid w:val="0"/>
        <w:spacing w:line="360" w:lineRule="auto"/>
        <w:ind w:left="422" w:hanging="422" w:hanging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包装和运输</w:t>
      </w:r>
    </w:p>
    <w:p w14:paraId="76EFD276">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1、乙方提供的货物均应按</w:t>
      </w:r>
      <w:r>
        <w:rPr>
          <w:rFonts w:hint="eastAsia" w:ascii="宋体" w:hAnsi="宋体" w:cs="仿宋"/>
          <w:bCs/>
          <w:color w:val="auto"/>
          <w:szCs w:val="21"/>
          <w:highlight w:val="none"/>
          <w:lang w:eastAsia="zh-CN"/>
        </w:rPr>
        <w:t>竞争性谈判文件</w:t>
      </w:r>
      <w:r>
        <w:rPr>
          <w:rFonts w:hint="eastAsia" w:ascii="宋体" w:hAnsi="宋体" w:cs="仿宋"/>
          <w:bCs/>
          <w:color w:val="auto"/>
          <w:szCs w:val="21"/>
          <w:highlight w:val="none"/>
        </w:rPr>
        <w:t>要求在货物发运前对其进行满足运输距离、防潮、防震、防锈和防破损装卸等要求包装，每一包装单元内应附详细的装箱单和质量合格证。</w:t>
      </w:r>
    </w:p>
    <w:p w14:paraId="7E66A669">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2、货物的运输方式：</w:t>
      </w:r>
      <w:r>
        <w:rPr>
          <w:rFonts w:hint="eastAsia" w:ascii="宋体" w:hAnsi="宋体" w:cs="仿宋"/>
          <w:bCs/>
          <w:color w:val="auto"/>
          <w:szCs w:val="21"/>
          <w:highlight w:val="none"/>
          <w:u w:val="single"/>
        </w:rPr>
        <w:t>由乙方自行安排，但国家对运输方式有规定的按照有关规定</w:t>
      </w:r>
      <w:r>
        <w:rPr>
          <w:rFonts w:hint="eastAsia" w:ascii="宋体" w:hAnsi="宋体" w:cs="仿宋"/>
          <w:bCs/>
          <w:color w:val="auto"/>
          <w:szCs w:val="21"/>
          <w:highlight w:val="none"/>
          <w:u w:val="single"/>
          <w:lang w:val="en-US" w:eastAsia="zh-CN"/>
        </w:rPr>
        <w:t>执行</w:t>
      </w:r>
      <w:r>
        <w:rPr>
          <w:rFonts w:hint="eastAsia" w:ascii="宋体" w:hAnsi="宋体" w:cs="仿宋"/>
          <w:bCs/>
          <w:color w:val="auto"/>
          <w:szCs w:val="21"/>
          <w:highlight w:val="none"/>
          <w:u w:val="single"/>
        </w:rPr>
        <w:t>。</w:t>
      </w:r>
    </w:p>
    <w:p w14:paraId="3989A7DF">
      <w:pPr>
        <w:snapToGrid w:val="0"/>
        <w:spacing w:line="360" w:lineRule="auto"/>
        <w:ind w:firstLine="424" w:firstLineChars="202"/>
        <w:rPr>
          <w:rFonts w:hint="eastAsia" w:ascii="宋体" w:hAnsi="宋体" w:cs="仿宋"/>
          <w:bCs/>
          <w:color w:val="auto"/>
          <w:szCs w:val="21"/>
          <w:highlight w:val="none"/>
          <w:u w:val="single"/>
        </w:rPr>
      </w:pPr>
      <w:r>
        <w:rPr>
          <w:rFonts w:hint="eastAsia" w:ascii="宋体" w:hAnsi="宋体" w:cs="仿宋"/>
          <w:bCs/>
          <w:color w:val="auto"/>
          <w:szCs w:val="21"/>
          <w:highlight w:val="none"/>
        </w:rPr>
        <w:t>3、乙方负责货物运输，货物运输合理损耗及计算方法：</w:t>
      </w:r>
      <w:r>
        <w:rPr>
          <w:rFonts w:hint="eastAsia" w:ascii="宋体" w:hAnsi="宋体" w:cs="仿宋"/>
          <w:bCs/>
          <w:color w:val="auto"/>
          <w:szCs w:val="21"/>
          <w:highlight w:val="none"/>
          <w:u w:val="single"/>
        </w:rPr>
        <w:t>本项目不接受损耗。</w:t>
      </w:r>
    </w:p>
    <w:p w14:paraId="107DBF7C">
      <w:pPr>
        <w:snapToGrid w:val="0"/>
        <w:spacing w:line="360" w:lineRule="auto"/>
        <w:ind w:firstLine="424" w:firstLineChars="202"/>
        <w:rPr>
          <w:rFonts w:hint="eastAsia" w:ascii="宋体" w:hAnsi="宋体" w:cs="仿宋"/>
          <w:bCs/>
          <w:color w:val="auto"/>
          <w:szCs w:val="21"/>
          <w:highlight w:val="none"/>
          <w:u w:val="none"/>
          <w:lang w:val="en-US" w:eastAsia="zh-CN"/>
        </w:rPr>
      </w:pPr>
      <w:r>
        <w:rPr>
          <w:rFonts w:hint="eastAsia" w:ascii="宋体" w:hAnsi="宋体" w:cs="仿宋"/>
          <w:bCs/>
          <w:color w:val="auto"/>
          <w:szCs w:val="21"/>
          <w:highlight w:val="none"/>
          <w:u w:val="none"/>
          <w:lang w:val="en-US" w:eastAsia="zh-CN"/>
        </w:rPr>
        <w:t>4、使用说明书、质量检验证明书、随配附件和工具以及清单应一并附于货物内。</w:t>
      </w:r>
    </w:p>
    <w:p w14:paraId="1B109288">
      <w:pPr>
        <w:snapToGrid w:val="0"/>
        <w:spacing w:line="360" w:lineRule="auto"/>
        <w:ind w:firstLine="424" w:firstLineChars="202"/>
        <w:rPr>
          <w:rFonts w:hint="eastAsia" w:ascii="宋体" w:hAnsi="宋体" w:cs="仿宋"/>
          <w:bCs/>
          <w:color w:val="auto"/>
          <w:szCs w:val="21"/>
          <w:highlight w:val="none"/>
          <w:u w:val="none"/>
          <w:lang w:val="en-US" w:eastAsia="zh-CN"/>
        </w:rPr>
      </w:pPr>
      <w:r>
        <w:rPr>
          <w:rFonts w:hint="eastAsia" w:ascii="宋体" w:hAnsi="宋体" w:cs="仿宋"/>
          <w:bCs/>
          <w:color w:val="auto"/>
          <w:szCs w:val="21"/>
          <w:highlight w:val="none"/>
          <w:u w:val="none"/>
          <w:lang w:val="en-US" w:eastAsia="zh-CN"/>
        </w:rPr>
        <w:t>5、乙方在货物发运手续办理完毕后二十四小时内或货到甲方四十八小时前通知甲方，以准备接货。</w:t>
      </w:r>
    </w:p>
    <w:p w14:paraId="20F53922">
      <w:pPr>
        <w:snapToGrid w:val="0"/>
        <w:spacing w:line="360" w:lineRule="auto"/>
        <w:ind w:firstLine="424" w:firstLineChars="202"/>
        <w:rPr>
          <w:rFonts w:hint="eastAsia" w:ascii="宋体" w:hAnsi="宋体" w:cs="仿宋"/>
          <w:bCs/>
          <w:color w:val="auto"/>
          <w:szCs w:val="21"/>
          <w:highlight w:val="none"/>
          <w:u w:val="none"/>
          <w:lang w:val="en-US" w:eastAsia="zh-CN"/>
        </w:rPr>
      </w:pPr>
      <w:r>
        <w:rPr>
          <w:rFonts w:hint="eastAsia" w:ascii="宋体" w:hAnsi="宋体" w:cs="仿宋"/>
          <w:bCs/>
          <w:color w:val="auto"/>
          <w:szCs w:val="21"/>
          <w:highlight w:val="none"/>
          <w:u w:val="none"/>
          <w:lang w:val="en-US" w:eastAsia="zh-CN"/>
        </w:rPr>
        <w:t>6、货物在交付验收合格前发生的风险均由乙方负责。</w:t>
      </w:r>
    </w:p>
    <w:p w14:paraId="4526BF0B">
      <w:pPr>
        <w:snapToGrid w:val="0"/>
        <w:spacing w:line="360" w:lineRule="auto"/>
        <w:ind w:firstLine="424" w:firstLineChars="202"/>
        <w:rPr>
          <w:rFonts w:hint="default" w:ascii="宋体" w:hAnsi="宋体" w:cs="仿宋"/>
          <w:bCs/>
          <w:color w:val="auto"/>
          <w:szCs w:val="21"/>
          <w:highlight w:val="none"/>
          <w:u w:val="none"/>
          <w:lang w:val="en-US" w:eastAsia="zh-CN"/>
        </w:rPr>
      </w:pPr>
      <w:r>
        <w:rPr>
          <w:rFonts w:hint="eastAsia" w:ascii="宋体" w:hAnsi="宋体" w:cs="仿宋"/>
          <w:bCs/>
          <w:color w:val="auto"/>
          <w:szCs w:val="21"/>
          <w:highlight w:val="none"/>
          <w:u w:val="none"/>
          <w:lang w:val="en-US" w:eastAsia="zh-CN"/>
        </w:rPr>
        <w:t>7、货物（系统）需在规定的交付期限内由乙方送至甲方指定地点，并完成安装调试、验收合格及培训后，方可视为完成交付。</w:t>
      </w:r>
    </w:p>
    <w:p w14:paraId="0FB5A705">
      <w:pPr>
        <w:snapToGrid w:val="0"/>
        <w:spacing w:line="360" w:lineRule="auto"/>
        <w:ind w:left="422" w:hanging="422" w:hanging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第五条  交付调试和验收</w:t>
      </w:r>
    </w:p>
    <w:p w14:paraId="3390BE3C">
      <w:pPr>
        <w:widowControl w:val="0"/>
        <w:bidi w:val="0"/>
        <w:spacing w:line="360" w:lineRule="auto"/>
        <w:ind w:firstLine="420" w:firstLineChars="200"/>
        <w:jc w:val="both"/>
        <w:rPr>
          <w:rFonts w:hint="eastAsia"/>
          <w:color w:val="auto"/>
          <w:highlight w:val="none"/>
          <w:lang w:eastAsia="zh-CN"/>
        </w:rPr>
      </w:pPr>
      <w:r>
        <w:rPr>
          <w:rFonts w:hint="eastAsia" w:ascii="宋体" w:hAnsi="宋体" w:cs="仿宋"/>
          <w:bCs/>
          <w:color w:val="auto"/>
          <w:szCs w:val="21"/>
          <w:highlight w:val="none"/>
        </w:rPr>
        <w:t>1、</w:t>
      </w:r>
      <w:r>
        <w:rPr>
          <w:rFonts w:ascii="宋体" w:hAnsi="宋体" w:eastAsia="宋体" w:cs="仿宋"/>
          <w:bCs/>
          <w:color w:val="auto"/>
          <w:kern w:val="2"/>
          <w:sz w:val="21"/>
          <w:szCs w:val="21"/>
          <w:highlight w:val="none"/>
          <w:lang w:bidi="ar-SA"/>
        </w:rPr>
        <w:t>交付时间（安装、调试、培训完成）：自合同签订之日起30天内，需完成</w:t>
      </w:r>
      <w:r>
        <w:rPr>
          <w:rFonts w:hint="eastAsia" w:ascii="宋体" w:hAnsi="宋体" w:eastAsia="宋体" w:cs="仿宋"/>
          <w:bCs/>
          <w:color w:val="auto"/>
          <w:kern w:val="2"/>
          <w:sz w:val="21"/>
          <w:szCs w:val="21"/>
          <w:highlight w:val="none"/>
          <w:lang w:val="en-US" w:eastAsia="zh-CN" w:bidi="ar-SA"/>
        </w:rPr>
        <w:t>全部</w:t>
      </w:r>
      <w:r>
        <w:rPr>
          <w:rFonts w:ascii="宋体" w:hAnsi="宋体" w:eastAsia="宋体" w:cs="仿宋"/>
          <w:bCs/>
          <w:color w:val="auto"/>
          <w:kern w:val="2"/>
          <w:sz w:val="21"/>
          <w:szCs w:val="21"/>
          <w:highlight w:val="none"/>
          <w:lang w:bidi="ar-SA"/>
        </w:rPr>
        <w:t>货物的供货、安装调试，并通过最终验收合格后交付使用。</w:t>
      </w:r>
    </w:p>
    <w:p w14:paraId="2757CDBE">
      <w:pPr>
        <w:snapToGrid w:val="0"/>
        <w:spacing w:line="360" w:lineRule="auto"/>
        <w:ind w:firstLine="420" w:firstLineChars="200"/>
        <w:rPr>
          <w:rFonts w:ascii="宋体" w:hAnsi="宋体" w:cs="仿宋"/>
          <w:bCs/>
          <w:color w:val="auto"/>
          <w:szCs w:val="21"/>
          <w:highlight w:val="none"/>
        </w:rPr>
      </w:pPr>
      <w:r>
        <w:rPr>
          <w:rFonts w:hint="eastAsia" w:ascii="宋体" w:hAnsi="宋体" w:cs="仿宋"/>
          <w:bCs/>
          <w:color w:val="auto"/>
          <w:szCs w:val="21"/>
          <w:highlight w:val="none"/>
        </w:rPr>
        <w:t>2、交货地点：</w:t>
      </w:r>
      <w:r>
        <w:rPr>
          <w:rFonts w:hint="eastAsia" w:ascii="宋体" w:hAnsi="宋体" w:cs="仿宋"/>
          <w:bCs/>
          <w:color w:val="auto"/>
          <w:szCs w:val="21"/>
          <w:highlight w:val="none"/>
          <w:u w:val="single"/>
        </w:rPr>
        <w:t xml:space="preserve">梧州市内甲方指定地点。  </w:t>
      </w:r>
    </w:p>
    <w:p w14:paraId="181DD63B">
      <w:pPr>
        <w:snapToGrid w:val="0"/>
        <w:spacing w:line="360" w:lineRule="auto"/>
        <w:ind w:firstLine="420" w:firstLineChars="200"/>
        <w:rPr>
          <w:rFonts w:ascii="宋体" w:hAnsi="宋体" w:cs="仿宋"/>
          <w:bCs/>
          <w:color w:val="auto"/>
          <w:szCs w:val="21"/>
          <w:highlight w:val="none"/>
        </w:rPr>
      </w:pPr>
      <w:r>
        <w:rPr>
          <w:rFonts w:hint="eastAsia" w:ascii="宋体" w:hAnsi="宋体" w:cs="仿宋"/>
          <w:bCs/>
          <w:color w:val="auto"/>
          <w:szCs w:val="21"/>
          <w:highlight w:val="none"/>
        </w:rPr>
        <w:t>3、乙方提供不符合</w:t>
      </w:r>
      <w:r>
        <w:rPr>
          <w:rFonts w:hint="eastAsia" w:ascii="宋体" w:hAnsi="宋体" w:cs="仿宋"/>
          <w:bCs/>
          <w:color w:val="auto"/>
          <w:szCs w:val="21"/>
          <w:highlight w:val="none"/>
          <w:lang w:eastAsia="zh-CN"/>
        </w:rPr>
        <w:t>竞争性谈判文件</w:t>
      </w:r>
      <w:r>
        <w:rPr>
          <w:rFonts w:hint="eastAsia" w:ascii="宋体" w:hAnsi="宋体" w:cs="仿宋"/>
          <w:bCs/>
          <w:color w:val="auto"/>
          <w:szCs w:val="21"/>
          <w:highlight w:val="none"/>
        </w:rPr>
        <w:t>（及乙方</w:t>
      </w:r>
      <w:r>
        <w:rPr>
          <w:rFonts w:hint="eastAsia" w:ascii="宋体" w:hAnsi="宋体" w:cs="仿宋"/>
          <w:bCs/>
          <w:color w:val="auto"/>
          <w:szCs w:val="21"/>
          <w:highlight w:val="none"/>
          <w:lang w:eastAsia="zh-CN"/>
        </w:rPr>
        <w:t>响应文件</w:t>
      </w:r>
      <w:r>
        <w:rPr>
          <w:rFonts w:hint="eastAsia" w:ascii="宋体" w:hAnsi="宋体" w:cs="仿宋"/>
          <w:bCs/>
          <w:color w:val="auto"/>
          <w:szCs w:val="21"/>
          <w:highlight w:val="none"/>
        </w:rPr>
        <w:t>）和本合同规定的货物，甲方有权拒绝接受。</w:t>
      </w:r>
    </w:p>
    <w:p w14:paraId="185B07A9">
      <w:pPr>
        <w:snapToGrid w:val="0"/>
        <w:spacing w:line="360" w:lineRule="auto"/>
        <w:ind w:firstLine="420" w:firstLineChars="200"/>
        <w:rPr>
          <w:rFonts w:ascii="宋体" w:hAnsi="宋体" w:cs="仿宋"/>
          <w:bCs/>
          <w:color w:val="auto"/>
          <w:szCs w:val="21"/>
          <w:highlight w:val="none"/>
        </w:rPr>
      </w:pPr>
      <w:r>
        <w:rPr>
          <w:rFonts w:hint="eastAsia" w:ascii="宋体" w:hAnsi="宋体" w:cs="仿宋"/>
          <w:bCs/>
          <w:color w:val="auto"/>
          <w:szCs w:val="21"/>
          <w:highlight w:val="none"/>
        </w:rPr>
        <w:t>4、由甲方或政府采购代理机构组织相关专业专家验收。如项目属于技术复杂的货物，甲方</w:t>
      </w:r>
      <w:r>
        <w:rPr>
          <w:rFonts w:hint="eastAsia" w:ascii="宋体" w:hAnsi="宋体" w:cs="仿宋"/>
          <w:bCs/>
          <w:color w:val="auto"/>
          <w:szCs w:val="21"/>
          <w:highlight w:val="none"/>
          <w:lang w:val="en-US" w:eastAsia="zh-CN"/>
        </w:rPr>
        <w:t>可</w:t>
      </w:r>
      <w:r>
        <w:rPr>
          <w:rFonts w:hint="eastAsia" w:ascii="宋体" w:hAnsi="宋体" w:cs="仿宋"/>
          <w:bCs/>
          <w:color w:val="auto"/>
          <w:szCs w:val="21"/>
          <w:highlight w:val="none"/>
        </w:rPr>
        <w:t>聘请国家认可的专业检测机构，与甲方或政府采购代理机构组织的相关专业专家共同组成验收小组</w:t>
      </w:r>
      <w:r>
        <w:rPr>
          <w:rFonts w:hint="eastAsia" w:ascii="宋体" w:hAnsi="宋体" w:cs="仿宋"/>
          <w:bCs/>
          <w:color w:val="auto"/>
          <w:szCs w:val="21"/>
          <w:highlight w:val="none"/>
          <w:lang w:val="en-US" w:eastAsia="zh-CN"/>
        </w:rPr>
        <w:t>进行验收</w:t>
      </w:r>
      <w:r>
        <w:rPr>
          <w:rFonts w:hint="eastAsia" w:ascii="宋体" w:hAnsi="宋体" w:cs="仿宋"/>
          <w:bCs/>
          <w:color w:val="auto"/>
          <w:szCs w:val="21"/>
          <w:highlight w:val="none"/>
        </w:rPr>
        <w:t>。验收时乙方必须在现场，验收完毕后出具验收结果报告；验收所产生的费用（包含但不限于聘请专家、检测机构费用）由乙方承担。</w:t>
      </w:r>
    </w:p>
    <w:p w14:paraId="319E4F49">
      <w:pPr>
        <w:snapToGrid w:val="0"/>
        <w:spacing w:line="360" w:lineRule="auto"/>
        <w:ind w:firstLine="420" w:firstLineChars="200"/>
        <w:rPr>
          <w:rFonts w:ascii="宋体" w:hAnsi="宋体" w:cs="仿宋"/>
          <w:bCs/>
          <w:color w:val="auto"/>
          <w:szCs w:val="21"/>
          <w:highlight w:val="none"/>
        </w:rPr>
      </w:pPr>
      <w:r>
        <w:rPr>
          <w:rFonts w:hint="eastAsia" w:ascii="宋体" w:hAnsi="宋体" w:cs="仿宋"/>
          <w:bCs/>
          <w:color w:val="auto"/>
          <w:szCs w:val="21"/>
          <w:highlight w:val="none"/>
        </w:rPr>
        <w:t>5、验收时间以本项目验收方案约定的验收时间为准，验收结果以本项目验收报告结论为准。</w:t>
      </w:r>
    </w:p>
    <w:p w14:paraId="62D21095">
      <w:pPr>
        <w:snapToGrid w:val="0"/>
        <w:spacing w:line="360" w:lineRule="auto"/>
        <w:ind w:left="422" w:hanging="420" w:hangingChars="200"/>
        <w:rPr>
          <w:rFonts w:hint="eastAsia" w:ascii="宋体" w:hAnsi="宋体" w:cs="仿宋"/>
          <w:bCs/>
          <w:color w:val="auto"/>
          <w:szCs w:val="21"/>
          <w:highlight w:val="none"/>
        </w:rPr>
      </w:pPr>
      <w:r>
        <w:rPr>
          <w:rFonts w:hint="eastAsia" w:ascii="宋体" w:hAnsi="宋体" w:cs="仿宋"/>
          <w:bCs/>
          <w:color w:val="auto"/>
          <w:szCs w:val="21"/>
          <w:highlight w:val="none"/>
        </w:rPr>
        <w:t>6、验收方式：</w:t>
      </w:r>
    </w:p>
    <w:p w14:paraId="3926818A">
      <w:pPr>
        <w:snapToGrid w:val="0"/>
        <w:spacing w:line="360" w:lineRule="auto"/>
        <w:ind w:left="422" w:hanging="420" w:hangingChars="200"/>
        <w:rPr>
          <w:rFonts w:hint="eastAsia" w:ascii="宋体" w:hAnsi="宋体" w:cs="仿宋"/>
          <w:bCs/>
          <w:color w:val="auto"/>
          <w:szCs w:val="21"/>
          <w:highlight w:val="none"/>
        </w:rPr>
      </w:pPr>
      <w:r>
        <w:rPr>
          <w:rFonts w:hint="eastAsia" w:ascii="宋体" w:hAnsi="宋体" w:cs="仿宋"/>
          <w:bCs/>
          <w:color w:val="auto"/>
          <w:szCs w:val="21"/>
          <w:highlight w:val="none"/>
        </w:rPr>
        <w:t>6.1、安装完成后，甲方对乙方提供的货物在使用运行前进行调试时，乙方需负责培训甲方的使用操作人员，并协助甲方一起调试，直到符合技术要求，甲方（或验收小组）开展验收活动，验收时乙方须全程在场参与。</w:t>
      </w:r>
    </w:p>
    <w:p w14:paraId="0DF458F1">
      <w:pPr>
        <w:snapToGrid w:val="0"/>
        <w:spacing w:line="360" w:lineRule="auto"/>
        <w:ind w:left="422" w:hanging="420" w:hangingChars="200"/>
        <w:rPr>
          <w:rFonts w:hint="eastAsia" w:ascii="宋体" w:hAnsi="宋体" w:cs="仿宋"/>
          <w:bCs/>
          <w:color w:val="auto"/>
          <w:szCs w:val="21"/>
          <w:highlight w:val="none"/>
        </w:rPr>
      </w:pPr>
      <w:r>
        <w:rPr>
          <w:rFonts w:hint="eastAsia" w:ascii="宋体" w:hAnsi="宋体" w:cs="仿宋"/>
          <w:bCs/>
          <w:color w:val="auto"/>
          <w:szCs w:val="21"/>
          <w:highlight w:val="none"/>
        </w:rPr>
        <w:t>6.2乙方应将所提供货物的装箱清单、用户手册、原厂保修卡、随机资料、工具和备品、备件、合格证明、医疗器械注册证及医疗器械登记表（如有）、生产许可证、经营许可证复印件加盖公章交付给甲方（或验收小组）,并列出清单,作为甲方（或验收小组）收货验收和使用的技术条件依据，检验的结果应随货物交甲方（或验收小组）。货物属于进口产品的，供货时应同时附上报关单、商检证明及中文使用说明书，如有缺失应在甲方规定的期限内及时补齐，否则视为逾期交货。</w:t>
      </w:r>
    </w:p>
    <w:p w14:paraId="757E301C">
      <w:pPr>
        <w:snapToGrid w:val="0"/>
        <w:spacing w:line="360" w:lineRule="auto"/>
        <w:ind w:left="422" w:hanging="420" w:hangingChars="200"/>
        <w:rPr>
          <w:rFonts w:hint="eastAsia" w:ascii="宋体" w:hAnsi="宋体" w:cs="仿宋"/>
          <w:bCs/>
          <w:color w:val="auto"/>
          <w:szCs w:val="21"/>
          <w:highlight w:val="none"/>
        </w:rPr>
      </w:pPr>
      <w:r>
        <w:rPr>
          <w:rFonts w:hint="eastAsia" w:ascii="宋体" w:hAnsi="宋体" w:cs="仿宋"/>
          <w:bCs/>
          <w:color w:val="auto"/>
          <w:szCs w:val="21"/>
          <w:highlight w:val="none"/>
        </w:rPr>
        <w:t>6.3乙方应按</w:t>
      </w:r>
      <w:r>
        <w:rPr>
          <w:rFonts w:hint="eastAsia" w:ascii="宋体" w:hAnsi="宋体" w:cs="仿宋"/>
          <w:bCs/>
          <w:color w:val="auto"/>
          <w:szCs w:val="21"/>
          <w:highlight w:val="none"/>
          <w:lang w:val="en-US" w:eastAsia="zh-CN"/>
        </w:rPr>
        <w:t>响应</w:t>
      </w:r>
      <w:r>
        <w:rPr>
          <w:rFonts w:hint="eastAsia" w:ascii="宋体" w:hAnsi="宋体" w:cs="仿宋"/>
          <w:bCs/>
          <w:color w:val="auto"/>
          <w:szCs w:val="21"/>
          <w:highlight w:val="none"/>
        </w:rPr>
        <w:t>文件要求提供设备纸质版或电子版的操作规程和维护保养流程。提供设备维护手册、维修手册、软件备份、故障代码表、备件清单、零部件、维修密码、软件光盘及软件安装流程等维护维修必需的材料和信息。</w:t>
      </w:r>
    </w:p>
    <w:p w14:paraId="77083E20">
      <w:pPr>
        <w:snapToGrid w:val="0"/>
        <w:spacing w:line="360" w:lineRule="auto"/>
        <w:ind w:left="422" w:hanging="420" w:hangingChars="200"/>
        <w:rPr>
          <w:rFonts w:hint="eastAsia" w:ascii="宋体" w:hAnsi="宋体" w:cs="仿宋"/>
          <w:bCs/>
          <w:color w:val="auto"/>
          <w:szCs w:val="21"/>
          <w:highlight w:val="none"/>
        </w:rPr>
      </w:pPr>
      <w:r>
        <w:rPr>
          <w:rFonts w:hint="eastAsia" w:ascii="宋体" w:hAnsi="宋体" w:cs="仿宋"/>
          <w:bCs/>
          <w:color w:val="auto"/>
          <w:szCs w:val="21"/>
          <w:highlight w:val="none"/>
        </w:rPr>
        <w:t>6.4、由甲方（或验收小组）进行验收，验收内容包括采购项目的每一项技术要求和商务要求（含乙方响应文件响应的技术和商务内容）、合同与补充合同的约定，并按照竞争性谈判文件上的技术规格要求和国家有关质量标准验收。</w:t>
      </w:r>
    </w:p>
    <w:p w14:paraId="46E24D6C">
      <w:pPr>
        <w:snapToGrid w:val="0"/>
        <w:spacing w:line="360" w:lineRule="auto"/>
        <w:ind w:left="422" w:hanging="420" w:hangingChars="200"/>
        <w:rPr>
          <w:rFonts w:hint="eastAsia" w:ascii="宋体" w:hAnsi="宋体" w:cs="仿宋"/>
          <w:bCs/>
          <w:color w:val="auto"/>
          <w:szCs w:val="21"/>
          <w:highlight w:val="none"/>
        </w:rPr>
      </w:pPr>
      <w:r>
        <w:rPr>
          <w:rFonts w:hint="eastAsia" w:ascii="宋体" w:hAnsi="宋体" w:cs="仿宋"/>
          <w:bCs/>
          <w:color w:val="auto"/>
          <w:szCs w:val="21"/>
          <w:highlight w:val="none"/>
        </w:rPr>
        <w:t>6.5、验收结束后，应当出具验收报告，列明各项标准的验收情况及项目总体评价，由验收各方共同签署。对不符合要求或有质量问题的货物视为验收不合格的，可立即要求退换，乙方不得拒绝和延误。</w:t>
      </w:r>
    </w:p>
    <w:p w14:paraId="0C33C7E7">
      <w:pPr>
        <w:snapToGrid w:val="0"/>
        <w:spacing w:line="360" w:lineRule="auto"/>
        <w:ind w:left="422" w:hanging="420" w:hangingChars="200"/>
        <w:rPr>
          <w:rFonts w:hint="eastAsia" w:ascii="宋体" w:hAnsi="宋体" w:cs="仿宋"/>
          <w:bCs/>
          <w:color w:val="auto"/>
          <w:szCs w:val="21"/>
          <w:highlight w:val="none"/>
        </w:rPr>
      </w:pPr>
      <w:r>
        <w:rPr>
          <w:rFonts w:hint="eastAsia" w:ascii="宋体" w:hAnsi="宋体" w:cs="仿宋"/>
          <w:bCs/>
          <w:color w:val="auto"/>
          <w:szCs w:val="21"/>
          <w:highlight w:val="none"/>
        </w:rPr>
        <w:t>7、甲方对验收有异议的，在验收后五个工作日内以书面形式向乙方提出，乙方应自收到甲方书面异议后五个工作日内及时予以解决。</w:t>
      </w:r>
    </w:p>
    <w:p w14:paraId="00F2F713">
      <w:pPr>
        <w:pStyle w:val="7"/>
        <w:spacing w:line="360" w:lineRule="auto"/>
        <w:rPr>
          <w:rFonts w:hint="eastAsia" w:ascii="宋体" w:hAnsi="宋体" w:cs="仿宋"/>
          <w:bCs/>
          <w:color w:val="auto"/>
          <w:szCs w:val="21"/>
          <w:highlight w:val="none"/>
        </w:rPr>
      </w:pPr>
      <w:r>
        <w:rPr>
          <w:rFonts w:hint="eastAsia" w:ascii="宋体" w:hAnsi="宋体" w:cs="仿宋"/>
          <w:bCs/>
          <w:color w:val="auto"/>
          <w:szCs w:val="21"/>
          <w:highlight w:val="none"/>
        </w:rPr>
        <w:t>8、乙方负责免费</w:t>
      </w:r>
      <w:r>
        <w:rPr>
          <w:rFonts w:hint="eastAsia"/>
          <w:color w:val="auto"/>
          <w:highlight w:val="none"/>
          <w:lang w:val="en-US" w:eastAsia="zh-CN"/>
        </w:rPr>
        <w:t>无条件</w:t>
      </w:r>
      <w:r>
        <w:rPr>
          <w:rFonts w:hint="eastAsia" w:ascii="宋体" w:hAnsi="宋体" w:cs="仿宋"/>
          <w:bCs/>
          <w:color w:val="auto"/>
          <w:szCs w:val="21"/>
          <w:highlight w:val="none"/>
        </w:rPr>
        <w:t>完成设备的控评和验收报告，免费配合甲方完成设备办证工作。如属于计量器具或特种设备的，还需按国家相关要求提供合格检定证书或校准证书（或检验报告）。如设备安装场地需技术安装改造的，乙方应负责免费安装改造至设备正式投入使用。</w:t>
      </w:r>
    </w:p>
    <w:p w14:paraId="528D4BFF">
      <w:pPr>
        <w:snapToGrid w:val="0"/>
        <w:spacing w:line="360" w:lineRule="auto"/>
        <w:ind w:left="422" w:hanging="420" w:hangingChars="200"/>
        <w:rPr>
          <w:rFonts w:hint="eastAsia" w:ascii="宋体" w:hAnsi="宋体" w:cs="仿宋"/>
          <w:bCs/>
          <w:color w:val="auto"/>
          <w:szCs w:val="21"/>
          <w:highlight w:val="none"/>
        </w:rPr>
      </w:pPr>
      <w:r>
        <w:rPr>
          <w:rFonts w:hint="eastAsia" w:ascii="宋体" w:hAnsi="宋体" w:cs="仿宋"/>
          <w:bCs/>
          <w:color w:val="auto"/>
          <w:szCs w:val="21"/>
          <w:highlight w:val="none"/>
        </w:rPr>
        <w:t>9、在验收过程中发现乙方有违约问题，可暂缓资金结算，待违约问题解决后，方可办理资金结算事宜。</w:t>
      </w:r>
    </w:p>
    <w:p w14:paraId="3FE01DFB">
      <w:pPr>
        <w:snapToGrid w:val="0"/>
        <w:spacing w:line="360" w:lineRule="auto"/>
        <w:ind w:left="422" w:hanging="422" w:hanging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安装和培训</w:t>
      </w:r>
    </w:p>
    <w:p w14:paraId="4AB69255">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1、甲方应提供必要安装条件（如场地、电源、水源等）。</w:t>
      </w:r>
    </w:p>
    <w:p w14:paraId="529B925C">
      <w:pPr>
        <w:snapToGrid w:val="0"/>
        <w:spacing w:line="360" w:lineRule="auto"/>
        <w:ind w:firstLine="424" w:firstLineChars="202"/>
        <w:rPr>
          <w:rFonts w:ascii="宋体" w:hAnsi="宋体" w:cs="仿宋"/>
          <w:bCs/>
          <w:color w:val="auto"/>
          <w:szCs w:val="21"/>
          <w:highlight w:val="none"/>
          <w:u w:val="single"/>
        </w:rPr>
      </w:pPr>
      <w:r>
        <w:rPr>
          <w:rFonts w:hint="eastAsia" w:ascii="宋体" w:hAnsi="宋体" w:cs="仿宋"/>
          <w:bCs/>
          <w:color w:val="auto"/>
          <w:szCs w:val="21"/>
          <w:highlight w:val="none"/>
        </w:rPr>
        <w:t>2、乙方负责甲方有关人员的培训。培训时间、地点：</w:t>
      </w:r>
      <w:r>
        <w:rPr>
          <w:rFonts w:hint="eastAsia" w:ascii="宋体" w:hAnsi="宋体" w:cs="仿宋"/>
          <w:bCs/>
          <w:color w:val="auto"/>
          <w:szCs w:val="21"/>
          <w:highlight w:val="none"/>
          <w:u w:val="single"/>
        </w:rPr>
        <w:t>按甲方规定的时间和地点 。</w:t>
      </w:r>
    </w:p>
    <w:p w14:paraId="4D1A1204">
      <w:pPr>
        <w:snapToGrid w:val="0"/>
        <w:spacing w:line="360" w:lineRule="auto"/>
        <w:ind w:left="422" w:hanging="422" w:hanging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售后服务、保修期</w:t>
      </w:r>
    </w:p>
    <w:p w14:paraId="396157DD">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1、乙方应按照国家有关法律法规和“三包”规定以及</w:t>
      </w:r>
      <w:r>
        <w:rPr>
          <w:rFonts w:hint="eastAsia" w:ascii="宋体" w:hAnsi="宋体" w:cs="仿宋"/>
          <w:bCs/>
          <w:color w:val="auto"/>
          <w:szCs w:val="21"/>
          <w:highlight w:val="none"/>
          <w:lang w:eastAsia="zh-CN"/>
        </w:rPr>
        <w:t>竞争性谈判文件</w:t>
      </w:r>
      <w:r>
        <w:rPr>
          <w:rFonts w:hint="eastAsia" w:ascii="宋体" w:hAnsi="宋体" w:cs="仿宋"/>
          <w:bCs/>
          <w:color w:val="auto"/>
          <w:szCs w:val="21"/>
          <w:highlight w:val="none"/>
        </w:rPr>
        <w:t>和本合同</w:t>
      </w:r>
      <w:r>
        <w:rPr>
          <w:rFonts w:hint="eastAsia" w:ascii="宋体" w:hAnsi="宋体" w:cs="仿宋"/>
          <w:bCs/>
          <w:color w:val="auto"/>
          <w:szCs w:val="21"/>
          <w:highlight w:val="none"/>
          <w:lang w:val="en-US" w:eastAsia="zh-CN"/>
        </w:rPr>
        <w:t>及</w:t>
      </w:r>
      <w:r>
        <w:rPr>
          <w:rFonts w:hint="eastAsia" w:ascii="宋体" w:hAnsi="宋体" w:cs="仿宋"/>
          <w:bCs/>
          <w:color w:val="auto"/>
          <w:szCs w:val="21"/>
          <w:highlight w:val="none"/>
        </w:rPr>
        <w:t>所附的《服务承诺》</w:t>
      </w:r>
      <w:r>
        <w:rPr>
          <w:rFonts w:hint="eastAsia" w:ascii="宋体" w:hAnsi="宋体" w:cs="仿宋"/>
          <w:bCs/>
          <w:color w:val="auto"/>
          <w:szCs w:val="21"/>
          <w:highlight w:val="none"/>
          <w:lang w:val="en-US" w:eastAsia="zh-CN"/>
        </w:rPr>
        <w:t>（以更高标准为准）</w:t>
      </w:r>
      <w:r>
        <w:rPr>
          <w:rFonts w:hint="eastAsia" w:ascii="宋体" w:hAnsi="宋体" w:cs="仿宋"/>
          <w:bCs/>
          <w:color w:val="auto"/>
          <w:szCs w:val="21"/>
          <w:highlight w:val="none"/>
        </w:rPr>
        <w:t>，为甲方提供售后服务。</w:t>
      </w:r>
    </w:p>
    <w:p w14:paraId="615E0EF2">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2、如在使用过程中发生质量问题，乙方在接到甲方通知后在</w:t>
      </w:r>
      <w:r>
        <w:rPr>
          <w:rFonts w:hint="eastAsia" w:ascii="宋体" w:hAnsi="宋体" w:cs="仿宋"/>
          <w:bCs/>
          <w:color w:val="auto"/>
          <w:szCs w:val="21"/>
          <w:highlight w:val="none"/>
          <w:u w:val="single"/>
        </w:rPr>
        <w:t xml:space="preserve">   </w:t>
      </w:r>
      <w:r>
        <w:rPr>
          <w:rFonts w:hint="eastAsia" w:ascii="宋体" w:hAnsi="宋体" w:cs="仿宋"/>
          <w:bCs/>
          <w:color w:val="auto"/>
          <w:szCs w:val="21"/>
          <w:highlight w:val="none"/>
        </w:rPr>
        <w:t>小时内到达甲方现场处理。</w:t>
      </w:r>
    </w:p>
    <w:p w14:paraId="6ACFE1B8">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3、在</w:t>
      </w:r>
      <w:r>
        <w:rPr>
          <w:rFonts w:hint="eastAsia" w:ascii="宋体" w:hAnsi="宋体" w:cs="仿宋"/>
          <w:bCs/>
          <w:color w:val="auto"/>
          <w:szCs w:val="21"/>
          <w:highlight w:val="none"/>
          <w:lang w:eastAsia="zh-CN"/>
        </w:rPr>
        <w:t>保修</w:t>
      </w:r>
      <w:r>
        <w:rPr>
          <w:rFonts w:hint="eastAsia" w:ascii="宋体" w:hAnsi="宋体" w:cs="仿宋"/>
          <w:bCs/>
          <w:color w:val="auto"/>
          <w:szCs w:val="21"/>
          <w:highlight w:val="none"/>
        </w:rPr>
        <w:t>期内，乙方应对货物出现的质量及安全问题负责处理解决并承担一切费用。</w:t>
      </w:r>
    </w:p>
    <w:p w14:paraId="76022E32">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4、上述的货物</w:t>
      </w:r>
      <w:r>
        <w:rPr>
          <w:rFonts w:hint="eastAsia" w:ascii="宋体" w:hAnsi="宋体" w:cs="仿宋"/>
          <w:bCs/>
          <w:color w:val="auto"/>
          <w:szCs w:val="21"/>
          <w:highlight w:val="none"/>
          <w:lang w:eastAsia="zh-CN"/>
        </w:rPr>
        <w:t>保修</w:t>
      </w:r>
      <w:r>
        <w:rPr>
          <w:rFonts w:hint="eastAsia" w:ascii="宋体" w:hAnsi="宋体" w:cs="仿宋"/>
          <w:bCs/>
          <w:color w:val="auto"/>
          <w:szCs w:val="21"/>
          <w:highlight w:val="none"/>
        </w:rPr>
        <w:t>期，按本合同“一、《供货一览表》”关于</w:t>
      </w:r>
      <w:r>
        <w:rPr>
          <w:rFonts w:hint="eastAsia" w:ascii="宋体" w:hAnsi="宋体" w:cs="仿宋"/>
          <w:bCs/>
          <w:color w:val="auto"/>
          <w:szCs w:val="21"/>
          <w:highlight w:val="none"/>
          <w:lang w:eastAsia="zh-CN"/>
        </w:rPr>
        <w:t>保修</w:t>
      </w:r>
      <w:r>
        <w:rPr>
          <w:rFonts w:hint="eastAsia" w:ascii="宋体" w:hAnsi="宋体" w:cs="仿宋"/>
          <w:bCs/>
          <w:color w:val="auto"/>
          <w:szCs w:val="21"/>
          <w:highlight w:val="none"/>
        </w:rPr>
        <w:t>期的内容执行</w:t>
      </w:r>
      <w:r>
        <w:rPr>
          <w:rFonts w:hint="eastAsia" w:ascii="宋体" w:hAnsi="宋体" w:cs="仿宋"/>
          <w:bCs/>
          <w:color w:val="auto"/>
          <w:szCs w:val="21"/>
          <w:highlight w:val="none"/>
          <w:lang w:val="en-US" w:eastAsia="zh-CN"/>
        </w:rPr>
        <w:t>为   年（国家法律法规、规章、规范性文件或相关技术标准、规范有更长保修期规定的，从其规定）</w:t>
      </w:r>
      <w:r>
        <w:rPr>
          <w:rFonts w:hint="eastAsia" w:ascii="宋体" w:hAnsi="宋体" w:cs="仿宋"/>
          <w:bCs/>
          <w:color w:val="auto"/>
          <w:szCs w:val="21"/>
          <w:highlight w:val="none"/>
        </w:rPr>
        <w:t>，免费保修包含需要更换的零配件的费用。因</w:t>
      </w:r>
      <w:r>
        <w:rPr>
          <w:rFonts w:hint="eastAsia" w:ascii="宋体" w:hAnsi="宋体" w:eastAsia="宋体" w:cs="仿宋"/>
          <w:bCs/>
          <w:color w:val="auto"/>
          <w:szCs w:val="21"/>
          <w:highlight w:val="none"/>
        </w:rPr>
        <w:t>人为因素出现的故障不在免费保修范围内。超过保修期的机器设备</w:t>
      </w:r>
      <w:r>
        <w:rPr>
          <w:rFonts w:hint="eastAsia" w:ascii="宋体" w:hAnsi="宋体" w:eastAsia="宋体" w:cs="仿宋"/>
          <w:bCs/>
          <w:color w:val="auto"/>
          <w:szCs w:val="21"/>
          <w:highlight w:val="none"/>
          <w:lang w:val="en-US" w:eastAsia="zh-CN"/>
        </w:rPr>
        <w:t>，终生维修，维修时只收部件成本费。</w:t>
      </w:r>
      <w:r>
        <w:rPr>
          <w:rFonts w:hint="eastAsia" w:ascii="宋体" w:hAnsi="宋体" w:eastAsia="宋体" w:cs="仿宋"/>
          <w:bCs/>
          <w:color w:val="auto"/>
          <w:szCs w:val="21"/>
          <w:highlight w:val="none"/>
        </w:rPr>
        <w:t>若</w:t>
      </w:r>
      <w:r>
        <w:rPr>
          <w:rFonts w:hint="eastAsia" w:ascii="宋体" w:hAnsi="宋体" w:cs="仿宋"/>
          <w:bCs/>
          <w:color w:val="auto"/>
          <w:szCs w:val="21"/>
          <w:highlight w:val="none"/>
          <w:lang w:eastAsia="zh-CN"/>
        </w:rPr>
        <w:t>保修</w:t>
      </w:r>
      <w:r>
        <w:rPr>
          <w:rFonts w:hint="eastAsia" w:ascii="宋体" w:hAnsi="宋体" w:eastAsia="宋体" w:cs="仿宋"/>
          <w:bCs/>
          <w:color w:val="auto"/>
          <w:szCs w:val="21"/>
          <w:highlight w:val="none"/>
        </w:rPr>
        <w:t>期满后，仍存在</w:t>
      </w:r>
      <w:r>
        <w:rPr>
          <w:rFonts w:hint="eastAsia" w:ascii="宋体" w:hAnsi="宋体" w:cs="仿宋"/>
          <w:bCs/>
          <w:color w:val="auto"/>
          <w:szCs w:val="21"/>
          <w:highlight w:val="none"/>
          <w:lang w:eastAsia="zh-CN"/>
        </w:rPr>
        <w:t>保修</w:t>
      </w:r>
      <w:r>
        <w:rPr>
          <w:rFonts w:hint="eastAsia" w:ascii="宋体" w:hAnsi="宋体" w:eastAsia="宋体" w:cs="仿宋"/>
          <w:bCs/>
          <w:color w:val="auto"/>
          <w:szCs w:val="21"/>
          <w:highlight w:val="none"/>
        </w:rPr>
        <w:t>期内未解决的技术问题或未完成的任务，乙方应按照合同约定继续提供售后服务，直至问题解决或任务完成为止。</w:t>
      </w:r>
    </w:p>
    <w:p w14:paraId="0D53FFA0">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5、乙方提供的服务承诺和售后服务及保修期责任等其它具体约定事项。（见合同附件）</w:t>
      </w:r>
    </w:p>
    <w:p w14:paraId="2D416D34">
      <w:pPr>
        <w:snapToGrid w:val="0"/>
        <w:spacing w:line="360" w:lineRule="auto"/>
        <w:ind w:left="422" w:hanging="422" w:hanging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第八条  付款条件</w:t>
      </w:r>
    </w:p>
    <w:p w14:paraId="0519C0A1">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lang w:val="en-US" w:eastAsia="zh-CN"/>
        </w:rPr>
        <w:t>1、</w:t>
      </w:r>
      <w:r>
        <w:rPr>
          <w:rFonts w:hint="eastAsia" w:ascii="宋体" w:hAnsi="宋体" w:cs="仿宋"/>
          <w:bCs/>
          <w:color w:val="auto"/>
          <w:szCs w:val="21"/>
          <w:highlight w:val="none"/>
        </w:rPr>
        <w:t>付款方式：以银行转账形式汇款到乙方银行账户。</w:t>
      </w:r>
    </w:p>
    <w:p w14:paraId="4582B8F0">
      <w:pPr>
        <w:snapToGrid w:val="0"/>
        <w:spacing w:line="360" w:lineRule="auto"/>
        <w:ind w:left="0" w:firstLine="424" w:firstLineChars="202"/>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2、</w:t>
      </w:r>
      <w:r>
        <w:rPr>
          <w:rFonts w:hint="eastAsia" w:ascii="宋体" w:hAnsi="宋体" w:cs="仿宋"/>
          <w:bCs/>
          <w:color w:val="auto"/>
          <w:szCs w:val="21"/>
          <w:highlight w:val="none"/>
        </w:rPr>
        <w:t>付款计划：本项目采用分期付款方式结算。</w:t>
      </w:r>
    </w:p>
    <w:p w14:paraId="2DEAD9CD">
      <w:pPr>
        <w:snapToGrid w:val="0"/>
        <w:spacing w:line="360" w:lineRule="auto"/>
        <w:ind w:firstLine="424" w:firstLineChars="202"/>
        <w:rPr>
          <w:rFonts w:hint="eastAsia" w:ascii="宋体" w:hAnsi="宋体" w:cs="仿宋"/>
          <w:bCs/>
          <w:color w:val="auto"/>
          <w:szCs w:val="21"/>
          <w:highlight w:val="none"/>
        </w:rPr>
      </w:pPr>
      <w:r>
        <w:rPr>
          <w:rFonts w:hint="eastAsia" w:ascii="宋体" w:hAnsi="宋体" w:cs="仿宋"/>
          <w:bCs/>
          <w:color w:val="auto"/>
          <w:szCs w:val="21"/>
          <w:highlight w:val="none"/>
          <w:lang w:eastAsia="zh-CN"/>
        </w:rPr>
        <w:t>首期款：签订合同后10个工作日内，乙方开具30%合同总金额的预付款保函（保函有效期至甲方提取全部货物并完成验收合格后），甲方收到乙方付款申请和银行保函后支付30%合同款至乙方指定对公银行账户。</w:t>
      </w:r>
    </w:p>
    <w:p w14:paraId="3A9ACC0E">
      <w:pPr>
        <w:snapToGrid w:val="0"/>
        <w:spacing w:line="360" w:lineRule="auto"/>
        <w:ind w:firstLine="424" w:firstLineChars="202"/>
        <w:rPr>
          <w:rFonts w:hint="eastAsia" w:ascii="宋体" w:hAnsi="宋体" w:eastAsia="宋体" w:cs="仿宋"/>
          <w:bCs/>
          <w:color w:val="auto"/>
          <w:szCs w:val="21"/>
          <w:highlight w:val="none"/>
        </w:rPr>
      </w:pPr>
      <w:r>
        <w:rPr>
          <w:rFonts w:hint="eastAsia" w:ascii="宋体" w:hAnsi="宋体" w:eastAsia="宋体" w:cs="仿宋"/>
          <w:bCs/>
          <w:color w:val="auto"/>
          <w:szCs w:val="21"/>
          <w:highlight w:val="none"/>
        </w:rPr>
        <w:t>二期款：所有设备送达甲方指定地点，安装调试完毕且验收合格后，乙方开立发票（发票类型根据甲方要求提供）和付款申请给甲方，甲方收到前述资料后的10个工作日内支付70%合同款至乙方指定对公银行账户。因乙方未向甲方提供发票致使甲方迟延付款的，甲方不承担违约责任。</w:t>
      </w:r>
    </w:p>
    <w:p w14:paraId="1D000406">
      <w:pPr>
        <w:snapToGrid w:val="0"/>
        <w:spacing w:line="360" w:lineRule="auto"/>
        <w:ind w:left="422" w:hanging="422" w:hanging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税费</w:t>
      </w:r>
    </w:p>
    <w:p w14:paraId="71C44725">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本合同执行中相关的一切税费均由乙方负担。</w:t>
      </w:r>
    </w:p>
    <w:p w14:paraId="19F7D825">
      <w:pPr>
        <w:snapToGrid w:val="0"/>
        <w:spacing w:line="360" w:lineRule="auto"/>
        <w:ind w:left="422" w:hanging="422" w:hanging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第十条、违约责任</w:t>
      </w:r>
    </w:p>
    <w:p w14:paraId="179328A8">
      <w:pPr>
        <w:pStyle w:val="64"/>
        <w:spacing w:line="360" w:lineRule="auto"/>
        <w:ind w:firstLine="48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1、乙方所提供的货物规格、技术标准、材料等质量不合格的，或提供的货物名称、商标品牌、生产厂家、规格型号、技术参数等相关内容未满足甲方</w:t>
      </w:r>
      <w:r>
        <w:rPr>
          <w:rFonts w:hint="eastAsia" w:ascii="宋体" w:hAnsi="宋体" w:eastAsia="宋体" w:cs="宋体"/>
          <w:bCs/>
          <w:color w:val="auto"/>
          <w:sz w:val="21"/>
          <w:szCs w:val="21"/>
          <w:highlight w:val="none"/>
          <w:lang w:eastAsia="zh-CN"/>
        </w:rPr>
        <w:t>竞争性谈判文件</w:t>
      </w:r>
      <w:r>
        <w:rPr>
          <w:rFonts w:hint="eastAsia" w:ascii="宋体" w:hAnsi="宋体" w:eastAsia="宋体" w:cs="宋体"/>
          <w:bCs/>
          <w:color w:val="auto"/>
          <w:sz w:val="21"/>
          <w:szCs w:val="21"/>
          <w:highlight w:val="none"/>
        </w:rPr>
        <w:t>要求的（或与乙方投标（响应）文件及有关承诺不一致的），或不能满足甲方项目实施要求的，应及时更换，</w:t>
      </w:r>
      <w:r>
        <w:rPr>
          <w:rFonts w:hint="eastAsia" w:ascii="宋体" w:hAnsi="宋体" w:eastAsia="宋体" w:cs="宋体"/>
          <w:bCs/>
          <w:color w:val="auto"/>
          <w:sz w:val="21"/>
          <w:szCs w:val="21"/>
          <w:highlight w:val="none"/>
          <w:lang w:val="en-US" w:eastAsia="zh-CN"/>
        </w:rPr>
        <w:t>一个月内</w:t>
      </w:r>
      <w:r>
        <w:rPr>
          <w:rFonts w:hint="eastAsia" w:ascii="宋体" w:hAnsi="宋体" w:eastAsia="宋体" w:cs="宋体"/>
          <w:bCs/>
          <w:color w:val="auto"/>
          <w:sz w:val="21"/>
          <w:szCs w:val="21"/>
          <w:highlight w:val="none"/>
        </w:rPr>
        <w:t>更换不及时</w:t>
      </w:r>
      <w:r>
        <w:rPr>
          <w:rFonts w:hint="eastAsia" w:ascii="宋体" w:hAnsi="宋体" w:eastAsia="宋体" w:cs="宋体"/>
          <w:bCs/>
          <w:color w:val="auto"/>
          <w:sz w:val="21"/>
          <w:szCs w:val="21"/>
          <w:highlight w:val="none"/>
          <w:lang w:val="en-US" w:eastAsia="zh-CN"/>
        </w:rPr>
        <w:t>或者更换后仍然存在上述问题</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视为乙方不具备履约能力，甲方有权解除合同，</w:t>
      </w:r>
      <w:r>
        <w:rPr>
          <w:rFonts w:hint="eastAsia" w:ascii="宋体" w:hAnsi="宋体" w:eastAsia="宋体" w:cs="宋体"/>
          <w:bCs/>
          <w:color w:val="auto"/>
          <w:sz w:val="21"/>
          <w:szCs w:val="21"/>
          <w:highlight w:val="none"/>
          <w:lang w:val="en-US" w:eastAsia="zh-Hans"/>
        </w:rPr>
        <w:t>并</w:t>
      </w:r>
      <w:r>
        <w:rPr>
          <w:rFonts w:hint="eastAsia" w:ascii="宋体" w:hAnsi="宋体" w:eastAsia="宋体" w:cs="宋体"/>
          <w:bCs/>
          <w:color w:val="auto"/>
          <w:sz w:val="21"/>
          <w:szCs w:val="21"/>
          <w:highlight w:val="none"/>
          <w:lang w:val="en-US" w:eastAsia="zh-CN"/>
        </w:rPr>
        <w:t>要求乙方退还已收款项</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支付合同总金额30%的违约金，若违约金不足以弥补甲方经济损失，超出部分乙方还应予以赔偿。本合同所指甲方经济损失包括但不限于直接经济损失、甲方聘请第三方提供相应服务的费用、向第三方支付的赔偿金或补偿金、行政处罚等直接和间接经济损失。因更换导致逾期交货的，按照逾期交货产生的违约责任处理。</w:t>
      </w:r>
    </w:p>
    <w:p w14:paraId="7DBEB81B">
      <w:pPr>
        <w:pStyle w:val="64"/>
        <w:spacing w:line="360" w:lineRule="auto"/>
        <w:ind w:firstLine="48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2、乙方逾期交货的，</w:t>
      </w:r>
      <w:r>
        <w:rPr>
          <w:rFonts w:hint="eastAsia" w:ascii="宋体" w:hAnsi="宋体" w:eastAsia="宋体" w:cs="宋体"/>
          <w:bCs/>
          <w:color w:val="auto"/>
          <w:sz w:val="21"/>
          <w:szCs w:val="21"/>
          <w:highlight w:val="none"/>
          <w:lang w:val="en-US" w:eastAsia="zh-Hans"/>
        </w:rPr>
        <w:t>每延迟一日按合同</w:t>
      </w:r>
      <w:r>
        <w:rPr>
          <w:rFonts w:hint="eastAsia" w:ascii="宋体" w:hAnsi="宋体" w:eastAsia="宋体" w:cs="宋体"/>
          <w:bCs/>
          <w:color w:val="auto"/>
          <w:sz w:val="21"/>
          <w:szCs w:val="21"/>
          <w:highlight w:val="none"/>
          <w:lang w:val="en-US" w:eastAsia="zh-CN"/>
        </w:rPr>
        <w:t>总</w:t>
      </w:r>
      <w:r>
        <w:rPr>
          <w:rFonts w:hint="eastAsia" w:ascii="宋体" w:hAnsi="宋体" w:eastAsia="宋体" w:cs="宋体"/>
          <w:bCs/>
          <w:color w:val="auto"/>
          <w:sz w:val="21"/>
          <w:szCs w:val="21"/>
          <w:highlight w:val="none"/>
          <w:lang w:val="en-US" w:eastAsia="zh-Hans"/>
        </w:rPr>
        <w:t>价款的万分之五</w:t>
      </w:r>
      <w:r>
        <w:rPr>
          <w:rFonts w:hint="eastAsia" w:ascii="宋体" w:hAnsi="宋体" w:eastAsia="宋体" w:cs="宋体"/>
          <w:bCs/>
          <w:color w:val="auto"/>
          <w:sz w:val="21"/>
          <w:szCs w:val="21"/>
          <w:highlight w:val="none"/>
          <w:lang w:val="en-US" w:eastAsia="zh-CN"/>
        </w:rPr>
        <w:t>向甲方支付违约金。</w:t>
      </w:r>
      <w:r>
        <w:rPr>
          <w:rFonts w:hint="eastAsia" w:ascii="宋体" w:hAnsi="宋体" w:eastAsia="宋体" w:cs="宋体"/>
          <w:bCs/>
          <w:color w:val="auto"/>
          <w:sz w:val="21"/>
          <w:szCs w:val="21"/>
          <w:highlight w:val="none"/>
          <w:lang w:val="en-US" w:eastAsia="zh-Hans"/>
        </w:rPr>
        <w:t>如</w:t>
      </w:r>
      <w:r>
        <w:rPr>
          <w:rFonts w:hint="eastAsia" w:ascii="宋体" w:hAnsi="宋体" w:eastAsia="宋体" w:cs="宋体"/>
          <w:bCs/>
          <w:color w:val="auto"/>
          <w:sz w:val="21"/>
          <w:szCs w:val="21"/>
          <w:highlight w:val="none"/>
          <w:lang w:val="en-US" w:eastAsia="zh-CN"/>
        </w:rPr>
        <w:t>迟延</w:t>
      </w:r>
      <w:r>
        <w:rPr>
          <w:rFonts w:hint="eastAsia" w:ascii="宋体" w:hAnsi="宋体" w:eastAsia="宋体" w:cs="宋体"/>
          <w:bCs/>
          <w:color w:val="auto"/>
          <w:sz w:val="21"/>
          <w:szCs w:val="21"/>
          <w:highlight w:val="none"/>
          <w:lang w:val="en-US" w:eastAsia="zh-Hans"/>
        </w:rPr>
        <w:t>超过</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lang w:val="en-US" w:eastAsia="zh-Hans"/>
        </w:rPr>
        <w:t>日</w:t>
      </w:r>
      <w:r>
        <w:rPr>
          <w:rFonts w:hint="eastAsia" w:ascii="宋体" w:hAnsi="宋体" w:eastAsia="宋体" w:cs="宋体"/>
          <w:bCs/>
          <w:color w:val="auto"/>
          <w:sz w:val="21"/>
          <w:szCs w:val="21"/>
          <w:highlight w:val="none"/>
          <w:lang w:val="en-US" w:eastAsia="zh-CN"/>
        </w:rPr>
        <w:t>仍未能交付（涉疫情、救灾、应急等急需物的，乙方迟延3日不能交付）的，视为乙方不具备履约能力，甲方有权</w:t>
      </w:r>
      <w:r>
        <w:rPr>
          <w:rFonts w:hint="eastAsia" w:ascii="宋体" w:hAnsi="宋体" w:eastAsia="宋体" w:cs="宋体"/>
          <w:bCs/>
          <w:color w:val="auto"/>
          <w:sz w:val="21"/>
          <w:szCs w:val="21"/>
          <w:highlight w:val="none"/>
          <w:lang w:val="en-US" w:eastAsia="zh-Hans"/>
        </w:rPr>
        <w:t>单方</w:t>
      </w:r>
      <w:r>
        <w:rPr>
          <w:rFonts w:hint="eastAsia" w:ascii="宋体" w:hAnsi="宋体" w:eastAsia="宋体" w:cs="宋体"/>
          <w:bCs/>
          <w:color w:val="auto"/>
          <w:sz w:val="21"/>
          <w:szCs w:val="21"/>
          <w:highlight w:val="none"/>
          <w:lang w:val="en-US" w:eastAsia="zh-CN"/>
        </w:rPr>
        <w:t>解除合同并可要求乙方退还已收款项、支付合同总金额30%的违约金，若违约金不足以弥补甲方经济损失，超出部分乙方还应予以赔偿。</w:t>
      </w:r>
    </w:p>
    <w:p w14:paraId="75D605CA">
      <w:pPr>
        <w:pStyle w:val="64"/>
        <w:spacing w:line="360" w:lineRule="auto"/>
        <w:ind w:firstLine="48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甲方逾期付款的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乙方逾期交货的，甲方付款时间可以相应顺延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每延迟一日按迟延付款额的万分之一向乙方支付违约金，但</w:t>
      </w:r>
      <w:r>
        <w:rPr>
          <w:rFonts w:hint="eastAsia" w:ascii="宋体" w:hAnsi="宋体" w:eastAsia="宋体" w:cs="宋体"/>
          <w:bCs/>
          <w:color w:val="auto"/>
          <w:sz w:val="21"/>
          <w:szCs w:val="21"/>
          <w:highlight w:val="none"/>
        </w:rPr>
        <w:t>违约金累计不得超过</w:t>
      </w:r>
      <w:r>
        <w:rPr>
          <w:rFonts w:hint="eastAsia" w:ascii="宋体" w:hAnsi="宋体" w:eastAsia="宋体" w:cs="宋体"/>
          <w:bCs/>
          <w:color w:val="auto"/>
          <w:sz w:val="21"/>
          <w:szCs w:val="21"/>
          <w:highlight w:val="none"/>
          <w:lang w:val="en-US" w:eastAsia="zh-CN"/>
        </w:rPr>
        <w:t>迟延付款额的</w:t>
      </w: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因</w:t>
      </w:r>
      <w:r>
        <w:rPr>
          <w:rFonts w:hint="eastAsia" w:ascii="宋体" w:hAnsi="宋体" w:eastAsia="宋体" w:cs="宋体"/>
          <w:bCs/>
          <w:color w:val="auto"/>
          <w:sz w:val="21"/>
          <w:szCs w:val="21"/>
          <w:highlight w:val="none"/>
          <w:lang w:val="en-US" w:eastAsia="zh-CN"/>
        </w:rPr>
        <w:t>乙</w:t>
      </w:r>
      <w:r>
        <w:rPr>
          <w:rFonts w:hint="eastAsia" w:ascii="宋体" w:hAnsi="宋体" w:eastAsia="宋体" w:cs="宋体"/>
          <w:bCs/>
          <w:color w:val="auto"/>
          <w:sz w:val="21"/>
          <w:szCs w:val="21"/>
          <w:highlight w:val="none"/>
        </w:rPr>
        <w:t>方未向</w:t>
      </w:r>
      <w:r>
        <w:rPr>
          <w:rFonts w:hint="eastAsia" w:ascii="宋体" w:hAnsi="宋体" w:eastAsia="宋体" w:cs="宋体"/>
          <w:bCs/>
          <w:color w:val="auto"/>
          <w:sz w:val="21"/>
          <w:szCs w:val="21"/>
          <w:highlight w:val="none"/>
          <w:lang w:val="en-US" w:eastAsia="zh-CN"/>
        </w:rPr>
        <w:t>甲</w:t>
      </w:r>
      <w:r>
        <w:rPr>
          <w:rFonts w:hint="eastAsia" w:ascii="宋体" w:hAnsi="宋体" w:eastAsia="宋体" w:cs="宋体"/>
          <w:bCs/>
          <w:color w:val="auto"/>
          <w:sz w:val="21"/>
          <w:szCs w:val="21"/>
          <w:highlight w:val="none"/>
        </w:rPr>
        <w:t>方提供足额且符合税法规定的发票致使甲方迟延付款的，甲方无需向乙方支付违约金</w:t>
      </w:r>
      <w:r>
        <w:rPr>
          <w:rFonts w:hint="eastAsia" w:ascii="宋体" w:hAnsi="宋体" w:eastAsia="宋体" w:cs="宋体"/>
          <w:bCs/>
          <w:color w:val="auto"/>
          <w:sz w:val="21"/>
          <w:szCs w:val="21"/>
          <w:highlight w:val="none"/>
          <w:lang w:eastAsia="zh-CN"/>
        </w:rPr>
        <w:t>。</w:t>
      </w:r>
    </w:p>
    <w:p w14:paraId="794A017B">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、乙方提供的货物如侵犯了第三方合法权益而引发的任何纠纷或诉讼，均由乙方负责交涉并承担全部责任</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造成甲方经济损失的，乙方应向甲方赔偿该损失</w:t>
      </w:r>
      <w:r>
        <w:rPr>
          <w:rFonts w:hint="eastAsia" w:ascii="宋体" w:hAnsi="宋体" w:eastAsia="宋体" w:cs="宋体"/>
          <w:bCs/>
          <w:color w:val="auto"/>
          <w:sz w:val="21"/>
          <w:szCs w:val="21"/>
          <w:highlight w:val="none"/>
        </w:rPr>
        <w:t>。</w:t>
      </w:r>
    </w:p>
    <w:p w14:paraId="43EF2B74">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、因包装、运输引起的货物损坏，按质量不合格</w:t>
      </w:r>
      <w:r>
        <w:rPr>
          <w:rFonts w:hint="eastAsia" w:ascii="宋体" w:hAnsi="宋体" w:eastAsia="宋体" w:cs="宋体"/>
          <w:bCs/>
          <w:color w:val="auto"/>
          <w:sz w:val="21"/>
          <w:szCs w:val="21"/>
          <w:highlight w:val="none"/>
          <w:lang w:val="en-US" w:eastAsia="zh-CN"/>
        </w:rPr>
        <w:t>处理</w:t>
      </w:r>
      <w:r>
        <w:rPr>
          <w:rFonts w:hint="eastAsia" w:ascii="宋体" w:hAnsi="宋体" w:eastAsia="宋体" w:cs="宋体"/>
          <w:bCs/>
          <w:color w:val="auto"/>
          <w:sz w:val="21"/>
          <w:szCs w:val="21"/>
          <w:highlight w:val="none"/>
        </w:rPr>
        <w:t>。</w:t>
      </w:r>
    </w:p>
    <w:p w14:paraId="08ED348F">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、乙方未按本合同和</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中约定的服务承诺提供售后服务或未履行保修期责任等</w:t>
      </w:r>
      <w:r>
        <w:rPr>
          <w:rFonts w:hint="eastAsia" w:ascii="宋体" w:hAnsi="宋体" w:eastAsia="宋体" w:cs="宋体"/>
          <w:bCs/>
          <w:color w:val="auto"/>
          <w:sz w:val="21"/>
          <w:szCs w:val="21"/>
          <w:highlight w:val="none"/>
          <w:lang w:val="en-US" w:eastAsia="zh-CN"/>
        </w:rPr>
        <w:t>义务</w:t>
      </w:r>
      <w:r>
        <w:rPr>
          <w:rFonts w:hint="eastAsia" w:ascii="宋体" w:hAnsi="宋体" w:eastAsia="宋体" w:cs="宋体"/>
          <w:bCs/>
          <w:color w:val="auto"/>
          <w:sz w:val="21"/>
          <w:szCs w:val="21"/>
          <w:highlight w:val="none"/>
        </w:rPr>
        <w:t>的，甲方有权选聘有相应资质的第三方提供</w:t>
      </w:r>
      <w:r>
        <w:rPr>
          <w:rFonts w:hint="eastAsia" w:ascii="宋体" w:hAnsi="宋体" w:eastAsia="宋体" w:cs="宋体"/>
          <w:bCs/>
          <w:color w:val="auto"/>
          <w:sz w:val="21"/>
          <w:szCs w:val="21"/>
          <w:highlight w:val="none"/>
          <w:lang w:val="en-US" w:eastAsia="zh-CN"/>
        </w:rPr>
        <w:t>服务或履行保修期责任</w:t>
      </w:r>
      <w:r>
        <w:rPr>
          <w:rFonts w:hint="eastAsia" w:ascii="宋体" w:hAnsi="宋体" w:eastAsia="宋体" w:cs="宋体"/>
          <w:bCs/>
          <w:color w:val="auto"/>
          <w:sz w:val="21"/>
          <w:szCs w:val="21"/>
          <w:highlight w:val="none"/>
        </w:rPr>
        <w:t>，全部费用由乙方承担，且视乙方违约情节，要求乙方按本合同</w:t>
      </w:r>
      <w:r>
        <w:rPr>
          <w:rFonts w:hint="eastAsia" w:ascii="宋体" w:hAnsi="宋体" w:eastAsia="宋体" w:cs="宋体"/>
          <w:bCs/>
          <w:color w:val="auto"/>
          <w:sz w:val="21"/>
          <w:szCs w:val="21"/>
          <w:highlight w:val="none"/>
          <w:lang w:val="en-US" w:eastAsia="zh-CN"/>
        </w:rPr>
        <w:t>总价款的</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20</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向甲方支付违约金</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违约金不足以弥补甲方全部损失的，超出部分乙方还应予以赔偿</w:t>
      </w:r>
      <w:r>
        <w:rPr>
          <w:rFonts w:hint="eastAsia" w:ascii="宋体" w:hAnsi="宋体" w:eastAsia="宋体" w:cs="宋体"/>
          <w:bCs/>
          <w:color w:val="auto"/>
          <w:sz w:val="21"/>
          <w:szCs w:val="21"/>
          <w:highlight w:val="none"/>
        </w:rPr>
        <w:t>。</w:t>
      </w:r>
    </w:p>
    <w:p w14:paraId="7F291B21">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因乙方提供的货物存在质量问题、权利瑕疵等情形导致甲方、甲方工作人员或任何第三方人员伤亡和财产损失（包含但不限于货物本身毁损、因货物知识产权侵权赔偿责任等）的，全部法律责任及全部损失由乙方承担。</w:t>
      </w:r>
    </w:p>
    <w:p w14:paraId="28BC8392">
      <w:pPr>
        <w:snapToGrid w:val="0"/>
        <w:spacing w:line="360" w:lineRule="auto"/>
        <w:ind w:left="0" w:leftChars="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其它违约行为，违约方按合同总金额</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%向守约方支付违约金并赔偿守约方</w:t>
      </w:r>
      <w:r>
        <w:rPr>
          <w:rFonts w:hint="eastAsia" w:ascii="宋体" w:hAnsi="宋体" w:eastAsia="宋体" w:cs="宋体"/>
          <w:bCs/>
          <w:color w:val="auto"/>
          <w:sz w:val="21"/>
          <w:szCs w:val="21"/>
          <w:highlight w:val="none"/>
          <w:lang w:val="en-US" w:eastAsia="zh-CN"/>
        </w:rPr>
        <w:t>因此造成的</w:t>
      </w:r>
      <w:r>
        <w:rPr>
          <w:rFonts w:hint="eastAsia" w:ascii="宋体" w:hAnsi="宋体" w:eastAsia="宋体" w:cs="宋体"/>
          <w:bCs/>
          <w:color w:val="auto"/>
          <w:sz w:val="21"/>
          <w:szCs w:val="21"/>
          <w:highlight w:val="none"/>
        </w:rPr>
        <w:t>经济</w:t>
      </w:r>
      <w:r>
        <w:rPr>
          <w:rFonts w:hint="eastAsia" w:ascii="宋体" w:hAnsi="宋体" w:eastAsia="宋体" w:cs="宋体"/>
          <w:bCs/>
          <w:color w:val="auto"/>
          <w:sz w:val="21"/>
          <w:szCs w:val="21"/>
          <w:highlight w:val="none"/>
          <w:lang w:val="en-US" w:eastAsia="zh-CN"/>
        </w:rPr>
        <w:t>损</w:t>
      </w:r>
      <w:r>
        <w:rPr>
          <w:rFonts w:hint="eastAsia" w:ascii="宋体" w:hAnsi="宋体" w:eastAsia="宋体" w:cs="宋体"/>
          <w:bCs/>
          <w:color w:val="auto"/>
          <w:sz w:val="21"/>
          <w:szCs w:val="21"/>
          <w:highlight w:val="none"/>
        </w:rPr>
        <w:t>失。</w:t>
      </w:r>
    </w:p>
    <w:p w14:paraId="643F9E89">
      <w:pPr>
        <w:widowControl w:val="0"/>
        <w:snapToGrid w:val="0"/>
        <w:spacing w:line="360" w:lineRule="auto"/>
        <w:ind w:left="0" w:leftChars="0" w:firstLine="424" w:firstLineChars="202"/>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kern w:val="2"/>
          <w:sz w:val="21"/>
          <w:szCs w:val="21"/>
          <w:highlight w:val="none"/>
          <w:lang w:bidi="ar-SA"/>
        </w:rPr>
        <w:t>因乙方违约导致甲方维权所产生的各项损失，包括但不限于诉讼费/仲裁费、保全费、诉讼保全保险费、执行费、律师费以及相关人员的差旅费等，均由乙方承担。</w:t>
      </w:r>
    </w:p>
    <w:p w14:paraId="69CF744E">
      <w:pPr>
        <w:snapToGrid w:val="0"/>
        <w:spacing w:line="360" w:lineRule="auto"/>
        <w:ind w:left="0" w:leftChars="0" w:firstLine="424" w:firstLineChars="202"/>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10、乙方有违约行为之一，应承担违约责任，相应违约费用甲方可在应付乙方的任何款项中扣除或以其他方式收回。</w:t>
      </w:r>
    </w:p>
    <w:p w14:paraId="5B32FB0E">
      <w:pPr>
        <w:snapToGrid w:val="0"/>
        <w:spacing w:line="360" w:lineRule="auto"/>
        <w:ind w:left="420" w:hanging="420" w:hangingChars="199"/>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一</w:t>
      </w:r>
      <w:r>
        <w:rPr>
          <w:rFonts w:hint="eastAsia" w:ascii="宋体" w:hAnsi="宋体" w:eastAsia="宋体" w:cs="宋体"/>
          <w:b/>
          <w:color w:val="auto"/>
          <w:sz w:val="21"/>
          <w:szCs w:val="21"/>
          <w:highlight w:val="none"/>
        </w:rPr>
        <w:t>条、履约保证金</w:t>
      </w:r>
      <w:r>
        <w:rPr>
          <w:rFonts w:hint="eastAsia" w:ascii="宋体" w:hAnsi="宋体" w:eastAsia="宋体" w:cs="宋体"/>
          <w:b/>
          <w:color w:val="auto"/>
          <w:sz w:val="21"/>
          <w:szCs w:val="21"/>
          <w:highlight w:val="none"/>
          <w:lang w:val="en-US" w:eastAsia="zh-CN"/>
        </w:rPr>
        <w:t xml:space="preserve"> </w:t>
      </w:r>
    </w:p>
    <w:p w14:paraId="06FF78AA">
      <w:pPr>
        <w:snapToGrid w:val="0"/>
        <w:spacing w:line="360" w:lineRule="auto"/>
        <w:ind w:firstLine="424" w:firstLineChars="202"/>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履约保证金金额：无。</w:t>
      </w:r>
    </w:p>
    <w:p w14:paraId="5F54497E">
      <w:pPr>
        <w:snapToGrid w:val="0"/>
        <w:spacing w:line="360" w:lineRule="auto"/>
        <w:ind w:left="422" w:hanging="422" w:hanging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不可抗力事件处理</w:t>
      </w:r>
    </w:p>
    <w:p w14:paraId="549751ED">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1、在合同有效期内，任何一方因不可抗力事件导致不能履行合同，则合同履行期可延长，其延长期与不可抗力影响期相同。</w:t>
      </w:r>
    </w:p>
    <w:p w14:paraId="39DB26A9">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2、不可抗力事件发生后，应立即通知对方，并寄送有关权威机构出具的证明。</w:t>
      </w:r>
    </w:p>
    <w:p w14:paraId="664E5B5C">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3、不可抗力事件延续一百二十天以上，双方应通过友好协商，确定是否继续履行合同。</w:t>
      </w:r>
    </w:p>
    <w:p w14:paraId="7C575FB5">
      <w:pPr>
        <w:snapToGrid w:val="0"/>
        <w:spacing w:line="360" w:lineRule="auto"/>
        <w:ind w:left="422" w:hanging="422" w:hanging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合同争议解决</w:t>
      </w:r>
    </w:p>
    <w:p w14:paraId="25F66B45">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1、因货物质量问题发生争议的，应邀请国家认可的质量检测机构对货物质量进行鉴定。货物符合标准的，鉴定费由甲方承担；货物不符合标准的，鉴定费由乙方承担。</w:t>
      </w:r>
    </w:p>
    <w:p w14:paraId="755DD3BA">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2、因履行本合同引起的或与本合同有关的争议，甲乙双方应首先通过友好协商解决，如果协商不能解决，可向甲方所在地人民法院提起诉讼。</w:t>
      </w:r>
    </w:p>
    <w:p w14:paraId="79A345D2">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3、诉讼期间，本合同继续履行。</w:t>
      </w:r>
    </w:p>
    <w:p w14:paraId="0BD16809">
      <w:pPr>
        <w:snapToGrid w:val="0"/>
        <w:spacing w:line="360" w:lineRule="auto"/>
        <w:ind w:left="422" w:hanging="422" w:hanging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合同生效及其它</w:t>
      </w:r>
    </w:p>
    <w:p w14:paraId="774802F6">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1、合同经双方法定代表人或授权代表签字</w:t>
      </w:r>
      <w:r>
        <w:rPr>
          <w:rFonts w:hint="eastAsia" w:ascii="宋体" w:hAnsi="宋体" w:cs="仿宋"/>
          <w:bCs/>
          <w:color w:val="auto"/>
          <w:szCs w:val="21"/>
          <w:highlight w:val="none"/>
          <w:lang w:eastAsia="zh-CN"/>
        </w:rPr>
        <w:t>（</w:t>
      </w:r>
      <w:r>
        <w:rPr>
          <w:rFonts w:hint="eastAsia" w:ascii="宋体" w:hAnsi="宋体" w:cs="仿宋"/>
          <w:bCs/>
          <w:color w:val="auto"/>
          <w:szCs w:val="21"/>
          <w:highlight w:val="none"/>
          <w:lang w:val="en-US" w:eastAsia="zh-CN"/>
        </w:rPr>
        <w:t>或盖名章）</w:t>
      </w:r>
      <w:r>
        <w:rPr>
          <w:rFonts w:hint="eastAsia" w:ascii="宋体" w:hAnsi="宋体" w:cs="仿宋"/>
          <w:bCs/>
          <w:color w:val="auto"/>
          <w:szCs w:val="21"/>
          <w:highlight w:val="none"/>
        </w:rPr>
        <w:t>并加盖单位公章后生效。</w:t>
      </w:r>
    </w:p>
    <w:p w14:paraId="0E95D810">
      <w:pPr>
        <w:snapToGrid w:val="0"/>
        <w:spacing w:line="360" w:lineRule="auto"/>
        <w:ind w:firstLine="424" w:firstLineChars="202"/>
        <w:rPr>
          <w:rFonts w:ascii="宋体" w:hAnsi="宋体" w:cs="仿宋"/>
          <w:bCs/>
          <w:color w:val="auto"/>
          <w:szCs w:val="21"/>
          <w:highlight w:val="none"/>
        </w:rPr>
      </w:pPr>
      <w:r>
        <w:rPr>
          <w:rFonts w:hint="eastAsia" w:ascii="宋体" w:hAnsi="宋体" w:cs="仿宋"/>
          <w:bCs/>
          <w:color w:val="auto"/>
          <w:szCs w:val="21"/>
          <w:highlight w:val="none"/>
        </w:rPr>
        <w:t>2、合同执行中涉及采购资金和采购内容修改或补充的，</w:t>
      </w:r>
      <w:r>
        <w:rPr>
          <w:rFonts w:hint="eastAsia" w:ascii="宋体" w:hAnsi="宋体" w:cs="仿宋"/>
          <w:bCs/>
          <w:color w:val="auto"/>
          <w:szCs w:val="21"/>
          <w:highlight w:val="none"/>
          <w:lang w:val="en-US" w:eastAsia="zh-CN"/>
        </w:rPr>
        <w:t>经双方协商后，</w:t>
      </w:r>
      <w:r>
        <w:rPr>
          <w:rFonts w:hint="eastAsia" w:ascii="宋体" w:hAnsi="宋体" w:cs="仿宋"/>
          <w:bCs/>
          <w:color w:val="auto"/>
          <w:szCs w:val="21"/>
          <w:highlight w:val="none"/>
        </w:rPr>
        <w:t>签书面补充协议报财政部门备案，方可作为主合同不可分割的一部分。</w:t>
      </w:r>
    </w:p>
    <w:p w14:paraId="7788B2FE">
      <w:pPr>
        <w:snapToGrid w:val="0"/>
        <w:spacing w:line="360" w:lineRule="auto"/>
        <w:ind w:firstLine="424" w:firstLineChars="202"/>
        <w:rPr>
          <w:rFonts w:hint="eastAsia" w:ascii="宋体" w:hAnsi="宋体" w:cs="仿宋"/>
          <w:bCs/>
          <w:color w:val="auto"/>
          <w:szCs w:val="21"/>
          <w:highlight w:val="none"/>
        </w:rPr>
      </w:pPr>
      <w:r>
        <w:rPr>
          <w:rFonts w:hint="eastAsia" w:ascii="宋体" w:hAnsi="宋体" w:cs="仿宋"/>
          <w:bCs/>
          <w:color w:val="auto"/>
          <w:szCs w:val="21"/>
          <w:highlight w:val="none"/>
        </w:rPr>
        <w:t>3.本合同未尽事宜，遵照《中华人民共和国民法典》有关条文执行。</w:t>
      </w:r>
    </w:p>
    <w:p w14:paraId="4D54F8C5">
      <w:pPr>
        <w:snapToGrid w:val="0"/>
        <w:spacing w:line="360" w:lineRule="auto"/>
        <w:ind w:firstLine="424" w:firstLineChars="202"/>
        <w:rPr>
          <w:rFonts w:hint="eastAsia" w:ascii="宋体" w:hAnsi="宋体" w:eastAsia="宋体" w:cs="仿宋"/>
          <w:bCs/>
          <w:color w:val="auto"/>
          <w:szCs w:val="21"/>
          <w:highlight w:val="none"/>
          <w:lang w:val="en-US" w:eastAsia="zh-CN"/>
        </w:rPr>
      </w:pPr>
      <w:r>
        <w:rPr>
          <w:rFonts w:hint="eastAsia" w:ascii="宋体" w:hAnsi="宋体" w:cs="仿宋"/>
          <w:bCs/>
          <w:color w:val="auto"/>
          <w:szCs w:val="21"/>
          <w:highlight w:val="none"/>
          <w:lang w:val="en-US" w:eastAsia="zh-CN"/>
        </w:rPr>
        <w:t>4.本合同落款处甲乙双方所留联系方式均为真实、合法、有效信息，作为双方通知、法院诉讼文书等送达地址；任何一方联系方式变更的，应在变更后及时书面通知对方，否则因</w:t>
      </w:r>
      <w:r>
        <w:rPr>
          <w:rFonts w:hint="eastAsia" w:ascii="宋体" w:hAnsi="宋体" w:eastAsia="宋体" w:cs="仿宋"/>
          <w:bCs/>
          <w:color w:val="auto"/>
          <w:szCs w:val="21"/>
          <w:highlight w:val="none"/>
          <w:lang w:val="en-US" w:eastAsia="zh-CN"/>
        </w:rPr>
        <w:t>此导致的一切不利后果均由未尽到通知义务的一方承担；双方通知、法院诉讼文书等根据所留信息送达，一经发出，满3日均视为送达成功。</w:t>
      </w:r>
    </w:p>
    <w:p w14:paraId="5505CDC4">
      <w:pPr>
        <w:snapToGrid w:val="0"/>
        <w:spacing w:line="360" w:lineRule="auto"/>
        <w:ind w:firstLine="424" w:firstLineChars="202"/>
        <w:rPr>
          <w:rFonts w:hint="default"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5、在本合同签订时，乙方应当向甲方提供其具备开展本合同项目所必需的合法经营资质的证明文件，包括但不限于企业法人营业执照复印件、法定代表人或主要负责人身份证复印件、本次所采购项目的经营许可证/备案等相关的资质证明文件，并加盖公章交付给甲方，因乙方资料提交及签字盖章虚假产生的相关法律责任由乙方承担。</w:t>
      </w:r>
    </w:p>
    <w:p w14:paraId="62B3D070">
      <w:pPr>
        <w:snapToGrid w:val="0"/>
        <w:spacing w:line="360" w:lineRule="auto"/>
        <w:ind w:left="422" w:hanging="422" w:hanging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合同的变更、终止与转让</w:t>
      </w:r>
    </w:p>
    <w:p w14:paraId="52D8B899">
      <w:pPr>
        <w:snapToGrid w:val="0"/>
        <w:spacing w:line="360" w:lineRule="auto"/>
        <w:ind w:firstLine="424" w:firstLineChars="202"/>
        <w:rPr>
          <w:rFonts w:hint="eastAsia" w:ascii="宋体" w:hAnsi="宋体" w:cs="仿宋"/>
          <w:bCs/>
          <w:color w:val="auto"/>
          <w:szCs w:val="21"/>
          <w:highlight w:val="none"/>
        </w:rPr>
      </w:pPr>
      <w:r>
        <w:rPr>
          <w:rFonts w:hint="eastAsia" w:ascii="宋体" w:hAnsi="宋体" w:cs="仿宋"/>
          <w:bCs/>
          <w:color w:val="auto"/>
          <w:szCs w:val="21"/>
          <w:highlight w:val="none"/>
        </w:rPr>
        <w:t>1、除《中华人民共和国政府采购法》第五十条规定的情形外，本合同一经签订，甲乙双方不得擅自变更、中止或终止。</w:t>
      </w:r>
    </w:p>
    <w:p w14:paraId="04CEC92F">
      <w:pPr>
        <w:snapToGrid w:val="0"/>
        <w:spacing w:line="360" w:lineRule="auto"/>
        <w:ind w:firstLine="424" w:firstLineChars="202"/>
        <w:rPr>
          <w:rFonts w:hint="eastAsia" w:eastAsia="宋体"/>
          <w:color w:val="auto"/>
          <w:highlight w:val="none"/>
          <w:lang w:val="en-US" w:eastAsia="zh-CN"/>
        </w:rPr>
      </w:pPr>
      <w:r>
        <w:rPr>
          <w:rFonts w:hint="eastAsia" w:ascii="宋体" w:hAnsi="宋体" w:cs="仿宋"/>
          <w:bCs/>
          <w:color w:val="auto"/>
          <w:szCs w:val="21"/>
          <w:highlight w:val="none"/>
          <w:lang w:val="en-US" w:eastAsia="zh-CN"/>
        </w:rPr>
        <w:t>2、</w:t>
      </w:r>
      <w:r>
        <w:rPr>
          <w:rFonts w:hint="eastAsia" w:ascii="宋体" w:hAnsi="宋体" w:eastAsia="宋体" w:cs="宋体"/>
          <w:bCs/>
          <w:color w:val="auto"/>
          <w:sz w:val="21"/>
          <w:szCs w:val="21"/>
          <w:highlight w:val="none"/>
        </w:rPr>
        <w:t>采购合同继续履行将损害国家利益和社会公共利益的，双方当事人应当变更、中止或者终止合同。有过错的一方应当承担赔偿责任，双方都有过错的，各自承担相应的责任。</w:t>
      </w:r>
    </w:p>
    <w:p w14:paraId="106A8E1C">
      <w:pPr>
        <w:snapToGrid w:val="0"/>
        <w:spacing w:line="360" w:lineRule="auto"/>
        <w:ind w:firstLine="424" w:firstLineChars="202"/>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、乙方不得擅自转让其应履行的合同义务。</w:t>
      </w:r>
    </w:p>
    <w:p w14:paraId="484DF736">
      <w:pPr>
        <w:snapToGrid w:val="0"/>
        <w:spacing w:line="360" w:lineRule="auto"/>
        <w:ind w:firstLine="424" w:firstLineChars="202"/>
        <w:rPr>
          <w:rFonts w:hint="eastAsia" w:ascii="宋体" w:hAnsi="宋体" w:eastAsia="宋体" w:cs="仿宋"/>
          <w:bCs/>
          <w:color w:val="auto"/>
          <w:szCs w:val="21"/>
          <w:highlight w:val="none"/>
          <w:lang w:val="en-US" w:eastAsia="zh-CN"/>
        </w:rPr>
      </w:pPr>
      <w:r>
        <w:rPr>
          <w:rFonts w:hint="eastAsia" w:ascii="宋体" w:hAnsi="宋体" w:cs="仿宋"/>
          <w:bCs/>
          <w:color w:val="auto"/>
          <w:szCs w:val="21"/>
          <w:highlight w:val="none"/>
          <w:lang w:val="en-US" w:eastAsia="zh-CN"/>
        </w:rPr>
        <w:t>4、</w:t>
      </w:r>
      <w:r>
        <w:rPr>
          <w:rFonts w:hint="eastAsia" w:ascii="宋体" w:hAnsi="宋体" w:cs="仿宋"/>
          <w:bCs/>
          <w:color w:val="auto"/>
          <w:sz w:val="21"/>
          <w:szCs w:val="21"/>
          <w:highlight w:val="none"/>
          <w:lang w:val="en-US" w:eastAsia="zh-CN"/>
        </w:rPr>
        <w:t>乙方权利义务不得转让。乙方因本项目对甲方享有债权的，未经甲方同意乙方不得将债权转让，若擅自转让债权的视为对债权的放弃，甲方有权不予支付相应款项。若乙方在对甲方享有的债权未处理之前注销或被吊销的，视为乙方对该债权的放弃，甲方有权不再支付相应款项。</w:t>
      </w:r>
    </w:p>
    <w:p w14:paraId="483DBD62">
      <w:pPr>
        <w:snapToGrid w:val="0"/>
        <w:spacing w:line="360" w:lineRule="auto"/>
        <w:ind w:left="422" w:hanging="422" w:hanging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签订本合同依据</w:t>
      </w:r>
    </w:p>
    <w:p w14:paraId="583A5BBB">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竞争性谈判文件</w:t>
      </w:r>
      <w:r>
        <w:rPr>
          <w:rFonts w:hint="eastAsia" w:ascii="宋体" w:hAnsi="宋体" w:eastAsia="宋体" w:cs="宋体"/>
          <w:bCs/>
          <w:color w:val="auto"/>
          <w:sz w:val="21"/>
          <w:szCs w:val="21"/>
          <w:highlight w:val="none"/>
        </w:rPr>
        <w:t>；</w:t>
      </w:r>
    </w:p>
    <w:p w14:paraId="6C5EBB88">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2、乙方提供的响应或澄清文件；</w:t>
      </w:r>
    </w:p>
    <w:p w14:paraId="6F9A3A62">
      <w:pPr>
        <w:snapToGrid w:val="0"/>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3、承诺书；</w:t>
      </w:r>
    </w:p>
    <w:p w14:paraId="2578E4B6">
      <w:pPr>
        <w:snapToGrid w:val="0"/>
        <w:spacing w:line="360" w:lineRule="auto"/>
        <w:ind w:firstLine="424" w:firstLineChars="202"/>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4、成交通知书。</w:t>
      </w:r>
    </w:p>
    <w:p w14:paraId="324F77B8">
      <w:pPr>
        <w:snapToGrid w:val="0"/>
        <w:spacing w:line="360" w:lineRule="auto"/>
        <w:ind w:left="2"/>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
          <w:bCs w:val="0"/>
          <w:color w:val="auto"/>
          <w:sz w:val="21"/>
          <w:szCs w:val="21"/>
          <w:highlight w:val="none"/>
        </w:rPr>
        <w:t>合同份数与附件</w:t>
      </w:r>
    </w:p>
    <w:p w14:paraId="0914B549">
      <w:pPr>
        <w:snapToGrid w:val="0"/>
        <w:spacing w:line="360" w:lineRule="auto"/>
        <w:ind w:left="2"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1、本合同由甲乙双方在广西政府采购云平台线上审核并签章，签订完成后可在广西政府采购云平台下载存档电子采购合同。</w:t>
      </w:r>
    </w:p>
    <w:p w14:paraId="3D910892">
      <w:pPr>
        <w:snapToGrid w:val="0"/>
        <w:spacing w:line="360" w:lineRule="auto"/>
        <w:ind w:left="2"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2、本合同附件：（1）产品配置清单；（2）售后服务承诺书。</w:t>
      </w:r>
    </w:p>
    <w:p w14:paraId="0B4D4E75">
      <w:pPr>
        <w:pStyle w:val="17"/>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（以下无正文，为本合同签署页）</w:t>
      </w:r>
    </w:p>
    <w:p w14:paraId="412C8D65">
      <w:pPr>
        <w:pStyle w:val="17"/>
        <w:spacing w:line="360" w:lineRule="auto"/>
        <w:rPr>
          <w:rFonts w:hint="eastAsia" w:ascii="宋体" w:hAnsi="宋体" w:eastAsia="宋体" w:cs="宋体"/>
          <w:bCs/>
          <w:color w:val="auto"/>
          <w:kern w:val="2"/>
          <w:sz w:val="21"/>
          <w:szCs w:val="21"/>
          <w:highlight w:val="none"/>
          <w:lang w:val="en-US" w:eastAsia="zh-CN" w:bidi="ar-SA"/>
        </w:rPr>
      </w:pP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6"/>
        <w:gridCol w:w="4417"/>
      </w:tblGrid>
      <w:tr w14:paraId="5F92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13479FBE">
            <w:pPr>
              <w:snapToGrid w:val="0"/>
              <w:ind w:left="48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甲方（章）</w:t>
            </w:r>
          </w:p>
          <w:p w14:paraId="0EF19018">
            <w:pPr>
              <w:snapToGrid w:val="0"/>
              <w:ind w:left="480" w:hanging="420" w:hangingChars="200"/>
              <w:rPr>
                <w:rFonts w:hint="eastAsia" w:ascii="宋体" w:hAnsi="宋体" w:eastAsia="宋体" w:cs="宋体"/>
                <w:bCs/>
                <w:color w:val="auto"/>
                <w:sz w:val="21"/>
                <w:szCs w:val="21"/>
                <w:highlight w:val="none"/>
              </w:rPr>
            </w:pPr>
          </w:p>
          <w:p w14:paraId="12C21A21">
            <w:pPr>
              <w:snapToGrid w:val="0"/>
              <w:ind w:left="48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2D1D0FA">
            <w:pPr>
              <w:snapToGrid w:val="0"/>
              <w:ind w:left="48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乙方（章）</w:t>
            </w:r>
          </w:p>
          <w:p w14:paraId="4C63608A">
            <w:pPr>
              <w:snapToGrid w:val="0"/>
              <w:ind w:left="480" w:hanging="420" w:hangingChars="200"/>
              <w:rPr>
                <w:rFonts w:hint="eastAsia" w:ascii="宋体" w:hAnsi="宋体" w:eastAsia="宋体" w:cs="宋体"/>
                <w:bCs/>
                <w:color w:val="auto"/>
                <w:sz w:val="21"/>
                <w:szCs w:val="21"/>
                <w:highlight w:val="none"/>
              </w:rPr>
            </w:pPr>
          </w:p>
          <w:p w14:paraId="3DB60FA6">
            <w:pPr>
              <w:snapToGrid w:val="0"/>
              <w:ind w:left="48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年   月   日</w:t>
            </w:r>
          </w:p>
        </w:tc>
      </w:tr>
      <w:tr w14:paraId="68B1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5508BBE0">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6F60CF2">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单位地址：</w:t>
            </w:r>
          </w:p>
        </w:tc>
      </w:tr>
      <w:tr w14:paraId="2384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8D0E4A2">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2D44A14">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w:t>
            </w:r>
          </w:p>
        </w:tc>
      </w:tr>
      <w:tr w14:paraId="0AE3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0789F09A">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授权委托代理人：</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264160F">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授权委托代理人</w:t>
            </w:r>
          </w:p>
        </w:tc>
      </w:tr>
      <w:tr w14:paraId="4A24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2155FFE4">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2F042ECB">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r>
      <w:tr w14:paraId="4E55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64A4E2A4">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13D815AC">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电子邮箱：</w:t>
            </w:r>
          </w:p>
        </w:tc>
      </w:tr>
      <w:tr w14:paraId="28E2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354F7A37">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21E25283">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r>
      <w:tr w14:paraId="2EC1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33F5FBF6">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524A16A">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r>
      <w:tr w14:paraId="146A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625202BF">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F9BFBFC">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邮政编码：</w:t>
            </w:r>
          </w:p>
        </w:tc>
      </w:tr>
      <w:tr w14:paraId="67D1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9033" w:type="dxa"/>
            <w:gridSpan w:val="2"/>
            <w:tcBorders>
              <w:top w:val="single" w:color="auto" w:sz="4" w:space="0"/>
              <w:left w:val="single" w:color="auto" w:sz="4" w:space="0"/>
              <w:bottom w:val="single" w:color="auto" w:sz="4" w:space="0"/>
              <w:right w:val="single" w:color="auto" w:sz="4" w:space="0"/>
            </w:tcBorders>
            <w:noWrap w:val="0"/>
            <w:vAlign w:val="top"/>
          </w:tcPr>
          <w:p w14:paraId="4FE9B94C">
            <w:pPr>
              <w:snapToGrid w:val="0"/>
              <w:ind w:left="420" w:hanging="420" w:hangingChars="200"/>
              <w:rPr>
                <w:rFonts w:hint="eastAsia" w:ascii="宋体" w:hAnsi="宋体" w:eastAsia="宋体" w:cs="宋体"/>
                <w:bCs/>
                <w:color w:val="auto"/>
                <w:sz w:val="21"/>
                <w:szCs w:val="21"/>
                <w:highlight w:val="none"/>
              </w:rPr>
            </w:pPr>
          </w:p>
          <w:p w14:paraId="0D3EB796">
            <w:pPr>
              <w:snapToGrid w:val="0"/>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w:t>
            </w:r>
          </w:p>
          <w:p w14:paraId="303E4F3F">
            <w:pPr>
              <w:snapToGrid w:val="0"/>
              <w:ind w:left="420" w:hanging="420" w:hangingChars="200"/>
              <w:rPr>
                <w:rFonts w:hint="eastAsia" w:ascii="宋体" w:hAnsi="宋体" w:eastAsia="宋体" w:cs="宋体"/>
                <w:bCs/>
                <w:color w:val="auto"/>
                <w:sz w:val="21"/>
                <w:szCs w:val="21"/>
                <w:highlight w:val="none"/>
              </w:rPr>
            </w:pPr>
          </w:p>
          <w:p w14:paraId="1E7B2FC4">
            <w:pPr>
              <w:snapToGrid w:val="0"/>
              <w:ind w:left="420" w:hanging="420" w:hangingChars="200"/>
              <w:rPr>
                <w:rFonts w:hint="eastAsia" w:ascii="宋体" w:hAnsi="宋体" w:eastAsia="宋体" w:cs="宋体"/>
                <w:bCs/>
                <w:color w:val="auto"/>
                <w:sz w:val="21"/>
                <w:szCs w:val="21"/>
                <w:highlight w:val="none"/>
              </w:rPr>
            </w:pPr>
          </w:p>
          <w:p w14:paraId="56B6B9F1">
            <w:pPr>
              <w:snapToGrid w:val="0"/>
              <w:ind w:left="420" w:left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年    月    日</w:t>
            </w:r>
          </w:p>
        </w:tc>
      </w:tr>
    </w:tbl>
    <w:p w14:paraId="76188A50">
      <w:pPr>
        <w:snapToGrid w:val="0"/>
        <w:ind w:left="480" w:hanging="480" w:hangingChars="200"/>
        <w:rPr>
          <w:rFonts w:ascii="宋体" w:hAnsi="宋体" w:cs="仿宋"/>
          <w:bCs/>
          <w:color w:val="auto"/>
          <w:sz w:val="24"/>
          <w:highlight w:val="none"/>
        </w:rPr>
      </w:pPr>
    </w:p>
    <w:p w14:paraId="4952D2D7">
      <w:pPr>
        <w:spacing w:line="400" w:lineRule="exact"/>
        <w:rPr>
          <w:rFonts w:hint="eastAsia" w:ascii="宋体" w:hAnsi="宋体" w:cs="宋体"/>
          <w:b/>
          <w:bCs/>
          <w:color w:val="auto"/>
          <w:sz w:val="24"/>
          <w:highlight w:val="none"/>
        </w:rPr>
      </w:pPr>
    </w:p>
    <w:p w14:paraId="6E9FE634">
      <w:pPr>
        <w:rPr>
          <w:rFonts w:hint="eastAsia" w:ascii="宋体" w:hAnsi="宋体" w:cs="宋体"/>
          <w:b/>
          <w:color w:val="auto"/>
          <w:sz w:val="22"/>
          <w:szCs w:val="21"/>
          <w:highlight w:val="none"/>
          <w:lang w:bidi="ar"/>
        </w:rPr>
      </w:pPr>
    </w:p>
    <w:p w14:paraId="205B9CFD">
      <w:pPr>
        <w:rPr>
          <w:rFonts w:hint="eastAsia" w:ascii="宋体" w:hAnsi="宋体" w:cs="宋体"/>
          <w:b/>
          <w:color w:val="auto"/>
          <w:sz w:val="22"/>
          <w:szCs w:val="21"/>
          <w:highlight w:val="none"/>
          <w:lang w:bidi="ar"/>
        </w:rPr>
      </w:pPr>
      <w:r>
        <w:rPr>
          <w:rFonts w:hint="eastAsia" w:ascii="宋体" w:hAnsi="宋体" w:cs="宋体"/>
          <w:b/>
          <w:color w:val="auto"/>
          <w:sz w:val="22"/>
          <w:szCs w:val="21"/>
          <w:highlight w:val="none"/>
          <w:lang w:bidi="ar"/>
        </w:rPr>
        <w:br w:type="page"/>
      </w:r>
    </w:p>
    <w:p w14:paraId="0EEA5E9C">
      <w:pPr>
        <w:snapToGrid w:val="0"/>
        <w:ind w:left="442" w:hanging="442" w:hangingChars="200"/>
        <w:rPr>
          <w:rFonts w:hint="eastAsia" w:ascii="宋体" w:hAnsi="宋体" w:cs="宋体"/>
          <w:b/>
          <w:color w:val="auto"/>
          <w:sz w:val="22"/>
          <w:szCs w:val="21"/>
          <w:highlight w:val="none"/>
        </w:rPr>
      </w:pPr>
      <w:r>
        <w:rPr>
          <w:rFonts w:hint="eastAsia" w:ascii="宋体" w:hAnsi="宋体" w:cs="宋体"/>
          <w:b/>
          <w:color w:val="auto"/>
          <w:sz w:val="22"/>
          <w:szCs w:val="21"/>
          <w:highlight w:val="none"/>
          <w:lang w:bidi="ar"/>
        </w:rPr>
        <w:t>合 同 附 件</w:t>
      </w:r>
    </w:p>
    <w:p w14:paraId="7B57504A">
      <w:pPr>
        <w:snapToGrid w:val="0"/>
        <w:ind w:left="440" w:hanging="440" w:hangingChars="200"/>
        <w:rPr>
          <w:rFonts w:hint="eastAsia" w:ascii="宋体" w:hAnsi="宋体" w:cs="宋体"/>
          <w:bCs/>
          <w:color w:val="auto"/>
          <w:sz w:val="22"/>
          <w:szCs w:val="21"/>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274"/>
      </w:tblGrid>
      <w:tr w14:paraId="0314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exac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43295430">
            <w:pPr>
              <w:snapToGrid w:val="0"/>
              <w:ind w:left="442" w:hanging="442" w:hangingChars="200"/>
              <w:rPr>
                <w:rFonts w:hint="eastAsia" w:ascii="宋体" w:hAnsi="宋体" w:cs="宋体"/>
                <w:b/>
                <w:color w:val="auto"/>
                <w:sz w:val="22"/>
                <w:szCs w:val="21"/>
                <w:highlight w:val="none"/>
              </w:rPr>
            </w:pPr>
            <w:r>
              <w:rPr>
                <w:rFonts w:hint="eastAsia" w:ascii="宋体" w:hAnsi="宋体" w:cs="宋体"/>
                <w:b/>
                <w:color w:val="auto"/>
                <w:sz w:val="22"/>
                <w:szCs w:val="21"/>
                <w:highlight w:val="none"/>
                <w:lang w:bidi="ar"/>
              </w:rPr>
              <w:t>1、供应商承诺具体事项：</w:t>
            </w:r>
          </w:p>
        </w:tc>
      </w:tr>
      <w:tr w14:paraId="7A88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40855BF3">
            <w:pPr>
              <w:snapToGrid w:val="0"/>
              <w:ind w:left="442" w:hanging="442" w:hangingChars="200"/>
              <w:rPr>
                <w:rFonts w:hint="eastAsia" w:ascii="宋体" w:hAnsi="宋体" w:cs="宋体"/>
                <w:b/>
                <w:color w:val="auto"/>
                <w:sz w:val="22"/>
                <w:szCs w:val="21"/>
                <w:highlight w:val="none"/>
              </w:rPr>
            </w:pPr>
            <w:r>
              <w:rPr>
                <w:rFonts w:hint="eastAsia" w:ascii="宋体" w:hAnsi="宋体" w:cs="宋体"/>
                <w:b/>
                <w:color w:val="auto"/>
                <w:sz w:val="22"/>
                <w:szCs w:val="21"/>
                <w:highlight w:val="none"/>
                <w:lang w:bidi="ar"/>
              </w:rPr>
              <w:t>2、售后服务具体事项：</w:t>
            </w:r>
          </w:p>
        </w:tc>
      </w:tr>
      <w:tr w14:paraId="1963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03547B0C">
            <w:pPr>
              <w:snapToGrid w:val="0"/>
              <w:ind w:left="442" w:hanging="442" w:hangingChars="200"/>
              <w:rPr>
                <w:rFonts w:hint="eastAsia" w:ascii="宋体" w:hAnsi="宋体" w:cs="宋体"/>
                <w:b/>
                <w:color w:val="auto"/>
                <w:sz w:val="22"/>
                <w:szCs w:val="21"/>
                <w:highlight w:val="none"/>
              </w:rPr>
            </w:pPr>
            <w:r>
              <w:rPr>
                <w:rFonts w:hint="eastAsia" w:ascii="宋体" w:hAnsi="宋体" w:cs="宋体"/>
                <w:b/>
                <w:color w:val="auto"/>
                <w:sz w:val="22"/>
                <w:szCs w:val="21"/>
                <w:highlight w:val="none"/>
                <w:lang w:bidi="ar"/>
              </w:rPr>
              <w:t>3、</w:t>
            </w:r>
            <w:r>
              <w:rPr>
                <w:rFonts w:hint="eastAsia" w:ascii="宋体" w:hAnsi="宋体" w:cs="宋体"/>
                <w:b/>
                <w:bCs w:val="0"/>
                <w:color w:val="auto"/>
                <w:sz w:val="21"/>
                <w:szCs w:val="21"/>
                <w:highlight w:val="none"/>
                <w:lang w:val="en-US" w:eastAsia="zh-CN"/>
              </w:rPr>
              <w:t>保修期</w:t>
            </w:r>
            <w:r>
              <w:rPr>
                <w:rFonts w:hint="eastAsia" w:ascii="宋体" w:hAnsi="宋体" w:cs="宋体"/>
                <w:b/>
                <w:bCs w:val="0"/>
                <w:color w:val="auto"/>
                <w:sz w:val="22"/>
                <w:szCs w:val="21"/>
                <w:highlight w:val="none"/>
                <w:lang w:bidi="ar"/>
              </w:rPr>
              <w:t>责</w:t>
            </w:r>
            <w:r>
              <w:rPr>
                <w:rFonts w:hint="eastAsia" w:ascii="宋体" w:hAnsi="宋体" w:cs="宋体"/>
                <w:b/>
                <w:color w:val="auto"/>
                <w:sz w:val="22"/>
                <w:szCs w:val="21"/>
                <w:highlight w:val="none"/>
                <w:lang w:bidi="ar"/>
              </w:rPr>
              <w:t>任：</w:t>
            </w:r>
          </w:p>
        </w:tc>
      </w:tr>
      <w:tr w14:paraId="558A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1696044A">
            <w:pPr>
              <w:snapToGrid w:val="0"/>
              <w:ind w:left="442" w:hanging="442" w:hangingChars="200"/>
              <w:rPr>
                <w:rFonts w:hint="eastAsia" w:ascii="宋体" w:hAnsi="宋体" w:cs="宋体"/>
                <w:b/>
                <w:color w:val="auto"/>
                <w:sz w:val="22"/>
                <w:szCs w:val="21"/>
                <w:highlight w:val="none"/>
              </w:rPr>
            </w:pPr>
            <w:r>
              <w:rPr>
                <w:rFonts w:hint="eastAsia" w:ascii="宋体" w:hAnsi="宋体" w:cs="宋体"/>
                <w:b/>
                <w:color w:val="auto"/>
                <w:sz w:val="22"/>
                <w:szCs w:val="21"/>
                <w:highlight w:val="none"/>
                <w:lang w:bidi="ar"/>
              </w:rPr>
              <w:t>4、其他具体事项：</w:t>
            </w:r>
          </w:p>
        </w:tc>
      </w:tr>
      <w:tr w14:paraId="329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14:paraId="09687DBE">
            <w:pPr>
              <w:snapToGrid w:val="0"/>
              <w:ind w:left="442" w:hanging="442" w:hangingChars="200"/>
              <w:rPr>
                <w:rFonts w:hint="eastAsia" w:ascii="宋体" w:hAnsi="宋体" w:cs="宋体"/>
                <w:b/>
                <w:color w:val="auto"/>
                <w:sz w:val="22"/>
                <w:szCs w:val="21"/>
                <w:highlight w:val="none"/>
              </w:rPr>
            </w:pPr>
            <w:r>
              <w:rPr>
                <w:rFonts w:hint="eastAsia" w:ascii="宋体" w:hAnsi="宋体" w:cs="宋体"/>
                <w:b/>
                <w:color w:val="auto"/>
                <w:sz w:val="22"/>
                <w:szCs w:val="21"/>
                <w:highlight w:val="none"/>
                <w:lang w:bidi="ar"/>
              </w:rPr>
              <w:t>甲方（章）</w:t>
            </w:r>
          </w:p>
          <w:p w14:paraId="7AD27094">
            <w:pPr>
              <w:snapToGrid w:val="0"/>
              <w:ind w:left="442" w:hanging="442" w:hangingChars="200"/>
              <w:rPr>
                <w:rFonts w:hint="eastAsia" w:ascii="宋体" w:hAnsi="宋体" w:cs="宋体"/>
                <w:b/>
                <w:color w:val="auto"/>
                <w:sz w:val="22"/>
                <w:szCs w:val="21"/>
                <w:highlight w:val="none"/>
              </w:rPr>
            </w:pPr>
          </w:p>
          <w:p w14:paraId="447F55C1">
            <w:pPr>
              <w:snapToGrid w:val="0"/>
              <w:ind w:left="442" w:hanging="442" w:hangingChars="200"/>
              <w:rPr>
                <w:rFonts w:hint="eastAsia" w:ascii="宋体" w:hAnsi="宋体" w:cs="宋体"/>
                <w:b/>
                <w:color w:val="auto"/>
                <w:sz w:val="22"/>
                <w:szCs w:val="21"/>
                <w:highlight w:val="none"/>
              </w:rPr>
            </w:pPr>
          </w:p>
          <w:p w14:paraId="100C2AB5">
            <w:pPr>
              <w:snapToGrid w:val="0"/>
              <w:ind w:left="442" w:hanging="442" w:hangingChars="200"/>
              <w:rPr>
                <w:rFonts w:hint="eastAsia" w:ascii="宋体" w:hAnsi="宋体" w:cs="宋体"/>
                <w:b/>
                <w:color w:val="auto"/>
                <w:sz w:val="22"/>
                <w:szCs w:val="21"/>
                <w:highlight w:val="none"/>
              </w:rPr>
            </w:pPr>
          </w:p>
          <w:p w14:paraId="5F45126A">
            <w:pPr>
              <w:snapToGrid w:val="0"/>
              <w:ind w:left="442" w:hanging="442" w:hangingChars="200"/>
              <w:rPr>
                <w:rFonts w:hint="eastAsia" w:ascii="宋体" w:hAnsi="宋体" w:cs="宋体"/>
                <w:b/>
                <w:color w:val="auto"/>
                <w:sz w:val="22"/>
                <w:szCs w:val="21"/>
                <w:highlight w:val="none"/>
              </w:rPr>
            </w:pPr>
            <w:r>
              <w:rPr>
                <w:rFonts w:hint="eastAsia" w:ascii="宋体" w:hAnsi="宋体" w:cs="宋体"/>
                <w:b/>
                <w:color w:val="auto"/>
                <w:sz w:val="22"/>
                <w:szCs w:val="21"/>
                <w:highlight w:val="none"/>
                <w:lang w:bidi="ar"/>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4390EC77">
            <w:pPr>
              <w:snapToGrid w:val="0"/>
              <w:ind w:left="442" w:hanging="442" w:hangingChars="200"/>
              <w:rPr>
                <w:rFonts w:hint="eastAsia" w:ascii="宋体" w:hAnsi="宋体" w:cs="宋体"/>
                <w:b/>
                <w:color w:val="auto"/>
                <w:sz w:val="22"/>
                <w:szCs w:val="21"/>
                <w:highlight w:val="none"/>
              </w:rPr>
            </w:pPr>
            <w:r>
              <w:rPr>
                <w:rFonts w:hint="eastAsia" w:ascii="宋体" w:hAnsi="宋体" w:cs="宋体"/>
                <w:b/>
                <w:color w:val="auto"/>
                <w:sz w:val="22"/>
                <w:szCs w:val="21"/>
                <w:highlight w:val="none"/>
                <w:lang w:bidi="ar"/>
              </w:rPr>
              <w:t>乙方（章）</w:t>
            </w:r>
          </w:p>
          <w:p w14:paraId="19231148">
            <w:pPr>
              <w:snapToGrid w:val="0"/>
              <w:ind w:left="442" w:hanging="442" w:hangingChars="200"/>
              <w:rPr>
                <w:rFonts w:hint="eastAsia" w:ascii="宋体" w:hAnsi="宋体" w:cs="宋体"/>
                <w:b/>
                <w:color w:val="auto"/>
                <w:sz w:val="22"/>
                <w:szCs w:val="21"/>
                <w:highlight w:val="none"/>
              </w:rPr>
            </w:pPr>
          </w:p>
          <w:p w14:paraId="01F7F6AC">
            <w:pPr>
              <w:snapToGrid w:val="0"/>
              <w:ind w:left="442" w:hanging="442" w:hangingChars="200"/>
              <w:rPr>
                <w:rFonts w:hint="eastAsia" w:ascii="宋体" w:hAnsi="宋体" w:cs="宋体"/>
                <w:b/>
                <w:color w:val="auto"/>
                <w:sz w:val="22"/>
                <w:szCs w:val="21"/>
                <w:highlight w:val="none"/>
              </w:rPr>
            </w:pPr>
          </w:p>
          <w:p w14:paraId="75D25B01">
            <w:pPr>
              <w:snapToGrid w:val="0"/>
              <w:ind w:left="442" w:hanging="442" w:hangingChars="200"/>
              <w:rPr>
                <w:rFonts w:hint="eastAsia" w:ascii="宋体" w:hAnsi="宋体" w:cs="宋体"/>
                <w:b/>
                <w:color w:val="auto"/>
                <w:sz w:val="22"/>
                <w:szCs w:val="21"/>
                <w:highlight w:val="none"/>
              </w:rPr>
            </w:pPr>
          </w:p>
          <w:p w14:paraId="5D38F07D">
            <w:pPr>
              <w:snapToGrid w:val="0"/>
              <w:ind w:left="442" w:hanging="442" w:hangingChars="200"/>
              <w:rPr>
                <w:rFonts w:hint="eastAsia" w:ascii="宋体" w:hAnsi="宋体" w:cs="宋体"/>
                <w:b/>
                <w:color w:val="auto"/>
                <w:sz w:val="22"/>
                <w:szCs w:val="21"/>
                <w:highlight w:val="none"/>
              </w:rPr>
            </w:pPr>
            <w:r>
              <w:rPr>
                <w:rFonts w:hint="eastAsia" w:ascii="宋体" w:hAnsi="宋体" w:cs="宋体"/>
                <w:b/>
                <w:color w:val="auto"/>
                <w:sz w:val="22"/>
                <w:szCs w:val="21"/>
                <w:highlight w:val="none"/>
                <w:lang w:bidi="ar"/>
              </w:rPr>
              <w:t xml:space="preserve">                年   月   日</w:t>
            </w:r>
          </w:p>
        </w:tc>
      </w:tr>
    </w:tbl>
    <w:p w14:paraId="4FC5B8A5">
      <w:pPr>
        <w:snapToGrid w:val="0"/>
        <w:ind w:left="440" w:hanging="440" w:hangingChars="200"/>
        <w:rPr>
          <w:rFonts w:hint="eastAsia" w:ascii="宋体" w:hAnsi="宋体" w:cs="宋体"/>
          <w:bCs/>
          <w:color w:val="auto"/>
          <w:sz w:val="22"/>
          <w:szCs w:val="21"/>
          <w:highlight w:val="none"/>
        </w:rPr>
      </w:pPr>
    </w:p>
    <w:p w14:paraId="0FE297FF">
      <w:pPr>
        <w:snapToGrid w:val="0"/>
        <w:ind w:left="480" w:hanging="480" w:hangingChars="200"/>
        <w:rPr>
          <w:rFonts w:ascii="宋体" w:hAnsi="宋体" w:cs="仿宋"/>
          <w:bCs/>
          <w:color w:val="auto"/>
          <w:sz w:val="24"/>
          <w:highlight w:val="none"/>
        </w:rPr>
      </w:pPr>
    </w:p>
    <w:p w14:paraId="105B951D">
      <w:pPr>
        <w:spacing w:line="400" w:lineRule="exact"/>
        <w:rPr>
          <w:rFonts w:hint="eastAsia" w:ascii="宋体" w:hAnsi="宋体" w:cs="宋体"/>
          <w:b/>
          <w:bCs/>
          <w:color w:val="auto"/>
          <w:sz w:val="24"/>
          <w:highlight w:val="none"/>
        </w:rPr>
      </w:pPr>
    </w:p>
    <w:p w14:paraId="3BA8434A">
      <w:pPr>
        <w:rPr>
          <w:rFonts w:hint="eastAsia" w:ascii="宋体" w:hAnsi="宋体" w:cs="宋体"/>
          <w:b/>
          <w:color w:val="auto"/>
          <w:sz w:val="22"/>
          <w:szCs w:val="21"/>
          <w:highlight w:val="none"/>
          <w:lang w:bidi="ar"/>
        </w:rPr>
      </w:pPr>
      <w:r>
        <w:rPr>
          <w:rFonts w:hint="eastAsia" w:ascii="宋体" w:hAnsi="宋体" w:cs="宋体"/>
          <w:b/>
          <w:color w:val="auto"/>
          <w:sz w:val="22"/>
          <w:szCs w:val="21"/>
          <w:highlight w:val="none"/>
          <w:lang w:bidi="ar"/>
        </w:rPr>
        <w:br w:type="page"/>
      </w:r>
    </w:p>
    <w:p w14:paraId="37939EFE">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eastAsia="zh-CN"/>
        </w:rPr>
        <w:t>附件</w:t>
      </w:r>
      <w:r>
        <w:rPr>
          <w:rFonts w:hint="eastAsia" w:ascii="仿宋_GB2312" w:hAnsi="仿宋_GB2312" w:eastAsia="仿宋_GB2312" w:cs="仿宋_GB2312"/>
          <w:color w:val="auto"/>
          <w:kern w:val="0"/>
          <w:sz w:val="21"/>
          <w:szCs w:val="21"/>
          <w:highlight w:val="none"/>
          <w:lang w:val="en-US" w:eastAsia="zh-CN"/>
        </w:rPr>
        <w:t>1：</w:t>
      </w:r>
    </w:p>
    <w:p w14:paraId="6C98E2D5">
      <w:pPr>
        <w:keepNext w:val="0"/>
        <w:keepLines w:val="0"/>
        <w:pageBreakBefore w:val="0"/>
        <w:widowControl/>
        <w:tabs>
          <w:tab w:val="left" w:pos="7740"/>
        </w:tabs>
        <w:topLinePunct w:val="0"/>
        <w:autoSpaceDE/>
        <w:autoSpaceDN/>
        <w:bidi w:val="0"/>
        <w:spacing w:beforeAutospacing="0" w:afterAutospacing="0" w:line="560" w:lineRule="exact"/>
        <w:jc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项目采购廉洁承诺书</w:t>
      </w:r>
    </w:p>
    <w:p w14:paraId="425FECC1">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为深入贯彻落实国家卫生健康委等部门《关于印发医疗机构工作人员廉洁从业九项准则的通知》（国卫医发〔2021〕37号）、《广西壮族自治区医疗卫生机构及其工作人员廉洁从业规定》（桂卫发[2020]11号）及《中华人民共和国政府采购法》等文件精神，进一步规范医疗机构项目（包括货物、服务、工程等）采购行为，从源头上遏制和预防项目采购贿赂行为，营造风清气正的购销环境，我公司及所属业务人员作出以下不向医院工作人员赠送“回扣”“红包”等廉洁承诺：</w:t>
      </w:r>
    </w:p>
    <w:p w14:paraId="33B4527C">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一、严格遵守国家的法律法规，依法依规处理项目采购业务，保证不进行违法乱纪活动，自觉接受执法执纪部门的监督检查。</w:t>
      </w:r>
    </w:p>
    <w:p w14:paraId="4E098E75">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二、保证严格按照民法典及项目采购合同约定履行。</w:t>
      </w:r>
    </w:p>
    <w:p w14:paraId="1306EEA1">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三、在项目采购活动中，保证不以任何借口向医院及其工作人员（含工作人员的近亲属和其他关系人）给予回扣，主要包括以下内容：</w:t>
      </w:r>
    </w:p>
    <w:p w14:paraId="20DA1E7F">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（一）以各种名义所送礼品、礼金、有价证券和支付凭证等财物；</w:t>
      </w:r>
    </w:p>
    <w:p w14:paraId="67495CFC">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（二）报销应当由医院及其工作人员与其近亲属和其他关系人支付的费用；</w:t>
      </w:r>
    </w:p>
    <w:p w14:paraId="5D6F3F5C">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（三）向医院及其工作人员提供旅游、考察、宴请、健身、娱乐等活动；</w:t>
      </w:r>
    </w:p>
    <w:p w14:paraId="1D136195">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（四）在医疗活动中向临床提供促销费、开单（药品、检验、耗材等）提成费、推介费等；</w:t>
      </w:r>
    </w:p>
    <w:p w14:paraId="274F1952">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（五）让医院及其工作人员进行以商业目的的处方统计或为其统计提供便利，获取药品、医用设备和医用耗材的用量信息，给予不正当利益的；</w:t>
      </w:r>
    </w:p>
    <w:p w14:paraId="57CE5CE7">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（六）法律法规规定禁止的其他不正当行为。</w:t>
      </w:r>
    </w:p>
    <w:p w14:paraId="460D574A">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四、保证不到住院部、门诊部、医技科室等推销产品、项目，不借故到医疗机构相关领导、部门负责人及相关工作人员家中访谈并提供任何好处费。</w:t>
      </w:r>
    </w:p>
    <w:p w14:paraId="494D9E05">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五、维护正常的医疗秩序，保证不以宴请、到营业性娱乐场所娱乐活动、提供旅游等手段影响医疗机构工作人员的项目（包括货物、服务、工程等）采购选择权。</w:t>
      </w:r>
    </w:p>
    <w:p w14:paraId="0D9796BA">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六、保证不以任何理由要求医院及其工作人员利用任何途径和方式统计医师个人及临床科室有关药品、耗材、后勤物资等的用量信息，或要求为营销人员统计提供便利。</w:t>
      </w:r>
    </w:p>
    <w:p w14:paraId="7A9DBCC7">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七、如有违反上述承诺，我们愿意接受按照《国家卫生计生委关于建立医药购销领域商业贿赂不良记录的规定》（国卫法制发（2013）50号）相关规定处理，以及执法执纪部门的其他处理。</w:t>
      </w:r>
    </w:p>
    <w:p w14:paraId="35396A01">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八、本承诺书一式两份，我公司和医疗机构各执一份。</w:t>
      </w:r>
    </w:p>
    <w:p w14:paraId="3F419617">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公司名称（盖章）：</w:t>
      </w:r>
    </w:p>
    <w:p w14:paraId="516089A0">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法定代表人：</w:t>
      </w:r>
    </w:p>
    <w:p w14:paraId="5B936127">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经办人签名：</w:t>
      </w:r>
    </w:p>
    <w:p w14:paraId="3429FFF8">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日期：</w:t>
      </w:r>
    </w:p>
    <w:p w14:paraId="536514E9">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p>
    <w:p w14:paraId="0AF7DDE9">
      <w:pP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br w:type="page"/>
      </w:r>
    </w:p>
    <w:p w14:paraId="233108B5">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附件</w:t>
      </w:r>
      <w:r>
        <w:rPr>
          <w:rFonts w:hint="eastAsia" w:ascii="仿宋_GB2312" w:hAnsi="仿宋_GB2312" w:eastAsia="仿宋_GB2312" w:cs="仿宋_GB2312"/>
          <w:color w:val="auto"/>
          <w:kern w:val="0"/>
          <w:sz w:val="21"/>
          <w:szCs w:val="21"/>
          <w:highlight w:val="none"/>
          <w:lang w:val="en-US" w:eastAsia="zh-CN"/>
        </w:rPr>
        <w:t>2</w:t>
      </w:r>
      <w:r>
        <w:rPr>
          <w:rFonts w:hint="default" w:ascii="仿宋_GB2312" w:hAnsi="仿宋_GB2312" w:eastAsia="仿宋_GB2312" w:cs="仿宋_GB2312"/>
          <w:color w:val="auto"/>
          <w:kern w:val="0"/>
          <w:sz w:val="21"/>
          <w:szCs w:val="21"/>
          <w:highlight w:val="none"/>
          <w:lang w:val="en-US" w:eastAsia="zh-CN"/>
        </w:rPr>
        <w:t>：</w:t>
      </w:r>
    </w:p>
    <w:p w14:paraId="48ABE9FC">
      <w:pPr>
        <w:keepNext w:val="0"/>
        <w:keepLines w:val="0"/>
        <w:pageBreakBefore w:val="0"/>
        <w:widowControl/>
        <w:tabs>
          <w:tab w:val="left" w:pos="7740"/>
        </w:tabs>
        <w:topLinePunct w:val="0"/>
        <w:autoSpaceDE/>
        <w:autoSpaceDN/>
        <w:bidi w:val="0"/>
        <w:spacing w:beforeAutospacing="0" w:afterAutospacing="0" w:line="560" w:lineRule="exact"/>
        <w:jc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广西壮族自治区医疗卫生机构项目采购廉洁协议</w:t>
      </w:r>
    </w:p>
    <w:p w14:paraId="5F542D83">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甲方：梧州市工人医院</w:t>
      </w:r>
    </w:p>
    <w:p w14:paraId="13D09346">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乙方：</w:t>
      </w:r>
    </w:p>
    <w:p w14:paraId="536BD06E">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为进一步加强医疗卫生行风建设，规范医疗卫生机构医药购销行为，有效防范商业贿赂行为，营造公平交易、诚实守信的购销环境，经甲、乙双方协商，同意签订本协议，并共同遵守：</w:t>
      </w:r>
    </w:p>
    <w:p w14:paraId="199C4680">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一、甲乙双方按照《中华人民共和国民法典》、《中华人民共和国政府采购法》及采购合同约定履行合同内容。</w:t>
      </w:r>
    </w:p>
    <w:p w14:paraId="63DBA146">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二、甲方应当严格执行货物、服务、工程类采购合同验收、入库制度，对采购内容及发票进行查验，不得违反有关规定合同外采购、违价采购或从非规定渠道采购。</w:t>
      </w:r>
    </w:p>
    <w:p w14:paraId="78C652D6">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三、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48AA34C5">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四、乙方不得以回扣、宴请等方式影响甲方工作人员的采购工作，不得在学术活动中提供旅游、超标准支付食宿费用。</w:t>
      </w:r>
    </w:p>
    <w:p w14:paraId="6BB91A99">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五、乙方不得以围标、相互串通投标，或者排挤其他服务商的公平竞争，损害招标人或者其他服务商的合法权益，严禁以他人名义投标或允许他人以自己的名义投标，不得提供虚假资料参与投标或以其他方式弄虚作假、骗取中标。甲方发现乙方违反规定者，按甲方有关管理规定，列入医院招投标不良行为黑名单。</w:t>
      </w:r>
    </w:p>
    <w:p w14:paraId="51CEA6F7">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六、乙方指定        作为授权代表对接业务。授权代表必须在工作时间到甲方指定地点联系对接。不得借故到甲方相关领导、部门负责人及相关工作人员家中访谈并提供任何好处费，甲方发现乙方违反规定者，列入医院招投标不良行为黑名单。</w:t>
      </w:r>
    </w:p>
    <w:p w14:paraId="017C3950">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七、乙方如违反本协议，一经发现，甲方有权终止购销合同，并向有关卫生健康行政部门报告。如乙方被列入商业贿赂不良记录，则严格按照《国家卫生计生委关于建立医药购销领域商业贿赂不良记录的规定》（国卫法制发〔2013〕50号）、《广西壮族自治区医药购销领域商业贿赂不良记录实施办法》（桂卫药政发〔2014〕2号）及《中华人民共和国政府采购法》等相关规定处理。</w:t>
      </w:r>
    </w:p>
    <w:p w14:paraId="286184B1">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八、本协议作为项目采购合同的重要组成部分，与项目采购合同一并执行，具有同等的法律效力,从签订之日起生效。</w:t>
      </w:r>
    </w:p>
    <w:tbl>
      <w:tblPr>
        <w:tblStyle w:val="23"/>
        <w:tblW w:w="9555" w:type="dxa"/>
        <w:tblInd w:w="0" w:type="dxa"/>
        <w:tblLayout w:type="fixed"/>
        <w:tblCellMar>
          <w:top w:w="0" w:type="dxa"/>
          <w:left w:w="108" w:type="dxa"/>
          <w:bottom w:w="0" w:type="dxa"/>
          <w:right w:w="108" w:type="dxa"/>
        </w:tblCellMar>
      </w:tblPr>
      <w:tblGrid>
        <w:gridCol w:w="4625"/>
        <w:gridCol w:w="4930"/>
      </w:tblGrid>
      <w:tr w14:paraId="3C952CFD">
        <w:tblPrEx>
          <w:tblCellMar>
            <w:top w:w="0" w:type="dxa"/>
            <w:left w:w="108" w:type="dxa"/>
            <w:bottom w:w="0" w:type="dxa"/>
            <w:right w:w="108" w:type="dxa"/>
          </w:tblCellMar>
        </w:tblPrEx>
        <w:trPr>
          <w:trHeight w:val="666" w:hRule="atLeast"/>
        </w:trPr>
        <w:tc>
          <w:tcPr>
            <w:tcW w:w="4625" w:type="dxa"/>
          </w:tcPr>
          <w:p w14:paraId="03007CCD">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甲方（盖章）：梧州市工人医院</w:t>
            </w:r>
          </w:p>
        </w:tc>
        <w:tc>
          <w:tcPr>
            <w:tcW w:w="4930" w:type="dxa"/>
          </w:tcPr>
          <w:p w14:paraId="4506FE48">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 乙方（盖章）：</w:t>
            </w:r>
          </w:p>
        </w:tc>
      </w:tr>
      <w:tr w14:paraId="6C9293C6">
        <w:tblPrEx>
          <w:tblCellMar>
            <w:top w:w="0" w:type="dxa"/>
            <w:left w:w="108" w:type="dxa"/>
            <w:bottom w:w="0" w:type="dxa"/>
            <w:right w:w="108" w:type="dxa"/>
          </w:tblCellMar>
        </w:tblPrEx>
        <w:trPr>
          <w:trHeight w:val="1315" w:hRule="atLeast"/>
        </w:trPr>
        <w:tc>
          <w:tcPr>
            <w:tcW w:w="4625" w:type="dxa"/>
          </w:tcPr>
          <w:p w14:paraId="5200ECEC">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法定代表人/负责人/授权</w:t>
            </w:r>
          </w:p>
          <w:p w14:paraId="3CECE683">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代表签字或盖章：</w:t>
            </w:r>
          </w:p>
        </w:tc>
        <w:tc>
          <w:tcPr>
            <w:tcW w:w="4930" w:type="dxa"/>
          </w:tcPr>
          <w:p w14:paraId="17C81854">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法定代表人/负责人/授权</w:t>
            </w:r>
          </w:p>
          <w:p w14:paraId="33EA521A">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代表签字或盖章：</w:t>
            </w:r>
          </w:p>
        </w:tc>
      </w:tr>
      <w:tr w14:paraId="2F57D711">
        <w:tblPrEx>
          <w:tblCellMar>
            <w:top w:w="0" w:type="dxa"/>
            <w:left w:w="108" w:type="dxa"/>
            <w:bottom w:w="0" w:type="dxa"/>
            <w:right w:w="108" w:type="dxa"/>
          </w:tblCellMar>
        </w:tblPrEx>
        <w:trPr>
          <w:trHeight w:val="584" w:hRule="atLeast"/>
        </w:trPr>
        <w:tc>
          <w:tcPr>
            <w:tcW w:w="4625" w:type="dxa"/>
          </w:tcPr>
          <w:p w14:paraId="49AEC988">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年   月   日</w:t>
            </w:r>
          </w:p>
        </w:tc>
        <w:tc>
          <w:tcPr>
            <w:tcW w:w="4930" w:type="dxa"/>
          </w:tcPr>
          <w:p w14:paraId="7F6348F1">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          年   月   日</w:t>
            </w:r>
          </w:p>
        </w:tc>
      </w:tr>
    </w:tbl>
    <w:p w14:paraId="7291622E">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kern w:val="0"/>
          <w:szCs w:val="21"/>
          <w:highlight w:val="none"/>
        </w:rPr>
      </w:pPr>
    </w:p>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9F52B">
    <w:pPr>
      <w:pStyle w:val="15"/>
      <w:jc w:val="center"/>
    </w:pPr>
    <w:r>
      <w:fldChar w:fldCharType="begin"/>
    </w:r>
    <w:r>
      <w:instrText xml:space="preserve"> PAGE   \* MERGEFORMAT </w:instrText>
    </w:r>
    <w:r>
      <w:fldChar w:fldCharType="separate"/>
    </w:r>
    <w:r>
      <w:rPr>
        <w:lang w:val="zh-CN"/>
      </w:rPr>
      <w:t>33</w:t>
    </w:r>
    <w:r>
      <w:fldChar w:fldCharType="end"/>
    </w:r>
  </w:p>
  <w:p w14:paraId="32F115E6">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26EF8">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9F31D5">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H9jcw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BEssNDvz8/dv5x6/zz6/k&#10;7bIsk0K9hwoTnzymxuHODSl78gM6E/GhDSZ9kRLBOOp7uugrh0hEerQqV6sCQwJj8wVx2PNzHyC+&#10;l86QZNQ04ACzrvz4CHFMnVNSNevuldbo55W2fzkQM3lY6n3sMVlx2A1T4zvXnJBPj7OvqcVVp0Q/&#10;WJQ2rclshNnYzcbBB7Xv8h6leuBvDxGbyL2lCiPsVBiHltl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kf2NzAEAAJwDAAAOAAAAAAAAAAEAIAAAAB4BAABkcnMvZTJv&#10;RG9jLnhtbFBLBQYAAAAABgAGAFkBAABcBQAAAAA=&#10;">
              <v:fill on="f" focussize="0,0"/>
              <v:stroke on="f"/>
              <v:imagedata o:title=""/>
              <o:lock v:ext="edit" aspectratio="f"/>
              <v:textbox inset="0mm,0mm,0mm,0mm" style="mso-fit-shape-to-text:t;">
                <w:txbxContent>
                  <w:p w14:paraId="309F31D5">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6533">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ODgzNjJkNjNmYzUzYzg0ZTg5ODJmM2IxY2M4YWMifQ=="/>
  </w:docVars>
  <w:rsids>
    <w:rsidRoot w:val="00F34B14"/>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396"/>
    <w:rsid w:val="000177DB"/>
    <w:rsid w:val="00020227"/>
    <w:rsid w:val="000203E4"/>
    <w:rsid w:val="00020455"/>
    <w:rsid w:val="00022731"/>
    <w:rsid w:val="00022792"/>
    <w:rsid w:val="0002392D"/>
    <w:rsid w:val="00024B43"/>
    <w:rsid w:val="00025382"/>
    <w:rsid w:val="00025636"/>
    <w:rsid w:val="00025E36"/>
    <w:rsid w:val="00026627"/>
    <w:rsid w:val="00026886"/>
    <w:rsid w:val="00030496"/>
    <w:rsid w:val="000329A1"/>
    <w:rsid w:val="000329E0"/>
    <w:rsid w:val="000333A0"/>
    <w:rsid w:val="000352E9"/>
    <w:rsid w:val="00036A07"/>
    <w:rsid w:val="00036E33"/>
    <w:rsid w:val="00037E2D"/>
    <w:rsid w:val="00040571"/>
    <w:rsid w:val="0004156E"/>
    <w:rsid w:val="00041597"/>
    <w:rsid w:val="0004440C"/>
    <w:rsid w:val="00045880"/>
    <w:rsid w:val="000462CB"/>
    <w:rsid w:val="00046B5E"/>
    <w:rsid w:val="0004783A"/>
    <w:rsid w:val="000509D9"/>
    <w:rsid w:val="000552A6"/>
    <w:rsid w:val="00055D41"/>
    <w:rsid w:val="00057CEC"/>
    <w:rsid w:val="00060DCE"/>
    <w:rsid w:val="000623B4"/>
    <w:rsid w:val="000634A7"/>
    <w:rsid w:val="00063E85"/>
    <w:rsid w:val="00063F81"/>
    <w:rsid w:val="00064847"/>
    <w:rsid w:val="0006484B"/>
    <w:rsid w:val="00065BBC"/>
    <w:rsid w:val="000673E2"/>
    <w:rsid w:val="000711E4"/>
    <w:rsid w:val="00072AED"/>
    <w:rsid w:val="00073F47"/>
    <w:rsid w:val="00075B7E"/>
    <w:rsid w:val="00077C70"/>
    <w:rsid w:val="00080B57"/>
    <w:rsid w:val="000817D1"/>
    <w:rsid w:val="00081BA3"/>
    <w:rsid w:val="00081D2E"/>
    <w:rsid w:val="0008267B"/>
    <w:rsid w:val="00082D02"/>
    <w:rsid w:val="00083B91"/>
    <w:rsid w:val="0008520B"/>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AD8"/>
    <w:rsid w:val="000A7CA5"/>
    <w:rsid w:val="000B039A"/>
    <w:rsid w:val="000B1801"/>
    <w:rsid w:val="000B19B3"/>
    <w:rsid w:val="000B1D0C"/>
    <w:rsid w:val="000B2D03"/>
    <w:rsid w:val="000B3815"/>
    <w:rsid w:val="000B3C7B"/>
    <w:rsid w:val="000B6C95"/>
    <w:rsid w:val="000C0C58"/>
    <w:rsid w:val="000C1679"/>
    <w:rsid w:val="000C2898"/>
    <w:rsid w:val="000C2F89"/>
    <w:rsid w:val="000C435F"/>
    <w:rsid w:val="000C4635"/>
    <w:rsid w:val="000C548E"/>
    <w:rsid w:val="000C6DE4"/>
    <w:rsid w:val="000D01EB"/>
    <w:rsid w:val="000D056E"/>
    <w:rsid w:val="000D0675"/>
    <w:rsid w:val="000D0A89"/>
    <w:rsid w:val="000D1389"/>
    <w:rsid w:val="000D1798"/>
    <w:rsid w:val="000D1A2A"/>
    <w:rsid w:val="000D2626"/>
    <w:rsid w:val="000D4A06"/>
    <w:rsid w:val="000D54D4"/>
    <w:rsid w:val="000D73DD"/>
    <w:rsid w:val="000D7D9B"/>
    <w:rsid w:val="000E18E2"/>
    <w:rsid w:val="000E28AB"/>
    <w:rsid w:val="000E2E3E"/>
    <w:rsid w:val="000E33C5"/>
    <w:rsid w:val="000E3583"/>
    <w:rsid w:val="000E3AF0"/>
    <w:rsid w:val="000E3D53"/>
    <w:rsid w:val="000E4E04"/>
    <w:rsid w:val="000E6EC9"/>
    <w:rsid w:val="000E70B4"/>
    <w:rsid w:val="000F3281"/>
    <w:rsid w:val="000F3733"/>
    <w:rsid w:val="000F4D88"/>
    <w:rsid w:val="000F5B1B"/>
    <w:rsid w:val="000F64AA"/>
    <w:rsid w:val="000F7AF4"/>
    <w:rsid w:val="000F7C33"/>
    <w:rsid w:val="000F7E7E"/>
    <w:rsid w:val="000F7F0C"/>
    <w:rsid w:val="00100246"/>
    <w:rsid w:val="001004D6"/>
    <w:rsid w:val="00100D90"/>
    <w:rsid w:val="00103918"/>
    <w:rsid w:val="00104324"/>
    <w:rsid w:val="00104889"/>
    <w:rsid w:val="00104897"/>
    <w:rsid w:val="00104EDE"/>
    <w:rsid w:val="00105372"/>
    <w:rsid w:val="00106BEE"/>
    <w:rsid w:val="00113134"/>
    <w:rsid w:val="00113AC0"/>
    <w:rsid w:val="00113E75"/>
    <w:rsid w:val="00114851"/>
    <w:rsid w:val="00115E11"/>
    <w:rsid w:val="00115F56"/>
    <w:rsid w:val="00117CBD"/>
    <w:rsid w:val="0012006A"/>
    <w:rsid w:val="00120990"/>
    <w:rsid w:val="001217B5"/>
    <w:rsid w:val="00121979"/>
    <w:rsid w:val="00122064"/>
    <w:rsid w:val="00125004"/>
    <w:rsid w:val="001263B8"/>
    <w:rsid w:val="00126763"/>
    <w:rsid w:val="00130217"/>
    <w:rsid w:val="00130783"/>
    <w:rsid w:val="001312CB"/>
    <w:rsid w:val="00131B75"/>
    <w:rsid w:val="00132B47"/>
    <w:rsid w:val="00132E64"/>
    <w:rsid w:val="001351CB"/>
    <w:rsid w:val="001359A2"/>
    <w:rsid w:val="00135E37"/>
    <w:rsid w:val="00136020"/>
    <w:rsid w:val="00136445"/>
    <w:rsid w:val="00140132"/>
    <w:rsid w:val="00141C9C"/>
    <w:rsid w:val="001434BE"/>
    <w:rsid w:val="0014479F"/>
    <w:rsid w:val="001452B4"/>
    <w:rsid w:val="0014550E"/>
    <w:rsid w:val="00146EC6"/>
    <w:rsid w:val="001478D2"/>
    <w:rsid w:val="00150CC9"/>
    <w:rsid w:val="00152A87"/>
    <w:rsid w:val="00154486"/>
    <w:rsid w:val="00156D0E"/>
    <w:rsid w:val="0016086E"/>
    <w:rsid w:val="00160D0C"/>
    <w:rsid w:val="00161172"/>
    <w:rsid w:val="0016139E"/>
    <w:rsid w:val="00161E65"/>
    <w:rsid w:val="00162597"/>
    <w:rsid w:val="001629AF"/>
    <w:rsid w:val="0016428A"/>
    <w:rsid w:val="001647C9"/>
    <w:rsid w:val="001661A3"/>
    <w:rsid w:val="0016782B"/>
    <w:rsid w:val="00173256"/>
    <w:rsid w:val="001733E1"/>
    <w:rsid w:val="00173F74"/>
    <w:rsid w:val="00175086"/>
    <w:rsid w:val="00175BA6"/>
    <w:rsid w:val="00176CA7"/>
    <w:rsid w:val="001778C5"/>
    <w:rsid w:val="00177E56"/>
    <w:rsid w:val="00177F0A"/>
    <w:rsid w:val="00180669"/>
    <w:rsid w:val="00182B6B"/>
    <w:rsid w:val="00183088"/>
    <w:rsid w:val="00185617"/>
    <w:rsid w:val="0019171E"/>
    <w:rsid w:val="0019220F"/>
    <w:rsid w:val="001928B1"/>
    <w:rsid w:val="00194ED5"/>
    <w:rsid w:val="00195424"/>
    <w:rsid w:val="001955FF"/>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1AED"/>
    <w:rsid w:val="001C25A7"/>
    <w:rsid w:val="001C318C"/>
    <w:rsid w:val="001C4287"/>
    <w:rsid w:val="001C4479"/>
    <w:rsid w:val="001C76B7"/>
    <w:rsid w:val="001C76FB"/>
    <w:rsid w:val="001D2764"/>
    <w:rsid w:val="001D3697"/>
    <w:rsid w:val="001D51DE"/>
    <w:rsid w:val="001D540E"/>
    <w:rsid w:val="001D58A1"/>
    <w:rsid w:val="001D5A8A"/>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E3D"/>
    <w:rsid w:val="001F3B72"/>
    <w:rsid w:val="001F3C63"/>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D23"/>
    <w:rsid w:val="0021064F"/>
    <w:rsid w:val="002114C7"/>
    <w:rsid w:val="002118F3"/>
    <w:rsid w:val="00212756"/>
    <w:rsid w:val="0021302C"/>
    <w:rsid w:val="00213045"/>
    <w:rsid w:val="00213483"/>
    <w:rsid w:val="00213B1C"/>
    <w:rsid w:val="00214202"/>
    <w:rsid w:val="002146F3"/>
    <w:rsid w:val="002148E3"/>
    <w:rsid w:val="00215373"/>
    <w:rsid w:val="0021552D"/>
    <w:rsid w:val="002156AE"/>
    <w:rsid w:val="00217861"/>
    <w:rsid w:val="002204C9"/>
    <w:rsid w:val="0022054D"/>
    <w:rsid w:val="0022290A"/>
    <w:rsid w:val="00224DE1"/>
    <w:rsid w:val="00225664"/>
    <w:rsid w:val="002269DC"/>
    <w:rsid w:val="00227F2D"/>
    <w:rsid w:val="0023089D"/>
    <w:rsid w:val="00231851"/>
    <w:rsid w:val="002319FB"/>
    <w:rsid w:val="00231B89"/>
    <w:rsid w:val="002355BE"/>
    <w:rsid w:val="00236DE9"/>
    <w:rsid w:val="00237D5A"/>
    <w:rsid w:val="00237EA9"/>
    <w:rsid w:val="00241300"/>
    <w:rsid w:val="00241D3C"/>
    <w:rsid w:val="0024274D"/>
    <w:rsid w:val="002439AB"/>
    <w:rsid w:val="002450D5"/>
    <w:rsid w:val="00245587"/>
    <w:rsid w:val="00245F2B"/>
    <w:rsid w:val="002464EB"/>
    <w:rsid w:val="00246F95"/>
    <w:rsid w:val="00247F3A"/>
    <w:rsid w:val="00250122"/>
    <w:rsid w:val="00250755"/>
    <w:rsid w:val="00250AE3"/>
    <w:rsid w:val="00251C4A"/>
    <w:rsid w:val="0025271C"/>
    <w:rsid w:val="00252A91"/>
    <w:rsid w:val="002533CD"/>
    <w:rsid w:val="002544C1"/>
    <w:rsid w:val="00254EAB"/>
    <w:rsid w:val="002557AF"/>
    <w:rsid w:val="002561FA"/>
    <w:rsid w:val="00256474"/>
    <w:rsid w:val="002566B1"/>
    <w:rsid w:val="002575E3"/>
    <w:rsid w:val="002603C1"/>
    <w:rsid w:val="002609A1"/>
    <w:rsid w:val="002612B1"/>
    <w:rsid w:val="00266165"/>
    <w:rsid w:val="0027125E"/>
    <w:rsid w:val="00271767"/>
    <w:rsid w:val="00272293"/>
    <w:rsid w:val="002723C8"/>
    <w:rsid w:val="00272676"/>
    <w:rsid w:val="00273CBE"/>
    <w:rsid w:val="00277441"/>
    <w:rsid w:val="002802D7"/>
    <w:rsid w:val="0028232C"/>
    <w:rsid w:val="002827F1"/>
    <w:rsid w:val="00282EC3"/>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5287"/>
    <w:rsid w:val="002952B1"/>
    <w:rsid w:val="00295D11"/>
    <w:rsid w:val="00295FA0"/>
    <w:rsid w:val="00297A7A"/>
    <w:rsid w:val="002A0C3A"/>
    <w:rsid w:val="002A1130"/>
    <w:rsid w:val="002A1493"/>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C0C1C"/>
    <w:rsid w:val="002C184E"/>
    <w:rsid w:val="002C29C1"/>
    <w:rsid w:val="002C54C2"/>
    <w:rsid w:val="002C58F6"/>
    <w:rsid w:val="002C5D34"/>
    <w:rsid w:val="002C5EA7"/>
    <w:rsid w:val="002C661A"/>
    <w:rsid w:val="002C730C"/>
    <w:rsid w:val="002D0AF5"/>
    <w:rsid w:val="002D1C54"/>
    <w:rsid w:val="002D2231"/>
    <w:rsid w:val="002D25FC"/>
    <w:rsid w:val="002D318B"/>
    <w:rsid w:val="002D3380"/>
    <w:rsid w:val="002D4925"/>
    <w:rsid w:val="002D4AC6"/>
    <w:rsid w:val="002D5C7B"/>
    <w:rsid w:val="002D6DFC"/>
    <w:rsid w:val="002D7648"/>
    <w:rsid w:val="002D7909"/>
    <w:rsid w:val="002D7E56"/>
    <w:rsid w:val="002E109C"/>
    <w:rsid w:val="002E115E"/>
    <w:rsid w:val="002E193E"/>
    <w:rsid w:val="002E1D76"/>
    <w:rsid w:val="002E243C"/>
    <w:rsid w:val="002E26C4"/>
    <w:rsid w:val="002E4B37"/>
    <w:rsid w:val="002E4BF9"/>
    <w:rsid w:val="002E6F5B"/>
    <w:rsid w:val="002F0631"/>
    <w:rsid w:val="002F16DD"/>
    <w:rsid w:val="002F199D"/>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202C"/>
    <w:rsid w:val="00313026"/>
    <w:rsid w:val="0031421F"/>
    <w:rsid w:val="00314B31"/>
    <w:rsid w:val="00314B36"/>
    <w:rsid w:val="00315158"/>
    <w:rsid w:val="00315346"/>
    <w:rsid w:val="00315A65"/>
    <w:rsid w:val="00316CEC"/>
    <w:rsid w:val="00317BA7"/>
    <w:rsid w:val="00320BE2"/>
    <w:rsid w:val="00321886"/>
    <w:rsid w:val="00321902"/>
    <w:rsid w:val="00322F03"/>
    <w:rsid w:val="00323694"/>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1D1"/>
    <w:rsid w:val="003416BA"/>
    <w:rsid w:val="00341BD6"/>
    <w:rsid w:val="00342A8A"/>
    <w:rsid w:val="00342F99"/>
    <w:rsid w:val="00344726"/>
    <w:rsid w:val="003454A4"/>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67B0"/>
    <w:rsid w:val="003667DD"/>
    <w:rsid w:val="00366B48"/>
    <w:rsid w:val="00367764"/>
    <w:rsid w:val="00370316"/>
    <w:rsid w:val="00370DC7"/>
    <w:rsid w:val="0037156C"/>
    <w:rsid w:val="00371CBD"/>
    <w:rsid w:val="00373CBE"/>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5333"/>
    <w:rsid w:val="00387051"/>
    <w:rsid w:val="00387712"/>
    <w:rsid w:val="00387ECF"/>
    <w:rsid w:val="0039021B"/>
    <w:rsid w:val="00390429"/>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D25"/>
    <w:rsid w:val="003A39B2"/>
    <w:rsid w:val="003A4DDB"/>
    <w:rsid w:val="003A60E7"/>
    <w:rsid w:val="003A6E03"/>
    <w:rsid w:val="003B0B6A"/>
    <w:rsid w:val="003B0F79"/>
    <w:rsid w:val="003B1483"/>
    <w:rsid w:val="003B1CFD"/>
    <w:rsid w:val="003B29CF"/>
    <w:rsid w:val="003B40A0"/>
    <w:rsid w:val="003B41B5"/>
    <w:rsid w:val="003B54DF"/>
    <w:rsid w:val="003B5F96"/>
    <w:rsid w:val="003B6659"/>
    <w:rsid w:val="003B7733"/>
    <w:rsid w:val="003C0166"/>
    <w:rsid w:val="003C350C"/>
    <w:rsid w:val="003C3903"/>
    <w:rsid w:val="003C3BA0"/>
    <w:rsid w:val="003C4580"/>
    <w:rsid w:val="003C52D8"/>
    <w:rsid w:val="003C5C5E"/>
    <w:rsid w:val="003C6746"/>
    <w:rsid w:val="003C7133"/>
    <w:rsid w:val="003C7555"/>
    <w:rsid w:val="003C7898"/>
    <w:rsid w:val="003D010A"/>
    <w:rsid w:val="003D0FF5"/>
    <w:rsid w:val="003D2D1B"/>
    <w:rsid w:val="003D30AB"/>
    <w:rsid w:val="003D3D94"/>
    <w:rsid w:val="003D48C7"/>
    <w:rsid w:val="003D4B26"/>
    <w:rsid w:val="003D4C08"/>
    <w:rsid w:val="003D51ED"/>
    <w:rsid w:val="003D7CE8"/>
    <w:rsid w:val="003E1032"/>
    <w:rsid w:val="003E1904"/>
    <w:rsid w:val="003E285E"/>
    <w:rsid w:val="003E3300"/>
    <w:rsid w:val="003E65AC"/>
    <w:rsid w:val="003E6E24"/>
    <w:rsid w:val="003E72B9"/>
    <w:rsid w:val="003E7ED4"/>
    <w:rsid w:val="003F0E52"/>
    <w:rsid w:val="003F0EF2"/>
    <w:rsid w:val="003F0F6B"/>
    <w:rsid w:val="003F1F40"/>
    <w:rsid w:val="003F1FE3"/>
    <w:rsid w:val="003F3865"/>
    <w:rsid w:val="003F3A0A"/>
    <w:rsid w:val="003F4632"/>
    <w:rsid w:val="003F47BA"/>
    <w:rsid w:val="003F6617"/>
    <w:rsid w:val="00401081"/>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250F"/>
    <w:rsid w:val="004133A8"/>
    <w:rsid w:val="00413821"/>
    <w:rsid w:val="00413D43"/>
    <w:rsid w:val="004141A3"/>
    <w:rsid w:val="00414909"/>
    <w:rsid w:val="00415E66"/>
    <w:rsid w:val="00416112"/>
    <w:rsid w:val="00416DF0"/>
    <w:rsid w:val="00417AE0"/>
    <w:rsid w:val="00417BAA"/>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E65"/>
    <w:rsid w:val="00432589"/>
    <w:rsid w:val="00432A94"/>
    <w:rsid w:val="0043366D"/>
    <w:rsid w:val="00433827"/>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E99"/>
    <w:rsid w:val="004535AE"/>
    <w:rsid w:val="00453C42"/>
    <w:rsid w:val="0045463A"/>
    <w:rsid w:val="00454AC9"/>
    <w:rsid w:val="00454E26"/>
    <w:rsid w:val="004554A3"/>
    <w:rsid w:val="00455A6E"/>
    <w:rsid w:val="00456758"/>
    <w:rsid w:val="004569CD"/>
    <w:rsid w:val="004578EB"/>
    <w:rsid w:val="00460303"/>
    <w:rsid w:val="00460697"/>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B69"/>
    <w:rsid w:val="00485406"/>
    <w:rsid w:val="0048590F"/>
    <w:rsid w:val="004867A5"/>
    <w:rsid w:val="00486D60"/>
    <w:rsid w:val="00487C87"/>
    <w:rsid w:val="00490BB8"/>
    <w:rsid w:val="00492A25"/>
    <w:rsid w:val="00492F3E"/>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86C"/>
    <w:rsid w:val="004C7963"/>
    <w:rsid w:val="004D2F63"/>
    <w:rsid w:val="004D35BA"/>
    <w:rsid w:val="004D4701"/>
    <w:rsid w:val="004D47C7"/>
    <w:rsid w:val="004D618D"/>
    <w:rsid w:val="004D62A9"/>
    <w:rsid w:val="004D6AEE"/>
    <w:rsid w:val="004D6FC3"/>
    <w:rsid w:val="004D7476"/>
    <w:rsid w:val="004E0306"/>
    <w:rsid w:val="004E0572"/>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1AE6"/>
    <w:rsid w:val="004F243F"/>
    <w:rsid w:val="004F3E0C"/>
    <w:rsid w:val="004F6A2D"/>
    <w:rsid w:val="004F7160"/>
    <w:rsid w:val="004F71A2"/>
    <w:rsid w:val="00500258"/>
    <w:rsid w:val="0050175E"/>
    <w:rsid w:val="00501A99"/>
    <w:rsid w:val="00503180"/>
    <w:rsid w:val="0050417C"/>
    <w:rsid w:val="00505450"/>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191"/>
    <w:rsid w:val="00544F39"/>
    <w:rsid w:val="0054515D"/>
    <w:rsid w:val="00547EFB"/>
    <w:rsid w:val="00552563"/>
    <w:rsid w:val="005531DF"/>
    <w:rsid w:val="00553874"/>
    <w:rsid w:val="00553ACC"/>
    <w:rsid w:val="00554AD8"/>
    <w:rsid w:val="00554F78"/>
    <w:rsid w:val="005556A5"/>
    <w:rsid w:val="00556BF7"/>
    <w:rsid w:val="00562149"/>
    <w:rsid w:val="005630D8"/>
    <w:rsid w:val="00563FFD"/>
    <w:rsid w:val="00565855"/>
    <w:rsid w:val="005677CE"/>
    <w:rsid w:val="00567B5D"/>
    <w:rsid w:val="00573733"/>
    <w:rsid w:val="00574554"/>
    <w:rsid w:val="00576089"/>
    <w:rsid w:val="005764B1"/>
    <w:rsid w:val="00576A56"/>
    <w:rsid w:val="00576D06"/>
    <w:rsid w:val="005779E4"/>
    <w:rsid w:val="00580AC5"/>
    <w:rsid w:val="00580EB3"/>
    <w:rsid w:val="00581A2A"/>
    <w:rsid w:val="0058289C"/>
    <w:rsid w:val="00582C35"/>
    <w:rsid w:val="00582DC6"/>
    <w:rsid w:val="005836C7"/>
    <w:rsid w:val="00583E30"/>
    <w:rsid w:val="0058408E"/>
    <w:rsid w:val="00585374"/>
    <w:rsid w:val="00586F3C"/>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B0160"/>
    <w:rsid w:val="005B0185"/>
    <w:rsid w:val="005B07EC"/>
    <w:rsid w:val="005B09D8"/>
    <w:rsid w:val="005B120C"/>
    <w:rsid w:val="005B24F3"/>
    <w:rsid w:val="005B2B11"/>
    <w:rsid w:val="005B2E00"/>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D02E3"/>
    <w:rsid w:val="005D0310"/>
    <w:rsid w:val="005D039C"/>
    <w:rsid w:val="005D1F34"/>
    <w:rsid w:val="005D2529"/>
    <w:rsid w:val="005D2C1F"/>
    <w:rsid w:val="005D34B2"/>
    <w:rsid w:val="005D3B54"/>
    <w:rsid w:val="005D40CD"/>
    <w:rsid w:val="005D6B59"/>
    <w:rsid w:val="005D7037"/>
    <w:rsid w:val="005E03E4"/>
    <w:rsid w:val="005E0454"/>
    <w:rsid w:val="005E171D"/>
    <w:rsid w:val="005E34C2"/>
    <w:rsid w:val="005E35C6"/>
    <w:rsid w:val="005E5B01"/>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5C4"/>
    <w:rsid w:val="00627383"/>
    <w:rsid w:val="00627733"/>
    <w:rsid w:val="006301BB"/>
    <w:rsid w:val="00632605"/>
    <w:rsid w:val="00633F8D"/>
    <w:rsid w:val="006341EF"/>
    <w:rsid w:val="00634BED"/>
    <w:rsid w:val="00635A4A"/>
    <w:rsid w:val="00635FB9"/>
    <w:rsid w:val="00636148"/>
    <w:rsid w:val="00637774"/>
    <w:rsid w:val="0064024C"/>
    <w:rsid w:val="00640291"/>
    <w:rsid w:val="00641FAC"/>
    <w:rsid w:val="006432A5"/>
    <w:rsid w:val="00643664"/>
    <w:rsid w:val="00643CAA"/>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3FEA"/>
    <w:rsid w:val="00664253"/>
    <w:rsid w:val="006647AE"/>
    <w:rsid w:val="00664803"/>
    <w:rsid w:val="006661A4"/>
    <w:rsid w:val="006670E0"/>
    <w:rsid w:val="00667532"/>
    <w:rsid w:val="006704FD"/>
    <w:rsid w:val="0067294B"/>
    <w:rsid w:val="00673AA4"/>
    <w:rsid w:val="00674187"/>
    <w:rsid w:val="0067508F"/>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02"/>
    <w:rsid w:val="006942AE"/>
    <w:rsid w:val="0069483C"/>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CA7"/>
    <w:rsid w:val="006A703E"/>
    <w:rsid w:val="006A7BE3"/>
    <w:rsid w:val="006B01D1"/>
    <w:rsid w:val="006B16EA"/>
    <w:rsid w:val="006B1780"/>
    <w:rsid w:val="006B224E"/>
    <w:rsid w:val="006B376E"/>
    <w:rsid w:val="006B4589"/>
    <w:rsid w:val="006B6805"/>
    <w:rsid w:val="006B6BBE"/>
    <w:rsid w:val="006B6DE0"/>
    <w:rsid w:val="006B7D5F"/>
    <w:rsid w:val="006C32F4"/>
    <w:rsid w:val="006C3C54"/>
    <w:rsid w:val="006C40F4"/>
    <w:rsid w:val="006C427B"/>
    <w:rsid w:val="006C4D5D"/>
    <w:rsid w:val="006C4E5A"/>
    <w:rsid w:val="006C4F9F"/>
    <w:rsid w:val="006C61AB"/>
    <w:rsid w:val="006C650D"/>
    <w:rsid w:val="006C748D"/>
    <w:rsid w:val="006C74E2"/>
    <w:rsid w:val="006D0C1D"/>
    <w:rsid w:val="006D0CE1"/>
    <w:rsid w:val="006D2004"/>
    <w:rsid w:val="006D2A8C"/>
    <w:rsid w:val="006D2E9D"/>
    <w:rsid w:val="006D4C1E"/>
    <w:rsid w:val="006D4C4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DE3"/>
    <w:rsid w:val="006F511F"/>
    <w:rsid w:val="006F54B3"/>
    <w:rsid w:val="006F61D8"/>
    <w:rsid w:val="006F62B7"/>
    <w:rsid w:val="006F70BC"/>
    <w:rsid w:val="006F713A"/>
    <w:rsid w:val="006F76BF"/>
    <w:rsid w:val="00700077"/>
    <w:rsid w:val="007066A4"/>
    <w:rsid w:val="00706F37"/>
    <w:rsid w:val="00707D09"/>
    <w:rsid w:val="00711208"/>
    <w:rsid w:val="0071209F"/>
    <w:rsid w:val="007125A2"/>
    <w:rsid w:val="00712DA3"/>
    <w:rsid w:val="00713F79"/>
    <w:rsid w:val="007148A8"/>
    <w:rsid w:val="00714AA4"/>
    <w:rsid w:val="007171E0"/>
    <w:rsid w:val="0072033C"/>
    <w:rsid w:val="00720B1B"/>
    <w:rsid w:val="00720EC1"/>
    <w:rsid w:val="00721062"/>
    <w:rsid w:val="00721E5D"/>
    <w:rsid w:val="007229D4"/>
    <w:rsid w:val="00722CD9"/>
    <w:rsid w:val="007230F8"/>
    <w:rsid w:val="007233F4"/>
    <w:rsid w:val="00724044"/>
    <w:rsid w:val="007244E1"/>
    <w:rsid w:val="007248D3"/>
    <w:rsid w:val="00725137"/>
    <w:rsid w:val="007263ED"/>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376A"/>
    <w:rsid w:val="0076500F"/>
    <w:rsid w:val="0076504E"/>
    <w:rsid w:val="00765E6A"/>
    <w:rsid w:val="00767EA0"/>
    <w:rsid w:val="0077068F"/>
    <w:rsid w:val="0077408D"/>
    <w:rsid w:val="00774270"/>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9CC"/>
    <w:rsid w:val="00794AD7"/>
    <w:rsid w:val="00796FB8"/>
    <w:rsid w:val="007A0A5E"/>
    <w:rsid w:val="007A11C2"/>
    <w:rsid w:val="007A2063"/>
    <w:rsid w:val="007A2367"/>
    <w:rsid w:val="007A41BF"/>
    <w:rsid w:val="007A490A"/>
    <w:rsid w:val="007A581D"/>
    <w:rsid w:val="007A7B95"/>
    <w:rsid w:val="007B0297"/>
    <w:rsid w:val="007B0F53"/>
    <w:rsid w:val="007B1DD8"/>
    <w:rsid w:val="007B21AE"/>
    <w:rsid w:val="007B2570"/>
    <w:rsid w:val="007B3113"/>
    <w:rsid w:val="007B3304"/>
    <w:rsid w:val="007B332B"/>
    <w:rsid w:val="007B394D"/>
    <w:rsid w:val="007B7490"/>
    <w:rsid w:val="007B774A"/>
    <w:rsid w:val="007C0525"/>
    <w:rsid w:val="007C0B56"/>
    <w:rsid w:val="007C13F7"/>
    <w:rsid w:val="007C218D"/>
    <w:rsid w:val="007C2D28"/>
    <w:rsid w:val="007C3E22"/>
    <w:rsid w:val="007C5153"/>
    <w:rsid w:val="007C67C6"/>
    <w:rsid w:val="007C707A"/>
    <w:rsid w:val="007C7E59"/>
    <w:rsid w:val="007D0B91"/>
    <w:rsid w:val="007D0F53"/>
    <w:rsid w:val="007D1452"/>
    <w:rsid w:val="007D1E29"/>
    <w:rsid w:val="007D460C"/>
    <w:rsid w:val="007D4AD3"/>
    <w:rsid w:val="007D4C8D"/>
    <w:rsid w:val="007D5195"/>
    <w:rsid w:val="007D5D19"/>
    <w:rsid w:val="007D5FDC"/>
    <w:rsid w:val="007D6232"/>
    <w:rsid w:val="007D6D68"/>
    <w:rsid w:val="007E01DA"/>
    <w:rsid w:val="007E1603"/>
    <w:rsid w:val="007E32DA"/>
    <w:rsid w:val="007E4998"/>
    <w:rsid w:val="007E4A9C"/>
    <w:rsid w:val="007E6914"/>
    <w:rsid w:val="007E7F78"/>
    <w:rsid w:val="007F0C8B"/>
    <w:rsid w:val="007F1517"/>
    <w:rsid w:val="007F1D44"/>
    <w:rsid w:val="007F2C13"/>
    <w:rsid w:val="007F2CEC"/>
    <w:rsid w:val="007F55DE"/>
    <w:rsid w:val="007F5605"/>
    <w:rsid w:val="007F6147"/>
    <w:rsid w:val="007F6FCD"/>
    <w:rsid w:val="007F78FF"/>
    <w:rsid w:val="00800F6C"/>
    <w:rsid w:val="008025BE"/>
    <w:rsid w:val="00804C86"/>
    <w:rsid w:val="008051FC"/>
    <w:rsid w:val="008055A9"/>
    <w:rsid w:val="008070EB"/>
    <w:rsid w:val="00807376"/>
    <w:rsid w:val="00810E8E"/>
    <w:rsid w:val="0081142D"/>
    <w:rsid w:val="00812462"/>
    <w:rsid w:val="008131C3"/>
    <w:rsid w:val="008140A5"/>
    <w:rsid w:val="0081481D"/>
    <w:rsid w:val="00814BE8"/>
    <w:rsid w:val="00814F6E"/>
    <w:rsid w:val="00815B8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2D10"/>
    <w:rsid w:val="0084322B"/>
    <w:rsid w:val="00843B93"/>
    <w:rsid w:val="00843F81"/>
    <w:rsid w:val="00844087"/>
    <w:rsid w:val="0084519E"/>
    <w:rsid w:val="00846370"/>
    <w:rsid w:val="00847C2B"/>
    <w:rsid w:val="0085270D"/>
    <w:rsid w:val="008532BF"/>
    <w:rsid w:val="00853BF4"/>
    <w:rsid w:val="00854294"/>
    <w:rsid w:val="0085595B"/>
    <w:rsid w:val="00855F80"/>
    <w:rsid w:val="008566B8"/>
    <w:rsid w:val="0085788B"/>
    <w:rsid w:val="00857A9E"/>
    <w:rsid w:val="00857DE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4ECA"/>
    <w:rsid w:val="00876EAE"/>
    <w:rsid w:val="00880F95"/>
    <w:rsid w:val="008819C6"/>
    <w:rsid w:val="00882B44"/>
    <w:rsid w:val="00882FE5"/>
    <w:rsid w:val="008845A4"/>
    <w:rsid w:val="00886138"/>
    <w:rsid w:val="00886E66"/>
    <w:rsid w:val="008871B0"/>
    <w:rsid w:val="0089217C"/>
    <w:rsid w:val="008928A1"/>
    <w:rsid w:val="00893671"/>
    <w:rsid w:val="00895838"/>
    <w:rsid w:val="00895A72"/>
    <w:rsid w:val="00895CDF"/>
    <w:rsid w:val="008968C7"/>
    <w:rsid w:val="00897A55"/>
    <w:rsid w:val="008A0FC9"/>
    <w:rsid w:val="008A1956"/>
    <w:rsid w:val="008A2B5F"/>
    <w:rsid w:val="008A40D3"/>
    <w:rsid w:val="008A469C"/>
    <w:rsid w:val="008A484A"/>
    <w:rsid w:val="008A5877"/>
    <w:rsid w:val="008A6539"/>
    <w:rsid w:val="008A701C"/>
    <w:rsid w:val="008B05DD"/>
    <w:rsid w:val="008B17E8"/>
    <w:rsid w:val="008B1925"/>
    <w:rsid w:val="008B266C"/>
    <w:rsid w:val="008B2D03"/>
    <w:rsid w:val="008B2E7C"/>
    <w:rsid w:val="008B42EB"/>
    <w:rsid w:val="008B45A7"/>
    <w:rsid w:val="008B4A70"/>
    <w:rsid w:val="008B502F"/>
    <w:rsid w:val="008B5A88"/>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D9"/>
    <w:rsid w:val="008D6426"/>
    <w:rsid w:val="008D66EA"/>
    <w:rsid w:val="008D6E59"/>
    <w:rsid w:val="008D7155"/>
    <w:rsid w:val="008D7DE4"/>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6519"/>
    <w:rsid w:val="008F7012"/>
    <w:rsid w:val="008F7B17"/>
    <w:rsid w:val="00900042"/>
    <w:rsid w:val="0090034B"/>
    <w:rsid w:val="00902623"/>
    <w:rsid w:val="00902890"/>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DB4"/>
    <w:rsid w:val="0092430E"/>
    <w:rsid w:val="009249D7"/>
    <w:rsid w:val="0092625F"/>
    <w:rsid w:val="009268A9"/>
    <w:rsid w:val="00927B37"/>
    <w:rsid w:val="009301B2"/>
    <w:rsid w:val="009313DD"/>
    <w:rsid w:val="00931BDE"/>
    <w:rsid w:val="009321B1"/>
    <w:rsid w:val="00932ED7"/>
    <w:rsid w:val="0093357E"/>
    <w:rsid w:val="0093422D"/>
    <w:rsid w:val="00934325"/>
    <w:rsid w:val="00934DD7"/>
    <w:rsid w:val="009369A9"/>
    <w:rsid w:val="00936CF7"/>
    <w:rsid w:val="00937201"/>
    <w:rsid w:val="0093734A"/>
    <w:rsid w:val="00937783"/>
    <w:rsid w:val="00940FE1"/>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2060"/>
    <w:rsid w:val="00954800"/>
    <w:rsid w:val="00955643"/>
    <w:rsid w:val="00955FBB"/>
    <w:rsid w:val="0095694B"/>
    <w:rsid w:val="00956BD5"/>
    <w:rsid w:val="009574BB"/>
    <w:rsid w:val="009577B5"/>
    <w:rsid w:val="009608E6"/>
    <w:rsid w:val="00961779"/>
    <w:rsid w:val="00962EB1"/>
    <w:rsid w:val="00966522"/>
    <w:rsid w:val="00967D3F"/>
    <w:rsid w:val="00967E78"/>
    <w:rsid w:val="00970D7E"/>
    <w:rsid w:val="00970F18"/>
    <w:rsid w:val="00971CF1"/>
    <w:rsid w:val="009721E9"/>
    <w:rsid w:val="00972A58"/>
    <w:rsid w:val="00973772"/>
    <w:rsid w:val="009738FC"/>
    <w:rsid w:val="00975E1E"/>
    <w:rsid w:val="00975E70"/>
    <w:rsid w:val="00977CD6"/>
    <w:rsid w:val="00982481"/>
    <w:rsid w:val="00982D26"/>
    <w:rsid w:val="0098330E"/>
    <w:rsid w:val="009833DD"/>
    <w:rsid w:val="009840AB"/>
    <w:rsid w:val="009849E9"/>
    <w:rsid w:val="009866F3"/>
    <w:rsid w:val="00987812"/>
    <w:rsid w:val="00990225"/>
    <w:rsid w:val="0099244B"/>
    <w:rsid w:val="00993186"/>
    <w:rsid w:val="009947B6"/>
    <w:rsid w:val="00994FCC"/>
    <w:rsid w:val="00995150"/>
    <w:rsid w:val="009957F3"/>
    <w:rsid w:val="00995D67"/>
    <w:rsid w:val="009970BF"/>
    <w:rsid w:val="009A013B"/>
    <w:rsid w:val="009A02F4"/>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314F"/>
    <w:rsid w:val="009B439C"/>
    <w:rsid w:val="009B4A6C"/>
    <w:rsid w:val="009B5777"/>
    <w:rsid w:val="009B5779"/>
    <w:rsid w:val="009B62A1"/>
    <w:rsid w:val="009B6753"/>
    <w:rsid w:val="009B6A26"/>
    <w:rsid w:val="009C079D"/>
    <w:rsid w:val="009C0D70"/>
    <w:rsid w:val="009C13D1"/>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4FCF"/>
    <w:rsid w:val="009F5DE2"/>
    <w:rsid w:val="009F65F4"/>
    <w:rsid w:val="009F676B"/>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33D8"/>
    <w:rsid w:val="00A14E97"/>
    <w:rsid w:val="00A15209"/>
    <w:rsid w:val="00A20069"/>
    <w:rsid w:val="00A20280"/>
    <w:rsid w:val="00A2244D"/>
    <w:rsid w:val="00A2253D"/>
    <w:rsid w:val="00A22AEC"/>
    <w:rsid w:val="00A2418A"/>
    <w:rsid w:val="00A247B8"/>
    <w:rsid w:val="00A24D39"/>
    <w:rsid w:val="00A24D8F"/>
    <w:rsid w:val="00A252D3"/>
    <w:rsid w:val="00A25B8B"/>
    <w:rsid w:val="00A26130"/>
    <w:rsid w:val="00A269AF"/>
    <w:rsid w:val="00A269C3"/>
    <w:rsid w:val="00A26ECA"/>
    <w:rsid w:val="00A3142C"/>
    <w:rsid w:val="00A324C1"/>
    <w:rsid w:val="00A337DB"/>
    <w:rsid w:val="00A3467F"/>
    <w:rsid w:val="00A3551A"/>
    <w:rsid w:val="00A376E8"/>
    <w:rsid w:val="00A37E69"/>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DE4"/>
    <w:rsid w:val="00A9246D"/>
    <w:rsid w:val="00A93644"/>
    <w:rsid w:val="00A93BD0"/>
    <w:rsid w:val="00A95D69"/>
    <w:rsid w:val="00A975A4"/>
    <w:rsid w:val="00AA2001"/>
    <w:rsid w:val="00AA2B5C"/>
    <w:rsid w:val="00AA4E59"/>
    <w:rsid w:val="00AA5328"/>
    <w:rsid w:val="00AA5393"/>
    <w:rsid w:val="00AA5771"/>
    <w:rsid w:val="00AA63D4"/>
    <w:rsid w:val="00AA6767"/>
    <w:rsid w:val="00AB03FD"/>
    <w:rsid w:val="00AB38CB"/>
    <w:rsid w:val="00AB3BEC"/>
    <w:rsid w:val="00AB44E4"/>
    <w:rsid w:val="00AB4AEB"/>
    <w:rsid w:val="00AB5352"/>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D0091"/>
    <w:rsid w:val="00AD23D8"/>
    <w:rsid w:val="00AD23EF"/>
    <w:rsid w:val="00AD307B"/>
    <w:rsid w:val="00AD41B3"/>
    <w:rsid w:val="00AD4C48"/>
    <w:rsid w:val="00AD57AF"/>
    <w:rsid w:val="00AD6267"/>
    <w:rsid w:val="00AD6DEC"/>
    <w:rsid w:val="00AD7317"/>
    <w:rsid w:val="00AE01A8"/>
    <w:rsid w:val="00AE0CBD"/>
    <w:rsid w:val="00AE123A"/>
    <w:rsid w:val="00AE1D09"/>
    <w:rsid w:val="00AE28A7"/>
    <w:rsid w:val="00AE33A6"/>
    <w:rsid w:val="00AE3446"/>
    <w:rsid w:val="00AE3715"/>
    <w:rsid w:val="00AE3729"/>
    <w:rsid w:val="00AE55B2"/>
    <w:rsid w:val="00AE5C6A"/>
    <w:rsid w:val="00AE65F7"/>
    <w:rsid w:val="00AE7280"/>
    <w:rsid w:val="00AF033A"/>
    <w:rsid w:val="00AF1699"/>
    <w:rsid w:val="00AF3896"/>
    <w:rsid w:val="00AF6C33"/>
    <w:rsid w:val="00B0098A"/>
    <w:rsid w:val="00B00A5F"/>
    <w:rsid w:val="00B0225F"/>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3115A"/>
    <w:rsid w:val="00B31A5C"/>
    <w:rsid w:val="00B33C19"/>
    <w:rsid w:val="00B34861"/>
    <w:rsid w:val="00B34BBC"/>
    <w:rsid w:val="00B34CB7"/>
    <w:rsid w:val="00B35F6E"/>
    <w:rsid w:val="00B363BD"/>
    <w:rsid w:val="00B369F7"/>
    <w:rsid w:val="00B36A99"/>
    <w:rsid w:val="00B37537"/>
    <w:rsid w:val="00B37E8B"/>
    <w:rsid w:val="00B41B81"/>
    <w:rsid w:val="00B42980"/>
    <w:rsid w:val="00B434B2"/>
    <w:rsid w:val="00B434C7"/>
    <w:rsid w:val="00B43D45"/>
    <w:rsid w:val="00B44771"/>
    <w:rsid w:val="00B4650E"/>
    <w:rsid w:val="00B468F2"/>
    <w:rsid w:val="00B46B45"/>
    <w:rsid w:val="00B46F6B"/>
    <w:rsid w:val="00B47286"/>
    <w:rsid w:val="00B47894"/>
    <w:rsid w:val="00B50234"/>
    <w:rsid w:val="00B51794"/>
    <w:rsid w:val="00B51BF4"/>
    <w:rsid w:val="00B52C68"/>
    <w:rsid w:val="00B542FE"/>
    <w:rsid w:val="00B55A1B"/>
    <w:rsid w:val="00B561DB"/>
    <w:rsid w:val="00B57494"/>
    <w:rsid w:val="00B61DCE"/>
    <w:rsid w:val="00B62188"/>
    <w:rsid w:val="00B62467"/>
    <w:rsid w:val="00B62F79"/>
    <w:rsid w:val="00B62F82"/>
    <w:rsid w:val="00B6325B"/>
    <w:rsid w:val="00B648FA"/>
    <w:rsid w:val="00B662FF"/>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7456"/>
    <w:rsid w:val="00BA7925"/>
    <w:rsid w:val="00BA7B27"/>
    <w:rsid w:val="00BA7E3B"/>
    <w:rsid w:val="00BB079C"/>
    <w:rsid w:val="00BB32A1"/>
    <w:rsid w:val="00BB39C1"/>
    <w:rsid w:val="00BB5555"/>
    <w:rsid w:val="00BB5D16"/>
    <w:rsid w:val="00BB6180"/>
    <w:rsid w:val="00BB69E6"/>
    <w:rsid w:val="00BB7714"/>
    <w:rsid w:val="00BC1B7A"/>
    <w:rsid w:val="00BC2BC7"/>
    <w:rsid w:val="00BC2C17"/>
    <w:rsid w:val="00BC3ACD"/>
    <w:rsid w:val="00BC5C09"/>
    <w:rsid w:val="00BC6E73"/>
    <w:rsid w:val="00BD0014"/>
    <w:rsid w:val="00BD01D8"/>
    <w:rsid w:val="00BD1B17"/>
    <w:rsid w:val="00BD2512"/>
    <w:rsid w:val="00BD255F"/>
    <w:rsid w:val="00BD383D"/>
    <w:rsid w:val="00BD4236"/>
    <w:rsid w:val="00BD5CCA"/>
    <w:rsid w:val="00BD5CD4"/>
    <w:rsid w:val="00BD6EF9"/>
    <w:rsid w:val="00BD77DD"/>
    <w:rsid w:val="00BE0ACB"/>
    <w:rsid w:val="00BE1A90"/>
    <w:rsid w:val="00BE2C0A"/>
    <w:rsid w:val="00BE3537"/>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A78"/>
    <w:rsid w:val="00BF6E19"/>
    <w:rsid w:val="00BF79B4"/>
    <w:rsid w:val="00C0099F"/>
    <w:rsid w:val="00C01427"/>
    <w:rsid w:val="00C016A1"/>
    <w:rsid w:val="00C04AAB"/>
    <w:rsid w:val="00C058AF"/>
    <w:rsid w:val="00C124C1"/>
    <w:rsid w:val="00C128AE"/>
    <w:rsid w:val="00C136D6"/>
    <w:rsid w:val="00C13D5B"/>
    <w:rsid w:val="00C17AE2"/>
    <w:rsid w:val="00C20F27"/>
    <w:rsid w:val="00C215CF"/>
    <w:rsid w:val="00C2244B"/>
    <w:rsid w:val="00C2263D"/>
    <w:rsid w:val="00C22B0D"/>
    <w:rsid w:val="00C22F55"/>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363"/>
    <w:rsid w:val="00C3679B"/>
    <w:rsid w:val="00C37027"/>
    <w:rsid w:val="00C3778D"/>
    <w:rsid w:val="00C405A3"/>
    <w:rsid w:val="00C42752"/>
    <w:rsid w:val="00C42973"/>
    <w:rsid w:val="00C44F9C"/>
    <w:rsid w:val="00C46D58"/>
    <w:rsid w:val="00C4730E"/>
    <w:rsid w:val="00C47EE9"/>
    <w:rsid w:val="00C5019C"/>
    <w:rsid w:val="00C5034F"/>
    <w:rsid w:val="00C514D3"/>
    <w:rsid w:val="00C52479"/>
    <w:rsid w:val="00C5291F"/>
    <w:rsid w:val="00C52BC8"/>
    <w:rsid w:val="00C52C59"/>
    <w:rsid w:val="00C5349E"/>
    <w:rsid w:val="00C5354B"/>
    <w:rsid w:val="00C54467"/>
    <w:rsid w:val="00C54D3D"/>
    <w:rsid w:val="00C55116"/>
    <w:rsid w:val="00C55A30"/>
    <w:rsid w:val="00C5787F"/>
    <w:rsid w:val="00C57C58"/>
    <w:rsid w:val="00C6028F"/>
    <w:rsid w:val="00C6036D"/>
    <w:rsid w:val="00C608F1"/>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C15"/>
    <w:rsid w:val="00C71F3D"/>
    <w:rsid w:val="00C72F53"/>
    <w:rsid w:val="00C74035"/>
    <w:rsid w:val="00C76FF4"/>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451"/>
    <w:rsid w:val="00CA4948"/>
    <w:rsid w:val="00CA52F9"/>
    <w:rsid w:val="00CA568B"/>
    <w:rsid w:val="00CA7500"/>
    <w:rsid w:val="00CB0696"/>
    <w:rsid w:val="00CB1239"/>
    <w:rsid w:val="00CB19FE"/>
    <w:rsid w:val="00CB304C"/>
    <w:rsid w:val="00CB53E8"/>
    <w:rsid w:val="00CB594A"/>
    <w:rsid w:val="00CB5CB2"/>
    <w:rsid w:val="00CB6979"/>
    <w:rsid w:val="00CC0A3D"/>
    <w:rsid w:val="00CC2373"/>
    <w:rsid w:val="00CC3D24"/>
    <w:rsid w:val="00CC3F91"/>
    <w:rsid w:val="00CC40B6"/>
    <w:rsid w:val="00CC4B0A"/>
    <w:rsid w:val="00CC544A"/>
    <w:rsid w:val="00CC57EA"/>
    <w:rsid w:val="00CC5954"/>
    <w:rsid w:val="00CC6C4E"/>
    <w:rsid w:val="00CC6DD8"/>
    <w:rsid w:val="00CD05A2"/>
    <w:rsid w:val="00CD19DA"/>
    <w:rsid w:val="00CD29D4"/>
    <w:rsid w:val="00CD38F5"/>
    <w:rsid w:val="00CD437E"/>
    <w:rsid w:val="00CD4AE5"/>
    <w:rsid w:val="00CD5833"/>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1CF9"/>
    <w:rsid w:val="00D02246"/>
    <w:rsid w:val="00D0334D"/>
    <w:rsid w:val="00D0374D"/>
    <w:rsid w:val="00D05A76"/>
    <w:rsid w:val="00D07384"/>
    <w:rsid w:val="00D07BEF"/>
    <w:rsid w:val="00D07F1D"/>
    <w:rsid w:val="00D10558"/>
    <w:rsid w:val="00D1203E"/>
    <w:rsid w:val="00D13E70"/>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F24"/>
    <w:rsid w:val="00D346B7"/>
    <w:rsid w:val="00D346B8"/>
    <w:rsid w:val="00D35AC8"/>
    <w:rsid w:val="00D35D34"/>
    <w:rsid w:val="00D36F87"/>
    <w:rsid w:val="00D37E4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5538"/>
    <w:rsid w:val="00D664BF"/>
    <w:rsid w:val="00D66D8B"/>
    <w:rsid w:val="00D72A1C"/>
    <w:rsid w:val="00D73580"/>
    <w:rsid w:val="00D73802"/>
    <w:rsid w:val="00D73868"/>
    <w:rsid w:val="00D73C2C"/>
    <w:rsid w:val="00D73D52"/>
    <w:rsid w:val="00D74042"/>
    <w:rsid w:val="00D7453F"/>
    <w:rsid w:val="00D745E7"/>
    <w:rsid w:val="00D77495"/>
    <w:rsid w:val="00D774ED"/>
    <w:rsid w:val="00D777F6"/>
    <w:rsid w:val="00D77F88"/>
    <w:rsid w:val="00D8002D"/>
    <w:rsid w:val="00D8047C"/>
    <w:rsid w:val="00D81EAA"/>
    <w:rsid w:val="00D8259F"/>
    <w:rsid w:val="00D825F2"/>
    <w:rsid w:val="00D828B1"/>
    <w:rsid w:val="00D84F27"/>
    <w:rsid w:val="00D850D4"/>
    <w:rsid w:val="00D862D1"/>
    <w:rsid w:val="00D873C6"/>
    <w:rsid w:val="00D91027"/>
    <w:rsid w:val="00D94C7D"/>
    <w:rsid w:val="00D94CA4"/>
    <w:rsid w:val="00D94FB4"/>
    <w:rsid w:val="00D95E99"/>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61A4"/>
    <w:rsid w:val="00DB67C1"/>
    <w:rsid w:val="00DB70CD"/>
    <w:rsid w:val="00DB70F4"/>
    <w:rsid w:val="00DB7343"/>
    <w:rsid w:val="00DC1056"/>
    <w:rsid w:val="00DC211E"/>
    <w:rsid w:val="00DC21D8"/>
    <w:rsid w:val="00DC282A"/>
    <w:rsid w:val="00DC34DC"/>
    <w:rsid w:val="00DC3CC6"/>
    <w:rsid w:val="00DC514A"/>
    <w:rsid w:val="00DC64EC"/>
    <w:rsid w:val="00DC67B1"/>
    <w:rsid w:val="00DC7833"/>
    <w:rsid w:val="00DC7CE9"/>
    <w:rsid w:val="00DD132B"/>
    <w:rsid w:val="00DD1725"/>
    <w:rsid w:val="00DD2427"/>
    <w:rsid w:val="00DD2A18"/>
    <w:rsid w:val="00DD36DA"/>
    <w:rsid w:val="00DD5B1A"/>
    <w:rsid w:val="00DD61E8"/>
    <w:rsid w:val="00DD62C0"/>
    <w:rsid w:val="00DD7859"/>
    <w:rsid w:val="00DE03AC"/>
    <w:rsid w:val="00DE0A1D"/>
    <w:rsid w:val="00DE15B2"/>
    <w:rsid w:val="00DE1A9A"/>
    <w:rsid w:val="00DE3D2C"/>
    <w:rsid w:val="00DE59F8"/>
    <w:rsid w:val="00DE5E82"/>
    <w:rsid w:val="00DE5FA6"/>
    <w:rsid w:val="00DE6494"/>
    <w:rsid w:val="00DE6AA1"/>
    <w:rsid w:val="00DE74D7"/>
    <w:rsid w:val="00DE7EF7"/>
    <w:rsid w:val="00DF106A"/>
    <w:rsid w:val="00DF1185"/>
    <w:rsid w:val="00DF1299"/>
    <w:rsid w:val="00DF1A70"/>
    <w:rsid w:val="00DF23A8"/>
    <w:rsid w:val="00DF2F27"/>
    <w:rsid w:val="00DF6CCC"/>
    <w:rsid w:val="00DF6D0C"/>
    <w:rsid w:val="00DF6DC2"/>
    <w:rsid w:val="00DF6F64"/>
    <w:rsid w:val="00DF721E"/>
    <w:rsid w:val="00DF7C87"/>
    <w:rsid w:val="00E009B0"/>
    <w:rsid w:val="00E01B0A"/>
    <w:rsid w:val="00E031C0"/>
    <w:rsid w:val="00E03AFE"/>
    <w:rsid w:val="00E03D5C"/>
    <w:rsid w:val="00E046A9"/>
    <w:rsid w:val="00E04C0F"/>
    <w:rsid w:val="00E0570B"/>
    <w:rsid w:val="00E057B2"/>
    <w:rsid w:val="00E05996"/>
    <w:rsid w:val="00E068D9"/>
    <w:rsid w:val="00E10B87"/>
    <w:rsid w:val="00E1478B"/>
    <w:rsid w:val="00E14FAC"/>
    <w:rsid w:val="00E15007"/>
    <w:rsid w:val="00E16EC7"/>
    <w:rsid w:val="00E1714F"/>
    <w:rsid w:val="00E17995"/>
    <w:rsid w:val="00E21576"/>
    <w:rsid w:val="00E21801"/>
    <w:rsid w:val="00E219CE"/>
    <w:rsid w:val="00E23961"/>
    <w:rsid w:val="00E24071"/>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E4"/>
    <w:rsid w:val="00E46013"/>
    <w:rsid w:val="00E477C3"/>
    <w:rsid w:val="00E5048D"/>
    <w:rsid w:val="00E50AC4"/>
    <w:rsid w:val="00E51077"/>
    <w:rsid w:val="00E5132D"/>
    <w:rsid w:val="00E51741"/>
    <w:rsid w:val="00E51E16"/>
    <w:rsid w:val="00E52151"/>
    <w:rsid w:val="00E53730"/>
    <w:rsid w:val="00E53C46"/>
    <w:rsid w:val="00E54511"/>
    <w:rsid w:val="00E548BE"/>
    <w:rsid w:val="00E54978"/>
    <w:rsid w:val="00E55DC3"/>
    <w:rsid w:val="00E57577"/>
    <w:rsid w:val="00E62043"/>
    <w:rsid w:val="00E626B9"/>
    <w:rsid w:val="00E627C9"/>
    <w:rsid w:val="00E630F3"/>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EDD"/>
    <w:rsid w:val="00E80F0A"/>
    <w:rsid w:val="00E81A6A"/>
    <w:rsid w:val="00E8291B"/>
    <w:rsid w:val="00E8395F"/>
    <w:rsid w:val="00E83BAE"/>
    <w:rsid w:val="00E8473F"/>
    <w:rsid w:val="00E857EB"/>
    <w:rsid w:val="00E85E41"/>
    <w:rsid w:val="00E85EA1"/>
    <w:rsid w:val="00E8610B"/>
    <w:rsid w:val="00E86C86"/>
    <w:rsid w:val="00E91044"/>
    <w:rsid w:val="00E910D3"/>
    <w:rsid w:val="00E9214B"/>
    <w:rsid w:val="00E923CF"/>
    <w:rsid w:val="00E9335F"/>
    <w:rsid w:val="00E95111"/>
    <w:rsid w:val="00EA061E"/>
    <w:rsid w:val="00EA14C8"/>
    <w:rsid w:val="00EA19D3"/>
    <w:rsid w:val="00EA2358"/>
    <w:rsid w:val="00EA2C8B"/>
    <w:rsid w:val="00EA3582"/>
    <w:rsid w:val="00EA6649"/>
    <w:rsid w:val="00EB05D0"/>
    <w:rsid w:val="00EB07C5"/>
    <w:rsid w:val="00EB107E"/>
    <w:rsid w:val="00EB1D49"/>
    <w:rsid w:val="00EB42DD"/>
    <w:rsid w:val="00EB559F"/>
    <w:rsid w:val="00EB5F3D"/>
    <w:rsid w:val="00EB6EC2"/>
    <w:rsid w:val="00EC1CEB"/>
    <w:rsid w:val="00EC268C"/>
    <w:rsid w:val="00EC3602"/>
    <w:rsid w:val="00EC3753"/>
    <w:rsid w:val="00EC3CB8"/>
    <w:rsid w:val="00EC3D46"/>
    <w:rsid w:val="00EC4E71"/>
    <w:rsid w:val="00EC569A"/>
    <w:rsid w:val="00EC6667"/>
    <w:rsid w:val="00ED0365"/>
    <w:rsid w:val="00ED0865"/>
    <w:rsid w:val="00ED094F"/>
    <w:rsid w:val="00ED16B6"/>
    <w:rsid w:val="00ED1C60"/>
    <w:rsid w:val="00ED2EB9"/>
    <w:rsid w:val="00ED4469"/>
    <w:rsid w:val="00ED5F23"/>
    <w:rsid w:val="00ED6DC0"/>
    <w:rsid w:val="00ED79CE"/>
    <w:rsid w:val="00ED7A7A"/>
    <w:rsid w:val="00EE038C"/>
    <w:rsid w:val="00EE040B"/>
    <w:rsid w:val="00EE06A3"/>
    <w:rsid w:val="00EE47C5"/>
    <w:rsid w:val="00EE490C"/>
    <w:rsid w:val="00EE4E02"/>
    <w:rsid w:val="00EE613B"/>
    <w:rsid w:val="00EE7E17"/>
    <w:rsid w:val="00EF2C8E"/>
    <w:rsid w:val="00EF3A0D"/>
    <w:rsid w:val="00EF3CEB"/>
    <w:rsid w:val="00EF41A8"/>
    <w:rsid w:val="00EF44FB"/>
    <w:rsid w:val="00EF4D3C"/>
    <w:rsid w:val="00EF5554"/>
    <w:rsid w:val="00EF5AD8"/>
    <w:rsid w:val="00EF5D2F"/>
    <w:rsid w:val="00EF63F5"/>
    <w:rsid w:val="00EF6758"/>
    <w:rsid w:val="00EF6B90"/>
    <w:rsid w:val="00EF70AE"/>
    <w:rsid w:val="00EF79F7"/>
    <w:rsid w:val="00F00418"/>
    <w:rsid w:val="00F006C0"/>
    <w:rsid w:val="00F019AA"/>
    <w:rsid w:val="00F0267E"/>
    <w:rsid w:val="00F02686"/>
    <w:rsid w:val="00F030DA"/>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3890"/>
    <w:rsid w:val="00F2447A"/>
    <w:rsid w:val="00F24638"/>
    <w:rsid w:val="00F2504D"/>
    <w:rsid w:val="00F2637F"/>
    <w:rsid w:val="00F263A8"/>
    <w:rsid w:val="00F268F7"/>
    <w:rsid w:val="00F27280"/>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687F"/>
    <w:rsid w:val="00F575C7"/>
    <w:rsid w:val="00F60305"/>
    <w:rsid w:val="00F61B12"/>
    <w:rsid w:val="00F61CC5"/>
    <w:rsid w:val="00F62398"/>
    <w:rsid w:val="00F631E8"/>
    <w:rsid w:val="00F63223"/>
    <w:rsid w:val="00F63264"/>
    <w:rsid w:val="00F6379E"/>
    <w:rsid w:val="00F64142"/>
    <w:rsid w:val="00F657E9"/>
    <w:rsid w:val="00F70799"/>
    <w:rsid w:val="00F70906"/>
    <w:rsid w:val="00F70A8B"/>
    <w:rsid w:val="00F724FB"/>
    <w:rsid w:val="00F72578"/>
    <w:rsid w:val="00F72A26"/>
    <w:rsid w:val="00F733C3"/>
    <w:rsid w:val="00F756DD"/>
    <w:rsid w:val="00F75D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7254"/>
    <w:rsid w:val="00FB0214"/>
    <w:rsid w:val="00FB080C"/>
    <w:rsid w:val="00FB12BC"/>
    <w:rsid w:val="00FB18F6"/>
    <w:rsid w:val="00FB2A52"/>
    <w:rsid w:val="00FB2F13"/>
    <w:rsid w:val="00FB539B"/>
    <w:rsid w:val="00FB6E19"/>
    <w:rsid w:val="00FB71F6"/>
    <w:rsid w:val="00FC1483"/>
    <w:rsid w:val="00FC1C47"/>
    <w:rsid w:val="00FC39ED"/>
    <w:rsid w:val="00FC4419"/>
    <w:rsid w:val="00FC47E2"/>
    <w:rsid w:val="00FC4AA5"/>
    <w:rsid w:val="00FC5148"/>
    <w:rsid w:val="00FC5528"/>
    <w:rsid w:val="00FC75AC"/>
    <w:rsid w:val="00FD01BF"/>
    <w:rsid w:val="00FD0525"/>
    <w:rsid w:val="00FD297D"/>
    <w:rsid w:val="00FD298C"/>
    <w:rsid w:val="00FD2D13"/>
    <w:rsid w:val="00FD3D26"/>
    <w:rsid w:val="00FD4789"/>
    <w:rsid w:val="00FD59FE"/>
    <w:rsid w:val="00FD6071"/>
    <w:rsid w:val="00FE0794"/>
    <w:rsid w:val="00FE1041"/>
    <w:rsid w:val="00FE24CB"/>
    <w:rsid w:val="00FE3166"/>
    <w:rsid w:val="00FE3320"/>
    <w:rsid w:val="00FE3473"/>
    <w:rsid w:val="00FE353B"/>
    <w:rsid w:val="00FE3E81"/>
    <w:rsid w:val="00FE4049"/>
    <w:rsid w:val="00FE4794"/>
    <w:rsid w:val="00FE5DF7"/>
    <w:rsid w:val="00FE5F72"/>
    <w:rsid w:val="00FF0231"/>
    <w:rsid w:val="00FF1C9B"/>
    <w:rsid w:val="00FF1D49"/>
    <w:rsid w:val="00FF2562"/>
    <w:rsid w:val="00FF2CE1"/>
    <w:rsid w:val="00FF3A41"/>
    <w:rsid w:val="00FF3E5B"/>
    <w:rsid w:val="00FF544F"/>
    <w:rsid w:val="00FF57E4"/>
    <w:rsid w:val="00FF75D9"/>
    <w:rsid w:val="00FF78E5"/>
    <w:rsid w:val="01EA2E16"/>
    <w:rsid w:val="02511F9D"/>
    <w:rsid w:val="03056ED3"/>
    <w:rsid w:val="03A300D1"/>
    <w:rsid w:val="03A314B8"/>
    <w:rsid w:val="03D82B98"/>
    <w:rsid w:val="03DB6322"/>
    <w:rsid w:val="03F83E8B"/>
    <w:rsid w:val="043C0407"/>
    <w:rsid w:val="073562D9"/>
    <w:rsid w:val="07B72767"/>
    <w:rsid w:val="08077E72"/>
    <w:rsid w:val="08E36F8D"/>
    <w:rsid w:val="09270E73"/>
    <w:rsid w:val="09593250"/>
    <w:rsid w:val="09B76EB2"/>
    <w:rsid w:val="09CC2AAC"/>
    <w:rsid w:val="09D820EE"/>
    <w:rsid w:val="0A3E2F0D"/>
    <w:rsid w:val="0A652D3E"/>
    <w:rsid w:val="0B253A7F"/>
    <w:rsid w:val="0B3A48F0"/>
    <w:rsid w:val="0BFA3C5B"/>
    <w:rsid w:val="0C3660F8"/>
    <w:rsid w:val="0C92213C"/>
    <w:rsid w:val="0D4F221D"/>
    <w:rsid w:val="0D84032B"/>
    <w:rsid w:val="0DE76FA1"/>
    <w:rsid w:val="0ED317E0"/>
    <w:rsid w:val="0F0A0484"/>
    <w:rsid w:val="10A27F31"/>
    <w:rsid w:val="10CA487C"/>
    <w:rsid w:val="11927058"/>
    <w:rsid w:val="126537F7"/>
    <w:rsid w:val="131912B1"/>
    <w:rsid w:val="13AF4F03"/>
    <w:rsid w:val="14736E66"/>
    <w:rsid w:val="149B6AC2"/>
    <w:rsid w:val="14C637BF"/>
    <w:rsid w:val="14ED4E63"/>
    <w:rsid w:val="15293653"/>
    <w:rsid w:val="1534169A"/>
    <w:rsid w:val="159057A8"/>
    <w:rsid w:val="15C03E03"/>
    <w:rsid w:val="162A25EB"/>
    <w:rsid w:val="16B5608C"/>
    <w:rsid w:val="16FD2A55"/>
    <w:rsid w:val="17366761"/>
    <w:rsid w:val="177C01F0"/>
    <w:rsid w:val="178057B9"/>
    <w:rsid w:val="17CE6630"/>
    <w:rsid w:val="18043E1F"/>
    <w:rsid w:val="195B09D0"/>
    <w:rsid w:val="197131A1"/>
    <w:rsid w:val="19820BA0"/>
    <w:rsid w:val="1AFA16D5"/>
    <w:rsid w:val="1B4F19F8"/>
    <w:rsid w:val="1BD92184"/>
    <w:rsid w:val="1C5170A2"/>
    <w:rsid w:val="1D4061A8"/>
    <w:rsid w:val="1E004BE2"/>
    <w:rsid w:val="1E5A0A86"/>
    <w:rsid w:val="1E9B4F4B"/>
    <w:rsid w:val="1F063325"/>
    <w:rsid w:val="1FBC5DF5"/>
    <w:rsid w:val="1FC55574"/>
    <w:rsid w:val="203A5D23"/>
    <w:rsid w:val="20AE2B29"/>
    <w:rsid w:val="219A5199"/>
    <w:rsid w:val="21B83F86"/>
    <w:rsid w:val="21E55E66"/>
    <w:rsid w:val="221178A8"/>
    <w:rsid w:val="221213CF"/>
    <w:rsid w:val="22327A92"/>
    <w:rsid w:val="22965435"/>
    <w:rsid w:val="22BD6F35"/>
    <w:rsid w:val="231D53A2"/>
    <w:rsid w:val="23B7504C"/>
    <w:rsid w:val="24571307"/>
    <w:rsid w:val="24BA2984"/>
    <w:rsid w:val="24C97D0D"/>
    <w:rsid w:val="25246333"/>
    <w:rsid w:val="2562393C"/>
    <w:rsid w:val="25CF0E14"/>
    <w:rsid w:val="26446DE3"/>
    <w:rsid w:val="264D165B"/>
    <w:rsid w:val="26D7699F"/>
    <w:rsid w:val="274A5E17"/>
    <w:rsid w:val="29914929"/>
    <w:rsid w:val="2B09065E"/>
    <w:rsid w:val="2B774624"/>
    <w:rsid w:val="2BC068DD"/>
    <w:rsid w:val="2C7A72BE"/>
    <w:rsid w:val="2CD57037"/>
    <w:rsid w:val="2E804C4A"/>
    <w:rsid w:val="2F401D3C"/>
    <w:rsid w:val="2F73380C"/>
    <w:rsid w:val="2FA95C88"/>
    <w:rsid w:val="3041370F"/>
    <w:rsid w:val="30803872"/>
    <w:rsid w:val="31083A05"/>
    <w:rsid w:val="31B31CEC"/>
    <w:rsid w:val="32453A27"/>
    <w:rsid w:val="325C464C"/>
    <w:rsid w:val="3263064A"/>
    <w:rsid w:val="32AC0C06"/>
    <w:rsid w:val="32DD434B"/>
    <w:rsid w:val="3537750C"/>
    <w:rsid w:val="3537798C"/>
    <w:rsid w:val="357F7ED5"/>
    <w:rsid w:val="35C13FC9"/>
    <w:rsid w:val="362E6D87"/>
    <w:rsid w:val="364257B6"/>
    <w:rsid w:val="36F834D1"/>
    <w:rsid w:val="374264D3"/>
    <w:rsid w:val="37DB7874"/>
    <w:rsid w:val="37EA5922"/>
    <w:rsid w:val="37EF45FD"/>
    <w:rsid w:val="37F30863"/>
    <w:rsid w:val="38276B93"/>
    <w:rsid w:val="393F7DAD"/>
    <w:rsid w:val="3A0B64A7"/>
    <w:rsid w:val="3AF74C02"/>
    <w:rsid w:val="3B5056C1"/>
    <w:rsid w:val="3C0059A5"/>
    <w:rsid w:val="3C134E78"/>
    <w:rsid w:val="3C8F7BE9"/>
    <w:rsid w:val="3CCA2A44"/>
    <w:rsid w:val="3DF6345D"/>
    <w:rsid w:val="3EC357A9"/>
    <w:rsid w:val="3EE13701"/>
    <w:rsid w:val="3F1A4BB3"/>
    <w:rsid w:val="3F3464AE"/>
    <w:rsid w:val="3F6371D0"/>
    <w:rsid w:val="40192BA6"/>
    <w:rsid w:val="409070C5"/>
    <w:rsid w:val="42550A18"/>
    <w:rsid w:val="42DA422F"/>
    <w:rsid w:val="42F1008D"/>
    <w:rsid w:val="42F473A1"/>
    <w:rsid w:val="43931DE2"/>
    <w:rsid w:val="441E62C0"/>
    <w:rsid w:val="44274ACD"/>
    <w:rsid w:val="45811C7C"/>
    <w:rsid w:val="45FA6B1E"/>
    <w:rsid w:val="46053138"/>
    <w:rsid w:val="46407436"/>
    <w:rsid w:val="468B3EFB"/>
    <w:rsid w:val="470A6193"/>
    <w:rsid w:val="47DC4F5C"/>
    <w:rsid w:val="48B40671"/>
    <w:rsid w:val="499B5738"/>
    <w:rsid w:val="499F244D"/>
    <w:rsid w:val="4A8F58C2"/>
    <w:rsid w:val="4AF96BC7"/>
    <w:rsid w:val="4BFB4050"/>
    <w:rsid w:val="4CEF36E2"/>
    <w:rsid w:val="4CEF795D"/>
    <w:rsid w:val="4CFD462D"/>
    <w:rsid w:val="4D3B1120"/>
    <w:rsid w:val="4F372FFB"/>
    <w:rsid w:val="4FA76FA4"/>
    <w:rsid w:val="50114897"/>
    <w:rsid w:val="5040259D"/>
    <w:rsid w:val="513F391C"/>
    <w:rsid w:val="51564E44"/>
    <w:rsid w:val="516D4911"/>
    <w:rsid w:val="51707326"/>
    <w:rsid w:val="51EE58C3"/>
    <w:rsid w:val="51F36455"/>
    <w:rsid w:val="528C30BD"/>
    <w:rsid w:val="52C10D75"/>
    <w:rsid w:val="53CE45AF"/>
    <w:rsid w:val="549D4147"/>
    <w:rsid w:val="550A201B"/>
    <w:rsid w:val="550C4BD7"/>
    <w:rsid w:val="55572986"/>
    <w:rsid w:val="56537644"/>
    <w:rsid w:val="5682624E"/>
    <w:rsid w:val="56943853"/>
    <w:rsid w:val="59351195"/>
    <w:rsid w:val="5A79429E"/>
    <w:rsid w:val="5A957D93"/>
    <w:rsid w:val="5AE74E2D"/>
    <w:rsid w:val="5AE85093"/>
    <w:rsid w:val="5B3760D9"/>
    <w:rsid w:val="5D2317D1"/>
    <w:rsid w:val="5F1E1DD6"/>
    <w:rsid w:val="5F2913F5"/>
    <w:rsid w:val="5F80710D"/>
    <w:rsid w:val="606007BB"/>
    <w:rsid w:val="60AC7F66"/>
    <w:rsid w:val="60E80F88"/>
    <w:rsid w:val="618835DC"/>
    <w:rsid w:val="61BF10D9"/>
    <w:rsid w:val="61F67397"/>
    <w:rsid w:val="62165280"/>
    <w:rsid w:val="629F7BDB"/>
    <w:rsid w:val="640C7C21"/>
    <w:rsid w:val="64E45EF7"/>
    <w:rsid w:val="6531054F"/>
    <w:rsid w:val="65FE4E01"/>
    <w:rsid w:val="66363323"/>
    <w:rsid w:val="66A57729"/>
    <w:rsid w:val="677435B2"/>
    <w:rsid w:val="67EF75F1"/>
    <w:rsid w:val="69124F16"/>
    <w:rsid w:val="69C64B0E"/>
    <w:rsid w:val="69CD5C14"/>
    <w:rsid w:val="69CF0D33"/>
    <w:rsid w:val="6AB24495"/>
    <w:rsid w:val="6B1124E2"/>
    <w:rsid w:val="6B9946B3"/>
    <w:rsid w:val="6D1837C6"/>
    <w:rsid w:val="6DE76850"/>
    <w:rsid w:val="6E9A1018"/>
    <w:rsid w:val="6FB20BD4"/>
    <w:rsid w:val="6FBA59BE"/>
    <w:rsid w:val="70195F54"/>
    <w:rsid w:val="70296B3E"/>
    <w:rsid w:val="70611204"/>
    <w:rsid w:val="70703C30"/>
    <w:rsid w:val="7234593E"/>
    <w:rsid w:val="726C71D7"/>
    <w:rsid w:val="72EF4CB6"/>
    <w:rsid w:val="74454ECC"/>
    <w:rsid w:val="74FA2C30"/>
    <w:rsid w:val="76BC49EB"/>
    <w:rsid w:val="77000DA2"/>
    <w:rsid w:val="781E69D1"/>
    <w:rsid w:val="78340059"/>
    <w:rsid w:val="7ADD0453"/>
    <w:rsid w:val="7AF46346"/>
    <w:rsid w:val="7B0F5EBF"/>
    <w:rsid w:val="7B130FB9"/>
    <w:rsid w:val="7BDE0625"/>
    <w:rsid w:val="7BF64EDE"/>
    <w:rsid w:val="7C400C1E"/>
    <w:rsid w:val="7C595D7E"/>
    <w:rsid w:val="7CBF7F35"/>
    <w:rsid w:val="7D04795B"/>
    <w:rsid w:val="7DD11708"/>
    <w:rsid w:val="7EBC46EA"/>
    <w:rsid w:val="7EC167BD"/>
    <w:rsid w:val="7FF82C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31"/>
    <w:qFormat/>
    <w:uiPriority w:val="9"/>
    <w:pPr>
      <w:keepNext/>
      <w:keepLines/>
      <w:spacing w:before="280" w:after="290" w:line="376" w:lineRule="auto"/>
      <w:outlineLvl w:val="4"/>
    </w:pPr>
    <w:rPr>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32"/>
    <w:qFormat/>
    <w:uiPriority w:val="0"/>
    <w:pPr>
      <w:jc w:val="left"/>
    </w:pPr>
  </w:style>
  <w:style w:type="paragraph" w:styleId="8">
    <w:name w:val="Body Text 3"/>
    <w:basedOn w:val="1"/>
    <w:link w:val="33"/>
    <w:unhideWhenUsed/>
    <w:qFormat/>
    <w:uiPriority w:val="99"/>
    <w:pPr>
      <w:spacing w:after="120"/>
    </w:pPr>
    <w:rPr>
      <w:sz w:val="16"/>
      <w:szCs w:val="16"/>
    </w:rPr>
  </w:style>
  <w:style w:type="paragraph" w:styleId="9">
    <w:name w:val="Body Text"/>
    <w:basedOn w:val="1"/>
    <w:link w:val="34"/>
    <w:unhideWhenUsed/>
    <w:qFormat/>
    <w:uiPriority w:val="0"/>
    <w:pPr>
      <w:spacing w:after="120"/>
    </w:pPr>
  </w:style>
  <w:style w:type="paragraph" w:styleId="10">
    <w:name w:val="Body Text Indent"/>
    <w:basedOn w:val="1"/>
    <w:link w:val="35"/>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6"/>
    <w:qFormat/>
    <w:uiPriority w:val="0"/>
    <w:rPr>
      <w:rFonts w:ascii="宋体" w:hAnsi="Courier New"/>
      <w:kern w:val="0"/>
      <w:sz w:val="20"/>
      <w:szCs w:val="21"/>
    </w:rPr>
  </w:style>
  <w:style w:type="paragraph" w:styleId="13">
    <w:name w:val="Date"/>
    <w:basedOn w:val="1"/>
    <w:next w:val="1"/>
    <w:link w:val="37"/>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8"/>
    <w:unhideWhenUsed/>
    <w:qFormat/>
    <w:uiPriority w:val="99"/>
    <w:pPr>
      <w:tabs>
        <w:tab w:val="center" w:pos="4153"/>
        <w:tab w:val="right" w:pos="8306"/>
      </w:tabs>
      <w:snapToGrid w:val="0"/>
      <w:jc w:val="left"/>
    </w:pPr>
    <w:rPr>
      <w:kern w:val="0"/>
      <w:sz w:val="18"/>
      <w:szCs w:val="18"/>
    </w:rPr>
  </w:style>
  <w:style w:type="paragraph" w:styleId="16">
    <w:name w:val="envelope return"/>
    <w:basedOn w:val="1"/>
    <w:qFormat/>
    <w:uiPriority w:val="99"/>
    <w:pPr>
      <w:snapToGrid w:val="0"/>
    </w:pPr>
    <w:rPr>
      <w:rFonts w:ascii="Arial" w:hAnsi="Arial"/>
    </w:rPr>
  </w:style>
  <w:style w:type="paragraph" w:styleId="17">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1">
    <w:name w:val="annotation subject"/>
    <w:basedOn w:val="7"/>
    <w:next w:val="7"/>
    <w:link w:val="40"/>
    <w:qFormat/>
    <w:uiPriority w:val="99"/>
    <w:rPr>
      <w:b/>
      <w:bCs/>
    </w:rPr>
  </w:style>
  <w:style w:type="paragraph" w:styleId="22">
    <w:name w:val="Body Text First Indent 2"/>
    <w:basedOn w:val="10"/>
    <w:unhideWhenUsed/>
    <w:qFormat/>
    <w:uiPriority w:val="99"/>
    <w:pPr>
      <w:spacing w:after="120"/>
      <w:ind w:left="420" w:leftChars="200" w:firstLine="420" w:firstLineChars="200"/>
    </w:pPr>
    <w:rPr>
      <w:rFonts w:ascii="Times New Roman" w:eastAsia="宋体"/>
      <w:kern w:val="2"/>
      <w:sz w:val="21"/>
      <w:szCs w:val="24"/>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Emphasis"/>
    <w:basedOn w:val="25"/>
    <w:qFormat/>
    <w:uiPriority w:val="20"/>
    <w:rPr>
      <w:i/>
    </w:rPr>
  </w:style>
  <w:style w:type="character" w:styleId="27">
    <w:name w:val="Hyperlink"/>
    <w:unhideWhenUsed/>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link w:val="2"/>
    <w:qFormat/>
    <w:uiPriority w:val="0"/>
    <w:rPr>
      <w:b/>
      <w:bCs/>
      <w:kern w:val="44"/>
      <w:sz w:val="44"/>
      <w:szCs w:val="44"/>
    </w:rPr>
  </w:style>
  <w:style w:type="character" w:customStyle="1" w:styleId="30">
    <w:name w:val="标题 2 Char"/>
    <w:link w:val="3"/>
    <w:qFormat/>
    <w:uiPriority w:val="9"/>
    <w:rPr>
      <w:rFonts w:ascii="Cambria" w:hAnsi="Cambria" w:eastAsia="宋体" w:cs="Times New Roman"/>
      <w:b/>
      <w:bCs/>
      <w:kern w:val="2"/>
      <w:sz w:val="32"/>
      <w:szCs w:val="32"/>
    </w:rPr>
  </w:style>
  <w:style w:type="character" w:customStyle="1" w:styleId="31">
    <w:name w:val="标题 5 Char"/>
    <w:link w:val="4"/>
    <w:semiHidden/>
    <w:qFormat/>
    <w:uiPriority w:val="9"/>
    <w:rPr>
      <w:rFonts w:ascii="Times New Roman" w:hAnsi="Times New Roman"/>
      <w:b/>
      <w:bCs/>
      <w:kern w:val="2"/>
      <w:sz w:val="28"/>
      <w:szCs w:val="28"/>
    </w:rPr>
  </w:style>
  <w:style w:type="character" w:customStyle="1" w:styleId="32">
    <w:name w:val="批注文字 Char"/>
    <w:link w:val="7"/>
    <w:qFormat/>
    <w:uiPriority w:val="0"/>
    <w:rPr>
      <w:rFonts w:ascii="Times New Roman" w:hAnsi="Times New Roman"/>
      <w:kern w:val="2"/>
      <w:sz w:val="21"/>
      <w:szCs w:val="24"/>
    </w:rPr>
  </w:style>
  <w:style w:type="character" w:customStyle="1" w:styleId="33">
    <w:name w:val="正文文本 3 Char"/>
    <w:link w:val="8"/>
    <w:semiHidden/>
    <w:qFormat/>
    <w:uiPriority w:val="99"/>
    <w:rPr>
      <w:rFonts w:ascii="Times New Roman" w:hAnsi="Times New Roman"/>
      <w:kern w:val="2"/>
      <w:sz w:val="16"/>
      <w:szCs w:val="16"/>
    </w:rPr>
  </w:style>
  <w:style w:type="character" w:customStyle="1" w:styleId="34">
    <w:name w:val="正文文本 Char"/>
    <w:link w:val="9"/>
    <w:qFormat/>
    <w:uiPriority w:val="0"/>
    <w:rPr>
      <w:rFonts w:ascii="Times New Roman" w:hAnsi="Times New Roman"/>
      <w:kern w:val="2"/>
      <w:sz w:val="21"/>
      <w:szCs w:val="24"/>
    </w:rPr>
  </w:style>
  <w:style w:type="character" w:customStyle="1" w:styleId="35">
    <w:name w:val="正文文本缩进 Char"/>
    <w:link w:val="10"/>
    <w:qFormat/>
    <w:uiPriority w:val="0"/>
    <w:rPr>
      <w:rFonts w:ascii="仿宋_GB2312" w:hAnsi="Times New Roman" w:eastAsia="仿宋_GB2312" w:cs="Times New Roman"/>
      <w:sz w:val="32"/>
      <w:szCs w:val="20"/>
    </w:rPr>
  </w:style>
  <w:style w:type="character" w:customStyle="1" w:styleId="36">
    <w:name w:val="纯文本 Char"/>
    <w:link w:val="12"/>
    <w:qFormat/>
    <w:uiPriority w:val="0"/>
    <w:rPr>
      <w:rFonts w:ascii="宋体" w:hAnsi="Courier New" w:eastAsia="宋体" w:cs="Courier New"/>
      <w:szCs w:val="21"/>
    </w:rPr>
  </w:style>
  <w:style w:type="character" w:customStyle="1" w:styleId="37">
    <w:name w:val="日期 Char"/>
    <w:link w:val="13"/>
    <w:semiHidden/>
    <w:qFormat/>
    <w:uiPriority w:val="99"/>
    <w:rPr>
      <w:rFonts w:ascii="Times New Roman" w:hAnsi="Times New Roman"/>
      <w:kern w:val="2"/>
      <w:sz w:val="21"/>
      <w:szCs w:val="24"/>
    </w:rPr>
  </w:style>
  <w:style w:type="character" w:customStyle="1" w:styleId="38">
    <w:name w:val="页脚 Char1"/>
    <w:link w:val="15"/>
    <w:qFormat/>
    <w:uiPriority w:val="99"/>
    <w:rPr>
      <w:sz w:val="18"/>
      <w:szCs w:val="18"/>
    </w:rPr>
  </w:style>
  <w:style w:type="character" w:customStyle="1" w:styleId="39">
    <w:name w:val="页眉 Char"/>
    <w:link w:val="17"/>
    <w:qFormat/>
    <w:uiPriority w:val="99"/>
    <w:rPr>
      <w:sz w:val="18"/>
      <w:szCs w:val="18"/>
    </w:rPr>
  </w:style>
  <w:style w:type="character" w:customStyle="1" w:styleId="40">
    <w:name w:val="批注主题 Char"/>
    <w:link w:val="21"/>
    <w:qFormat/>
    <w:uiPriority w:val="99"/>
    <w:rPr>
      <w:rFonts w:ascii="Times New Roman" w:hAnsi="Times New Roman"/>
      <w:b/>
      <w:bCs/>
      <w:kern w:val="2"/>
      <w:sz w:val="21"/>
      <w:szCs w:val="24"/>
    </w:rPr>
  </w:style>
  <w:style w:type="paragraph" w:customStyle="1" w:styleId="41">
    <w:name w:val="Default"/>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character" w:customStyle="1" w:styleId="42">
    <w:name w:val="页脚 Char"/>
    <w:qFormat/>
    <w:uiPriority w:val="99"/>
    <w:rPr>
      <w:lang w:eastAsia="zh-CN"/>
    </w:rPr>
  </w:style>
  <w:style w:type="character" w:customStyle="1" w:styleId="43">
    <w:name w:val="批注文字 Char1"/>
    <w:qFormat/>
    <w:uiPriority w:val="0"/>
    <w:rPr>
      <w:rFonts w:ascii="Times New Roman" w:hAnsi="Times New Roman"/>
      <w:kern w:val="2"/>
      <w:sz w:val="21"/>
      <w:szCs w:val="24"/>
    </w:rPr>
  </w:style>
  <w:style w:type="character" w:customStyle="1" w:styleId="44">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45">
    <w:name w:val="标题 1 字符"/>
    <w:qFormat/>
    <w:uiPriority w:val="9"/>
    <w:rPr>
      <w:b/>
      <w:bCs/>
      <w:kern w:val="44"/>
      <w:sz w:val="44"/>
      <w:szCs w:val="44"/>
    </w:rPr>
  </w:style>
  <w:style w:type="character" w:customStyle="1" w:styleId="46">
    <w:name w:val="批注文字 字符2"/>
    <w:qFormat/>
    <w:uiPriority w:val="0"/>
    <w:rPr>
      <w:rFonts w:ascii="Times New Roman" w:hAnsi="Times New Roman"/>
      <w:kern w:val="2"/>
      <w:sz w:val="21"/>
      <w:szCs w:val="24"/>
    </w:rPr>
  </w:style>
  <w:style w:type="character" w:customStyle="1" w:styleId="47">
    <w:name w:val="apple-style-span"/>
    <w:qFormat/>
    <w:uiPriority w:val="0"/>
  </w:style>
  <w:style w:type="character" w:customStyle="1" w:styleId="48">
    <w:name w:val="textcontents"/>
    <w:qFormat/>
    <w:uiPriority w:val="0"/>
  </w:style>
  <w:style w:type="character" w:customStyle="1" w:styleId="49">
    <w:name w:val="纯文本 Char1"/>
    <w:qFormat/>
    <w:uiPriority w:val="0"/>
    <w:rPr>
      <w:rFonts w:ascii="宋体" w:hAnsi="Courier New" w:eastAsia="宋体" w:cs="Courier New"/>
      <w:szCs w:val="21"/>
    </w:rPr>
  </w:style>
  <w:style w:type="character" w:customStyle="1" w:styleId="50">
    <w:name w:val="正文文本 Char1"/>
    <w:semiHidden/>
    <w:qFormat/>
    <w:locked/>
    <w:uiPriority w:val="0"/>
    <w:rPr>
      <w:kern w:val="2"/>
      <w:sz w:val="21"/>
      <w:szCs w:val="24"/>
    </w:rPr>
  </w:style>
  <w:style w:type="character" w:customStyle="1" w:styleId="51">
    <w:name w:val="正文文本缩进 字符1"/>
    <w:qFormat/>
    <w:uiPriority w:val="0"/>
    <w:rPr>
      <w:rFonts w:ascii="仿宋_GB2312" w:hAnsi="Times New Roman" w:eastAsia="仿宋_GB2312" w:cs="Times New Roman"/>
      <w:sz w:val="32"/>
      <w:szCs w:val="20"/>
    </w:rPr>
  </w:style>
  <w:style w:type="character" w:customStyle="1" w:styleId="52">
    <w:name w:val="批注文字 字符1"/>
    <w:qFormat/>
    <w:uiPriority w:val="0"/>
    <w:rPr>
      <w:kern w:val="2"/>
      <w:sz w:val="21"/>
      <w:szCs w:val="24"/>
    </w:rPr>
  </w:style>
  <w:style w:type="character" w:customStyle="1" w:styleId="53">
    <w:name w:val="纯文本 字符1"/>
    <w:qFormat/>
    <w:uiPriority w:val="0"/>
    <w:rPr>
      <w:rFonts w:ascii="宋体" w:hAnsi="Courier New"/>
    </w:rPr>
  </w:style>
  <w:style w:type="character" w:customStyle="1" w:styleId="54">
    <w:name w:val="正文2 Char Char"/>
    <w:link w:val="55"/>
    <w:qFormat/>
    <w:uiPriority w:val="0"/>
    <w:rPr>
      <w:kern w:val="2"/>
      <w:sz w:val="24"/>
    </w:rPr>
  </w:style>
  <w:style w:type="paragraph" w:customStyle="1" w:styleId="55">
    <w:name w:val="正文2"/>
    <w:basedOn w:val="1"/>
    <w:link w:val="54"/>
    <w:qFormat/>
    <w:uiPriority w:val="0"/>
    <w:pPr>
      <w:adjustRightInd w:val="0"/>
      <w:spacing w:before="156" w:line="360" w:lineRule="auto"/>
      <w:ind w:firstLine="510" w:firstLineChars="200"/>
    </w:pPr>
    <w:rPr>
      <w:sz w:val="24"/>
      <w:szCs w:val="20"/>
    </w:rPr>
  </w:style>
  <w:style w:type="character" w:customStyle="1" w:styleId="56">
    <w:name w:val="批注文字 Char2"/>
    <w:qFormat/>
    <w:uiPriority w:val="0"/>
    <w:rPr>
      <w:rFonts w:ascii="Times New Roman" w:hAnsi="Times New Roman"/>
      <w:kern w:val="2"/>
      <w:sz w:val="21"/>
      <w:szCs w:val="24"/>
    </w:rPr>
  </w:style>
  <w:style w:type="character" w:customStyle="1" w:styleId="57">
    <w:name w:val="纯文本 字符2"/>
    <w:qFormat/>
    <w:uiPriority w:val="0"/>
    <w:rPr>
      <w:rFonts w:ascii="宋体" w:hAnsi="Courier New" w:eastAsia="宋体" w:cs="Courier New"/>
      <w:szCs w:val="21"/>
    </w:rPr>
  </w:style>
  <w:style w:type="paragraph" w:styleId="58">
    <w:name w:val="List Paragraph"/>
    <w:basedOn w:val="1"/>
    <w:qFormat/>
    <w:uiPriority w:val="34"/>
    <w:pPr>
      <w:ind w:firstLine="420" w:firstLineChars="200"/>
    </w:pPr>
  </w:style>
  <w:style w:type="paragraph" w:customStyle="1" w:styleId="59">
    <w:name w:val="默认段落字体 Para Char Char Char Char Char Char Char Char Char1 Char Char Char Char"/>
    <w:basedOn w:val="1"/>
    <w:qFormat/>
    <w:uiPriority w:val="0"/>
    <w:rPr>
      <w:rFonts w:ascii="Tahoma" w:hAnsi="Tahoma"/>
      <w:sz w:val="24"/>
      <w:szCs w:val="20"/>
    </w:rPr>
  </w:style>
  <w:style w:type="paragraph" w:customStyle="1" w:styleId="6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qFormat/>
    <w:uiPriority w:val="0"/>
    <w:pPr>
      <w:ind w:firstLine="420" w:firstLineChars="200"/>
    </w:pPr>
    <w:rPr>
      <w:szCs w:val="21"/>
    </w:rPr>
  </w:style>
  <w:style w:type="paragraph" w:customStyle="1" w:styleId="6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4">
    <w:name w:val="&gt;合同 正文"/>
    <w:qFormat/>
    <w:uiPriority w:val="0"/>
    <w:pPr>
      <w:spacing w:line="288" w:lineRule="auto"/>
      <w:ind w:firstLine="200" w:firstLineChars="200"/>
    </w:pPr>
    <w:rPr>
      <w:rFonts w:ascii="宋体" w:hAnsi="宋体" w:eastAsia="宋体" w:cs="宋体"/>
      <w:color w:val="000000"/>
      <w:kern w:val="2"/>
      <w:sz w:val="21"/>
      <w:szCs w:val="21"/>
      <w:lang w:val="en-US" w:eastAsia="zh-CN" w:bidi="ar-SA"/>
    </w:rPr>
  </w:style>
  <w:style w:type="paragraph" w:customStyle="1" w:styleId="65">
    <w:name w:val="正文文本1"/>
    <w:basedOn w:val="1"/>
    <w:next w:val="41"/>
    <w:qFormat/>
    <w:uiPriority w:val="0"/>
    <w:pPr>
      <w:spacing w:line="288" w:lineRule="auto"/>
      <w:ind w:firstLine="482"/>
    </w:pPr>
    <w:rPr>
      <w:rFonts w:ascii="Times New Roman" w:hAnsi="Times New Roman" w:eastAsia="宋体" w:cs="Times New Roman"/>
      <w:sz w:val="24"/>
      <w:szCs w:val="20"/>
    </w:rPr>
  </w:style>
  <w:style w:type="character" w:customStyle="1" w:styleId="66">
    <w:name w:val="批注引用1"/>
    <w:link w:val="1"/>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67">
    <w:name w:val="批注文字1"/>
    <w:basedOn w:val="1"/>
    <w:unhideWhenUsed/>
    <w:qFormat/>
    <w:uiPriority w:val="99"/>
    <w:pPr>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76</Pages>
  <Words>8093</Words>
  <Characters>8817</Characters>
  <Lines>495</Lines>
  <Paragraphs>139</Paragraphs>
  <TotalTime>14</TotalTime>
  <ScaleCrop>false</ScaleCrop>
  <LinksUpToDate>false</LinksUpToDate>
  <CharactersWithSpaces>9088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2020-10-16T09:42:00Z</dcterms:created>
  <dc:creator>唐冰</dc:creator>
  <cp:lastModifiedBy>everyone</cp:lastModifiedBy>
  <cp:lastPrinted>2020-04-02T08:20:00Z</cp:lastPrinted>
  <dcterms:modified xsi:type="dcterms:W3CDTF">2025-12-31T05:15:57Z</dcterms:modified>
  <dc:title>竞争性谈判文件规范</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63F9F930A14E439FA2CF100270DC6816_13</vt:lpwstr>
  </property>
  <property fmtid="{D5CDD505-2E9C-101B-9397-08002B2CF9AE}" pid="4" name="KSOTemplateDocerSaveRecord">
    <vt:lpwstr>eyJoZGlkIjoiODc4ZjAwMmRmOGJkNzI5MGIwOTQzOTA4ZWRjYjJmMGQiLCJ1c2VySWQiOiI2MTI4OTUwMDYifQ==</vt:lpwstr>
  </property>
</Properties>
</file>