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F1828">
      <w:pPr>
        <w:spacing w:line="360" w:lineRule="auto"/>
        <w:jc w:val="center"/>
        <w:rPr>
          <w:rFonts w:hint="eastAsia" w:ascii="方正小标宋简体" w:hAnsi="宋体" w:eastAsia="方正小标宋简体"/>
          <w:color w:val="auto"/>
          <w:sz w:val="52"/>
          <w:szCs w:val="52"/>
          <w:highlight w:val="none"/>
        </w:rPr>
      </w:pPr>
      <w:bookmarkStart w:id="177" w:name="_GoBack"/>
    </w:p>
    <w:p w14:paraId="088EA714">
      <w:pPr>
        <w:spacing w:line="360" w:lineRule="auto"/>
        <w:jc w:val="center"/>
        <w:rPr>
          <w:rFonts w:ascii="方正小标宋简体" w:hAnsi="宋体" w:eastAsia="方正小标宋简体"/>
          <w:color w:val="auto"/>
          <w:sz w:val="52"/>
          <w:szCs w:val="52"/>
          <w:highlight w:val="none"/>
        </w:rPr>
      </w:pPr>
    </w:p>
    <w:p w14:paraId="63AC56FF">
      <w:pP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65925F55">
      <w:pPr>
        <w:spacing w:line="360" w:lineRule="auto"/>
        <w:jc w:val="center"/>
        <w:rPr>
          <w:rFonts w:ascii="方正小标宋简体" w:hAnsi="方正小标宋简体" w:eastAsia="方正小标宋简体" w:cs="方正小标宋简体"/>
          <w:b/>
          <w:iCs/>
          <w:color w:val="auto"/>
          <w:sz w:val="44"/>
          <w:szCs w:val="44"/>
          <w:highlight w:val="none"/>
        </w:rPr>
      </w:pPr>
      <w:r>
        <w:rPr>
          <w:rFonts w:hint="eastAsia" w:ascii="仿宋_GB2312" w:hAnsi="宋体" w:eastAsia="仿宋_GB2312"/>
          <w:b/>
          <w:color w:val="auto"/>
          <w:sz w:val="48"/>
          <w:szCs w:val="48"/>
          <w:highlight w:val="none"/>
        </w:rPr>
        <w:t>（服务类政府采购）</w:t>
      </w:r>
    </w:p>
    <w:p w14:paraId="3B6032E5">
      <w:pPr>
        <w:spacing w:line="360" w:lineRule="auto"/>
        <w:jc w:val="center"/>
        <w:rPr>
          <w:rFonts w:ascii="方正小标宋简体" w:hAnsi="方正小标宋简体" w:eastAsia="方正小标宋简体" w:cs="方正小标宋简体"/>
          <w:b/>
          <w:color w:val="auto"/>
          <w:sz w:val="44"/>
          <w:szCs w:val="44"/>
          <w:highlight w:val="none"/>
        </w:rPr>
      </w:pPr>
    </w:p>
    <w:p w14:paraId="748D4E0F">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6BF8919A">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39F6C066">
      <w:pPr>
        <w:snapToGrid w:val="0"/>
        <w:spacing w:line="360" w:lineRule="auto"/>
        <w:rPr>
          <w:rFonts w:ascii="仿宋_GB2312" w:hAnsi="宋体" w:eastAsia="仿宋_GB2312"/>
          <w:color w:val="auto"/>
          <w:sz w:val="30"/>
          <w:szCs w:val="72"/>
          <w:highlight w:val="none"/>
        </w:rPr>
      </w:pPr>
    </w:p>
    <w:p w14:paraId="4A3FE1D8">
      <w:pPr>
        <w:pStyle w:val="16"/>
        <w:snapToGrid w:val="0"/>
        <w:spacing w:line="360" w:lineRule="auto"/>
        <w:ind w:left="2702" w:leftChars="568" w:hanging="1509" w:hangingChars="501"/>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：梧州市政府办公大楼既有建筑节能降碳改造项目（重）</w:t>
      </w:r>
    </w:p>
    <w:p w14:paraId="0FC7FEAD">
      <w:pPr>
        <w:snapToGrid w:val="0"/>
        <w:spacing w:line="360" w:lineRule="auto"/>
        <w:ind w:firstLine="1145" w:firstLineChars="400"/>
        <w:rPr>
          <w:rFonts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：WZZC2025-C3-990340-YZLZ</w:t>
      </w:r>
    </w:p>
    <w:p w14:paraId="0681F936">
      <w:pPr>
        <w:pStyle w:val="16"/>
        <w:snapToGrid w:val="0"/>
        <w:spacing w:line="360" w:lineRule="auto"/>
        <w:ind w:firstLine="1125" w:firstLineChars="393"/>
        <w:rPr>
          <w:rFonts w:ascii="仿宋_GB2312" w:hAnsi="宋体" w:eastAsia="仿宋_GB2312"/>
          <w:b/>
          <w:bCs/>
          <w:color w:val="auto"/>
          <w:sz w:val="30"/>
          <w:szCs w:val="30"/>
          <w:highlight w:val="none"/>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sz w:val="30"/>
          <w:szCs w:val="30"/>
          <w:highlight w:val="none"/>
        </w:rPr>
        <w:t>梧州市机关后勤服务中心</w:t>
      </w:r>
    </w:p>
    <w:p w14:paraId="43422F3C">
      <w:pPr>
        <w:pStyle w:val="16"/>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5D1AE77D">
      <w:pPr>
        <w:pStyle w:val="16"/>
        <w:snapToGrid w:val="0"/>
        <w:spacing w:line="360" w:lineRule="auto"/>
        <w:ind w:firstLine="1125" w:firstLineChars="393"/>
        <w:rPr>
          <w:rFonts w:ascii="仿宋_GB2312" w:hAnsi="宋体" w:eastAsia="仿宋_GB2312"/>
          <w:b/>
          <w:bCs/>
          <w:color w:val="auto"/>
          <w:w w:val="95"/>
          <w:sz w:val="30"/>
          <w:szCs w:val="30"/>
          <w:highlight w:val="none"/>
        </w:rPr>
      </w:pPr>
    </w:p>
    <w:p w14:paraId="6C2F8651">
      <w:pPr>
        <w:pStyle w:val="16"/>
        <w:snapToGrid w:val="0"/>
        <w:spacing w:line="360" w:lineRule="auto"/>
        <w:ind w:firstLine="1125" w:firstLineChars="393"/>
        <w:rPr>
          <w:rFonts w:ascii="仿宋_GB2312" w:hAnsi="宋体" w:eastAsia="仿宋_GB2312"/>
          <w:b/>
          <w:bCs/>
          <w:color w:val="auto"/>
          <w:w w:val="95"/>
          <w:sz w:val="30"/>
          <w:szCs w:val="30"/>
          <w:highlight w:val="none"/>
        </w:rPr>
      </w:pPr>
    </w:p>
    <w:p w14:paraId="7640BE72">
      <w:pPr>
        <w:pStyle w:val="16"/>
        <w:snapToGrid w:val="0"/>
        <w:spacing w:line="360" w:lineRule="auto"/>
        <w:ind w:left="420" w:firstLine="841" w:firstLineChars="294"/>
        <w:jc w:val="center"/>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2025年12月10日</w:t>
      </w:r>
    </w:p>
    <w:p w14:paraId="2CD70058">
      <w:pPr>
        <w:spacing w:line="360" w:lineRule="auto"/>
        <w:jc w:val="center"/>
        <w:rPr>
          <w:rFonts w:ascii="宋体" w:hAnsi="宋体" w:cs="宋体"/>
          <w:b/>
          <w:bCs/>
          <w:color w:val="auto"/>
          <w:kern w:val="0"/>
          <w:sz w:val="32"/>
          <w:szCs w:val="32"/>
          <w:highlight w:val="none"/>
        </w:rPr>
      </w:pPr>
    </w:p>
    <w:p w14:paraId="4F34FD38">
      <w:pPr>
        <w:spacing w:line="360" w:lineRule="auto"/>
        <w:jc w:val="center"/>
        <w:rPr>
          <w:rFonts w:ascii="宋体" w:hAnsi="宋体" w:cs="宋体"/>
          <w:b/>
          <w:bCs/>
          <w:color w:val="auto"/>
          <w:kern w:val="0"/>
          <w:sz w:val="32"/>
          <w:szCs w:val="32"/>
          <w:highlight w:val="none"/>
        </w:rPr>
      </w:pPr>
    </w:p>
    <w:p w14:paraId="3EE33199">
      <w:pPr>
        <w:spacing w:line="360" w:lineRule="auto"/>
        <w:jc w:val="center"/>
        <w:rPr>
          <w:rFonts w:ascii="宋体" w:hAnsi="宋体"/>
          <w:b/>
          <w:color w:val="auto"/>
          <w:sz w:val="44"/>
          <w:szCs w:val="44"/>
          <w:highlight w:val="none"/>
        </w:rPr>
      </w:pPr>
    </w:p>
    <w:p w14:paraId="2CF295C5">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71688293">
      <w:pPr>
        <w:spacing w:line="400" w:lineRule="exact"/>
        <w:jc w:val="center"/>
        <w:rPr>
          <w:rFonts w:ascii="宋体" w:hAnsi="宋体"/>
          <w:b/>
          <w:color w:val="auto"/>
          <w:sz w:val="44"/>
          <w:szCs w:val="44"/>
          <w:highlight w:val="none"/>
        </w:rPr>
      </w:pPr>
    </w:p>
    <w:p w14:paraId="516643B4">
      <w:pPr>
        <w:pStyle w:val="21"/>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29"/>
          <w:rFonts w:hint="eastAsia" w:ascii="宋体" w:hAnsi="宋体"/>
          <w:b/>
          <w:color w:val="auto"/>
          <w:sz w:val="24"/>
          <w:highlight w:val="none"/>
        </w:rPr>
        <w:t>第一章竞争性磋商公告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5B40256F">
      <w:pPr>
        <w:pStyle w:val="21"/>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29"/>
          <w:rFonts w:hint="eastAsia" w:ascii="宋体" w:hAnsi="宋体"/>
          <w:b/>
          <w:color w:val="auto"/>
          <w:sz w:val="24"/>
          <w:highlight w:val="none"/>
        </w:rPr>
        <w:t>第二章供应</w:t>
      </w:r>
      <w:bookmarkStart w:id="0" w:name="_Hlt82161237"/>
      <w:r>
        <w:rPr>
          <w:rStyle w:val="29"/>
          <w:rFonts w:hint="eastAsia" w:ascii="宋体" w:hAnsi="宋体"/>
          <w:b/>
          <w:color w:val="auto"/>
          <w:sz w:val="24"/>
          <w:highlight w:val="none"/>
        </w:rPr>
        <w:t>商</w:t>
      </w:r>
      <w:bookmarkEnd w:id="0"/>
      <w:r>
        <w:rPr>
          <w:rStyle w:val="29"/>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6</w:t>
      </w:r>
      <w:r>
        <w:rPr>
          <w:rFonts w:ascii="宋体" w:hAnsi="宋体"/>
          <w:b/>
          <w:color w:val="auto"/>
          <w:sz w:val="24"/>
          <w:highlight w:val="none"/>
        </w:rPr>
        <w:fldChar w:fldCharType="end"/>
      </w:r>
      <w:r>
        <w:rPr>
          <w:rFonts w:ascii="宋体" w:hAnsi="宋体"/>
          <w:b/>
          <w:color w:val="auto"/>
          <w:sz w:val="24"/>
          <w:highlight w:val="none"/>
        </w:rPr>
        <w:fldChar w:fldCharType="end"/>
      </w:r>
    </w:p>
    <w:p w14:paraId="46E8F362">
      <w:pPr>
        <w:pStyle w:val="21"/>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29"/>
          <w:rFonts w:hint="eastAsia" w:ascii="宋体" w:hAnsi="宋体"/>
          <w:b/>
          <w:color w:val="auto"/>
          <w:sz w:val="24"/>
          <w:highlight w:val="none"/>
        </w:rPr>
        <w:t>第三章采购需</w:t>
      </w:r>
      <w:bookmarkStart w:id="1" w:name="_Hlt82166940"/>
      <w:r>
        <w:rPr>
          <w:rStyle w:val="29"/>
          <w:rFonts w:hint="eastAsia" w:ascii="宋体" w:hAnsi="宋体"/>
          <w:b/>
          <w:color w:val="auto"/>
          <w:sz w:val="24"/>
          <w:highlight w:val="none"/>
        </w:rPr>
        <w:t>求</w:t>
      </w:r>
      <w:bookmarkEnd w:id="1"/>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24</w:t>
      </w:r>
      <w:r>
        <w:rPr>
          <w:rFonts w:ascii="宋体" w:hAnsi="宋体"/>
          <w:b/>
          <w:color w:val="auto"/>
          <w:sz w:val="24"/>
          <w:highlight w:val="none"/>
        </w:rPr>
        <w:fldChar w:fldCharType="end"/>
      </w:r>
      <w:r>
        <w:rPr>
          <w:rFonts w:ascii="宋体" w:hAnsi="宋体"/>
          <w:b/>
          <w:color w:val="auto"/>
          <w:sz w:val="24"/>
          <w:highlight w:val="none"/>
        </w:rPr>
        <w:fldChar w:fldCharType="end"/>
      </w:r>
    </w:p>
    <w:p w14:paraId="71CDCB31">
      <w:pPr>
        <w:pStyle w:val="21"/>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29"/>
          <w:rFonts w:hint="eastAsia" w:ascii="宋体" w:hAnsi="宋体"/>
          <w:b/>
          <w:color w:val="auto"/>
          <w:sz w:val="24"/>
          <w:highlight w:val="none"/>
        </w:rPr>
        <w:t>第四章评审程序、</w:t>
      </w:r>
      <w:bookmarkStart w:id="2" w:name="_Hlt82166000"/>
      <w:r>
        <w:rPr>
          <w:rStyle w:val="29"/>
          <w:rFonts w:hint="eastAsia" w:ascii="宋体" w:hAnsi="宋体"/>
          <w:b/>
          <w:color w:val="auto"/>
          <w:sz w:val="24"/>
          <w:highlight w:val="none"/>
        </w:rPr>
        <w:t>评</w:t>
      </w:r>
      <w:bookmarkEnd w:id="2"/>
      <w:r>
        <w:rPr>
          <w:rStyle w:val="29"/>
          <w:rFonts w:hint="eastAsia" w:ascii="宋体" w:hAnsi="宋体"/>
          <w:b/>
          <w:color w:val="auto"/>
          <w:sz w:val="24"/>
          <w:highlight w:val="none"/>
        </w:rPr>
        <w:t>审方法和评审标准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33</w:t>
      </w:r>
      <w:r>
        <w:rPr>
          <w:rFonts w:ascii="宋体" w:hAnsi="宋体"/>
          <w:b/>
          <w:color w:val="auto"/>
          <w:sz w:val="24"/>
          <w:highlight w:val="none"/>
        </w:rPr>
        <w:fldChar w:fldCharType="end"/>
      </w:r>
      <w:r>
        <w:rPr>
          <w:rFonts w:ascii="宋体" w:hAnsi="宋体"/>
          <w:b/>
          <w:color w:val="auto"/>
          <w:sz w:val="24"/>
          <w:highlight w:val="none"/>
        </w:rPr>
        <w:fldChar w:fldCharType="end"/>
      </w:r>
    </w:p>
    <w:p w14:paraId="7EF919C6">
      <w:pPr>
        <w:pStyle w:val="21"/>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29"/>
          <w:rFonts w:hint="eastAsia" w:ascii="宋体" w:hAnsi="宋体"/>
          <w:b/>
          <w:color w:val="auto"/>
          <w:sz w:val="24"/>
          <w:highlight w:val="none"/>
        </w:rPr>
        <w:t>第五章响应文件格式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44</w:t>
      </w:r>
      <w:r>
        <w:rPr>
          <w:rFonts w:ascii="宋体" w:hAnsi="宋体"/>
          <w:b/>
          <w:color w:val="auto"/>
          <w:sz w:val="24"/>
          <w:highlight w:val="none"/>
        </w:rPr>
        <w:fldChar w:fldCharType="end"/>
      </w:r>
      <w:r>
        <w:rPr>
          <w:rFonts w:ascii="宋体" w:hAnsi="宋体"/>
          <w:b/>
          <w:color w:val="auto"/>
          <w:sz w:val="24"/>
          <w:highlight w:val="none"/>
        </w:rPr>
        <w:fldChar w:fldCharType="end"/>
      </w:r>
    </w:p>
    <w:p w14:paraId="355EAE40">
      <w:pPr>
        <w:pStyle w:val="21"/>
        <w:tabs>
          <w:tab w:val="right" w:leader="dot" w:pos="8869"/>
        </w:tabs>
        <w:snapToGrid w:val="0"/>
        <w:spacing w:line="500" w:lineRule="atLeast"/>
        <w:rPr>
          <w:rFonts w:ascii="宋体" w:hAnsi="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29"/>
          <w:rFonts w:hint="eastAsia" w:ascii="宋体" w:hAnsi="宋体"/>
          <w:b/>
          <w:color w:val="auto"/>
          <w:sz w:val="24"/>
          <w:highlight w:val="none"/>
        </w:rPr>
        <w:t>第六章合同文本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_Toc74323461 \h </w:instrText>
      </w:r>
      <w:r>
        <w:rPr>
          <w:rFonts w:ascii="宋体" w:hAnsi="宋体"/>
          <w:b/>
          <w:color w:val="auto"/>
          <w:sz w:val="24"/>
          <w:highlight w:val="none"/>
        </w:rPr>
        <w:fldChar w:fldCharType="separate"/>
      </w:r>
      <w:r>
        <w:rPr>
          <w:rFonts w:ascii="宋体" w:hAnsi="宋体"/>
          <w:b/>
          <w:color w:val="auto"/>
          <w:sz w:val="24"/>
          <w:highlight w:val="none"/>
        </w:rPr>
        <w:t>66</w:t>
      </w:r>
      <w:r>
        <w:rPr>
          <w:rFonts w:ascii="宋体" w:hAnsi="宋体"/>
          <w:b/>
          <w:color w:val="auto"/>
          <w:sz w:val="24"/>
          <w:highlight w:val="none"/>
        </w:rPr>
        <w:fldChar w:fldCharType="end"/>
      </w:r>
      <w:r>
        <w:rPr>
          <w:rFonts w:ascii="宋体" w:hAnsi="宋体"/>
          <w:b/>
          <w:color w:val="auto"/>
          <w:sz w:val="24"/>
          <w:highlight w:val="none"/>
        </w:rPr>
        <w:fldChar w:fldCharType="end"/>
      </w:r>
    </w:p>
    <w:p w14:paraId="0C4FA7B1">
      <w:pPr>
        <w:pStyle w:val="22"/>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14:paraId="66E0EDFE">
      <w:pPr>
        <w:spacing w:line="400" w:lineRule="exact"/>
        <w:jc w:val="left"/>
        <w:rPr>
          <w:rFonts w:ascii="宋体" w:hAnsi="宋体"/>
          <w:b/>
          <w:color w:val="auto"/>
          <w:sz w:val="32"/>
          <w:szCs w:val="32"/>
          <w:highlight w:val="none"/>
        </w:rPr>
      </w:pPr>
    </w:p>
    <w:p w14:paraId="5E17080E">
      <w:pPr>
        <w:spacing w:line="400" w:lineRule="exact"/>
        <w:jc w:val="center"/>
        <w:rPr>
          <w:rFonts w:ascii="宋体" w:hAnsi="宋体"/>
          <w:b/>
          <w:color w:val="auto"/>
          <w:sz w:val="32"/>
          <w:szCs w:val="32"/>
          <w:highlight w:val="none"/>
        </w:rPr>
      </w:pPr>
    </w:p>
    <w:p w14:paraId="349CF8AC">
      <w:pPr>
        <w:spacing w:line="400" w:lineRule="exact"/>
        <w:jc w:val="center"/>
        <w:rPr>
          <w:rFonts w:ascii="宋体" w:hAnsi="宋体"/>
          <w:b/>
          <w:color w:val="auto"/>
          <w:sz w:val="32"/>
          <w:szCs w:val="32"/>
          <w:highlight w:val="none"/>
        </w:rPr>
      </w:pPr>
    </w:p>
    <w:p w14:paraId="04FCB46E">
      <w:pPr>
        <w:spacing w:line="400" w:lineRule="exact"/>
        <w:jc w:val="center"/>
        <w:rPr>
          <w:rFonts w:ascii="宋体" w:hAnsi="宋体"/>
          <w:b/>
          <w:color w:val="auto"/>
          <w:sz w:val="32"/>
          <w:szCs w:val="32"/>
          <w:highlight w:val="none"/>
        </w:rPr>
      </w:pPr>
    </w:p>
    <w:p w14:paraId="6DA2A08C">
      <w:pPr>
        <w:spacing w:line="400" w:lineRule="exact"/>
        <w:jc w:val="center"/>
        <w:rPr>
          <w:rFonts w:ascii="宋体" w:hAnsi="宋体"/>
          <w:b/>
          <w:color w:val="auto"/>
          <w:sz w:val="32"/>
          <w:szCs w:val="32"/>
          <w:highlight w:val="none"/>
        </w:rPr>
      </w:pPr>
    </w:p>
    <w:p w14:paraId="218238EB">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327" w:right="1253" w:bottom="1327" w:left="1253" w:header="851" w:footer="992" w:gutter="0"/>
          <w:pgNumType w:start="0"/>
          <w:cols w:space="720" w:num="1"/>
          <w:titlePg/>
          <w:docGrid w:type="lines" w:linePitch="312" w:charSpace="0"/>
        </w:sectPr>
      </w:pPr>
    </w:p>
    <w:p w14:paraId="1BCE4D44">
      <w:pPr>
        <w:pStyle w:val="2"/>
        <w:spacing w:line="480" w:lineRule="auto"/>
        <w:jc w:val="center"/>
        <w:rPr>
          <w:color w:val="auto"/>
          <w:highlight w:val="none"/>
        </w:rPr>
      </w:pPr>
      <w:bookmarkStart w:id="3" w:name="_Toc74323456"/>
      <w:r>
        <w:rPr>
          <w:rFonts w:hint="eastAsia"/>
          <w:color w:val="auto"/>
          <w:highlight w:val="none"/>
        </w:rPr>
        <w:t>第一章 竞争性磋商公告</w:t>
      </w:r>
      <w:bookmarkEnd w:id="3"/>
    </w:p>
    <w:p w14:paraId="5476DE87">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6F43BD0D">
      <w:pPr>
        <w:spacing w:line="360" w:lineRule="auto"/>
        <w:rPr>
          <w:rFonts w:ascii="宋体" w:hAnsi="宋体"/>
          <w:color w:val="auto"/>
          <w:szCs w:val="21"/>
          <w:highlight w:val="none"/>
        </w:rPr>
      </w:pPr>
    </w:p>
    <w:p w14:paraId="14B89E0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0993213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梧州市政府办公大楼既有建筑节能降碳改造项目（重）</w:t>
      </w:r>
      <w:r>
        <w:rPr>
          <w:rFonts w:hint="eastAsia" w:ascii="宋体" w:hAnsi="宋体"/>
          <w:color w:val="auto"/>
          <w:szCs w:val="21"/>
          <w:highlight w:val="none"/>
        </w:rPr>
        <w:t>采购项目的潜在供应商应在广西政府采购云平台（https://www.gcy.zfcg.gxzf.gov.cn/）获取（下载）竞争性磋商文件，并于</w:t>
      </w:r>
      <w:r>
        <w:rPr>
          <w:rFonts w:hint="eastAsia" w:ascii="宋体" w:hAnsi="宋体"/>
          <w:color w:val="auto"/>
          <w:szCs w:val="21"/>
          <w:highlight w:val="none"/>
          <w:u w:val="single"/>
        </w:rPr>
        <w:t>2025年12月22日9时30分</w:t>
      </w:r>
      <w:r>
        <w:rPr>
          <w:rFonts w:hint="eastAsia" w:ascii="宋体" w:hAnsi="宋体"/>
          <w:bCs/>
          <w:color w:val="auto"/>
          <w:szCs w:val="21"/>
          <w:highlight w:val="none"/>
          <w:u w:val="single"/>
        </w:rPr>
        <w:t>（</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6C6E67C3">
      <w:pPr>
        <w:ind w:firstLine="354" w:firstLineChars="147"/>
        <w:rPr>
          <w:rFonts w:ascii="黑体" w:hAnsi="黑体" w:eastAsia="黑体"/>
          <w:b/>
          <w:color w:val="auto"/>
          <w:sz w:val="24"/>
          <w:highlight w:val="none"/>
        </w:rPr>
      </w:pPr>
      <w:bookmarkStart w:id="5" w:name="_Toc35393629"/>
      <w:bookmarkStart w:id="6" w:name="_Toc71365905"/>
      <w:bookmarkStart w:id="7" w:name="_Toc28359012"/>
      <w:bookmarkStart w:id="8" w:name="_Toc44229878"/>
      <w:bookmarkStart w:id="9" w:name="_Toc28359089"/>
      <w:bookmarkStart w:id="10" w:name="_Toc35393798"/>
    </w:p>
    <w:p w14:paraId="628F9ECC">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一、项目基本情况</w:t>
      </w:r>
      <w:bookmarkEnd w:id="5"/>
      <w:bookmarkEnd w:id="6"/>
      <w:bookmarkEnd w:id="7"/>
      <w:bookmarkEnd w:id="8"/>
      <w:bookmarkEnd w:id="9"/>
      <w:bookmarkEnd w:id="10"/>
    </w:p>
    <w:p w14:paraId="3ACBD4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项目编号：WZZC2025-C3-990340-YZLZ</w:t>
      </w:r>
    </w:p>
    <w:p w14:paraId="38AF6409">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项目名称：梧州市政府办公大楼既有建筑节能降碳改造项目（重）</w:t>
      </w:r>
    </w:p>
    <w:p w14:paraId="3B9D83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24CB15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预算金额（元）：970000.00</w:t>
      </w:r>
    </w:p>
    <w:p w14:paraId="1DF373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最高限价（如有）：97万元</w:t>
      </w:r>
    </w:p>
    <w:p w14:paraId="1F93B5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25"/>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9"/>
        <w:gridCol w:w="2220"/>
        <w:gridCol w:w="945"/>
        <w:gridCol w:w="5536"/>
      </w:tblGrid>
      <w:tr w14:paraId="1B460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ign w:val="center"/>
          </w:tcPr>
          <w:p w14:paraId="00A37ED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rPr>
              <w:t>分标；预算金额：97万元</w:t>
            </w:r>
          </w:p>
        </w:tc>
      </w:tr>
      <w:tr w14:paraId="5D8C6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69A3F291">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220" w:type="dxa"/>
            <w:tcBorders>
              <w:top w:val="single" w:color="auto" w:sz="4" w:space="0"/>
              <w:left w:val="single" w:color="auto" w:sz="4" w:space="0"/>
              <w:bottom w:val="single" w:color="auto" w:sz="4" w:space="0"/>
              <w:right w:val="single" w:color="auto" w:sz="4" w:space="0"/>
            </w:tcBorders>
            <w:noWrap/>
            <w:vAlign w:val="center"/>
          </w:tcPr>
          <w:p w14:paraId="519D85E5">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945" w:type="dxa"/>
            <w:tcBorders>
              <w:top w:val="single" w:color="auto" w:sz="4" w:space="0"/>
              <w:left w:val="single" w:color="auto" w:sz="4" w:space="0"/>
              <w:bottom w:val="single" w:color="auto" w:sz="4" w:space="0"/>
              <w:right w:val="single" w:color="auto" w:sz="4" w:space="0"/>
            </w:tcBorders>
            <w:noWrap/>
            <w:vAlign w:val="center"/>
          </w:tcPr>
          <w:p w14:paraId="232682DA">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数量及</w:t>
            </w:r>
          </w:p>
          <w:p w14:paraId="1776A4D0">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单位</w:t>
            </w:r>
          </w:p>
        </w:tc>
        <w:tc>
          <w:tcPr>
            <w:tcW w:w="5536" w:type="dxa"/>
            <w:tcBorders>
              <w:top w:val="single" w:color="auto" w:sz="4" w:space="0"/>
              <w:left w:val="single" w:color="auto" w:sz="4" w:space="0"/>
              <w:bottom w:val="single" w:color="auto" w:sz="4" w:space="0"/>
              <w:right w:val="single" w:color="auto" w:sz="4" w:space="0"/>
            </w:tcBorders>
            <w:noWrap/>
            <w:vAlign w:val="center"/>
          </w:tcPr>
          <w:p w14:paraId="3D9D7B35">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2FF99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6ED357C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220" w:type="dxa"/>
            <w:tcBorders>
              <w:top w:val="single" w:color="auto" w:sz="4" w:space="0"/>
              <w:left w:val="single" w:color="auto" w:sz="4" w:space="0"/>
              <w:bottom w:val="single" w:color="auto" w:sz="4" w:space="0"/>
              <w:right w:val="single" w:color="auto" w:sz="4" w:space="0"/>
            </w:tcBorders>
            <w:noWrap/>
            <w:vAlign w:val="center"/>
          </w:tcPr>
          <w:p w14:paraId="3CDC70E6">
            <w:pPr>
              <w:snapToGrid w:val="0"/>
              <w:spacing w:line="360" w:lineRule="auto"/>
              <w:jc w:val="center"/>
              <w:rPr>
                <w:rFonts w:ascii="宋体" w:hAnsi="宋体"/>
                <w:color w:val="auto"/>
                <w:szCs w:val="21"/>
                <w:highlight w:val="none"/>
              </w:rPr>
            </w:pPr>
            <w:r>
              <w:rPr>
                <w:rFonts w:hint="eastAsia" w:ascii="宋体" w:hAnsi="宋体" w:cs="宋体"/>
                <w:color w:val="auto"/>
                <w:szCs w:val="21"/>
                <w:highlight w:val="none"/>
              </w:rPr>
              <w:t>照明系统节能改造技术服务</w:t>
            </w:r>
          </w:p>
        </w:tc>
        <w:tc>
          <w:tcPr>
            <w:tcW w:w="945" w:type="dxa"/>
            <w:tcBorders>
              <w:top w:val="single" w:color="auto" w:sz="4" w:space="0"/>
              <w:left w:val="single" w:color="auto" w:sz="4" w:space="0"/>
              <w:bottom w:val="single" w:color="auto" w:sz="4" w:space="0"/>
              <w:right w:val="single" w:color="auto" w:sz="4" w:space="0"/>
            </w:tcBorders>
            <w:noWrap/>
            <w:vAlign w:val="center"/>
          </w:tcPr>
          <w:p w14:paraId="6FE3F328">
            <w:pPr>
              <w:tabs>
                <w:tab w:val="left" w:pos="180"/>
                <w:tab w:val="left" w:pos="1620"/>
              </w:tabs>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5536" w:type="dxa"/>
            <w:tcBorders>
              <w:top w:val="single" w:color="auto" w:sz="4" w:space="0"/>
              <w:left w:val="single" w:color="auto" w:sz="4" w:space="0"/>
              <w:bottom w:val="single" w:color="auto" w:sz="4" w:space="0"/>
              <w:right w:val="single" w:color="auto" w:sz="4" w:space="0"/>
            </w:tcBorders>
            <w:noWrap/>
            <w:vAlign w:val="center"/>
          </w:tcPr>
          <w:p w14:paraId="16F429F0">
            <w:pPr>
              <w:pStyle w:val="62"/>
              <w:spacing w:line="360" w:lineRule="auto"/>
              <w:rPr>
                <w:rFonts w:ascii="宋体" w:hAnsi="宋体" w:cs="宋体"/>
                <w:color w:val="auto"/>
                <w:szCs w:val="21"/>
                <w:highlight w:val="none"/>
              </w:rPr>
            </w:pPr>
            <w:r>
              <w:rPr>
                <w:rFonts w:hint="eastAsia"/>
                <w:color w:val="auto"/>
                <w:highlight w:val="none"/>
              </w:rPr>
              <w:t>通过提供全面的照明系统能效诊断与优化技术服务，实现照明区域综合节能率不低于0.5%（与改造前基准值相比），同时提升照明质量与视觉舒适度。</w:t>
            </w:r>
            <w:r>
              <w:rPr>
                <w:rFonts w:hint="eastAsia" w:ascii="宋体" w:hAnsi="宋体" w:cs="宋体"/>
                <w:color w:val="auto"/>
                <w:szCs w:val="21"/>
                <w:highlight w:val="none"/>
              </w:rPr>
              <w:t>具体详见竞争性磋商文件。</w:t>
            </w:r>
          </w:p>
        </w:tc>
      </w:tr>
      <w:tr w14:paraId="0DF01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1653A40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02</w:t>
            </w:r>
          </w:p>
        </w:tc>
        <w:tc>
          <w:tcPr>
            <w:tcW w:w="2220" w:type="dxa"/>
            <w:tcBorders>
              <w:top w:val="single" w:color="auto" w:sz="4" w:space="0"/>
              <w:left w:val="single" w:color="auto" w:sz="4" w:space="0"/>
              <w:bottom w:val="single" w:color="auto" w:sz="4" w:space="0"/>
              <w:right w:val="single" w:color="auto" w:sz="4" w:space="0"/>
            </w:tcBorders>
            <w:noWrap/>
            <w:vAlign w:val="center"/>
          </w:tcPr>
          <w:p w14:paraId="21C93D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空调系统能效优化技术服务</w:t>
            </w:r>
          </w:p>
        </w:tc>
        <w:tc>
          <w:tcPr>
            <w:tcW w:w="945" w:type="dxa"/>
            <w:tcBorders>
              <w:top w:val="single" w:color="auto" w:sz="4" w:space="0"/>
              <w:left w:val="single" w:color="auto" w:sz="4" w:space="0"/>
              <w:bottom w:val="single" w:color="auto" w:sz="4" w:space="0"/>
              <w:right w:val="single" w:color="auto" w:sz="4" w:space="0"/>
            </w:tcBorders>
            <w:noWrap/>
            <w:vAlign w:val="center"/>
          </w:tcPr>
          <w:p w14:paraId="4037C349">
            <w:pPr>
              <w:tabs>
                <w:tab w:val="left" w:pos="180"/>
                <w:tab w:val="left" w:pos="1620"/>
              </w:tabs>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5536" w:type="dxa"/>
            <w:tcBorders>
              <w:top w:val="single" w:color="auto" w:sz="4" w:space="0"/>
              <w:left w:val="single" w:color="auto" w:sz="4" w:space="0"/>
              <w:bottom w:val="single" w:color="auto" w:sz="4" w:space="0"/>
              <w:right w:val="single" w:color="auto" w:sz="4" w:space="0"/>
            </w:tcBorders>
            <w:noWrap/>
            <w:vAlign w:val="center"/>
          </w:tcPr>
          <w:p w14:paraId="364B9DC3">
            <w:pPr>
              <w:pStyle w:val="62"/>
              <w:spacing w:line="360" w:lineRule="auto"/>
              <w:rPr>
                <w:rFonts w:ascii="宋体" w:hAnsi="宋体" w:cs="宋体"/>
                <w:color w:val="auto"/>
                <w:szCs w:val="21"/>
                <w:highlight w:val="none"/>
              </w:rPr>
            </w:pPr>
            <w:r>
              <w:rPr>
                <w:rFonts w:hint="eastAsia"/>
                <w:color w:val="auto"/>
                <w:highlight w:val="none"/>
              </w:rPr>
              <w:t>通过提供空调系统综合能效优化技术服务，实现空调系统综合节能率不低于13%，并建立智能化的空调运行管理与监控平台。</w:t>
            </w:r>
            <w:r>
              <w:rPr>
                <w:rFonts w:hint="eastAsia" w:ascii="宋体" w:hAnsi="宋体" w:cs="宋体"/>
                <w:color w:val="auto"/>
                <w:szCs w:val="21"/>
                <w:highlight w:val="none"/>
              </w:rPr>
              <w:t>具体详见竞争性磋商文件。</w:t>
            </w:r>
          </w:p>
        </w:tc>
      </w:tr>
      <w:tr w14:paraId="7D388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4FC74F5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03</w:t>
            </w:r>
          </w:p>
        </w:tc>
        <w:tc>
          <w:tcPr>
            <w:tcW w:w="2220" w:type="dxa"/>
            <w:tcBorders>
              <w:top w:val="single" w:color="auto" w:sz="4" w:space="0"/>
              <w:left w:val="single" w:color="auto" w:sz="4" w:space="0"/>
              <w:bottom w:val="single" w:color="auto" w:sz="4" w:space="0"/>
              <w:right w:val="single" w:color="auto" w:sz="4" w:space="0"/>
            </w:tcBorders>
            <w:noWrap/>
            <w:vAlign w:val="center"/>
          </w:tcPr>
          <w:p w14:paraId="2C3C38A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建筑围护结构节能改造技术服务</w:t>
            </w:r>
          </w:p>
        </w:tc>
        <w:tc>
          <w:tcPr>
            <w:tcW w:w="945" w:type="dxa"/>
            <w:tcBorders>
              <w:top w:val="single" w:color="auto" w:sz="4" w:space="0"/>
              <w:left w:val="single" w:color="auto" w:sz="4" w:space="0"/>
              <w:bottom w:val="single" w:color="auto" w:sz="4" w:space="0"/>
              <w:right w:val="single" w:color="auto" w:sz="4" w:space="0"/>
            </w:tcBorders>
            <w:noWrap/>
            <w:vAlign w:val="center"/>
          </w:tcPr>
          <w:p w14:paraId="1D56AD19">
            <w:pPr>
              <w:tabs>
                <w:tab w:val="left" w:pos="180"/>
                <w:tab w:val="left" w:pos="1620"/>
              </w:tabs>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5536" w:type="dxa"/>
            <w:tcBorders>
              <w:top w:val="single" w:color="auto" w:sz="4" w:space="0"/>
              <w:left w:val="single" w:color="auto" w:sz="4" w:space="0"/>
              <w:bottom w:val="single" w:color="auto" w:sz="4" w:space="0"/>
              <w:right w:val="single" w:color="auto" w:sz="4" w:space="0"/>
            </w:tcBorders>
            <w:noWrap/>
            <w:vAlign w:val="center"/>
          </w:tcPr>
          <w:p w14:paraId="213B5BAB">
            <w:pPr>
              <w:pStyle w:val="62"/>
              <w:spacing w:line="360" w:lineRule="auto"/>
              <w:rPr>
                <w:rFonts w:ascii="宋体" w:hAnsi="宋体" w:cs="宋体"/>
                <w:color w:val="auto"/>
                <w:szCs w:val="21"/>
                <w:highlight w:val="none"/>
              </w:rPr>
            </w:pPr>
            <w:r>
              <w:rPr>
                <w:color w:val="auto"/>
                <w:highlight w:val="none"/>
              </w:rPr>
              <w:t>通过提供建筑外窗系统的节能性能提升技术服务，增强建筑围护结构的保温隔热性能与气密性，为建筑整体节能目标提供支撑</w:t>
            </w:r>
            <w:r>
              <w:rPr>
                <w:rFonts w:hint="eastAsia"/>
                <w:color w:val="auto"/>
                <w:highlight w:val="none"/>
              </w:rPr>
              <w:t>。</w:t>
            </w:r>
            <w:r>
              <w:rPr>
                <w:rFonts w:hint="eastAsia" w:ascii="宋体" w:hAnsi="宋体" w:cs="宋体"/>
                <w:color w:val="auto"/>
                <w:szCs w:val="21"/>
                <w:highlight w:val="none"/>
              </w:rPr>
              <w:t>具体详见竞争性磋商文件。</w:t>
            </w:r>
          </w:p>
        </w:tc>
      </w:tr>
    </w:tbl>
    <w:p w14:paraId="7BFF61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s="宋体"/>
          <w:color w:val="auto"/>
          <w:szCs w:val="21"/>
          <w:highlight w:val="none"/>
        </w:rPr>
        <w:t>自签订合同之日起90日历天内。</w:t>
      </w:r>
      <w:r>
        <w:rPr>
          <w:rFonts w:hint="eastAsia" w:ascii="宋体" w:hAnsi="宋体"/>
          <w:color w:val="auto"/>
          <w:szCs w:val="21"/>
          <w:highlight w:val="none"/>
        </w:rPr>
        <w:t xml:space="preserve"> </w:t>
      </w:r>
    </w:p>
    <w:p w14:paraId="0F51C8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4F9867DA">
      <w:pPr>
        <w:ind w:firstLine="354" w:firstLineChars="147"/>
        <w:rPr>
          <w:rFonts w:ascii="黑体" w:hAnsi="黑体" w:eastAsia="黑体"/>
          <w:b/>
          <w:color w:val="auto"/>
          <w:sz w:val="24"/>
          <w:highlight w:val="none"/>
        </w:rPr>
      </w:pPr>
      <w:bookmarkStart w:id="11" w:name="_Toc28359013"/>
      <w:bookmarkStart w:id="12" w:name="_Toc35393799"/>
      <w:bookmarkStart w:id="13" w:name="_Toc71365906"/>
      <w:bookmarkStart w:id="14" w:name="_Toc44229879"/>
      <w:bookmarkStart w:id="15" w:name="_Toc28359090"/>
      <w:bookmarkStart w:id="16" w:name="_Toc35393630"/>
      <w:r>
        <w:rPr>
          <w:rFonts w:hint="eastAsia" w:ascii="黑体" w:hAnsi="黑体" w:eastAsia="黑体"/>
          <w:b/>
          <w:color w:val="auto"/>
          <w:sz w:val="24"/>
          <w:highlight w:val="none"/>
        </w:rPr>
        <w:t>二、申请人的资格条件：</w:t>
      </w:r>
      <w:bookmarkEnd w:id="11"/>
      <w:bookmarkEnd w:id="12"/>
      <w:bookmarkEnd w:id="13"/>
      <w:bookmarkEnd w:id="14"/>
      <w:bookmarkEnd w:id="15"/>
      <w:bookmarkEnd w:id="16"/>
    </w:p>
    <w:p w14:paraId="24D4FD26">
      <w:pPr>
        <w:spacing w:line="360" w:lineRule="auto"/>
        <w:ind w:firstLine="420" w:firstLineChars="200"/>
        <w:rPr>
          <w:rFonts w:ascii="宋体" w:hAnsi="宋体"/>
          <w:color w:val="auto"/>
          <w:szCs w:val="21"/>
          <w:highlight w:val="none"/>
        </w:rPr>
      </w:pPr>
      <w:bookmarkStart w:id="17" w:name="_Toc35393800"/>
      <w:bookmarkStart w:id="18" w:name="_Toc28359014"/>
      <w:bookmarkStart w:id="19" w:name="_Toc35393631"/>
      <w:bookmarkStart w:id="20" w:name="_Toc28359091"/>
      <w:bookmarkStart w:id="21" w:name="_Toc44229880"/>
      <w:r>
        <w:rPr>
          <w:rFonts w:hint="eastAsia" w:ascii="宋体" w:hAnsi="宋体"/>
          <w:color w:val="auto"/>
          <w:szCs w:val="21"/>
          <w:highlight w:val="none"/>
        </w:rPr>
        <w:t>1.满足《中华人民共和国政府采购法》第二十二条规定；</w:t>
      </w:r>
    </w:p>
    <w:p w14:paraId="1A006450">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属于专门面向中小企业采购的项目，服务的承接单位为符合政策要求的中型或小型或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p>
    <w:p w14:paraId="1C150BCF">
      <w:pPr>
        <w:ind w:firstLine="308" w:firstLineChars="147"/>
        <w:rPr>
          <w:rFonts w:ascii="宋体" w:hAnsi="宋体"/>
          <w:color w:val="auto"/>
          <w:szCs w:val="21"/>
          <w:highlight w:val="none"/>
        </w:rPr>
      </w:pPr>
      <w:r>
        <w:rPr>
          <w:rFonts w:hint="eastAsia" w:ascii="宋体" w:hAnsi="宋体"/>
          <w:color w:val="auto"/>
          <w:szCs w:val="21"/>
          <w:highlight w:val="none"/>
        </w:rPr>
        <w:t>3.本项目的特定资格要求：</w:t>
      </w:r>
      <w:bookmarkStart w:id="22" w:name="_Toc71365907"/>
      <w:r>
        <w:rPr>
          <w:rFonts w:hint="eastAsia" w:ascii="宋体" w:hAnsi="宋体"/>
          <w:color w:val="auto"/>
          <w:szCs w:val="21"/>
          <w:highlight w:val="none"/>
        </w:rPr>
        <w:t>无。</w:t>
      </w:r>
    </w:p>
    <w:p w14:paraId="6E72C742">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17"/>
      <w:bookmarkEnd w:id="18"/>
      <w:bookmarkEnd w:id="19"/>
      <w:bookmarkEnd w:id="20"/>
      <w:bookmarkEnd w:id="21"/>
      <w:bookmarkEnd w:id="22"/>
    </w:p>
    <w:p w14:paraId="44531E9F">
      <w:pPr>
        <w:spacing w:line="360" w:lineRule="auto"/>
        <w:ind w:firstLine="420" w:firstLineChars="200"/>
        <w:rPr>
          <w:rFonts w:ascii="宋体" w:hAnsi="宋体" w:cs="宋体"/>
          <w:bCs/>
          <w:color w:val="auto"/>
          <w:kern w:val="0"/>
          <w:szCs w:val="21"/>
          <w:highlight w:val="none"/>
        </w:rPr>
      </w:pPr>
      <w:bookmarkStart w:id="23" w:name="_Toc35393801"/>
      <w:bookmarkStart w:id="24" w:name="_Toc35393632"/>
      <w:bookmarkStart w:id="25" w:name="_Toc28359092"/>
      <w:bookmarkStart w:id="26" w:name="_Toc28359015"/>
      <w:bookmarkStart w:id="27" w:name="_Toc44229881"/>
      <w:r>
        <w:rPr>
          <w:rFonts w:hint="eastAsia" w:ascii="宋体" w:hAnsi="宋体" w:cs="宋体"/>
          <w:bCs/>
          <w:color w:val="auto"/>
          <w:kern w:val="0"/>
          <w:szCs w:val="21"/>
          <w:highlight w:val="none"/>
        </w:rPr>
        <w:t>时间：</w:t>
      </w:r>
      <w:r>
        <w:rPr>
          <w:rFonts w:hint="eastAsia" w:ascii="宋体" w:hAnsi="宋体"/>
          <w:bCs/>
          <w:color w:val="auto"/>
          <w:szCs w:val="21"/>
          <w:highlight w:val="none"/>
          <w:u w:val="single"/>
        </w:rPr>
        <w:t>2025年12月10日</w:t>
      </w:r>
      <w:r>
        <w:rPr>
          <w:rFonts w:hint="eastAsia" w:ascii="宋体" w:hAnsi="宋体" w:cs="宋体"/>
          <w:bCs/>
          <w:color w:val="auto"/>
          <w:kern w:val="0"/>
          <w:szCs w:val="21"/>
          <w:highlight w:val="none"/>
        </w:rPr>
        <w:t>至</w:t>
      </w:r>
      <w:r>
        <w:rPr>
          <w:rFonts w:hint="eastAsia" w:ascii="宋体" w:hAnsi="宋体"/>
          <w:bCs/>
          <w:color w:val="auto"/>
          <w:szCs w:val="21"/>
          <w:highlight w:val="none"/>
          <w:u w:val="single"/>
        </w:rPr>
        <w:t>2025年12月17日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3：00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6：00</w:t>
      </w:r>
      <w:r>
        <w:rPr>
          <w:rFonts w:hint="eastAsia" w:ascii="宋体" w:hAnsi="宋体" w:cs="宋体"/>
          <w:bCs/>
          <w:color w:val="auto"/>
          <w:kern w:val="0"/>
          <w:szCs w:val="21"/>
          <w:highlight w:val="none"/>
        </w:rPr>
        <w:t>（北京时间）</w:t>
      </w:r>
    </w:p>
    <w:p w14:paraId="43CA861D">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4B87E3E5">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373EAE78">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7AB8091B">
      <w:pPr>
        <w:ind w:firstLine="354" w:firstLineChars="147"/>
        <w:rPr>
          <w:rFonts w:ascii="黑体" w:hAnsi="黑体" w:eastAsia="黑体"/>
          <w:b/>
          <w:color w:val="auto"/>
          <w:sz w:val="24"/>
          <w:highlight w:val="none"/>
        </w:rPr>
      </w:pPr>
      <w:bookmarkStart w:id="28" w:name="_Toc71365908"/>
      <w:r>
        <w:rPr>
          <w:rFonts w:hint="eastAsia" w:ascii="黑体" w:hAnsi="黑体" w:eastAsia="黑体"/>
          <w:b/>
          <w:color w:val="auto"/>
          <w:sz w:val="24"/>
          <w:highlight w:val="none"/>
        </w:rPr>
        <w:t>四、响应文件提交</w:t>
      </w:r>
      <w:bookmarkEnd w:id="23"/>
      <w:bookmarkEnd w:id="24"/>
      <w:bookmarkEnd w:id="25"/>
      <w:bookmarkEnd w:id="26"/>
      <w:bookmarkEnd w:id="27"/>
      <w:bookmarkEnd w:id="28"/>
    </w:p>
    <w:p w14:paraId="01425702">
      <w:pPr>
        <w:spacing w:line="360" w:lineRule="auto"/>
        <w:ind w:firstLine="420" w:firstLineChars="200"/>
        <w:rPr>
          <w:rFonts w:ascii="宋体" w:hAnsi="宋体"/>
          <w:bCs/>
          <w:color w:val="auto"/>
          <w:szCs w:val="21"/>
          <w:highlight w:val="none"/>
        </w:rPr>
      </w:pPr>
      <w:bookmarkStart w:id="29" w:name="_Toc28359093"/>
      <w:bookmarkStart w:id="30" w:name="_Toc28359016"/>
      <w:bookmarkStart w:id="31" w:name="_Toc35393802"/>
      <w:bookmarkStart w:id="32" w:name="_Toc35393633"/>
      <w:bookmarkStart w:id="33" w:name="_Toc44229882"/>
      <w:r>
        <w:rPr>
          <w:rFonts w:hint="eastAsia" w:ascii="宋体" w:hAnsi="宋体"/>
          <w:color w:val="auto"/>
          <w:szCs w:val="21"/>
          <w:highlight w:val="none"/>
        </w:rPr>
        <w:t>截止时间：</w:t>
      </w:r>
      <w:r>
        <w:rPr>
          <w:rFonts w:hint="eastAsia" w:ascii="宋体" w:hAnsi="宋体"/>
          <w:bCs/>
          <w:color w:val="auto"/>
          <w:szCs w:val="21"/>
          <w:highlight w:val="none"/>
          <w:u w:val="single"/>
        </w:rPr>
        <w:t>2025年12月22日9时30分</w:t>
      </w:r>
      <w:r>
        <w:rPr>
          <w:rFonts w:hint="eastAsia" w:ascii="宋体" w:hAnsi="宋体"/>
          <w:bCs/>
          <w:color w:val="auto"/>
          <w:szCs w:val="21"/>
          <w:highlight w:val="none"/>
        </w:rPr>
        <w:t>（北京时间）</w:t>
      </w:r>
    </w:p>
    <w:p w14:paraId="6910A7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3EF6565B">
      <w:pPr>
        <w:ind w:firstLine="354" w:firstLineChars="147"/>
        <w:rPr>
          <w:rFonts w:ascii="黑体" w:hAnsi="黑体" w:eastAsia="黑体"/>
          <w:b/>
          <w:color w:val="auto"/>
          <w:sz w:val="24"/>
          <w:highlight w:val="none"/>
        </w:rPr>
      </w:pPr>
      <w:bookmarkStart w:id="34" w:name="_Toc71365909"/>
      <w:r>
        <w:rPr>
          <w:rFonts w:hint="eastAsia" w:ascii="黑体" w:hAnsi="黑体" w:eastAsia="黑体"/>
          <w:b/>
          <w:color w:val="auto"/>
          <w:sz w:val="24"/>
          <w:highlight w:val="none"/>
        </w:rPr>
        <w:t>五、开启</w:t>
      </w:r>
      <w:bookmarkEnd w:id="29"/>
      <w:bookmarkEnd w:id="30"/>
      <w:bookmarkEnd w:id="31"/>
      <w:bookmarkEnd w:id="32"/>
      <w:bookmarkEnd w:id="33"/>
      <w:bookmarkEnd w:id="34"/>
    </w:p>
    <w:p w14:paraId="0B5BAE3D">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u w:val="single"/>
        </w:rPr>
        <w:t>2025</w:t>
      </w:r>
      <w:r>
        <w:rPr>
          <w:rFonts w:hint="eastAsia" w:ascii="宋体" w:hAnsi="宋体"/>
          <w:bCs/>
          <w:color w:val="auto"/>
          <w:szCs w:val="21"/>
          <w:highlight w:val="none"/>
          <w:u w:val="single"/>
        </w:rPr>
        <w:t>年12月22日9时30分</w:t>
      </w:r>
      <w:r>
        <w:rPr>
          <w:rFonts w:hint="eastAsia" w:ascii="宋体" w:hAnsi="宋体"/>
          <w:bCs/>
          <w:color w:val="auto"/>
          <w:szCs w:val="21"/>
          <w:highlight w:val="none"/>
        </w:rPr>
        <w:t>（北京时间）</w:t>
      </w:r>
    </w:p>
    <w:p w14:paraId="57381115">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1CF431F1">
      <w:pPr>
        <w:ind w:firstLine="354" w:firstLineChars="147"/>
        <w:rPr>
          <w:rFonts w:ascii="黑体" w:hAnsi="黑体" w:eastAsia="黑体"/>
          <w:b/>
          <w:color w:val="auto"/>
          <w:sz w:val="24"/>
          <w:highlight w:val="none"/>
        </w:rPr>
      </w:pPr>
      <w:bookmarkStart w:id="35" w:name="_Toc28359017"/>
      <w:bookmarkStart w:id="36" w:name="_Toc71365910"/>
      <w:bookmarkStart w:id="37" w:name="_Toc35393803"/>
      <w:bookmarkStart w:id="38" w:name="_Toc44229883"/>
      <w:bookmarkStart w:id="39" w:name="_Toc35393634"/>
      <w:bookmarkStart w:id="40" w:name="_Toc28359094"/>
      <w:r>
        <w:rPr>
          <w:rFonts w:hint="eastAsia" w:ascii="黑体" w:hAnsi="黑体" w:eastAsia="黑体"/>
          <w:b/>
          <w:color w:val="auto"/>
          <w:sz w:val="24"/>
          <w:highlight w:val="none"/>
        </w:rPr>
        <w:t>六、公告期限</w:t>
      </w:r>
      <w:bookmarkEnd w:id="35"/>
      <w:bookmarkEnd w:id="36"/>
      <w:bookmarkEnd w:id="37"/>
      <w:bookmarkEnd w:id="38"/>
      <w:bookmarkEnd w:id="39"/>
      <w:bookmarkEnd w:id="40"/>
    </w:p>
    <w:p w14:paraId="5F2C9FD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DFC411C">
      <w:pPr>
        <w:ind w:firstLine="354" w:firstLineChars="147"/>
        <w:rPr>
          <w:rFonts w:ascii="黑体" w:hAnsi="黑体" w:eastAsia="黑体"/>
          <w:b/>
          <w:color w:val="auto"/>
          <w:sz w:val="24"/>
          <w:highlight w:val="none"/>
        </w:rPr>
      </w:pPr>
      <w:bookmarkStart w:id="41" w:name="_Toc35393635"/>
      <w:bookmarkStart w:id="42" w:name="_Toc44229884"/>
      <w:bookmarkStart w:id="43" w:name="_Toc35393804"/>
      <w:bookmarkStart w:id="44" w:name="_Toc71365911"/>
      <w:r>
        <w:rPr>
          <w:rFonts w:hint="eastAsia" w:ascii="黑体" w:hAnsi="黑体" w:eastAsia="黑体"/>
          <w:b/>
          <w:color w:val="auto"/>
          <w:sz w:val="24"/>
          <w:highlight w:val="none"/>
        </w:rPr>
        <w:t>七、其他补充事宜</w:t>
      </w:r>
      <w:bookmarkEnd w:id="41"/>
      <w:bookmarkEnd w:id="42"/>
      <w:bookmarkEnd w:id="43"/>
      <w:bookmarkEnd w:id="44"/>
    </w:p>
    <w:p w14:paraId="615AB8B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706E4E9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www.ccgp.gov.cn（中国政府采购网）、zfcg.gxzf.gov.cn（广西壮族自治区政府采购网）、http://117.141.250.58:10030/web/cgw/index.ptl（梧州市政府采购网）</w:t>
      </w:r>
    </w:p>
    <w:p w14:paraId="52CA5445">
      <w:pPr>
        <w:spacing w:line="360" w:lineRule="auto"/>
        <w:ind w:firstLine="424" w:firstLineChars="202"/>
        <w:rPr>
          <w:rFonts w:ascii="宋体" w:hAnsi="宋体" w:cs="宋体"/>
          <w:color w:val="auto"/>
          <w:kern w:val="0"/>
          <w:szCs w:val="21"/>
          <w:highlight w:val="none"/>
        </w:rPr>
      </w:pPr>
      <w:bookmarkStart w:id="45" w:name="_Hlk37429674"/>
      <w:bookmarkStart w:id="46" w:name="_Toc44229885"/>
      <w:bookmarkStart w:id="47" w:name="_Toc35393805"/>
      <w:bookmarkStart w:id="48" w:name="_Toc35393636"/>
      <w:bookmarkStart w:id="49" w:name="_Toc28359018"/>
      <w:bookmarkStart w:id="50" w:name="_Toc28359095"/>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45"/>
    <w:p w14:paraId="370FAB51">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6F2C0A81">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079BED07">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03E0EA42">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668788BE">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895C5A6">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24CC6F56">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政府采购项目电子交易管理操作指南－供应商</w:t>
      </w:r>
      <w:r>
        <w:rPr>
          <w:rFonts w:hint="eastAsia" w:ascii="宋体" w:hAnsi="宋体"/>
          <w:color w:val="auto"/>
          <w:szCs w:val="21"/>
          <w:highlight w:val="none"/>
        </w:rPr>
        <w:t>”查看电子竞标具体操作流程。</w:t>
      </w:r>
    </w:p>
    <w:p w14:paraId="51D7FDC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w:t>
      </w:r>
      <w:r>
        <w:rPr>
          <w:rFonts w:hint="eastAsia" w:ascii="宋体" w:hAnsi="宋体" w:cs="宋体"/>
          <w:b/>
          <w:color w:val="auto"/>
          <w:kern w:val="0"/>
          <w:szCs w:val="21"/>
          <w:highlight w:val="none"/>
        </w:rPr>
        <w:t>请致电客服热线：95763或者0771-3381253</w:t>
      </w:r>
      <w:r>
        <w:rPr>
          <w:rFonts w:hint="eastAsia" w:ascii="宋体" w:hAnsi="宋体"/>
          <w:color w:val="auto"/>
          <w:szCs w:val="21"/>
          <w:highlight w:val="none"/>
        </w:rPr>
        <w:t>）。</w:t>
      </w:r>
    </w:p>
    <w:p w14:paraId="663066D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9E6C10A">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4888289">
      <w:pPr>
        <w:spacing w:line="360" w:lineRule="auto"/>
        <w:ind w:firstLine="420" w:firstLineChars="200"/>
        <w:rPr>
          <w:rFonts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14049CCF">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6"/>
      <w:bookmarkEnd w:id="47"/>
      <w:bookmarkEnd w:id="48"/>
      <w:bookmarkEnd w:id="49"/>
      <w:bookmarkEnd w:id="50"/>
    </w:p>
    <w:p w14:paraId="10007F47">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1.采购人信息</w:t>
      </w:r>
    </w:p>
    <w:p w14:paraId="7E1F849B">
      <w:pPr>
        <w:spacing w:line="360" w:lineRule="auto"/>
        <w:ind w:firstLine="424" w:firstLineChars="202"/>
        <w:jc w:val="left"/>
        <w:rPr>
          <w:rFonts w:ascii="宋体" w:hAnsi="宋体"/>
          <w:color w:val="auto"/>
          <w:szCs w:val="21"/>
          <w:highlight w:val="none"/>
          <w:u w:val="single"/>
        </w:rPr>
      </w:pPr>
      <w:bookmarkStart w:id="51" w:name="_Toc28359086"/>
      <w:bookmarkStart w:id="52" w:name="_Toc28359009"/>
      <w:r>
        <w:rPr>
          <w:rFonts w:hint="eastAsia" w:ascii="宋体" w:hAnsi="宋体"/>
          <w:color w:val="auto"/>
          <w:szCs w:val="21"/>
          <w:highlight w:val="none"/>
        </w:rPr>
        <w:t>名 称：</w:t>
      </w:r>
      <w:r>
        <w:rPr>
          <w:rFonts w:hint="eastAsia" w:ascii="宋体" w:hAnsi="宋体"/>
          <w:color w:val="auto"/>
          <w:szCs w:val="21"/>
          <w:highlight w:val="none"/>
          <w:u w:val="single"/>
        </w:rPr>
        <w:t>梧州市机关后勤服务中心</w:t>
      </w:r>
    </w:p>
    <w:p w14:paraId="1A2F28E5">
      <w:pPr>
        <w:widowControl/>
        <w:spacing w:line="360" w:lineRule="auto"/>
        <w:ind w:firstLine="420" w:firstLineChars="200"/>
        <w:jc w:val="left"/>
        <w:rPr>
          <w:rFonts w:ascii="宋体" w:hAnsi="宋体"/>
          <w:bCs/>
          <w:color w:val="auto"/>
          <w:szCs w:val="21"/>
          <w:highlight w:val="none"/>
          <w:u w:val="single"/>
        </w:rPr>
      </w:pPr>
      <w:r>
        <w:rPr>
          <w:rFonts w:hint="eastAsia" w:ascii="宋体" w:hAnsi="宋体"/>
          <w:bCs/>
          <w:color w:val="auto"/>
          <w:szCs w:val="21"/>
          <w:highlight w:val="none"/>
        </w:rPr>
        <w:t>地    址：</w:t>
      </w:r>
      <w:r>
        <w:rPr>
          <w:rFonts w:hint="eastAsia" w:ascii="宋体" w:hAnsi="宋体"/>
          <w:bCs/>
          <w:color w:val="auto"/>
          <w:szCs w:val="21"/>
          <w:highlight w:val="none"/>
          <w:u w:val="single"/>
        </w:rPr>
        <w:t>梧州市长洲区迎宾路19号</w:t>
      </w:r>
    </w:p>
    <w:p w14:paraId="1E4092F7">
      <w:pPr>
        <w:spacing w:line="360" w:lineRule="auto"/>
        <w:ind w:firstLine="424" w:firstLineChars="202"/>
        <w:jc w:val="left"/>
        <w:rPr>
          <w:rFonts w:ascii="宋体" w:hAnsi="宋体"/>
          <w:color w:val="auto"/>
          <w:szCs w:val="21"/>
          <w:highlight w:val="none"/>
        </w:rPr>
      </w:pPr>
      <w:r>
        <w:rPr>
          <w:rFonts w:hint="eastAsia" w:ascii="宋体" w:hAnsi="宋体"/>
          <w:bCs/>
          <w:color w:val="auto"/>
          <w:szCs w:val="21"/>
          <w:highlight w:val="none"/>
        </w:rPr>
        <w:t>联系方式：</w:t>
      </w:r>
      <w:r>
        <w:rPr>
          <w:rFonts w:hint="eastAsia" w:ascii="宋体" w:hAnsi="宋体"/>
          <w:bCs/>
          <w:color w:val="auto"/>
          <w:szCs w:val="21"/>
          <w:highlight w:val="none"/>
          <w:u w:val="single"/>
        </w:rPr>
        <w:t>苏卓华</w:t>
      </w:r>
      <w:r>
        <w:rPr>
          <w:rFonts w:hint="eastAsia" w:ascii="宋体" w:hAnsi="宋体" w:cs="宋体"/>
          <w:color w:val="auto"/>
          <w:szCs w:val="21"/>
          <w:highlight w:val="none"/>
          <w:u w:val="single"/>
        </w:rPr>
        <w:t>，0774-6021604</w:t>
      </w:r>
    </w:p>
    <w:p w14:paraId="2E52C2EE">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51"/>
      <w:bookmarkEnd w:id="52"/>
    </w:p>
    <w:p w14:paraId="380CFCF4">
      <w:pPr>
        <w:spacing w:line="360" w:lineRule="auto"/>
        <w:ind w:firstLine="424" w:firstLineChars="202"/>
        <w:rPr>
          <w:rFonts w:ascii="宋体" w:hAnsi="宋体"/>
          <w:color w:val="auto"/>
          <w:szCs w:val="21"/>
          <w:highlight w:val="none"/>
        </w:rPr>
      </w:pPr>
      <w:bookmarkStart w:id="53" w:name="_Toc28359010"/>
      <w:bookmarkStart w:id="54" w:name="_Toc28359087"/>
      <w:r>
        <w:rPr>
          <w:rFonts w:hint="eastAsia" w:ascii="宋体" w:hAnsi="宋体"/>
          <w:color w:val="auto"/>
          <w:szCs w:val="21"/>
          <w:highlight w:val="none"/>
        </w:rPr>
        <w:t>名 称：</w:t>
      </w:r>
      <w:r>
        <w:rPr>
          <w:rFonts w:hint="eastAsia" w:ascii="宋体" w:hAnsi="宋体"/>
          <w:color w:val="auto"/>
          <w:szCs w:val="21"/>
          <w:highlight w:val="none"/>
          <w:u w:val="single"/>
        </w:rPr>
        <w:t>云之龙咨询集团有限公司　</w:t>
      </w:r>
    </w:p>
    <w:p w14:paraId="6550E3F8">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梧州市新兴三路30号神冠豪都B栋1单元1008号房</w:t>
      </w:r>
    </w:p>
    <w:p w14:paraId="6B469E4C">
      <w:pPr>
        <w:spacing w:line="360" w:lineRule="auto"/>
        <w:ind w:firstLine="424" w:firstLineChars="202"/>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rPr>
        <w:t>周子然、陈丽莹 0774-3859935</w:t>
      </w:r>
    </w:p>
    <w:p w14:paraId="0F33B775">
      <w:pPr>
        <w:spacing w:line="360" w:lineRule="auto"/>
        <w:ind w:firstLine="424" w:firstLineChars="202"/>
        <w:rPr>
          <w:rFonts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53"/>
      <w:bookmarkEnd w:id="54"/>
    </w:p>
    <w:p w14:paraId="4E11C212">
      <w:pPr>
        <w:pStyle w:val="16"/>
        <w:spacing w:line="360" w:lineRule="auto"/>
        <w:ind w:firstLine="424" w:firstLineChars="202"/>
        <w:rPr>
          <w:rFonts w:hAnsi="宋体"/>
          <w:color w:val="auto"/>
          <w:kern w:val="2"/>
          <w:sz w:val="21"/>
          <w:highlight w:val="none"/>
          <w:u w:val="single"/>
        </w:rPr>
      </w:pPr>
      <w:r>
        <w:rPr>
          <w:rFonts w:hint="eastAsia" w:hAnsi="宋体"/>
          <w:color w:val="auto"/>
          <w:sz w:val="21"/>
          <w:highlight w:val="none"/>
        </w:rPr>
        <w:t>项目联系人：</w:t>
      </w:r>
      <w:r>
        <w:rPr>
          <w:rFonts w:hint="eastAsia" w:hAnsi="宋体"/>
          <w:color w:val="auto"/>
          <w:sz w:val="21"/>
          <w:highlight w:val="none"/>
          <w:u w:val="single"/>
        </w:rPr>
        <w:t>周子然、</w:t>
      </w:r>
      <w:r>
        <w:rPr>
          <w:rFonts w:hint="eastAsia" w:hAnsi="宋体"/>
          <w:color w:val="auto"/>
          <w:kern w:val="2"/>
          <w:sz w:val="21"/>
          <w:highlight w:val="none"/>
          <w:u w:val="single"/>
        </w:rPr>
        <w:t>陈丽莹</w:t>
      </w:r>
    </w:p>
    <w:p w14:paraId="1A4EF9B8">
      <w:pPr>
        <w:spacing w:line="360" w:lineRule="auto"/>
        <w:ind w:firstLine="424" w:firstLineChars="202"/>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0774-3859935</w:t>
      </w:r>
    </w:p>
    <w:bookmarkEnd w:id="4"/>
    <w:p w14:paraId="62CEBEC4">
      <w:pPr>
        <w:jc w:val="center"/>
        <w:rPr>
          <w:color w:val="auto"/>
          <w:highlight w:val="none"/>
        </w:rPr>
      </w:pPr>
      <w:r>
        <w:rPr>
          <w:rFonts w:ascii="宋体" w:hAnsi="宋体"/>
          <w:color w:val="auto"/>
          <w:sz w:val="32"/>
          <w:szCs w:val="32"/>
          <w:highlight w:val="none"/>
        </w:rPr>
        <w:br w:type="page"/>
      </w:r>
      <w:bookmarkStart w:id="55" w:name="_Toc74323457"/>
      <w:r>
        <w:rPr>
          <w:rFonts w:hint="eastAsia"/>
          <w:b/>
          <w:bCs/>
          <w:color w:val="auto"/>
          <w:kern w:val="44"/>
          <w:sz w:val="44"/>
          <w:szCs w:val="44"/>
          <w:highlight w:val="none"/>
        </w:rPr>
        <w:t>第二章 供应商须知</w:t>
      </w:r>
      <w:bookmarkEnd w:id="55"/>
    </w:p>
    <w:p w14:paraId="30794483">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3746313A">
      <w:pPr>
        <w:spacing w:line="400" w:lineRule="exact"/>
        <w:jc w:val="center"/>
        <w:rPr>
          <w:rFonts w:ascii="宋体" w:hAnsi="宋体"/>
          <w:b/>
          <w:color w:val="auto"/>
          <w:sz w:val="32"/>
          <w:szCs w:val="32"/>
          <w:highlight w:val="none"/>
        </w:rPr>
      </w:pPr>
    </w:p>
    <w:tbl>
      <w:tblPr>
        <w:tblStyle w:val="25"/>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E6B9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1ADB5D8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tcPr>
          <w:p w14:paraId="6C9FED9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4E61F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18A7A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noWrap/>
            <w:vAlign w:val="center"/>
          </w:tcPr>
          <w:p w14:paraId="0884EB99">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6E4F0DB1">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9CD3995">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126F3C2">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FD9A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F9281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noWrap/>
            <w:vAlign w:val="center"/>
          </w:tcPr>
          <w:p w14:paraId="526FA354">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4A035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B2A08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noWrap/>
            <w:vAlign w:val="center"/>
          </w:tcPr>
          <w:p w14:paraId="16A4C417">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r>
              <w:rPr>
                <w:rFonts w:hint="eastAsia" w:ascii="宋体" w:hAnsi="宋体" w:cs="宋体"/>
                <w:color w:val="auto"/>
                <w:szCs w:val="21"/>
                <w:highlight w:val="none"/>
              </w:rPr>
              <w:t>/</w:t>
            </w:r>
          </w:p>
        </w:tc>
      </w:tr>
      <w:tr w14:paraId="766C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DA591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noWrap/>
            <w:vAlign w:val="center"/>
          </w:tcPr>
          <w:p w14:paraId="53CCFDAD">
            <w:pPr>
              <w:pStyle w:val="11"/>
              <w:spacing w:line="360" w:lineRule="auto"/>
              <w:rPr>
                <w:rFonts w:ascii="宋体" w:hAnsi="宋体"/>
                <w:color w:val="auto"/>
                <w:szCs w:val="21"/>
                <w:highlight w:val="none"/>
              </w:rPr>
            </w:pPr>
            <w:r>
              <w:rPr>
                <w:rFonts w:hint="eastAsia" w:ascii="宋体" w:hAnsi="宋体"/>
                <w:color w:val="auto"/>
                <w:szCs w:val="21"/>
                <w:highlight w:val="none"/>
              </w:rPr>
              <w:t>☑不允许分包</w:t>
            </w:r>
          </w:p>
          <w:p w14:paraId="7A2CA5A5">
            <w:pPr>
              <w:pStyle w:val="11"/>
              <w:spacing w:line="360" w:lineRule="auto"/>
              <w:rPr>
                <w:rFonts w:ascii="宋体" w:hAnsi="宋体"/>
                <w:color w:val="auto"/>
                <w:szCs w:val="21"/>
                <w:highlight w:val="none"/>
              </w:rPr>
            </w:pPr>
            <w:r>
              <w:rPr>
                <w:rFonts w:hint="eastAsia" w:ascii="宋体" w:hAnsi="宋体"/>
                <w:color w:val="auto"/>
                <w:szCs w:val="21"/>
                <w:highlight w:val="none"/>
              </w:rPr>
              <w:t>□允许分包</w:t>
            </w:r>
          </w:p>
          <w:p w14:paraId="1DDB95F1">
            <w:pPr>
              <w:pStyle w:val="11"/>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0C1400B7">
            <w:pPr>
              <w:pStyle w:val="11"/>
              <w:spacing w:line="360" w:lineRule="auto"/>
              <w:rPr>
                <w:rFonts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14:paraId="5E8F4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F4ED1F1">
            <w:pPr>
              <w:spacing w:line="460" w:lineRule="exact"/>
              <w:jc w:val="center"/>
              <w:rPr>
                <w:rFonts w:ascii="宋体" w:hAnsi="宋体" w:cs="宋体"/>
                <w:color w:val="auto"/>
                <w:szCs w:val="21"/>
                <w:highlight w:val="none"/>
              </w:rPr>
            </w:pPr>
            <w:r>
              <w:rPr>
                <w:rFonts w:hint="eastAsia" w:ascii="宋体" w:hAnsi="宋体"/>
                <w:color w:val="auto"/>
                <w:highlight w:val="none"/>
              </w:rPr>
              <w:t>7.7</w:t>
            </w:r>
          </w:p>
        </w:tc>
        <w:tc>
          <w:tcPr>
            <w:tcW w:w="7912" w:type="dxa"/>
            <w:noWrap/>
            <w:vAlign w:val="center"/>
          </w:tcPr>
          <w:p w14:paraId="7DD8D58D">
            <w:pPr>
              <w:spacing w:line="460" w:lineRule="exact"/>
              <w:ind w:right="105" w:rightChars="50"/>
              <w:rPr>
                <w:color w:val="auto"/>
                <w:highlight w:val="none"/>
              </w:rPr>
            </w:pPr>
            <w:r>
              <w:rPr>
                <w:rFonts w:hint="eastAsia"/>
                <w:color w:val="auto"/>
                <w:highlight w:val="none"/>
              </w:rPr>
              <w:t>是否组织现场踏勘：</w:t>
            </w:r>
          </w:p>
          <w:p w14:paraId="02857B9C">
            <w:pPr>
              <w:spacing w:line="460" w:lineRule="exact"/>
              <w:ind w:right="105" w:rightChars="50"/>
              <w:rPr>
                <w:rFonts w:ascii="宋体" w:hAnsi="宋体"/>
                <w:color w:val="auto"/>
                <w:highlight w:val="none"/>
              </w:rPr>
            </w:pPr>
            <w:r>
              <w:rPr>
                <w:rFonts w:hint="eastAsia"/>
                <w:color w:val="auto"/>
                <w:highlight w:val="none"/>
              </w:rPr>
              <w:t>□不</w:t>
            </w:r>
            <w:r>
              <w:rPr>
                <w:rFonts w:hint="eastAsia" w:ascii="宋体" w:hAnsi="宋体"/>
                <w:color w:val="auto"/>
                <w:highlight w:val="none"/>
              </w:rPr>
              <w:t>组织</w:t>
            </w:r>
          </w:p>
          <w:p w14:paraId="55E3CD0A">
            <w:pPr>
              <w:spacing w:line="460" w:lineRule="exact"/>
              <w:ind w:right="105" w:rightChars="50"/>
              <w:rPr>
                <w:rFonts w:ascii="宋体" w:hAnsi="宋体"/>
                <w:color w:val="auto"/>
                <w:highlight w:val="none"/>
              </w:rPr>
            </w:pPr>
            <w:r>
              <w:rPr>
                <w:rFonts w:hint="eastAsia"/>
                <w:color w:val="auto"/>
                <w:highlight w:val="none"/>
              </w:rPr>
              <w:t>☑</w:t>
            </w:r>
            <w:r>
              <w:rPr>
                <w:rFonts w:hint="eastAsia" w:ascii="宋体" w:hAnsi="宋体"/>
                <w:color w:val="auto"/>
                <w:highlight w:val="none"/>
              </w:rPr>
              <w:t>组织，</w:t>
            </w:r>
            <w:r>
              <w:rPr>
                <w:rFonts w:hint="eastAsia"/>
                <w:color w:val="auto"/>
                <w:highlight w:val="none"/>
              </w:rPr>
              <w:t>踏勘</w:t>
            </w:r>
            <w:r>
              <w:rPr>
                <w:rFonts w:hint="eastAsia" w:ascii="宋体" w:hAnsi="宋体"/>
                <w:color w:val="auto"/>
                <w:highlight w:val="none"/>
              </w:rPr>
              <w:t>时间：</w:t>
            </w:r>
            <w:r>
              <w:rPr>
                <w:rFonts w:ascii="宋体" w:hAnsi="宋体"/>
                <w:color w:val="auto"/>
                <w:highlight w:val="none"/>
                <w:u w:val="single"/>
              </w:rPr>
              <w:t>20</w:t>
            </w:r>
            <w:r>
              <w:rPr>
                <w:rFonts w:hint="eastAsia" w:ascii="宋体" w:hAnsi="宋体"/>
                <w:color w:val="auto"/>
                <w:highlight w:val="none"/>
                <w:u w:val="single"/>
              </w:rPr>
              <w:t>25</w:t>
            </w:r>
            <w:r>
              <w:rPr>
                <w:rFonts w:hint="eastAsia" w:ascii="宋体" w:hAnsi="宋体"/>
                <w:color w:val="auto"/>
                <w:highlight w:val="none"/>
              </w:rPr>
              <w:t>年</w:t>
            </w:r>
            <w:r>
              <w:rPr>
                <w:rFonts w:hint="eastAsia" w:ascii="宋体" w:hAnsi="宋体"/>
                <w:color w:val="auto"/>
                <w:highlight w:val="none"/>
                <w:u w:val="single"/>
              </w:rPr>
              <w:t>12</w:t>
            </w:r>
            <w:r>
              <w:rPr>
                <w:rFonts w:hint="eastAsia" w:ascii="宋体" w:hAnsi="宋体"/>
                <w:color w:val="auto"/>
                <w:highlight w:val="none"/>
              </w:rPr>
              <w:t>月</w:t>
            </w:r>
            <w:r>
              <w:rPr>
                <w:rFonts w:hint="eastAsia" w:ascii="宋体" w:hAnsi="宋体"/>
                <w:color w:val="auto"/>
                <w:highlight w:val="none"/>
                <w:u w:val="single"/>
              </w:rPr>
              <w:t>18</w:t>
            </w:r>
            <w:r>
              <w:rPr>
                <w:rFonts w:hint="eastAsia" w:ascii="宋体" w:hAnsi="宋体"/>
                <w:color w:val="auto"/>
                <w:highlight w:val="none"/>
              </w:rPr>
              <w:t>日9时3</w:t>
            </w:r>
            <w:r>
              <w:rPr>
                <w:rFonts w:ascii="宋体" w:hAnsi="宋体"/>
                <w:color w:val="auto"/>
                <w:highlight w:val="none"/>
              </w:rPr>
              <w:t>0</w:t>
            </w:r>
            <w:r>
              <w:rPr>
                <w:rFonts w:hint="eastAsia" w:ascii="宋体" w:hAnsi="宋体"/>
                <w:color w:val="auto"/>
                <w:highlight w:val="none"/>
              </w:rPr>
              <w:t>分（逾期不候，其责任由供应商自行承担）。</w:t>
            </w:r>
          </w:p>
          <w:p w14:paraId="1F3DC969">
            <w:pPr>
              <w:spacing w:line="460" w:lineRule="exact"/>
              <w:ind w:right="105" w:rightChars="50"/>
              <w:rPr>
                <w:rFonts w:ascii="宋体" w:hAnsi="宋体"/>
                <w:color w:val="auto"/>
                <w:highlight w:val="none"/>
              </w:rPr>
            </w:pPr>
            <w:r>
              <w:rPr>
                <w:rFonts w:hint="eastAsia"/>
                <w:color w:val="auto"/>
                <w:highlight w:val="none"/>
              </w:rPr>
              <w:t>踏勘</w:t>
            </w:r>
            <w:r>
              <w:rPr>
                <w:rFonts w:hint="eastAsia" w:ascii="宋体" w:hAnsi="宋体"/>
                <w:color w:val="auto"/>
                <w:highlight w:val="none"/>
              </w:rPr>
              <w:t>集中地点：</w:t>
            </w:r>
            <w:r>
              <w:rPr>
                <w:rFonts w:hint="eastAsia" w:ascii="宋体" w:hAnsi="宋体"/>
                <w:color w:val="auto"/>
                <w:highlight w:val="none"/>
                <w:u w:val="single"/>
              </w:rPr>
              <w:t>梧州市政府办公大楼</w:t>
            </w:r>
            <w:r>
              <w:rPr>
                <w:rFonts w:hint="eastAsia" w:ascii="宋体" w:hAnsi="宋体" w:cs="宋体"/>
                <w:bCs/>
                <w:color w:val="auto"/>
                <w:szCs w:val="21"/>
                <w:highlight w:val="none"/>
              </w:rPr>
              <w:t xml:space="preserve"> </w:t>
            </w:r>
          </w:p>
          <w:p w14:paraId="20648448">
            <w:pPr>
              <w:adjustRightInd w:val="0"/>
              <w:snapToGrid w:val="0"/>
              <w:spacing w:line="460" w:lineRule="exact"/>
              <w:ind w:right="105" w:rightChars="50"/>
              <w:rPr>
                <w:rFonts w:ascii="宋体" w:hAnsi="宋体" w:cs="宋体"/>
                <w:color w:val="auto"/>
                <w:highlight w:val="none"/>
              </w:rPr>
            </w:pPr>
            <w:r>
              <w:rPr>
                <w:rFonts w:hint="eastAsia" w:ascii="宋体" w:hAnsi="宋体" w:cs="宋体"/>
                <w:color w:val="auto"/>
                <w:highlight w:val="none"/>
                <w:lang w:val="zh-CN"/>
              </w:rPr>
              <w:t>联系人：</w:t>
            </w:r>
            <w:r>
              <w:rPr>
                <w:rFonts w:hint="eastAsia" w:ascii="宋体" w:hAnsi="宋体" w:cs="宋体"/>
                <w:color w:val="auto"/>
                <w:highlight w:val="none"/>
                <w:u w:val="single"/>
              </w:rPr>
              <w:t>陈小姐</w:t>
            </w:r>
          </w:p>
          <w:p w14:paraId="4B338E67">
            <w:pPr>
              <w:adjustRightInd w:val="0"/>
              <w:snapToGrid w:val="0"/>
              <w:spacing w:line="460" w:lineRule="exact"/>
              <w:ind w:right="105" w:rightChars="50"/>
              <w:rPr>
                <w:rFonts w:ascii="宋体" w:hAnsi="宋体" w:cs="宋体"/>
                <w:color w:val="auto"/>
                <w:highlight w:val="none"/>
              </w:rPr>
            </w:pPr>
            <w:r>
              <w:rPr>
                <w:rFonts w:hint="eastAsia" w:ascii="宋体" w:hAnsi="宋体" w:cs="宋体"/>
                <w:color w:val="auto"/>
                <w:highlight w:val="none"/>
                <w:lang w:val="zh-CN"/>
              </w:rPr>
              <w:t>联系电话:</w:t>
            </w:r>
            <w:r>
              <w:rPr>
                <w:rFonts w:hint="eastAsia" w:ascii="宋体" w:hAnsi="宋体" w:cs="宋体"/>
                <w:color w:val="auto"/>
                <w:szCs w:val="21"/>
                <w:highlight w:val="none"/>
                <w:u w:val="single"/>
              </w:rPr>
              <w:t>0774-3830977</w:t>
            </w:r>
          </w:p>
          <w:p w14:paraId="13EAF3DE">
            <w:pPr>
              <w:spacing w:line="460" w:lineRule="exact"/>
              <w:ind w:right="105" w:rightChars="50"/>
              <w:rPr>
                <w:rFonts w:ascii="宋体" w:hAnsi="宋体"/>
                <w:color w:val="auto"/>
                <w:szCs w:val="21"/>
                <w:highlight w:val="none"/>
              </w:rPr>
            </w:pPr>
            <w:r>
              <w:rPr>
                <w:rFonts w:hint="eastAsia" w:ascii="宋体" w:hAnsi="宋体"/>
                <w:color w:val="auto"/>
                <w:highlight w:val="none"/>
              </w:rPr>
              <w:t>由已获取竞争性磋商文件的潜在供应商</w:t>
            </w:r>
            <w:r>
              <w:rPr>
                <w:rFonts w:hint="eastAsia" w:ascii="宋体" w:hAnsi="宋体"/>
                <w:color w:val="auto"/>
                <w:highlight w:val="none"/>
                <w:lang w:val="en-US" w:eastAsia="zh-CN"/>
              </w:rPr>
              <w:t>派遣</w:t>
            </w:r>
            <w:r>
              <w:rPr>
                <w:rFonts w:hint="eastAsia" w:ascii="宋体" w:hAnsi="宋体"/>
                <w:color w:val="auto"/>
                <w:highlight w:val="none"/>
              </w:rPr>
              <w:t>人员按时参与现场</w:t>
            </w:r>
            <w:r>
              <w:rPr>
                <w:rFonts w:hint="eastAsia"/>
                <w:color w:val="auto"/>
                <w:highlight w:val="none"/>
              </w:rPr>
              <w:t>踏勘</w:t>
            </w:r>
            <w:r>
              <w:rPr>
                <w:rFonts w:hint="eastAsia" w:ascii="宋体" w:hAnsi="宋体"/>
                <w:color w:val="auto"/>
                <w:highlight w:val="none"/>
              </w:rPr>
              <w:t>事宜，并由采购人向采购代理机构提供现场</w:t>
            </w:r>
            <w:r>
              <w:rPr>
                <w:rFonts w:hint="eastAsia"/>
                <w:color w:val="auto"/>
                <w:highlight w:val="none"/>
              </w:rPr>
              <w:t>踏勘</w:t>
            </w:r>
            <w:r>
              <w:rPr>
                <w:rFonts w:hint="eastAsia" w:ascii="宋体" w:hAnsi="宋体"/>
                <w:color w:val="auto"/>
                <w:highlight w:val="none"/>
              </w:rPr>
              <w:t>证明，供应商在竞标时已充分考虑了现场和周围环境条件，</w:t>
            </w:r>
            <w:r>
              <w:rPr>
                <w:rFonts w:hint="eastAsia"/>
                <w:color w:val="auto"/>
                <w:highlight w:val="none"/>
              </w:rPr>
              <w:t>踏勘</w:t>
            </w:r>
            <w:r>
              <w:rPr>
                <w:rFonts w:hint="eastAsia" w:ascii="宋体" w:hAnsi="宋体"/>
                <w:color w:val="auto"/>
                <w:highlight w:val="none"/>
              </w:rPr>
              <w:t>现场所发生的费用及安全责任由供应商自行承担。</w:t>
            </w:r>
          </w:p>
        </w:tc>
      </w:tr>
      <w:tr w14:paraId="7D84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AEF7C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ign w:val="center"/>
          </w:tcPr>
          <w:p w14:paraId="1076FC61">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3FBCE02B">
            <w:pPr>
              <w:pStyle w:val="11"/>
              <w:spacing w:line="360" w:lineRule="auto"/>
              <w:rPr>
                <w:rFonts w:ascii="宋体" w:hAnsi="宋体"/>
                <w:color w:val="auto"/>
                <w:szCs w:val="21"/>
                <w:highlight w:val="none"/>
              </w:rPr>
            </w:pPr>
            <w:r>
              <w:rPr>
                <w:rFonts w:hint="eastAsia" w:ascii="宋体" w:hAnsi="宋体" w:cs="宋体"/>
                <w:color w:val="auto"/>
                <w:szCs w:val="21"/>
                <w:highlight w:val="none"/>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F09DAC">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 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5</w:t>
            </w:r>
            <w:r>
              <w:rPr>
                <w:rFonts w:hint="eastAsia" w:ascii="宋体" w:hAnsi="宋体" w:cs="宋体"/>
                <w:color w:val="auto"/>
                <w:szCs w:val="21"/>
                <w:highlight w:val="none"/>
              </w:rPr>
              <w:t>月至提交响应文件截止之日内任意1个月的依法缴纳税收的凭据复印件；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到响应文件提交截止时间止不足要求月数的，则不需要提供）；（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DDB755">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 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5</w:t>
            </w:r>
            <w:r>
              <w:rPr>
                <w:rFonts w:hint="eastAsia" w:ascii="宋体" w:hAnsi="宋体" w:cs="宋体"/>
                <w:color w:val="auto"/>
                <w:szCs w:val="21"/>
                <w:highlight w:val="none"/>
              </w:rPr>
              <w:t>月至提交响应文件截止之日内任意1个月的依法缴纳社会保障资金的缴费凭证（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到响应文件提交截止时间止不足要求月数的则不需要提供]；（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CF2EA5">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 供应商</w:t>
            </w:r>
            <w:r>
              <w:rPr>
                <w:rFonts w:hint="eastAsia"/>
                <w:color w:val="auto"/>
                <w:szCs w:val="21"/>
                <w:highlight w:val="none"/>
              </w:rPr>
              <w:t>财务状况报告</w:t>
            </w:r>
            <w:r>
              <w:rPr>
                <w:rFonts w:hint="eastAsia" w:ascii="宋体" w:hAnsi="宋体" w:cs="宋体"/>
                <w:color w:val="auto"/>
                <w:szCs w:val="21"/>
                <w:highlight w:val="none"/>
              </w:rPr>
              <w:t>[</w:t>
            </w:r>
            <w:r>
              <w:rPr>
                <w:rFonts w:hint="eastAsia"/>
                <w:color w:val="auto"/>
                <w:szCs w:val="21"/>
                <w:highlight w:val="none"/>
                <w:u w:val="single"/>
              </w:rPr>
              <w:t>2024</w:t>
            </w:r>
            <w:r>
              <w:rPr>
                <w:rFonts w:hint="eastAsia"/>
                <w:color w:val="auto"/>
                <w:szCs w:val="21"/>
                <w:highlight w:val="none"/>
              </w:rPr>
              <w:t>年度财务报表复印件，或者银行出具的资信证明，或者中国人民银行征信中心出具的信用报告（企业竞标的提供企业信用报告，自然人竞标的提供个人信用报告，供应商属于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533D1F9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AF1F82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 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FC9427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7078A80">
            <w:pPr>
              <w:snapToGrid w:val="0"/>
              <w:spacing w:line="360" w:lineRule="auto"/>
              <w:jc w:val="left"/>
              <w:rPr>
                <w:color w:val="auto"/>
                <w:highlight w:val="none"/>
              </w:rPr>
            </w:pPr>
            <w:r>
              <w:rPr>
                <w:rFonts w:hint="eastAsia" w:ascii="宋体" w:hAnsi="宋体"/>
                <w:color w:val="auto"/>
                <w:szCs w:val="21"/>
                <w:highlight w:val="none"/>
              </w:rPr>
              <w:t>8.《中小企业声明函》（格式后附）；</w:t>
            </w:r>
            <w:r>
              <w:rPr>
                <w:rFonts w:hint="eastAsia"/>
                <w:color w:val="auto"/>
                <w:highlight w:val="none"/>
              </w:rPr>
              <w:t>【如属于残疾人福利性单位的提供残疾人福利性单位声明函，属于监狱企业的提供由省级以上监狱管理局、戒毒管理局（含新疆生产建设兵团）出具的属于监狱企业的证明文件】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7591DF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14:paraId="00DFD29F">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59FC63A">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114D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8DE1C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ign w:val="center"/>
          </w:tcPr>
          <w:p w14:paraId="5BF2282B">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73FBEF68">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31C574D">
            <w:pPr>
              <w:spacing w:line="360" w:lineRule="auto"/>
              <w:rPr>
                <w:rFonts w:ascii="宋体" w:hAnsi="宋体" w:cs="宋体"/>
                <w:color w:val="auto"/>
                <w:szCs w:val="21"/>
                <w:highlight w:val="none"/>
              </w:rPr>
            </w:pPr>
            <w:r>
              <w:rPr>
                <w:rFonts w:hint="eastAsia" w:ascii="宋体" w:hAnsi="宋体" w:cs="宋体"/>
                <w:color w:val="auto"/>
                <w:szCs w:val="21"/>
                <w:highlight w:val="none"/>
              </w:rPr>
              <w:t>2.供应商认为需要提供的其他有关资料。</w:t>
            </w:r>
          </w:p>
        </w:tc>
      </w:tr>
      <w:tr w14:paraId="69292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7C248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ign w:val="center"/>
          </w:tcPr>
          <w:p w14:paraId="7360A28F">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5D492DA0">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B683FB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9607112">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3DE9E7A">
            <w:pPr>
              <w:spacing w:line="360" w:lineRule="auto"/>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E72671D">
            <w:pPr>
              <w:spacing w:line="360" w:lineRule="auto"/>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EAB799">
            <w:pPr>
              <w:spacing w:line="360" w:lineRule="auto"/>
              <w:rPr>
                <w:rFonts w:ascii="宋体" w:hAnsi="宋体" w:cs="宋体"/>
                <w:color w:val="auto"/>
                <w:szCs w:val="21"/>
                <w:highlight w:val="none"/>
              </w:rPr>
            </w:pPr>
            <w:r>
              <w:rPr>
                <w:rFonts w:hint="eastAsia" w:ascii="宋体" w:hAnsi="宋体" w:cs="宋体"/>
                <w:color w:val="auto"/>
                <w:szCs w:val="21"/>
                <w:highlight w:val="none"/>
              </w:rPr>
              <w:t>6.技术要求偏离表（格式后附）；（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8925048">
            <w:pPr>
              <w:spacing w:line="360" w:lineRule="auto"/>
              <w:rPr>
                <w:rFonts w:ascii="宋体" w:hAnsi="宋体"/>
                <w:bCs/>
                <w:color w:val="auto"/>
                <w:szCs w:val="21"/>
                <w:highlight w:val="none"/>
              </w:rPr>
            </w:pPr>
            <w:r>
              <w:rPr>
                <w:rFonts w:hint="eastAsia" w:ascii="宋体" w:hAnsi="宋体"/>
                <w:bCs/>
                <w:color w:val="auto"/>
                <w:szCs w:val="21"/>
                <w:highlight w:val="none"/>
              </w:rPr>
              <w:t>7.</w:t>
            </w:r>
            <w:r>
              <w:rPr>
                <w:rFonts w:ascii="宋体" w:hAnsi="宋体" w:cs="宋体"/>
                <w:bCs/>
                <w:color w:val="auto"/>
                <w:kern w:val="0"/>
                <w:szCs w:val="21"/>
                <w:highlight w:val="none"/>
              </w:rPr>
              <w:t>项目技术方案</w:t>
            </w:r>
            <w:r>
              <w:rPr>
                <w:rFonts w:hint="eastAsia" w:ascii="宋体" w:hAnsi="宋体" w:cs="宋体"/>
                <w:color w:val="auto"/>
                <w:szCs w:val="21"/>
                <w:highlight w:val="none"/>
              </w:rPr>
              <w:t>（格式自拟）</w:t>
            </w:r>
            <w:r>
              <w:rPr>
                <w:rFonts w:hint="eastAsia" w:ascii="宋体" w:hAnsi="宋体"/>
                <w:bCs/>
                <w:color w:val="auto"/>
                <w:szCs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01EC2FC">
            <w:pPr>
              <w:spacing w:line="360" w:lineRule="auto"/>
              <w:rPr>
                <w:rFonts w:ascii="宋体" w:hAnsi="宋体" w:cs="宋体"/>
                <w:color w:val="auto"/>
                <w:szCs w:val="21"/>
                <w:highlight w:val="none"/>
              </w:rPr>
            </w:pPr>
            <w:r>
              <w:rPr>
                <w:rFonts w:hint="eastAsia" w:ascii="宋体" w:hAnsi="宋体" w:cs="宋体"/>
                <w:color w:val="auto"/>
                <w:szCs w:val="21"/>
                <w:highlight w:val="none"/>
              </w:rPr>
              <w:t>8.项目设计方案图（格式自拟）；（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2AF584">
            <w:pPr>
              <w:spacing w:line="360" w:lineRule="auto"/>
              <w:rPr>
                <w:rFonts w:ascii="宋体" w:hAnsi="宋体" w:cs="宋体"/>
                <w:color w:val="auto"/>
                <w:szCs w:val="21"/>
                <w:highlight w:val="none"/>
              </w:rPr>
            </w:pPr>
            <w:r>
              <w:rPr>
                <w:rFonts w:hint="eastAsia" w:ascii="宋体" w:hAnsi="宋体" w:cs="宋体"/>
                <w:color w:val="auto"/>
                <w:szCs w:val="21"/>
                <w:highlight w:val="none"/>
              </w:rPr>
              <w:t>9.项目实施方案（格式自拟）；（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19BD18">
            <w:pPr>
              <w:spacing w:line="360" w:lineRule="auto"/>
              <w:rPr>
                <w:rFonts w:ascii="宋体" w:hAnsi="宋体" w:cs="宋体"/>
                <w:color w:val="auto"/>
                <w:szCs w:val="21"/>
                <w:highlight w:val="none"/>
              </w:rPr>
            </w:pPr>
            <w:r>
              <w:rPr>
                <w:rFonts w:hint="eastAsia" w:ascii="宋体" w:hAnsi="宋体" w:cs="宋体"/>
                <w:color w:val="auto"/>
                <w:szCs w:val="21"/>
                <w:highlight w:val="none"/>
              </w:rPr>
              <w:t>10.售后服务方案（格式自拟）；（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780A06">
            <w:pPr>
              <w:spacing w:line="360" w:lineRule="auto"/>
              <w:rPr>
                <w:rFonts w:ascii="宋体" w:hAnsi="宋体" w:cs="宋体"/>
                <w:color w:val="auto"/>
                <w:szCs w:val="21"/>
                <w:highlight w:val="none"/>
              </w:rPr>
            </w:pPr>
            <w:r>
              <w:rPr>
                <w:rFonts w:hint="eastAsia" w:ascii="宋体" w:hAnsi="宋体" w:cs="宋体"/>
                <w:color w:val="auto"/>
                <w:szCs w:val="21"/>
                <w:highlight w:val="none"/>
              </w:rPr>
              <w:t>11.代理服务费承诺书（格式后附）；</w:t>
            </w:r>
          </w:p>
          <w:p w14:paraId="4C256CE2">
            <w:pPr>
              <w:spacing w:line="360" w:lineRule="auto"/>
              <w:rPr>
                <w:rFonts w:ascii="宋体" w:hAnsi="宋体" w:cs="宋体"/>
                <w:color w:val="auto"/>
                <w:szCs w:val="21"/>
                <w:highlight w:val="none"/>
              </w:rPr>
            </w:pPr>
            <w:r>
              <w:rPr>
                <w:rFonts w:hint="eastAsia" w:ascii="宋体" w:hAnsi="宋体" w:cs="宋体"/>
                <w:color w:val="auto"/>
                <w:szCs w:val="21"/>
                <w:highlight w:val="none"/>
              </w:rPr>
              <w:t>12.供应商认为需要提供的其他有关资料。</w:t>
            </w:r>
          </w:p>
          <w:p w14:paraId="52CEF8BC">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36454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BD47B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noWrap/>
            <w:vAlign w:val="center"/>
          </w:tcPr>
          <w:p w14:paraId="51835449">
            <w:pPr>
              <w:spacing w:line="360" w:lineRule="auto"/>
              <w:contextualSpacing/>
              <w:jc w:val="left"/>
              <w:rPr>
                <w:rFonts w:ascii="宋体" w:hAnsi="宋体" w:cs="宋体"/>
                <w:color w:val="auto"/>
                <w:szCs w:val="21"/>
                <w:highlight w:val="none"/>
              </w:rPr>
            </w:pPr>
            <w:r>
              <w:rPr>
                <w:rFonts w:hint="eastAsia" w:ascii="宋体" w:hAnsi="宋体"/>
                <w:color w:val="auto"/>
                <w:szCs w:val="21"/>
                <w:highlight w:val="none"/>
              </w:rPr>
              <w:t>竞标报价是履行合同的最终价格，</w:t>
            </w:r>
            <w:r>
              <w:rPr>
                <w:rFonts w:hint="eastAsia" w:ascii="宋体" w:hAnsi="宋体" w:cs="宋体"/>
                <w:color w:val="auto"/>
                <w:szCs w:val="21"/>
                <w:highlight w:val="none"/>
              </w:rPr>
              <w:t>即满足全部采购需求所应提供的服务的价格；包括竞标服务的成本、运输（含保险）（如有）、技术服务、培训、税费等所有费用。</w:t>
            </w:r>
            <w:r>
              <w:rPr>
                <w:rFonts w:hint="eastAsia" w:ascii="宋体" w:hAnsi="宋体"/>
                <w:b/>
                <w:color w:val="auto"/>
                <w:szCs w:val="21"/>
                <w:highlight w:val="none"/>
              </w:rPr>
              <w:t>（采购需求另有约定的，从其约定）</w:t>
            </w:r>
          </w:p>
        </w:tc>
      </w:tr>
      <w:tr w14:paraId="579CC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A7781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ign w:val="center"/>
          </w:tcPr>
          <w:p w14:paraId="75A1B4AA">
            <w:pPr>
              <w:pStyle w:val="10"/>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120</w:t>
            </w:r>
            <w:r>
              <w:rPr>
                <w:rFonts w:hint="eastAsia" w:ascii="宋体" w:hAnsi="宋体" w:cs="宋体"/>
                <w:color w:val="auto"/>
                <w:kern w:val="2"/>
                <w:sz w:val="21"/>
                <w:szCs w:val="21"/>
                <w:highlight w:val="none"/>
              </w:rPr>
              <w:t>日。</w:t>
            </w:r>
          </w:p>
        </w:tc>
      </w:tr>
      <w:tr w14:paraId="6437D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507FA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noWrap/>
            <w:vAlign w:val="center"/>
          </w:tcPr>
          <w:p w14:paraId="0E10A7C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sym w:font="Wingdings 2" w:char="00A3"/>
            </w:r>
            <w:r>
              <w:rPr>
                <w:rFonts w:hint="eastAsia" w:ascii="宋体" w:hAnsi="宋体"/>
                <w:color w:val="auto"/>
                <w:szCs w:val="21"/>
                <w:highlight w:val="none"/>
              </w:rPr>
              <w:t>本项目不收取磋商保证金。</w:t>
            </w:r>
          </w:p>
          <w:p w14:paraId="30015C14">
            <w:pPr>
              <w:snapToGrid w:val="0"/>
              <w:spacing w:line="360" w:lineRule="auto"/>
              <w:rPr>
                <w:rFonts w:ascii="宋体" w:hAnsi="宋体"/>
                <w:color w:val="auto"/>
                <w:szCs w:val="21"/>
                <w:highlight w:val="none"/>
              </w:rPr>
            </w:pPr>
            <w:r>
              <w:rPr>
                <w:rFonts w:ascii="宋体" w:hAnsi="宋体"/>
                <w:color w:val="auto"/>
                <w:szCs w:val="21"/>
                <w:highlight w:val="none"/>
              </w:rPr>
              <w:t>☑本项目</w:t>
            </w:r>
            <w:r>
              <w:rPr>
                <w:rFonts w:hint="eastAsia" w:ascii="宋体" w:hAnsi="宋体"/>
                <w:color w:val="auto"/>
                <w:szCs w:val="21"/>
                <w:highlight w:val="none"/>
              </w:rPr>
              <w:t>收取磋商保证金，具体规定如下：</w:t>
            </w:r>
          </w:p>
          <w:p w14:paraId="3F363C7D">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u w:val="single"/>
              </w:rPr>
              <w:t>9700</w:t>
            </w:r>
            <w:r>
              <w:rPr>
                <w:rFonts w:hint="eastAsia" w:ascii="宋体" w:hAnsi="宋体" w:cs="宋体"/>
                <w:color w:val="auto"/>
                <w:kern w:val="0"/>
                <w:szCs w:val="21"/>
                <w:highlight w:val="none"/>
              </w:rPr>
              <w:t>元。</w:t>
            </w:r>
          </w:p>
          <w:p w14:paraId="1EBB5D5B">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w:t>
            </w:r>
            <w:r>
              <w:rPr>
                <w:rFonts w:hint="eastAsia"/>
                <w:color w:val="auto"/>
                <w:highlight w:val="none"/>
              </w:rPr>
              <w:t>（包含电子保函）</w:t>
            </w:r>
            <w:r>
              <w:rPr>
                <w:rFonts w:hint="eastAsia" w:ascii="宋体" w:hAnsi="宋体" w:cs="宋体"/>
                <w:color w:val="auto"/>
                <w:kern w:val="0"/>
                <w:szCs w:val="21"/>
                <w:highlight w:val="none"/>
              </w:rPr>
              <w:t>，禁止采用现钞方式。采用银行转账方式的，在响应文件提交截止时间前交至指定账户并且到账（开户银行：中信银行南宁东葛支行，开户名称：云之龙咨询集团有限公司梧州分公司，银行账号：8113001013700074625）；采用支票、汇票、本票或者保函等方式的，在响应文件提交截止时间前，供应商必须提交单独密封的支票、汇票、本票或者保函原件（电子保函须提交复印件并加盖供应商公章）。否则视为无效磋商保证金。</w:t>
            </w:r>
          </w:p>
          <w:p w14:paraId="14F92CA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3632A5C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00FD74E">
            <w:pPr>
              <w:snapToGrid w:val="0"/>
              <w:spacing w:line="360" w:lineRule="auto"/>
              <w:rPr>
                <w:rFonts w:ascii="宋体" w:hAnsi="宋体"/>
                <w:color w:val="auto"/>
                <w:szCs w:val="21"/>
                <w:highlight w:val="none"/>
              </w:rPr>
            </w:pPr>
            <w:r>
              <w:rPr>
                <w:rFonts w:hint="eastAsia" w:ascii="宋体" w:hAnsi="宋体"/>
                <w:color w:val="auto"/>
                <w:szCs w:val="21"/>
                <w:highlight w:val="none"/>
              </w:rPr>
              <w:t>2.磋商保证金采用支票、汇票、本票或者银行、保险机构出具的保函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在响应文件提交截止时间前采用现场或邮寄方式（现场提交地址：梧州市新兴三路30号神冠豪都B栋1单元1008号房；邮寄地址：梧州市新兴三路30号神冠豪都B栋1单元1008号房，收件人：周子然、陈丽莹 ，联系方式：0774-3859935）</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支票、汇票、本票或者银行、保险机构出具的保函原件（电子保函须提交复印件并加盖供应商公章）提交给采购人或者采购代理机构，并妥善保管。</w:t>
            </w:r>
          </w:p>
          <w:p w14:paraId="0AC3B4C3">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10FA661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12C7F76">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5322C7A7">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7852402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06754835">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5C5FD9EA">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5.采用银行、保险机构出具保函（包含电子保函）的，必须为无条件保函，否则视为无效磋商保证金。</w:t>
            </w:r>
          </w:p>
        </w:tc>
      </w:tr>
      <w:tr w14:paraId="215DC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E202774">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noWrap/>
            <w:vAlign w:val="center"/>
          </w:tcPr>
          <w:p w14:paraId="429676F1">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6CE94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4CDD1A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noWrap/>
            <w:vAlign w:val="center"/>
          </w:tcPr>
          <w:p w14:paraId="06F111B2">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69409036">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D194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CD9E7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noWrap/>
            <w:vAlign w:val="center"/>
          </w:tcPr>
          <w:p w14:paraId="5E98F5C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7BEB3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D2A9A4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ign w:val="center"/>
          </w:tcPr>
          <w:p w14:paraId="266D778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508E3DF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5829C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ign w:val="center"/>
          </w:tcPr>
          <w:p w14:paraId="0A59DF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noWrap/>
            <w:vAlign w:val="center"/>
          </w:tcPr>
          <w:p w14:paraId="34CEF5C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02B7970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044B9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61790D3">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noWrap/>
            <w:vAlign w:val="center"/>
          </w:tcPr>
          <w:p w14:paraId="611BD87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olor w:val="auto"/>
                <w:szCs w:val="21"/>
                <w:highlight w:val="none"/>
              </w:rPr>
              <w:t>☑本项目不收取履约保证金。</w:t>
            </w:r>
          </w:p>
        </w:tc>
      </w:tr>
      <w:tr w14:paraId="3429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4421883">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noWrap/>
            <w:vAlign w:val="center"/>
          </w:tcPr>
          <w:p w14:paraId="56B3514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3840E12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C0AC4BA">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3BCE3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52162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ign w:val="center"/>
          </w:tcPr>
          <w:p w14:paraId="2CC75E9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77852B75">
            <w:pPr>
              <w:pStyle w:val="16"/>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质疑联系部门及联系方式：云之龙咨询集团有限公司，联系电话：0774-3859935，通讯地址：（梧州市新兴三路30号神冠豪都B栋1单元1008号房）</w:t>
            </w:r>
          </w:p>
          <w:p w14:paraId="4AE12ED3">
            <w:pPr>
              <w:pStyle w:val="16"/>
              <w:snapToGrid w:val="0"/>
              <w:spacing w:line="360" w:lineRule="auto"/>
              <w:rPr>
                <w:rFonts w:hAnsi="宋体"/>
                <w:color w:val="auto"/>
                <w:highlight w:val="none"/>
              </w:rPr>
            </w:pPr>
            <w:r>
              <w:rPr>
                <w:rFonts w:hint="eastAsia" w:hAnsi="宋体" w:cs="宋体"/>
                <w:color w:val="auto"/>
                <w:kern w:val="2"/>
                <w:sz w:val="21"/>
                <w:highlight w:val="none"/>
              </w:rPr>
              <w:t>业务时间：工作日每天上午</w:t>
            </w:r>
            <w:r>
              <w:rPr>
                <w:rFonts w:hAnsi="宋体" w:cs="宋体"/>
                <w:color w:val="auto"/>
                <w:kern w:val="2"/>
                <w:sz w:val="21"/>
                <w:highlight w:val="none"/>
              </w:rPr>
              <w:t>8</w:t>
            </w:r>
            <w:r>
              <w:rPr>
                <w:rFonts w:hint="eastAsia" w:hAnsi="宋体" w:cs="宋体"/>
                <w:color w:val="auto"/>
                <w:kern w:val="2"/>
                <w:sz w:val="21"/>
                <w:highlight w:val="none"/>
              </w:rPr>
              <w:t>时</w:t>
            </w:r>
            <w:r>
              <w:rPr>
                <w:rFonts w:hAnsi="宋体" w:cs="宋体"/>
                <w:color w:val="auto"/>
                <w:kern w:val="2"/>
                <w:sz w:val="21"/>
                <w:highlight w:val="none"/>
              </w:rPr>
              <w:t>00</w:t>
            </w:r>
            <w:r>
              <w:rPr>
                <w:rFonts w:hint="eastAsia" w:hAnsi="宋体" w:cs="宋体"/>
                <w:color w:val="auto"/>
                <w:kern w:val="2"/>
                <w:sz w:val="21"/>
                <w:highlight w:val="none"/>
              </w:rPr>
              <w:t>分到</w:t>
            </w:r>
            <w:r>
              <w:rPr>
                <w:rFonts w:hAnsi="宋体" w:cs="宋体"/>
                <w:color w:val="auto"/>
                <w:kern w:val="2"/>
                <w:sz w:val="21"/>
                <w:highlight w:val="none"/>
              </w:rPr>
              <w:t>12</w:t>
            </w:r>
            <w:r>
              <w:rPr>
                <w:rFonts w:hint="eastAsia" w:hAnsi="宋体" w:cs="宋体"/>
                <w:color w:val="auto"/>
                <w:kern w:val="2"/>
                <w:sz w:val="21"/>
                <w:highlight w:val="none"/>
              </w:rPr>
              <w:t>时</w:t>
            </w:r>
            <w:r>
              <w:rPr>
                <w:rFonts w:hAnsi="宋体" w:cs="宋体"/>
                <w:color w:val="auto"/>
                <w:kern w:val="2"/>
                <w:sz w:val="21"/>
                <w:highlight w:val="none"/>
              </w:rPr>
              <w:t>00</w:t>
            </w:r>
            <w:r>
              <w:rPr>
                <w:rFonts w:hint="eastAsia" w:hAnsi="宋体" w:cs="宋体"/>
                <w:color w:val="auto"/>
                <w:kern w:val="2"/>
                <w:sz w:val="21"/>
                <w:highlight w:val="none"/>
              </w:rPr>
              <w:t>分，下午</w:t>
            </w:r>
            <w:r>
              <w:rPr>
                <w:rFonts w:hAnsi="宋体" w:cs="宋体"/>
                <w:color w:val="auto"/>
                <w:kern w:val="2"/>
                <w:sz w:val="21"/>
                <w:highlight w:val="none"/>
              </w:rPr>
              <w:t>3</w:t>
            </w:r>
            <w:r>
              <w:rPr>
                <w:rFonts w:hint="eastAsia" w:hAnsi="宋体" w:cs="宋体"/>
                <w:color w:val="auto"/>
                <w:kern w:val="2"/>
                <w:sz w:val="21"/>
                <w:highlight w:val="none"/>
              </w:rPr>
              <w:t>时</w:t>
            </w:r>
            <w:r>
              <w:rPr>
                <w:rFonts w:hAnsi="宋体" w:cs="宋体"/>
                <w:color w:val="auto"/>
                <w:kern w:val="2"/>
                <w:sz w:val="21"/>
                <w:highlight w:val="none"/>
              </w:rPr>
              <w:t>00</w:t>
            </w:r>
            <w:r>
              <w:rPr>
                <w:rFonts w:hint="eastAsia" w:hAnsi="宋体" w:cs="宋体"/>
                <w:color w:val="auto"/>
                <w:kern w:val="2"/>
                <w:sz w:val="21"/>
                <w:highlight w:val="none"/>
              </w:rPr>
              <w:t>分到</w:t>
            </w:r>
            <w:r>
              <w:rPr>
                <w:rFonts w:hAnsi="宋体" w:cs="宋体"/>
                <w:color w:val="auto"/>
                <w:kern w:val="2"/>
                <w:sz w:val="21"/>
                <w:highlight w:val="none"/>
              </w:rPr>
              <w:t>6</w:t>
            </w:r>
            <w:r>
              <w:rPr>
                <w:rFonts w:hint="eastAsia" w:hAnsi="宋体" w:cs="宋体"/>
                <w:color w:val="auto"/>
                <w:kern w:val="2"/>
                <w:sz w:val="21"/>
                <w:highlight w:val="none"/>
              </w:rPr>
              <w:t>时</w:t>
            </w:r>
            <w:r>
              <w:rPr>
                <w:rFonts w:hAnsi="宋体" w:cs="宋体"/>
                <w:color w:val="auto"/>
                <w:kern w:val="2"/>
                <w:sz w:val="21"/>
                <w:highlight w:val="none"/>
              </w:rPr>
              <w:t>00</w:t>
            </w:r>
            <w:r>
              <w:rPr>
                <w:rFonts w:hint="eastAsia" w:hAnsi="宋体" w:cs="宋体"/>
                <w:color w:val="auto"/>
                <w:kern w:val="2"/>
                <w:sz w:val="21"/>
                <w:highlight w:val="none"/>
              </w:rPr>
              <w:t>分。</w:t>
            </w:r>
          </w:p>
        </w:tc>
      </w:tr>
      <w:tr w14:paraId="42508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01F6657">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noWrap/>
            <w:vAlign w:val="center"/>
          </w:tcPr>
          <w:p w14:paraId="7FA6012D">
            <w:pPr>
              <w:pStyle w:val="16"/>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1E881901">
            <w:pPr>
              <w:pStyle w:val="16"/>
              <w:snapToGrid w:val="0"/>
              <w:spacing w:line="360" w:lineRule="auto"/>
              <w:rPr>
                <w:rFonts w:hAnsi="宋体" w:cs="宋体"/>
                <w:color w:val="auto"/>
                <w:sz w:val="21"/>
                <w:highlight w:val="none"/>
              </w:rPr>
            </w:pPr>
            <w:r>
              <w:rPr>
                <w:rFonts w:hint="eastAsia" w:hAnsi="宋体" w:cs="宋体"/>
                <w:color w:val="auto"/>
                <w:sz w:val="21"/>
                <w:highlight w:val="none"/>
              </w:rPr>
              <w:t>☑本项目代理服务费在发布成交结果公告后5日内，由成交供应商一次性向采购代理机构支付。</w:t>
            </w:r>
          </w:p>
          <w:p w14:paraId="6634065D">
            <w:pPr>
              <w:pStyle w:val="16"/>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4E5172B">
            <w:pPr>
              <w:pStyle w:val="16"/>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13B6B05B">
            <w:pPr>
              <w:pStyle w:val="16"/>
              <w:snapToGrid w:val="0"/>
              <w:spacing w:line="360" w:lineRule="auto"/>
              <w:rPr>
                <w:rFonts w:hAnsi="宋体" w:cs="宋体"/>
                <w:color w:val="auto"/>
                <w:sz w:val="21"/>
                <w:highlight w:val="none"/>
              </w:rPr>
            </w:pPr>
            <w:r>
              <w:rPr>
                <w:rFonts w:hint="eastAsia" w:hAnsi="宋体" w:cs="宋体"/>
                <w:color w:val="auto"/>
                <w:sz w:val="21"/>
                <w:highlight w:val="none"/>
              </w:rPr>
              <w:t>☑以项目成交金额为计费额，按本须知正文第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条规定的收费计算标准（服务类）采用差额定率累进法计算出收费基准价格，采购代理收费以收费基准价格收取。</w:t>
            </w:r>
          </w:p>
          <w:p w14:paraId="62983D8B">
            <w:pPr>
              <w:pStyle w:val="16"/>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057DD6F7">
            <w:pPr>
              <w:pStyle w:val="16"/>
              <w:snapToGrid w:val="0"/>
              <w:spacing w:line="360" w:lineRule="auto"/>
              <w:rPr>
                <w:rFonts w:hAnsi="宋体" w:cs="宋体"/>
                <w:color w:val="auto"/>
                <w:sz w:val="21"/>
                <w:highlight w:val="none"/>
              </w:rPr>
            </w:pPr>
            <w:r>
              <w:rPr>
                <w:rFonts w:hint="eastAsia" w:hAnsi="宋体" w:cs="宋体"/>
                <w:color w:val="auto"/>
                <w:sz w:val="21"/>
                <w:highlight w:val="none"/>
              </w:rPr>
              <w:t>3. 采购代理费收取银行账户</w:t>
            </w:r>
          </w:p>
          <w:p w14:paraId="47AC708F">
            <w:pPr>
              <w:pStyle w:val="16"/>
              <w:snapToGrid w:val="0"/>
              <w:spacing w:line="360" w:lineRule="auto"/>
              <w:rPr>
                <w:rFonts w:hAnsi="宋体" w:cs="宋体"/>
                <w:color w:val="auto"/>
                <w:sz w:val="21"/>
                <w:highlight w:val="none"/>
              </w:rPr>
            </w:pPr>
            <w:r>
              <w:rPr>
                <w:rFonts w:hint="eastAsia" w:hAnsi="宋体" w:cs="宋体"/>
                <w:color w:val="auto"/>
                <w:sz w:val="21"/>
                <w:highlight w:val="none"/>
              </w:rPr>
              <w:t>账户名称：云之龙咨询集团有限公司梧州分公司</w:t>
            </w:r>
          </w:p>
          <w:p w14:paraId="3D670BF2">
            <w:pPr>
              <w:pStyle w:val="16"/>
              <w:snapToGrid w:val="0"/>
              <w:spacing w:line="360" w:lineRule="auto"/>
              <w:rPr>
                <w:rFonts w:hAnsi="宋体" w:cs="宋体"/>
                <w:color w:val="auto"/>
                <w:sz w:val="21"/>
                <w:highlight w:val="none"/>
              </w:rPr>
            </w:pPr>
            <w:r>
              <w:rPr>
                <w:rFonts w:hint="eastAsia" w:hAnsi="宋体" w:cs="宋体"/>
                <w:color w:val="auto"/>
                <w:sz w:val="21"/>
                <w:highlight w:val="none"/>
              </w:rPr>
              <w:t>账号：8113001014500158361</w:t>
            </w:r>
          </w:p>
          <w:p w14:paraId="35420F44">
            <w:pPr>
              <w:pStyle w:val="16"/>
              <w:snapToGrid w:val="0"/>
              <w:spacing w:line="360" w:lineRule="auto"/>
              <w:rPr>
                <w:rFonts w:hAnsi="宋体" w:cs="宋体"/>
                <w:color w:val="auto"/>
                <w:sz w:val="21"/>
                <w:highlight w:val="none"/>
              </w:rPr>
            </w:pPr>
            <w:r>
              <w:rPr>
                <w:rFonts w:hint="eastAsia" w:hAnsi="宋体" w:cs="宋体"/>
                <w:color w:val="auto"/>
                <w:sz w:val="21"/>
                <w:highlight w:val="none"/>
              </w:rPr>
              <w:t>开户行：中信银行南宁东葛支行</w:t>
            </w:r>
          </w:p>
        </w:tc>
      </w:tr>
      <w:tr w14:paraId="1C680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57429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ign w:val="center"/>
          </w:tcPr>
          <w:p w14:paraId="74592EDE">
            <w:pPr>
              <w:pStyle w:val="16"/>
              <w:snapToGrid w:val="0"/>
              <w:spacing w:line="360" w:lineRule="auto"/>
              <w:rPr>
                <w:rFonts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0BDEB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CF544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ign w:val="center"/>
          </w:tcPr>
          <w:p w14:paraId="48556B29">
            <w:pPr>
              <w:pStyle w:val="16"/>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FFCEBF9">
            <w:pPr>
              <w:pStyle w:val="16"/>
              <w:snapToGrid w:val="0"/>
              <w:spacing w:line="360" w:lineRule="auto"/>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74F56E65">
            <w:pPr>
              <w:pStyle w:val="16"/>
              <w:snapToGrid w:val="0"/>
              <w:spacing w:line="360" w:lineRule="auto"/>
              <w:rPr>
                <w:rFonts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069908B7">
            <w:pPr>
              <w:pStyle w:val="16"/>
              <w:snapToGrid w:val="0"/>
              <w:spacing w:line="360" w:lineRule="auto"/>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37EFF6E0">
            <w:pPr>
              <w:pStyle w:val="16"/>
              <w:snapToGrid w:val="0"/>
              <w:spacing w:line="360" w:lineRule="auto"/>
              <w:rPr>
                <w:rFonts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793F5E2A">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F0C5D28">
      <w:pPr>
        <w:spacing w:line="400" w:lineRule="exact"/>
        <w:jc w:val="center"/>
        <w:rPr>
          <w:rFonts w:ascii="宋体" w:hAnsi="宋体"/>
          <w:b/>
          <w:color w:val="auto"/>
          <w:sz w:val="32"/>
          <w:szCs w:val="32"/>
          <w:highlight w:val="none"/>
        </w:rPr>
      </w:pPr>
    </w:p>
    <w:p w14:paraId="685E9096">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0EDDA828">
      <w:pPr>
        <w:spacing w:line="400" w:lineRule="exact"/>
        <w:rPr>
          <w:rFonts w:ascii="宋体" w:hAnsi="宋体"/>
          <w:color w:val="auto"/>
          <w:szCs w:val="21"/>
          <w:highlight w:val="none"/>
        </w:rPr>
      </w:pPr>
    </w:p>
    <w:p w14:paraId="6888BBF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609F6D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5F26D3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F9092E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1860D7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6486C7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37736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F6C0775">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6E6716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03DBF38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281A888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CF4F1B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7BE9122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76A4FDD">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0486A82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CECC17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61C6FD5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9F30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BFE3D1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13796D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3465B85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D5DD1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3484F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181B90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56" w:name="_Hlk66782192"/>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56"/>
    </w:p>
    <w:p w14:paraId="748AA17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560C01A">
      <w:pPr>
        <w:pStyle w:val="5"/>
        <w:keepNext w:val="0"/>
        <w:keepLines w:val="0"/>
        <w:spacing w:before="0" w:after="0" w:line="360" w:lineRule="auto"/>
        <w:ind w:left="420" w:leftChars="200"/>
        <w:rPr>
          <w:rFonts w:ascii="宋体" w:hAnsi="宋体"/>
          <w:b w:val="0"/>
          <w:color w:val="auto"/>
          <w:sz w:val="21"/>
          <w:szCs w:val="21"/>
          <w:highlight w:val="none"/>
        </w:rPr>
      </w:pPr>
      <w:bookmarkStart w:id="57" w:name="_Toc254970673"/>
      <w:bookmarkStart w:id="58" w:name="_Toc254970532"/>
      <w:r>
        <w:rPr>
          <w:rFonts w:hint="eastAsia" w:ascii="宋体" w:hAnsi="宋体"/>
          <w:b w:val="0"/>
          <w:color w:val="auto"/>
          <w:sz w:val="21"/>
          <w:szCs w:val="21"/>
          <w:highlight w:val="none"/>
        </w:rPr>
        <w:t>6.1本项目不允许转包。</w:t>
      </w:r>
    </w:p>
    <w:p w14:paraId="6BB65AB8">
      <w:pPr>
        <w:pStyle w:val="5"/>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DC3244D">
      <w:pPr>
        <w:pStyle w:val="5"/>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525487B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7"/>
      <w:bookmarkEnd w:id="58"/>
    </w:p>
    <w:p w14:paraId="0FE69CD2">
      <w:pPr>
        <w:spacing w:line="360" w:lineRule="auto"/>
        <w:ind w:firstLine="420" w:firstLineChars="200"/>
        <w:rPr>
          <w:rFonts w:ascii="宋体" w:hAnsi="宋体" w:cs="宋体"/>
          <w:color w:val="auto"/>
          <w:szCs w:val="21"/>
          <w:highlight w:val="none"/>
        </w:rPr>
      </w:pPr>
      <w:bookmarkStart w:id="59" w:name="_8.1提供相同品牌产品且通过资格审查、符合性审查的不同投标人参加同一合"/>
      <w:bookmarkEnd w:id="59"/>
      <w:r>
        <w:rPr>
          <w:rFonts w:hint="eastAsia" w:ascii="宋体" w:hAnsi="宋体" w:cs="宋体"/>
          <w:color w:val="auto"/>
          <w:szCs w:val="21"/>
          <w:highlight w:val="none"/>
        </w:rPr>
        <w:t>7.</w:t>
      </w:r>
      <w:r>
        <w:rPr>
          <w:rFonts w:ascii="宋体" w:hAnsi="宋体" w:cs="宋体"/>
          <w:color w:val="auto"/>
          <w:szCs w:val="21"/>
          <w:highlight w:val="none"/>
        </w:rPr>
        <w:t>1</w:t>
      </w:r>
      <w:bookmarkStart w:id="60"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0"/>
    <w:p w14:paraId="1D1AE0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2B107D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2B129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519B08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3AAD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CD265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E7FEB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C75AA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90894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939AB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3471E8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（1）不同供应商的响应文件由同一单位或者个人编制,或不同供应商报名的IP地址一致的；或不同供应商竞标设备信息（包括但不限于：IP地址、MAC地址、硬盘号、CPU号、主板号）一致的； </w:t>
      </w:r>
    </w:p>
    <w:p w14:paraId="10F860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389FB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F753A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F4B41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512BF44">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0B4062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3FFF72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5E9E4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8F908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4BFF2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2CF76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BEED3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428B5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8CA99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7.7现场踏勘相关说明详见“供应商须知前附表”。</w:t>
      </w:r>
    </w:p>
    <w:p w14:paraId="4F7A24CF">
      <w:pPr>
        <w:spacing w:line="360" w:lineRule="auto"/>
        <w:ind w:firstLine="420" w:firstLineChars="200"/>
        <w:rPr>
          <w:rFonts w:ascii="宋体" w:hAnsi="宋体" w:cs="宋体"/>
          <w:color w:val="auto"/>
          <w:szCs w:val="21"/>
          <w:highlight w:val="none"/>
        </w:rPr>
      </w:pPr>
    </w:p>
    <w:p w14:paraId="1BE2F7E9">
      <w:pPr>
        <w:spacing w:line="360" w:lineRule="auto"/>
        <w:ind w:left="1" w:firstLine="417" w:firstLineChars="199"/>
        <w:jc w:val="center"/>
        <w:rPr>
          <w:rFonts w:ascii="宋体" w:hAnsi="宋体"/>
          <w:color w:val="auto"/>
          <w:highlight w:val="none"/>
        </w:rPr>
      </w:pPr>
      <w:bookmarkStart w:id="61" w:name="_Toc254970534"/>
      <w:bookmarkStart w:id="62" w:name="_Toc254970675"/>
    </w:p>
    <w:p w14:paraId="6D4D6FE5">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1"/>
      <w:bookmarkEnd w:id="62"/>
    </w:p>
    <w:p w14:paraId="4ECAA49E">
      <w:pPr>
        <w:spacing w:line="360" w:lineRule="auto"/>
        <w:rPr>
          <w:rFonts w:ascii="宋体" w:hAnsi="宋体"/>
          <w:color w:val="auto"/>
          <w:szCs w:val="21"/>
          <w:highlight w:val="none"/>
        </w:rPr>
      </w:pPr>
    </w:p>
    <w:p w14:paraId="4F1A282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39822E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52421D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4D844E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67CAC9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69B2EC6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10235B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37846B2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E10C3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供应商应认真阅读磋商文件的采购需求，如供应商对磋商文件有疑问的，如要求采购人作出澄清或者修改的，供应商应在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4163B3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33EB2B10">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5FDFDC7A">
      <w:pPr>
        <w:spacing w:line="360" w:lineRule="auto"/>
        <w:rPr>
          <w:rFonts w:ascii="宋体" w:hAnsi="宋体"/>
          <w:color w:val="auto"/>
          <w:szCs w:val="21"/>
          <w:highlight w:val="none"/>
        </w:rPr>
      </w:pPr>
    </w:p>
    <w:p w14:paraId="2A1A2218">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479AAA2A">
      <w:pPr>
        <w:spacing w:line="360" w:lineRule="auto"/>
        <w:rPr>
          <w:rFonts w:ascii="宋体" w:hAnsi="宋体"/>
          <w:color w:val="auto"/>
          <w:szCs w:val="21"/>
          <w:highlight w:val="none"/>
        </w:rPr>
      </w:pPr>
    </w:p>
    <w:p w14:paraId="137EF6F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8D5E0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w:t>
      </w:r>
      <w:r>
        <w:rPr>
          <w:rFonts w:hint="eastAsia" w:ascii="宋体" w:hAnsi="宋体"/>
          <w:color w:val="auto"/>
          <w:szCs w:val="21"/>
          <w:highlight w:val="none"/>
        </w:rPr>
        <w:t>提出的要求和条件作出明确响应</w:t>
      </w:r>
      <w:r>
        <w:rPr>
          <w:rFonts w:hint="eastAsia" w:ascii="宋体" w:hAnsi="宋体" w:cs="宋体"/>
          <w:color w:val="auto"/>
          <w:szCs w:val="21"/>
          <w:highlight w:val="none"/>
        </w:rPr>
        <w:t>。</w:t>
      </w:r>
    </w:p>
    <w:p w14:paraId="100C255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D00B2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EBC6355">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7C3BAB5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18280A6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3250D3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4F796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E6AC28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0B6D4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106B3B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592A68C6">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4B024B3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20C94A3">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27AEFD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7F37018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7C4374FB">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42EBBD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68D70B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1CD4AB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63"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3"/>
    <w:p w14:paraId="25D51A4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7B5E45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A947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承诺的竞标有效期低于采购文件规定期限的，供应商的响应文件作无效处理。</w:t>
      </w:r>
    </w:p>
    <w:p w14:paraId="5CC116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67C716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1F17209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554AD05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3226B6DA">
      <w:pPr>
        <w:spacing w:line="360" w:lineRule="auto"/>
        <w:ind w:firstLine="420" w:firstLineChars="200"/>
        <w:rPr>
          <w:rFonts w:ascii="宋体" w:hAnsi="宋体" w:cs="宋体"/>
          <w:color w:val="auto"/>
          <w:szCs w:val="21"/>
          <w:highlight w:val="none"/>
        </w:rPr>
      </w:pPr>
      <w:bookmarkStart w:id="64"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4"/>
    </w:p>
    <w:p w14:paraId="1241939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17.3除逾期退还磋商保证金和终止采购的情形以外，磋商保证金不计息。</w:t>
      </w:r>
    </w:p>
    <w:p w14:paraId="78C83C9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34C8FE7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DD6E915">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58B899E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CF513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20F9F48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026055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3DA83DA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7A517E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2366C2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383475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p>
    <w:p w14:paraId="4F7CE2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r>
        <w:rPr>
          <w:rFonts w:hint="eastAsia" w:ascii="宋体" w:hAnsi="宋体"/>
          <w:b/>
          <w:color w:val="auto"/>
          <w:szCs w:val="21"/>
          <w:highlight w:val="none"/>
        </w:rPr>
        <w:t>并与广西政府采购云平台中获取采购文件的供应商名称一致，</w:t>
      </w:r>
      <w:r>
        <w:rPr>
          <w:rFonts w:hint="eastAsia" w:ascii="宋体" w:hAnsi="宋体" w:cs="宋体"/>
          <w:color w:val="auto"/>
          <w:szCs w:val="21"/>
          <w:highlight w:val="none"/>
        </w:rPr>
        <w:t>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050644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C74A230">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017EF6F7">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7ED507F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D9E9AD1">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p>
    <w:p w14:paraId="58A62974">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799125B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06026B5">
      <w:pPr>
        <w:snapToGrid w:val="0"/>
        <w:spacing w:line="360" w:lineRule="auto"/>
        <w:ind w:firstLine="420"/>
        <w:jc w:val="left"/>
        <w:rPr>
          <w:rFonts w:ascii="宋体" w:hAnsi="宋体"/>
          <w:color w:val="auto"/>
          <w:szCs w:val="21"/>
          <w:highlight w:val="none"/>
        </w:rPr>
      </w:pPr>
      <w:bookmarkStart w:id="65" w:name="_Toc254970543"/>
      <w:bookmarkStart w:id="66"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65"/>
    <w:bookmarkEnd w:id="66"/>
    <w:p w14:paraId="13B9D023">
      <w:pPr>
        <w:pStyle w:val="67"/>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5A729525">
      <w:pPr>
        <w:spacing w:line="360" w:lineRule="auto"/>
        <w:ind w:firstLine="482" w:firstLineChars="200"/>
        <w:rPr>
          <w:rFonts w:ascii="黑体" w:hAnsi="黑体" w:eastAsia="黑体" w:cs="宋体"/>
          <w:b/>
          <w:bCs/>
          <w:color w:val="auto"/>
          <w:sz w:val="24"/>
          <w:highlight w:val="none"/>
        </w:rPr>
      </w:pPr>
      <w:bookmarkStart w:id="67" w:name="_Hlk45702405"/>
      <w:r>
        <w:rPr>
          <w:rFonts w:hint="eastAsia" w:ascii="黑体" w:hAnsi="黑体" w:eastAsia="黑体" w:cs="宋体"/>
          <w:b/>
          <w:bCs/>
          <w:color w:val="auto"/>
          <w:sz w:val="24"/>
          <w:highlight w:val="none"/>
        </w:rPr>
        <w:t>22.响应文件的退回</w:t>
      </w:r>
    </w:p>
    <w:p w14:paraId="78D0A2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70098A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CEE52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67"/>
    <w:p w14:paraId="0DCCE7E1">
      <w:pPr>
        <w:spacing w:line="360" w:lineRule="auto"/>
        <w:rPr>
          <w:rFonts w:ascii="宋体" w:hAnsi="宋体"/>
          <w:color w:val="auto"/>
          <w:szCs w:val="21"/>
          <w:highlight w:val="none"/>
        </w:rPr>
      </w:pPr>
    </w:p>
    <w:p w14:paraId="08E84B6E">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52A26046">
      <w:pPr>
        <w:spacing w:line="360" w:lineRule="auto"/>
        <w:ind w:left="420" w:firstLine="420"/>
        <w:rPr>
          <w:rFonts w:ascii="宋体" w:hAnsi="宋体"/>
          <w:color w:val="auto"/>
          <w:szCs w:val="21"/>
          <w:highlight w:val="none"/>
        </w:rPr>
      </w:pPr>
    </w:p>
    <w:p w14:paraId="3A5448C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4E79C5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3099A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2A08766">
      <w:pPr>
        <w:spacing w:line="360" w:lineRule="auto"/>
        <w:ind w:firstLine="420" w:firstLineChars="200"/>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3770D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7948F3F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7EC52220">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6BBB112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28DAB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0FF77A7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24216A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31011C08">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129D27F7">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3212E607">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1A0F7655">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5E3B61E9">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272808FA">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45ED36C9">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385BA04D">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2E21774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4EA89D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4B68772">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8"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68"/>
    </w:p>
    <w:p w14:paraId="2976FCCD">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54CD1CE3">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5BDA173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58B88DC3">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3B235F50">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70C420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0C4CCDD9">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.1履约保证金的金额、提交方式、缴纳期限、退付的时间和条件详见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7981BB1F">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00F4846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3F8946A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068549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D8183E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CAD784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5ECFDD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FD2C8B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46BFE3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E051C2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5154A7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5CD6E3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AD0E3B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ABD4264">
      <w:pPr>
        <w:pStyle w:val="6"/>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49A8DE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E775A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73CD26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039CFE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4E9FB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F7499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7433A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92EBD4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11F98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343B3B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5F564CD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0CCE28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5C0164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C7467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8A256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6CC4C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699D6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6C453F1">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4D5027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7ACB843C">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color w:val="auto"/>
          <w:highlight w:val="none"/>
        </w:rPr>
        <w:t>费</w:t>
      </w:r>
      <w:r>
        <w:rPr>
          <w:rFonts w:hint="eastAsia" w:ascii="宋体" w:hAnsi="宋体" w:cs="宋体"/>
          <w:color w:val="auto"/>
          <w:szCs w:val="21"/>
          <w:highlight w:val="none"/>
        </w:rPr>
        <w:t>收取标准及缴费账户详见“供应商须知前附表”，供应商为联合体的，可以由联合体中的一方或者多方共同交纳代理服务费。</w:t>
      </w:r>
    </w:p>
    <w:p w14:paraId="6C9CF42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5"/>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DC1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5C5017E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07B28DC8">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ign w:val="center"/>
          </w:tcPr>
          <w:p w14:paraId="67F5EB59">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ign w:val="center"/>
          </w:tcPr>
          <w:p w14:paraId="6052B0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ign w:val="center"/>
          </w:tcPr>
          <w:p w14:paraId="5F41E3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6AD4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AAAE114">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tcPr>
          <w:p w14:paraId="0889BEDF">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tcPr>
          <w:p w14:paraId="276C153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tcPr>
          <w:p w14:paraId="78763B7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7201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602B0C0">
            <w:pPr>
              <w:spacing w:line="360" w:lineRule="auto"/>
              <w:rPr>
                <w:rFonts w:ascii="宋体" w:hAnsi="宋体" w:cs="宋体"/>
                <w:color w:val="auto"/>
                <w:szCs w:val="21"/>
                <w:highlight w:val="none"/>
              </w:rPr>
            </w:pPr>
            <w:r>
              <w:rPr>
                <w:rFonts w:hint="eastAsia" w:ascii="宋体" w:hAnsi="宋体" w:cs="宋体"/>
                <w:color w:val="auto"/>
                <w:szCs w:val="21"/>
                <w:highlight w:val="none"/>
              </w:rPr>
              <w:t>100万～500万元</w:t>
            </w:r>
          </w:p>
        </w:tc>
        <w:tc>
          <w:tcPr>
            <w:tcW w:w="1659" w:type="dxa"/>
            <w:noWrap/>
          </w:tcPr>
          <w:p w14:paraId="1043A46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tcPr>
          <w:p w14:paraId="0E07819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tcPr>
          <w:p w14:paraId="5102C30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65C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F4C2A8F">
            <w:pPr>
              <w:spacing w:line="360" w:lineRule="auto"/>
              <w:rPr>
                <w:rFonts w:ascii="宋体" w:hAnsi="宋体" w:cs="宋体"/>
                <w:color w:val="auto"/>
                <w:szCs w:val="21"/>
                <w:highlight w:val="none"/>
              </w:rPr>
            </w:pPr>
            <w:r>
              <w:rPr>
                <w:rFonts w:hint="eastAsia" w:ascii="宋体" w:hAnsi="宋体" w:cs="宋体"/>
                <w:color w:val="auto"/>
                <w:szCs w:val="21"/>
                <w:highlight w:val="none"/>
              </w:rPr>
              <w:t>500万～1000万元</w:t>
            </w:r>
          </w:p>
        </w:tc>
        <w:tc>
          <w:tcPr>
            <w:tcW w:w="1659" w:type="dxa"/>
            <w:noWrap/>
          </w:tcPr>
          <w:p w14:paraId="18096FDE">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tcPr>
          <w:p w14:paraId="3D1548C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tcPr>
          <w:p w14:paraId="7496C04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1539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F6AFD17">
            <w:pPr>
              <w:spacing w:line="360" w:lineRule="auto"/>
              <w:rPr>
                <w:rFonts w:ascii="宋体" w:hAnsi="宋体" w:cs="宋体"/>
                <w:color w:val="auto"/>
                <w:szCs w:val="21"/>
                <w:highlight w:val="none"/>
              </w:rPr>
            </w:pPr>
            <w:r>
              <w:rPr>
                <w:rFonts w:hint="eastAsia" w:ascii="宋体" w:hAnsi="宋体" w:cs="宋体"/>
                <w:color w:val="auto"/>
                <w:szCs w:val="21"/>
                <w:highlight w:val="none"/>
              </w:rPr>
              <w:t>1000万～5000万元</w:t>
            </w:r>
          </w:p>
        </w:tc>
        <w:tc>
          <w:tcPr>
            <w:tcW w:w="1659" w:type="dxa"/>
            <w:noWrap/>
          </w:tcPr>
          <w:p w14:paraId="367C2F2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tcPr>
          <w:p w14:paraId="5528BB4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tcPr>
          <w:p w14:paraId="16A6B9F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450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B7EB5A1">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tcPr>
          <w:p w14:paraId="770AC0D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tcPr>
          <w:p w14:paraId="72960DB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tcPr>
          <w:p w14:paraId="019821B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380E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209E58B">
            <w:pPr>
              <w:spacing w:line="360" w:lineRule="auto"/>
              <w:rPr>
                <w:rFonts w:ascii="宋体" w:hAnsi="宋体" w:cs="宋体"/>
                <w:color w:val="auto"/>
                <w:szCs w:val="21"/>
                <w:highlight w:val="none"/>
              </w:rPr>
            </w:pPr>
            <w:r>
              <w:rPr>
                <w:rFonts w:hint="eastAsia" w:ascii="宋体" w:hAnsi="宋体" w:cs="宋体"/>
                <w:color w:val="auto"/>
                <w:szCs w:val="21"/>
                <w:highlight w:val="none"/>
              </w:rPr>
              <w:t>1亿～5亿元</w:t>
            </w:r>
          </w:p>
        </w:tc>
        <w:tc>
          <w:tcPr>
            <w:tcW w:w="1659" w:type="dxa"/>
            <w:noWrap/>
          </w:tcPr>
          <w:p w14:paraId="00B805C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noWrap/>
          </w:tcPr>
          <w:p w14:paraId="2EC2559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tcPr>
          <w:p w14:paraId="7059974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5A6F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1160E77">
            <w:pPr>
              <w:spacing w:line="360" w:lineRule="auto"/>
              <w:rPr>
                <w:rFonts w:ascii="宋体" w:hAnsi="宋体" w:cs="宋体"/>
                <w:color w:val="auto"/>
                <w:szCs w:val="21"/>
                <w:highlight w:val="none"/>
              </w:rPr>
            </w:pPr>
            <w:r>
              <w:rPr>
                <w:rFonts w:hint="eastAsia" w:ascii="宋体" w:hAnsi="宋体" w:cs="宋体"/>
                <w:color w:val="auto"/>
                <w:szCs w:val="21"/>
                <w:highlight w:val="none"/>
              </w:rPr>
              <w:t>5亿～10亿元</w:t>
            </w:r>
          </w:p>
        </w:tc>
        <w:tc>
          <w:tcPr>
            <w:tcW w:w="1659" w:type="dxa"/>
            <w:noWrap/>
          </w:tcPr>
          <w:p w14:paraId="6635C0A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noWrap/>
          </w:tcPr>
          <w:p w14:paraId="372C7CD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tcPr>
          <w:p w14:paraId="40BE2A7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27F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08B2CDA0">
            <w:pPr>
              <w:spacing w:line="360" w:lineRule="auto"/>
              <w:rPr>
                <w:rFonts w:ascii="宋体" w:hAnsi="宋体" w:cs="宋体"/>
                <w:color w:val="auto"/>
                <w:szCs w:val="21"/>
                <w:highlight w:val="none"/>
              </w:rPr>
            </w:pPr>
            <w:r>
              <w:rPr>
                <w:rFonts w:hint="eastAsia" w:ascii="宋体" w:hAnsi="宋体" w:cs="宋体"/>
                <w:color w:val="auto"/>
                <w:szCs w:val="21"/>
                <w:highlight w:val="none"/>
              </w:rPr>
              <w:t>10亿～50亿元</w:t>
            </w:r>
          </w:p>
        </w:tc>
        <w:tc>
          <w:tcPr>
            <w:tcW w:w="1659" w:type="dxa"/>
            <w:noWrap/>
          </w:tcPr>
          <w:p w14:paraId="4E873330">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noWrap/>
          </w:tcPr>
          <w:p w14:paraId="33C39DE4">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noWrap/>
          </w:tcPr>
          <w:p w14:paraId="728D0B6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681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07001E6B">
            <w:pPr>
              <w:spacing w:line="360" w:lineRule="auto"/>
              <w:rPr>
                <w:rFonts w:ascii="宋体" w:hAnsi="宋体" w:cs="宋体"/>
                <w:color w:val="auto"/>
                <w:szCs w:val="21"/>
                <w:highlight w:val="none"/>
              </w:rPr>
            </w:pPr>
            <w:r>
              <w:rPr>
                <w:rFonts w:hint="eastAsia" w:ascii="宋体" w:hAnsi="宋体" w:cs="宋体"/>
                <w:color w:val="auto"/>
                <w:szCs w:val="21"/>
                <w:highlight w:val="none"/>
              </w:rPr>
              <w:t>50亿～100亿元</w:t>
            </w:r>
          </w:p>
        </w:tc>
        <w:tc>
          <w:tcPr>
            <w:tcW w:w="1659" w:type="dxa"/>
            <w:noWrap/>
          </w:tcPr>
          <w:p w14:paraId="2A9BB1D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tcPr>
          <w:p w14:paraId="3203073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noWrap/>
          </w:tcPr>
          <w:p w14:paraId="3939591F">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75F5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363CDBE">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tcPr>
          <w:p w14:paraId="16D8B70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tcPr>
          <w:p w14:paraId="12F292EA">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noWrap/>
          </w:tcPr>
          <w:p w14:paraId="7EFAC8C9">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70CEC8B1">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47F614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467A899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65FE3B14">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652D4F72">
      <w:pPr>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14:paraId="164DB8CF">
      <w:pPr>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14:paraId="3EB7A25C">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14:paraId="25DC700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14C17BE8">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5DBB26D5">
      <w:pPr>
        <w:pStyle w:val="16"/>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6FCD9204">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C679F16">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E4EDDBD">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629D9830">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2E46571">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F14917F">
      <w:pPr>
        <w:pStyle w:val="16"/>
        <w:spacing w:line="360" w:lineRule="auto"/>
        <w:ind w:firstLine="420" w:firstLineChars="200"/>
        <w:textAlignment w:val="center"/>
        <w:rPr>
          <w:b/>
          <w:bCs/>
          <w:color w:val="auto"/>
          <w:sz w:val="18"/>
          <w:szCs w:val="18"/>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p>
    <w:p w14:paraId="731E68C2">
      <w:pPr>
        <w:pStyle w:val="16"/>
        <w:snapToGrid w:val="0"/>
        <w:spacing w:before="120" w:after="120"/>
        <w:rPr>
          <w:rFonts w:hAnsi="宋体"/>
          <w:color w:val="auto"/>
          <w:highlight w:val="none"/>
        </w:rPr>
      </w:pPr>
    </w:p>
    <w:p w14:paraId="70A5E072">
      <w:pPr>
        <w:pStyle w:val="2"/>
        <w:jc w:val="center"/>
        <w:rPr>
          <w:color w:val="auto"/>
          <w:highlight w:val="none"/>
        </w:rPr>
      </w:pPr>
      <w:bookmarkStart w:id="69" w:name="_Toc74323458"/>
      <w:r>
        <w:rPr>
          <w:rFonts w:hint="eastAsia"/>
          <w:color w:val="auto"/>
          <w:highlight w:val="none"/>
        </w:rPr>
        <w:t>第三章 采购需求</w:t>
      </w:r>
      <w:bookmarkEnd w:id="69"/>
    </w:p>
    <w:p w14:paraId="26A06CE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737F8F25">
      <w:pPr>
        <w:numPr>
          <w:ilvl w:val="0"/>
          <w:numId w:val="1"/>
        </w:numPr>
        <w:spacing w:line="360" w:lineRule="auto"/>
        <w:ind w:firstLine="420" w:firstLineChars="200"/>
        <w:jc w:val="left"/>
        <w:rPr>
          <w:color w:val="auto"/>
          <w:highlight w:val="none"/>
        </w:rPr>
      </w:pPr>
      <w:r>
        <w:rPr>
          <w:rFonts w:hint="eastAsia"/>
          <w:color w:val="auto"/>
          <w:highlight w:val="none"/>
        </w:rPr>
        <w:t>为落实政府采购政策需满足的要求</w:t>
      </w:r>
    </w:p>
    <w:p w14:paraId="7FA3707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3C1F0A35">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“实质性要求”是指采购需求中带“▲”的条款或者不能负偏离的条款或者已经指明不满足响应文件</w:t>
      </w:r>
      <w:r>
        <w:rPr>
          <w:rFonts w:hint="eastAsia"/>
          <w:color w:val="auto"/>
          <w:highlight w:val="none"/>
        </w:rPr>
        <w:t>按</w:t>
      </w:r>
      <w:r>
        <w:rPr>
          <w:rFonts w:hint="eastAsia" w:ascii="宋体" w:hAnsi="宋体" w:cs="宋体"/>
          <w:color w:val="auto"/>
          <w:szCs w:val="21"/>
          <w:highlight w:val="none"/>
        </w:rPr>
        <w:t>无效处理的条款。</w:t>
      </w:r>
    </w:p>
    <w:p w14:paraId="0DD75FE9">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1A871A28">
      <w:pPr>
        <w:spacing w:line="360" w:lineRule="auto"/>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4.供应商必须自行为其竞标产品侵犯他人的知识产权或者专利成果的行为承担相应法律责任。</w:t>
      </w:r>
    </w:p>
    <w:p w14:paraId="4C031FF6">
      <w:pPr>
        <w:spacing w:line="360" w:lineRule="auto"/>
        <w:ind w:firstLine="310" w:firstLineChars="147"/>
        <w:jc w:val="left"/>
        <w:rPr>
          <w:rFonts w:ascii="宋体" w:hAnsi="宋体"/>
          <w:b/>
          <w:color w:val="auto"/>
          <w:szCs w:val="21"/>
          <w:highlight w:val="none"/>
          <w:u w:val="single"/>
        </w:rPr>
      </w:pPr>
      <w:r>
        <w:rPr>
          <w:rFonts w:hint="eastAsia" w:ascii="宋体" w:hAnsi="宋体"/>
          <w:b/>
          <w:color w:val="auto"/>
          <w:szCs w:val="21"/>
          <w:highlight w:val="none"/>
        </w:rPr>
        <w:t>采购预算：</w:t>
      </w:r>
      <w:r>
        <w:rPr>
          <w:rFonts w:hint="eastAsia" w:ascii="宋体" w:hAnsi="宋体"/>
          <w:b/>
          <w:color w:val="auto"/>
          <w:szCs w:val="21"/>
          <w:highlight w:val="none"/>
          <w:u w:val="single"/>
        </w:rPr>
        <w:t>97万元，</w:t>
      </w:r>
    </w:p>
    <w:p w14:paraId="2EEDF962">
      <w:pPr>
        <w:spacing w:line="360" w:lineRule="auto"/>
        <w:ind w:firstLine="424" w:firstLineChars="202"/>
        <w:jc w:val="left"/>
        <w:rPr>
          <w:rFonts w:ascii="宋体" w:hAnsi="宋体" w:cs="宋体"/>
          <w:color w:val="auto"/>
          <w:szCs w:val="21"/>
          <w:highlight w:val="none"/>
        </w:rPr>
      </w:pPr>
      <w:r>
        <w:rPr>
          <w:rFonts w:ascii="宋体" w:hAnsi="宋体" w:cs="宋体"/>
          <w:color w:val="auto"/>
          <w:szCs w:val="21"/>
          <w:highlight w:val="none"/>
        </w:rPr>
        <w:t>最高限价（如有）</w:t>
      </w:r>
      <w:r>
        <w:rPr>
          <w:rFonts w:hint="eastAsia" w:ascii="宋体" w:hAnsi="宋体" w:cs="宋体"/>
          <w:color w:val="auto"/>
          <w:szCs w:val="21"/>
          <w:highlight w:val="none"/>
        </w:rPr>
        <w:t>：</w:t>
      </w:r>
      <w:r>
        <w:rPr>
          <w:rFonts w:ascii="宋体" w:hAnsi="宋体" w:cs="宋体"/>
          <w:color w:val="auto"/>
          <w:szCs w:val="21"/>
          <w:highlight w:val="none"/>
        </w:rPr>
        <w:t>97 万元</w:t>
      </w:r>
    </w:p>
    <w:tbl>
      <w:tblPr>
        <w:tblStyle w:val="2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3"/>
        <w:gridCol w:w="1332"/>
        <w:gridCol w:w="67"/>
        <w:gridCol w:w="781"/>
        <w:gridCol w:w="847"/>
        <w:gridCol w:w="4852"/>
      </w:tblGrid>
      <w:tr w14:paraId="1298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3" w:type="dxa"/>
            <w:vAlign w:val="center"/>
          </w:tcPr>
          <w:p w14:paraId="7A84F65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332" w:type="dxa"/>
            <w:vAlign w:val="center"/>
          </w:tcPr>
          <w:p w14:paraId="59EB94B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标的的名称</w:t>
            </w:r>
          </w:p>
        </w:tc>
        <w:tc>
          <w:tcPr>
            <w:tcW w:w="848" w:type="dxa"/>
            <w:gridSpan w:val="2"/>
            <w:tcBorders>
              <w:right w:val="single" w:color="auto" w:sz="4" w:space="0"/>
            </w:tcBorders>
            <w:vAlign w:val="center"/>
          </w:tcPr>
          <w:p w14:paraId="3DB4148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所属行业</w:t>
            </w:r>
          </w:p>
        </w:tc>
        <w:tc>
          <w:tcPr>
            <w:tcW w:w="847" w:type="dxa"/>
            <w:tcBorders>
              <w:right w:val="single" w:color="auto" w:sz="4" w:space="0"/>
            </w:tcBorders>
            <w:vAlign w:val="center"/>
          </w:tcPr>
          <w:p w14:paraId="408565A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数量及单位</w:t>
            </w:r>
          </w:p>
        </w:tc>
        <w:tc>
          <w:tcPr>
            <w:tcW w:w="4852" w:type="dxa"/>
            <w:tcBorders>
              <w:left w:val="single" w:color="auto" w:sz="4" w:space="0"/>
            </w:tcBorders>
            <w:vAlign w:val="center"/>
          </w:tcPr>
          <w:p w14:paraId="589977E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▲技术要求</w:t>
            </w:r>
          </w:p>
        </w:tc>
      </w:tr>
      <w:tr w14:paraId="6E725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vAlign w:val="center"/>
          </w:tcPr>
          <w:p w14:paraId="0EC14F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32" w:type="dxa"/>
            <w:vAlign w:val="center"/>
          </w:tcPr>
          <w:p w14:paraId="290D7DC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照明系统节能改造技术服务</w:t>
            </w:r>
          </w:p>
        </w:tc>
        <w:tc>
          <w:tcPr>
            <w:tcW w:w="848" w:type="dxa"/>
            <w:gridSpan w:val="2"/>
            <w:tcBorders>
              <w:right w:val="single" w:color="auto" w:sz="4" w:space="0"/>
            </w:tcBorders>
            <w:vAlign w:val="center"/>
          </w:tcPr>
          <w:p w14:paraId="059FAF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847" w:type="dxa"/>
            <w:tcBorders>
              <w:right w:val="single" w:color="auto" w:sz="4" w:space="0"/>
            </w:tcBorders>
            <w:vAlign w:val="center"/>
          </w:tcPr>
          <w:p w14:paraId="5A21C0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4852" w:type="dxa"/>
            <w:tcBorders>
              <w:left w:val="single" w:color="auto" w:sz="4" w:space="0"/>
            </w:tcBorders>
            <w:vAlign w:val="center"/>
          </w:tcPr>
          <w:p w14:paraId="5BDD291D">
            <w:pPr>
              <w:pStyle w:val="62"/>
              <w:numPr>
                <w:ilvl w:val="0"/>
                <w:numId w:val="2"/>
              </w:numPr>
              <w:spacing w:line="360" w:lineRule="auto"/>
              <w:ind w:firstLine="422"/>
              <w:rPr>
                <w:color w:val="auto"/>
                <w:highlight w:val="none"/>
              </w:rPr>
            </w:pPr>
            <w:r>
              <w:rPr>
                <w:rFonts w:hint="eastAsia"/>
                <w:b/>
                <w:bCs/>
                <w:color w:val="auto"/>
                <w:highlight w:val="none"/>
              </w:rPr>
              <w:t>服务目标</w:t>
            </w:r>
          </w:p>
          <w:p w14:paraId="4E7F375E">
            <w:pPr>
              <w:pStyle w:val="62"/>
              <w:spacing w:line="360" w:lineRule="auto"/>
              <w:rPr>
                <w:color w:val="auto"/>
                <w:highlight w:val="none"/>
              </w:rPr>
            </w:pPr>
            <w:r>
              <w:rPr>
                <w:rFonts w:hint="eastAsia"/>
                <w:color w:val="auto"/>
                <w:highlight w:val="none"/>
              </w:rPr>
              <w:t>通过提供全面的照明系统能效诊断与优化技术服务，实现照明区域综合节能率不低于0.5%（与改造前基准值相比），同时提升照明质量与视觉舒适度。</w:t>
            </w:r>
          </w:p>
          <w:p w14:paraId="017BF854">
            <w:pPr>
              <w:pStyle w:val="62"/>
              <w:numPr>
                <w:ilvl w:val="0"/>
                <w:numId w:val="2"/>
              </w:numPr>
              <w:spacing w:line="360" w:lineRule="auto"/>
              <w:ind w:firstLine="422"/>
              <w:rPr>
                <w:b/>
                <w:bCs/>
                <w:color w:val="auto"/>
                <w:highlight w:val="none"/>
              </w:rPr>
            </w:pPr>
            <w:r>
              <w:rPr>
                <w:b/>
                <w:bCs/>
                <w:color w:val="auto"/>
                <w:highlight w:val="none"/>
              </w:rPr>
              <w:t>服务内容及技术要求</w:t>
            </w:r>
          </w:p>
          <w:p w14:paraId="0BF26691">
            <w:pPr>
              <w:pStyle w:val="62"/>
              <w:numPr>
                <w:ilvl w:val="0"/>
                <w:numId w:val="3"/>
              </w:numPr>
              <w:spacing w:line="360" w:lineRule="auto"/>
              <w:ind w:firstLine="422"/>
              <w:rPr>
                <w:color w:val="auto"/>
                <w:highlight w:val="none"/>
              </w:rPr>
            </w:pPr>
            <w:r>
              <w:rPr>
                <w:rFonts w:hint="eastAsia"/>
                <w:b/>
                <w:bCs/>
                <w:color w:val="auto"/>
                <w:highlight w:val="none"/>
              </w:rPr>
              <w:t>照明系统能效诊断与分析服务：</w:t>
            </w:r>
            <w:r>
              <w:rPr>
                <w:rFonts w:hint="eastAsia"/>
                <w:color w:val="auto"/>
                <w:highlight w:val="none"/>
              </w:rPr>
              <w:t>供应商须对现场照明环境进行勘察、测量和数据采集，提供详细的照明系统能效诊断报告，包括但不限于现有能耗基准、照度分布、照明功率密度评估及节能潜力分析。</w:t>
            </w:r>
          </w:p>
          <w:p w14:paraId="6D55770E">
            <w:pPr>
              <w:pStyle w:val="62"/>
              <w:numPr>
                <w:ilvl w:val="0"/>
                <w:numId w:val="3"/>
              </w:numPr>
              <w:spacing w:line="360" w:lineRule="auto"/>
              <w:ind w:firstLine="422"/>
              <w:rPr>
                <w:color w:val="auto"/>
                <w:highlight w:val="none"/>
              </w:rPr>
            </w:pPr>
            <w:r>
              <w:rPr>
                <w:b/>
                <w:bCs/>
                <w:color w:val="auto"/>
                <w:highlight w:val="none"/>
              </w:rPr>
              <w:t>高光效照明系统优化设计与方案制定服务</w:t>
            </w:r>
            <w:r>
              <w:rPr>
                <w:color w:val="auto"/>
                <w:highlight w:val="none"/>
              </w:rPr>
              <w:t>：基于诊断结果，</w:t>
            </w:r>
            <w:r>
              <w:rPr>
                <w:rFonts w:hint="eastAsia"/>
                <w:color w:val="auto"/>
                <w:highlight w:val="none"/>
              </w:rPr>
              <w:t>供应商</w:t>
            </w:r>
            <w:r>
              <w:rPr>
                <w:color w:val="auto"/>
                <w:highlight w:val="none"/>
              </w:rPr>
              <w:t>须提供一套完整的照明系统优化技术方案。方案应包括技术路径比选、节能率测算过程、拟采用灯具的技术选型论证及实施计划</w:t>
            </w:r>
            <w:r>
              <w:rPr>
                <w:rFonts w:hint="eastAsia"/>
                <w:color w:val="auto"/>
                <w:highlight w:val="none"/>
              </w:rPr>
              <w:t>。</w:t>
            </w:r>
          </w:p>
          <w:p w14:paraId="02C54A24">
            <w:pPr>
              <w:pStyle w:val="62"/>
              <w:spacing w:line="360" w:lineRule="auto"/>
              <w:ind w:firstLine="422"/>
              <w:rPr>
                <w:b/>
                <w:bCs/>
                <w:color w:val="auto"/>
                <w:highlight w:val="none"/>
              </w:rPr>
            </w:pPr>
            <w:r>
              <w:rPr>
                <w:b/>
                <w:bCs/>
                <w:color w:val="auto"/>
                <w:highlight w:val="none"/>
              </w:rPr>
              <w:t>技术方案中拟采用的关键灯具性能标准</w:t>
            </w:r>
            <w:r>
              <w:rPr>
                <w:rFonts w:hint="eastAsia"/>
                <w:b/>
                <w:bCs/>
                <w:color w:val="auto"/>
                <w:highlight w:val="none"/>
              </w:rPr>
              <w:t>（非节能产品政府采购品目清单中的政府强制采购产品）：</w:t>
            </w:r>
          </w:p>
          <w:p w14:paraId="65B9EE1D">
            <w:pPr>
              <w:pStyle w:val="62"/>
              <w:spacing w:line="360" w:lineRule="auto"/>
              <w:ind w:firstLine="422"/>
              <w:rPr>
                <w:color w:val="auto"/>
                <w:highlight w:val="none"/>
              </w:rPr>
            </w:pPr>
            <w:r>
              <w:rPr>
                <w:b/>
                <w:bCs/>
                <w:color w:val="auto"/>
                <w:highlight w:val="none"/>
              </w:rPr>
              <w:t>节能灯（单管）：</w:t>
            </w:r>
            <w:r>
              <w:rPr>
                <w:color w:val="auto"/>
                <w:highlight w:val="none"/>
              </w:rPr>
              <w:t>拟采用灯具需满足以下性能，以确保整体节能效果：尺寸1.2米，功率≤12W，光效≥225LM/W，色温6000K±500K，显色指数≥97，光通量≥1800LM。数量约15套</w:t>
            </w:r>
            <w:r>
              <w:rPr>
                <w:rFonts w:hint="eastAsia"/>
                <w:color w:val="auto"/>
                <w:highlight w:val="none"/>
              </w:rPr>
              <w:t>。</w:t>
            </w:r>
          </w:p>
          <w:p w14:paraId="28F0C0BB">
            <w:pPr>
              <w:pStyle w:val="62"/>
              <w:spacing w:line="360" w:lineRule="auto"/>
              <w:ind w:firstLine="422"/>
              <w:rPr>
                <w:color w:val="auto"/>
                <w:highlight w:val="none"/>
              </w:rPr>
            </w:pPr>
            <w:r>
              <w:rPr>
                <w:b/>
                <w:bCs/>
                <w:color w:val="auto"/>
                <w:highlight w:val="none"/>
              </w:rPr>
              <w:t>节能灯（</w:t>
            </w:r>
            <w:r>
              <w:rPr>
                <w:rFonts w:hint="eastAsia"/>
                <w:b/>
                <w:bCs/>
                <w:color w:val="auto"/>
                <w:highlight w:val="none"/>
              </w:rPr>
              <w:t>双</w:t>
            </w:r>
            <w:r>
              <w:rPr>
                <w:b/>
                <w:bCs/>
                <w:color w:val="auto"/>
                <w:highlight w:val="none"/>
              </w:rPr>
              <w:t>管）：</w:t>
            </w:r>
            <w:r>
              <w:rPr>
                <w:color w:val="auto"/>
                <w:highlight w:val="none"/>
              </w:rPr>
              <w:t>拟采用灯具需满足以下性能，以确保整体节能效果：尺寸1.2米，功率≤</w:t>
            </w:r>
            <w:r>
              <w:rPr>
                <w:rFonts w:hint="eastAsia"/>
                <w:color w:val="auto"/>
                <w:highlight w:val="none"/>
              </w:rPr>
              <w:t>24</w:t>
            </w:r>
            <w:r>
              <w:rPr>
                <w:color w:val="auto"/>
                <w:highlight w:val="none"/>
              </w:rPr>
              <w:t>W，光效≥225LM/W，色温6000K±500K，显色指数≥97，光通量≥1800LM。数量约15</w:t>
            </w:r>
            <w:r>
              <w:rPr>
                <w:rFonts w:hint="eastAsia"/>
                <w:color w:val="auto"/>
                <w:highlight w:val="none"/>
              </w:rPr>
              <w:t>0</w:t>
            </w:r>
            <w:r>
              <w:rPr>
                <w:color w:val="auto"/>
                <w:highlight w:val="none"/>
              </w:rPr>
              <w:t>套</w:t>
            </w:r>
            <w:r>
              <w:rPr>
                <w:rFonts w:hint="eastAsia"/>
                <w:color w:val="auto"/>
                <w:highlight w:val="none"/>
              </w:rPr>
              <w:t>。</w:t>
            </w:r>
          </w:p>
          <w:p w14:paraId="371E8985">
            <w:pPr>
              <w:pStyle w:val="62"/>
              <w:spacing w:line="360" w:lineRule="auto"/>
              <w:ind w:firstLine="422"/>
              <w:rPr>
                <w:color w:val="auto"/>
                <w:highlight w:val="none"/>
              </w:rPr>
            </w:pPr>
            <w:r>
              <w:rPr>
                <w:b/>
                <w:bCs/>
                <w:color w:val="auto"/>
                <w:highlight w:val="none"/>
              </w:rPr>
              <w:t>节能灯（</w:t>
            </w:r>
            <w:r>
              <w:rPr>
                <w:rFonts w:hint="eastAsia"/>
                <w:b/>
                <w:bCs/>
                <w:color w:val="auto"/>
                <w:highlight w:val="none"/>
              </w:rPr>
              <w:t>三</w:t>
            </w:r>
            <w:r>
              <w:rPr>
                <w:b/>
                <w:bCs/>
                <w:color w:val="auto"/>
                <w:highlight w:val="none"/>
              </w:rPr>
              <w:t>管）：</w:t>
            </w:r>
            <w:r>
              <w:rPr>
                <w:color w:val="auto"/>
                <w:highlight w:val="none"/>
              </w:rPr>
              <w:t>拟采用灯具需满足以下性能，以确保整体节能效果：尺寸1.2米，功率≤</w:t>
            </w:r>
            <w:r>
              <w:rPr>
                <w:rFonts w:hint="eastAsia"/>
                <w:color w:val="auto"/>
                <w:highlight w:val="none"/>
              </w:rPr>
              <w:t>36</w:t>
            </w:r>
            <w:r>
              <w:rPr>
                <w:color w:val="auto"/>
                <w:highlight w:val="none"/>
              </w:rPr>
              <w:t>W，光效≥225LM/W，色温6000K±500K，显色指数≥97，光通量≥1800LM。数量约</w:t>
            </w:r>
            <w:r>
              <w:rPr>
                <w:rFonts w:hint="eastAsia"/>
                <w:color w:val="auto"/>
                <w:highlight w:val="none"/>
              </w:rPr>
              <w:t>30</w:t>
            </w:r>
            <w:r>
              <w:rPr>
                <w:color w:val="auto"/>
                <w:highlight w:val="none"/>
              </w:rPr>
              <w:t>套</w:t>
            </w:r>
            <w:r>
              <w:rPr>
                <w:rFonts w:hint="eastAsia"/>
                <w:color w:val="auto"/>
                <w:highlight w:val="none"/>
              </w:rPr>
              <w:t>。</w:t>
            </w:r>
          </w:p>
          <w:p w14:paraId="298E8703">
            <w:pPr>
              <w:pStyle w:val="62"/>
              <w:spacing w:line="360" w:lineRule="auto"/>
              <w:ind w:firstLine="422"/>
              <w:rPr>
                <w:color w:val="auto"/>
                <w:highlight w:val="none"/>
              </w:rPr>
            </w:pPr>
            <w:r>
              <w:rPr>
                <w:rFonts w:hint="eastAsia"/>
                <w:b/>
                <w:bCs/>
                <w:color w:val="auto"/>
                <w:highlight w:val="none"/>
              </w:rPr>
              <w:t>LED平板灯</w:t>
            </w:r>
            <w:r>
              <w:rPr>
                <w:b/>
                <w:bCs/>
                <w:color w:val="auto"/>
                <w:highlight w:val="none"/>
              </w:rPr>
              <w:t>：</w:t>
            </w:r>
            <w:r>
              <w:rPr>
                <w:color w:val="auto"/>
                <w:highlight w:val="none"/>
              </w:rPr>
              <w:t>拟采用灯具需满足以下性能，以确保整体节能效果：尺寸</w:t>
            </w:r>
            <w:r>
              <w:rPr>
                <w:rFonts w:hint="eastAsia"/>
                <w:color w:val="auto"/>
                <w:highlight w:val="none"/>
              </w:rPr>
              <w:t>0.6×0.6</w:t>
            </w:r>
            <w:r>
              <w:rPr>
                <w:color w:val="auto"/>
                <w:highlight w:val="none"/>
              </w:rPr>
              <w:t>米，功率≤</w:t>
            </w:r>
            <w:r>
              <w:rPr>
                <w:rFonts w:hint="eastAsia"/>
                <w:color w:val="auto"/>
                <w:highlight w:val="none"/>
              </w:rPr>
              <w:t>20</w:t>
            </w:r>
            <w:r>
              <w:rPr>
                <w:color w:val="auto"/>
                <w:highlight w:val="none"/>
              </w:rPr>
              <w:t>W，色温6000K±500K，显色指数≥</w:t>
            </w:r>
            <w:r>
              <w:rPr>
                <w:rFonts w:hint="eastAsia"/>
                <w:color w:val="auto"/>
                <w:highlight w:val="none"/>
              </w:rPr>
              <w:t>80</w:t>
            </w:r>
            <w:r>
              <w:rPr>
                <w:color w:val="auto"/>
                <w:highlight w:val="none"/>
              </w:rPr>
              <w:t>。数量约</w:t>
            </w:r>
            <w:r>
              <w:rPr>
                <w:rFonts w:hint="eastAsia"/>
                <w:color w:val="auto"/>
                <w:highlight w:val="none"/>
              </w:rPr>
              <w:t>34</w:t>
            </w:r>
            <w:r>
              <w:rPr>
                <w:color w:val="auto"/>
                <w:highlight w:val="none"/>
              </w:rPr>
              <w:t>套</w:t>
            </w:r>
            <w:r>
              <w:rPr>
                <w:rFonts w:hint="eastAsia"/>
                <w:color w:val="auto"/>
                <w:highlight w:val="none"/>
              </w:rPr>
              <w:t>。</w:t>
            </w:r>
          </w:p>
          <w:p w14:paraId="5BDE53CE">
            <w:pPr>
              <w:pStyle w:val="62"/>
              <w:numPr>
                <w:ilvl w:val="0"/>
                <w:numId w:val="2"/>
              </w:numPr>
              <w:spacing w:line="360" w:lineRule="auto"/>
              <w:ind w:firstLine="422"/>
              <w:rPr>
                <w:b/>
                <w:bCs/>
                <w:color w:val="auto"/>
                <w:highlight w:val="none"/>
              </w:rPr>
            </w:pPr>
            <w:r>
              <w:rPr>
                <w:b/>
                <w:bCs/>
                <w:color w:val="auto"/>
                <w:highlight w:val="none"/>
              </w:rPr>
              <w:t>灯具更换与系统集成调试服务</w:t>
            </w:r>
          </w:p>
          <w:p w14:paraId="7B41FE3E">
            <w:pPr>
              <w:pStyle w:val="62"/>
              <w:spacing w:line="360" w:lineRule="auto"/>
              <w:rPr>
                <w:color w:val="auto"/>
                <w:highlight w:val="none"/>
              </w:rPr>
            </w:pPr>
            <w:r>
              <w:rPr>
                <w:color w:val="auto"/>
                <w:highlight w:val="none"/>
              </w:rPr>
              <w:t>负责安全拆除原有灯具约229套，并依据批准的技术方案，进行新灯具的安装、系统集成与调试。服务需确保新照明系统运行稳定、控制</w:t>
            </w:r>
            <w:r>
              <w:rPr>
                <w:rFonts w:hint="eastAsia"/>
                <w:color w:val="auto"/>
                <w:highlight w:val="none"/>
              </w:rPr>
              <w:t>有效</w:t>
            </w:r>
            <w:r>
              <w:rPr>
                <w:color w:val="auto"/>
                <w:highlight w:val="none"/>
              </w:rPr>
              <w:t>、达到设计照度与均匀度要求</w:t>
            </w:r>
            <w:r>
              <w:rPr>
                <w:rFonts w:hint="eastAsia"/>
                <w:color w:val="auto"/>
                <w:highlight w:val="none"/>
              </w:rPr>
              <w:t>。</w:t>
            </w:r>
          </w:p>
          <w:p w14:paraId="2DC38CC2">
            <w:pPr>
              <w:pStyle w:val="62"/>
              <w:numPr>
                <w:ilvl w:val="0"/>
                <w:numId w:val="2"/>
              </w:numPr>
              <w:spacing w:line="360" w:lineRule="auto"/>
              <w:ind w:firstLine="422"/>
              <w:rPr>
                <w:b/>
                <w:bCs/>
                <w:color w:val="auto"/>
                <w:highlight w:val="none"/>
              </w:rPr>
            </w:pPr>
            <w:r>
              <w:rPr>
                <w:b/>
                <w:bCs/>
                <w:color w:val="auto"/>
                <w:highlight w:val="none"/>
              </w:rPr>
              <w:t>节能效果验证与培训服务</w:t>
            </w:r>
          </w:p>
          <w:p w14:paraId="41FBA83F">
            <w:pPr>
              <w:pStyle w:val="62"/>
              <w:spacing w:line="360" w:lineRule="auto"/>
              <w:rPr>
                <w:color w:val="auto"/>
                <w:highlight w:val="none"/>
              </w:rPr>
            </w:pPr>
            <w:r>
              <w:rPr>
                <w:color w:val="auto"/>
                <w:highlight w:val="none"/>
              </w:rPr>
              <w:t>改造完成后，</w:t>
            </w:r>
            <w:r>
              <w:rPr>
                <w:rFonts w:hint="eastAsia"/>
                <w:color w:val="auto"/>
                <w:highlight w:val="none"/>
              </w:rPr>
              <w:t>供应商</w:t>
            </w:r>
            <w:r>
              <w:rPr>
                <w:color w:val="auto"/>
                <w:highlight w:val="none"/>
              </w:rPr>
              <w:t>须提供照明系统节能效果验证报告，通过对比改造前后数据，验证节能目标的达成情况。并向</w:t>
            </w:r>
            <w:r>
              <w:rPr>
                <w:rFonts w:hint="eastAsia"/>
                <w:color w:val="auto"/>
                <w:highlight w:val="none"/>
              </w:rPr>
              <w:t>采购人</w:t>
            </w:r>
            <w:r>
              <w:rPr>
                <w:color w:val="auto"/>
                <w:highlight w:val="none"/>
              </w:rPr>
              <w:t>提供系统操作与维护的现场培训服务</w:t>
            </w:r>
            <w:r>
              <w:rPr>
                <w:rFonts w:hint="eastAsia"/>
                <w:color w:val="auto"/>
                <w:highlight w:val="none"/>
              </w:rPr>
              <w:t>。</w:t>
            </w:r>
          </w:p>
        </w:tc>
      </w:tr>
      <w:tr w14:paraId="4D59A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vAlign w:val="center"/>
          </w:tcPr>
          <w:p w14:paraId="331E984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32" w:type="dxa"/>
            <w:vAlign w:val="center"/>
          </w:tcPr>
          <w:p w14:paraId="37C456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空调系统能效优化技术服务</w:t>
            </w:r>
          </w:p>
        </w:tc>
        <w:tc>
          <w:tcPr>
            <w:tcW w:w="848" w:type="dxa"/>
            <w:gridSpan w:val="2"/>
            <w:tcBorders>
              <w:right w:val="single" w:color="auto" w:sz="4" w:space="0"/>
            </w:tcBorders>
            <w:vAlign w:val="center"/>
          </w:tcPr>
          <w:p w14:paraId="02363D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847" w:type="dxa"/>
            <w:tcBorders>
              <w:right w:val="single" w:color="auto" w:sz="4" w:space="0"/>
            </w:tcBorders>
            <w:vAlign w:val="center"/>
          </w:tcPr>
          <w:p w14:paraId="75EC71E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4852" w:type="dxa"/>
            <w:tcBorders>
              <w:left w:val="single" w:color="auto" w:sz="4" w:space="0"/>
            </w:tcBorders>
            <w:vAlign w:val="center"/>
          </w:tcPr>
          <w:p w14:paraId="0ADB7642">
            <w:pPr>
              <w:pStyle w:val="62"/>
              <w:spacing w:line="360" w:lineRule="auto"/>
              <w:ind w:firstLine="422"/>
              <w:rPr>
                <w:color w:val="auto"/>
                <w:highlight w:val="none"/>
              </w:rPr>
            </w:pPr>
            <w:r>
              <w:rPr>
                <w:rFonts w:hint="eastAsia"/>
                <w:b/>
                <w:bCs/>
                <w:color w:val="auto"/>
                <w:highlight w:val="none"/>
              </w:rPr>
              <w:t>一、服务目标</w:t>
            </w:r>
          </w:p>
          <w:p w14:paraId="20546E69">
            <w:pPr>
              <w:pStyle w:val="62"/>
              <w:spacing w:line="360" w:lineRule="auto"/>
              <w:rPr>
                <w:color w:val="auto"/>
                <w:highlight w:val="none"/>
              </w:rPr>
            </w:pPr>
            <w:r>
              <w:rPr>
                <w:rFonts w:hint="eastAsia"/>
                <w:color w:val="auto"/>
                <w:highlight w:val="none"/>
              </w:rPr>
              <w:t>通过提供空调系统综合能效优化技术服务，实现空调系统综合节能率不低于13%，并建立智能化的空调运行管理与监控平台。</w:t>
            </w:r>
          </w:p>
          <w:p w14:paraId="621C80F8">
            <w:pPr>
              <w:pStyle w:val="62"/>
              <w:numPr>
                <w:ilvl w:val="0"/>
                <w:numId w:val="4"/>
              </w:numPr>
              <w:spacing w:line="360" w:lineRule="auto"/>
              <w:ind w:firstLine="422"/>
              <w:rPr>
                <w:b/>
                <w:bCs/>
                <w:color w:val="auto"/>
                <w:highlight w:val="none"/>
              </w:rPr>
            </w:pPr>
            <w:r>
              <w:rPr>
                <w:rFonts w:hint="eastAsia"/>
                <w:b/>
                <w:bCs/>
                <w:color w:val="auto"/>
                <w:highlight w:val="none"/>
              </w:rPr>
              <w:t>服务内容及技术要求</w:t>
            </w:r>
          </w:p>
          <w:p w14:paraId="7A8C873A">
            <w:pPr>
              <w:pStyle w:val="62"/>
              <w:numPr>
                <w:ilvl w:val="0"/>
                <w:numId w:val="5"/>
              </w:numPr>
              <w:spacing w:line="360" w:lineRule="auto"/>
              <w:ind w:firstLine="422"/>
              <w:rPr>
                <w:color w:val="auto"/>
                <w:highlight w:val="none"/>
              </w:rPr>
            </w:pPr>
            <w:r>
              <w:rPr>
                <w:rFonts w:hint="eastAsia"/>
                <w:b/>
                <w:bCs/>
                <w:color w:val="auto"/>
                <w:highlight w:val="none"/>
              </w:rPr>
              <w:t>空调系统能效诊断与优化路径设计服务：</w:t>
            </w:r>
            <w:r>
              <w:rPr>
                <w:rFonts w:hint="eastAsia"/>
                <w:color w:val="auto"/>
                <w:highlight w:val="none"/>
              </w:rPr>
              <w:t>供应商须对现有空调系统进行全面的能效测试与诊断，出具诊断报告，并提出包含冷媒优化、智控系统建设在内的综合性能效提升技术方案与节能率测算。</w:t>
            </w:r>
          </w:p>
          <w:p w14:paraId="7C2CB3CD">
            <w:pPr>
              <w:pStyle w:val="62"/>
              <w:numPr>
                <w:ilvl w:val="0"/>
                <w:numId w:val="5"/>
              </w:numPr>
              <w:spacing w:line="360" w:lineRule="auto"/>
              <w:ind w:firstLine="422"/>
              <w:rPr>
                <w:color w:val="auto"/>
                <w:highlight w:val="none"/>
              </w:rPr>
            </w:pPr>
            <w:r>
              <w:rPr>
                <w:rFonts w:hint="eastAsia"/>
                <w:b/>
                <w:bCs/>
                <w:color w:val="auto"/>
                <w:highlight w:val="none"/>
              </w:rPr>
              <w:t>环保制冷工质替换与系统调优服务</w:t>
            </w:r>
            <w:r>
              <w:rPr>
                <w:b/>
                <w:bCs/>
                <w:color w:val="auto"/>
                <w:highlight w:val="none"/>
              </w:rPr>
              <w:t>：</w:t>
            </w:r>
            <w:r>
              <w:rPr>
                <w:color w:val="auto"/>
                <w:highlight w:val="none"/>
              </w:rPr>
              <w:t>基于技术方案，提供制冷工质的环保化替换服务。须采用ODP=0、GWP&lt;3的生态冷媒，服务内容包括安全回收原制冷剂、系统清洗、新冷媒加注及系统全工况调试优化，以确保系统能效提升。服务覆盖量约498.5匹</w:t>
            </w:r>
            <w:r>
              <w:rPr>
                <w:rFonts w:hint="eastAsia"/>
                <w:color w:val="auto"/>
                <w:highlight w:val="none"/>
              </w:rPr>
              <w:t>。</w:t>
            </w:r>
          </w:p>
          <w:p w14:paraId="59FAC9DD">
            <w:pPr>
              <w:pStyle w:val="62"/>
              <w:numPr>
                <w:ilvl w:val="0"/>
                <w:numId w:val="5"/>
              </w:numPr>
              <w:spacing w:line="360" w:lineRule="auto"/>
              <w:ind w:firstLine="422"/>
              <w:rPr>
                <w:color w:val="auto"/>
                <w:highlight w:val="none"/>
              </w:rPr>
            </w:pPr>
            <w:r>
              <w:rPr>
                <w:rFonts w:hint="eastAsia"/>
                <w:b/>
                <w:bCs/>
                <w:color w:val="auto"/>
                <w:highlight w:val="none"/>
              </w:rPr>
              <w:t>空调系统智能控制策略设计与系统集成服务：</w:t>
            </w:r>
            <w:r>
              <w:rPr>
                <w:rFonts w:hint="eastAsia"/>
                <w:color w:val="auto"/>
                <w:highlight w:val="none"/>
              </w:rPr>
              <w:t>供应商须设计并实施一套空调智能控制策略，包括但不限于远程启停、温度设定、定时策略、能耗监测等。通过安装单相/三相分体空调控制器（约183个），完成硬件与软件平台的集成联调，实现对其能耗数据的远程实时动态监测与智能控制。</w:t>
            </w:r>
          </w:p>
          <w:p w14:paraId="051F1003">
            <w:pPr>
              <w:pStyle w:val="62"/>
              <w:spacing w:line="360" w:lineRule="auto"/>
              <w:ind w:left="420" w:leftChars="200" w:firstLine="0" w:firstLineChars="0"/>
              <w:rPr>
                <w:b/>
                <w:bCs/>
                <w:color w:val="auto"/>
                <w:highlight w:val="none"/>
              </w:rPr>
            </w:pPr>
            <w:r>
              <w:rPr>
                <w:b/>
                <w:bCs/>
                <w:color w:val="auto"/>
                <w:highlight w:val="none"/>
              </w:rPr>
              <w:t>为实现控制服务所需的关键硬件性能参考：</w:t>
            </w:r>
          </w:p>
          <w:p w14:paraId="13B5E5B6">
            <w:pPr>
              <w:pStyle w:val="62"/>
              <w:spacing w:line="360" w:lineRule="auto"/>
              <w:ind w:firstLine="422"/>
              <w:rPr>
                <w:color w:val="auto"/>
                <w:highlight w:val="none"/>
              </w:rPr>
            </w:pPr>
            <w:r>
              <w:rPr>
                <w:b/>
                <w:bCs/>
                <w:color w:val="auto"/>
                <w:highlight w:val="none"/>
              </w:rPr>
              <w:t>单相控制器：</w:t>
            </w:r>
            <w:r>
              <w:rPr>
                <w:color w:val="auto"/>
                <w:highlight w:val="none"/>
              </w:rPr>
              <w:t>需适配220V电压，电流容量16A/30A，内含五年数据通讯服务</w:t>
            </w:r>
            <w:r>
              <w:rPr>
                <w:rFonts w:hint="eastAsia"/>
                <w:color w:val="auto"/>
                <w:highlight w:val="none"/>
              </w:rPr>
              <w:t>。</w:t>
            </w:r>
          </w:p>
          <w:p w14:paraId="443A2772">
            <w:pPr>
              <w:pStyle w:val="62"/>
              <w:spacing w:line="360" w:lineRule="auto"/>
              <w:ind w:firstLine="422"/>
              <w:rPr>
                <w:color w:val="auto"/>
                <w:highlight w:val="none"/>
              </w:rPr>
            </w:pPr>
            <w:r>
              <w:rPr>
                <w:b/>
                <w:bCs/>
                <w:color w:val="auto"/>
                <w:highlight w:val="none"/>
              </w:rPr>
              <w:t>三相控制器：</w:t>
            </w:r>
            <w:r>
              <w:rPr>
                <w:color w:val="auto"/>
                <w:highlight w:val="none"/>
              </w:rPr>
              <w:t>需适配380V电压，电流容量60A，内含五年数据通讯服务</w:t>
            </w:r>
            <w:r>
              <w:rPr>
                <w:rFonts w:hint="eastAsia"/>
                <w:color w:val="auto"/>
                <w:highlight w:val="none"/>
              </w:rPr>
              <w:t>。</w:t>
            </w:r>
          </w:p>
          <w:p w14:paraId="06082053">
            <w:pPr>
              <w:pStyle w:val="62"/>
              <w:numPr>
                <w:ilvl w:val="0"/>
                <w:numId w:val="5"/>
              </w:numPr>
              <w:spacing w:line="360" w:lineRule="auto"/>
              <w:ind w:firstLine="422"/>
              <w:rPr>
                <w:color w:val="auto"/>
                <w:highlight w:val="none"/>
              </w:rPr>
            </w:pPr>
            <w:r>
              <w:rPr>
                <w:rFonts w:hint="eastAsia"/>
                <w:b/>
                <w:bCs/>
                <w:color w:val="auto"/>
                <w:highlight w:val="none"/>
              </w:rPr>
              <w:t>能效管理平台部署与数据服务：</w:t>
            </w:r>
            <w:r>
              <w:rPr>
                <w:rFonts w:hint="eastAsia"/>
                <w:color w:val="auto"/>
                <w:highlight w:val="none"/>
              </w:rPr>
              <w:t>负责部署平台展示系统，确保其稳定运行，并提供至少五年的数据流量与平台功能服务，实现对空调设备的精细化能耗管理。</w:t>
            </w:r>
          </w:p>
          <w:p w14:paraId="00CCD6D0">
            <w:pPr>
              <w:pStyle w:val="62"/>
              <w:numPr>
                <w:ilvl w:val="0"/>
                <w:numId w:val="5"/>
              </w:numPr>
              <w:spacing w:line="360" w:lineRule="auto"/>
              <w:ind w:firstLine="422"/>
              <w:rPr>
                <w:color w:val="auto"/>
                <w:highlight w:val="none"/>
              </w:rPr>
            </w:pPr>
            <w:r>
              <w:rPr>
                <w:b/>
                <w:bCs/>
                <w:color w:val="auto"/>
                <w:highlight w:val="none"/>
              </w:rPr>
              <w:t>系统联调、效果验证与运维培训服务：</w:t>
            </w:r>
            <w:r>
              <w:rPr>
                <w:color w:val="auto"/>
                <w:highlight w:val="none"/>
              </w:rPr>
              <w:t>完成整个能效优化系统的联合调试，出具能效优化效果评估报告，并对</w:t>
            </w:r>
            <w:r>
              <w:rPr>
                <w:rFonts w:hint="eastAsia"/>
                <w:color w:val="auto"/>
                <w:highlight w:val="none"/>
              </w:rPr>
              <w:t>采购人</w:t>
            </w:r>
            <w:r>
              <w:rPr>
                <w:color w:val="auto"/>
                <w:highlight w:val="none"/>
              </w:rPr>
              <w:t>人员进行系统操作与维护培训</w:t>
            </w:r>
            <w:r>
              <w:rPr>
                <w:rFonts w:hint="eastAsia"/>
                <w:color w:val="auto"/>
                <w:highlight w:val="none"/>
              </w:rPr>
              <w:t>。</w:t>
            </w:r>
          </w:p>
        </w:tc>
      </w:tr>
      <w:tr w14:paraId="35BD1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vAlign w:val="center"/>
          </w:tcPr>
          <w:p w14:paraId="0390E7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32" w:type="dxa"/>
            <w:vAlign w:val="center"/>
          </w:tcPr>
          <w:p w14:paraId="690615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建筑围护结构节能改造技术服务</w:t>
            </w:r>
          </w:p>
        </w:tc>
        <w:tc>
          <w:tcPr>
            <w:tcW w:w="848" w:type="dxa"/>
            <w:gridSpan w:val="2"/>
            <w:tcBorders>
              <w:right w:val="single" w:color="auto" w:sz="4" w:space="0"/>
            </w:tcBorders>
            <w:vAlign w:val="center"/>
          </w:tcPr>
          <w:p w14:paraId="2964F6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847" w:type="dxa"/>
            <w:tcBorders>
              <w:right w:val="single" w:color="auto" w:sz="4" w:space="0"/>
            </w:tcBorders>
            <w:vAlign w:val="center"/>
          </w:tcPr>
          <w:p w14:paraId="215D7E6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4852" w:type="dxa"/>
            <w:tcBorders>
              <w:left w:val="single" w:color="auto" w:sz="4" w:space="0"/>
            </w:tcBorders>
            <w:vAlign w:val="center"/>
          </w:tcPr>
          <w:p w14:paraId="1AC60989">
            <w:pPr>
              <w:pStyle w:val="62"/>
              <w:spacing w:line="360" w:lineRule="auto"/>
              <w:ind w:firstLine="422"/>
              <w:rPr>
                <w:b/>
                <w:bCs/>
                <w:color w:val="auto"/>
                <w:highlight w:val="none"/>
              </w:rPr>
            </w:pPr>
            <w:r>
              <w:rPr>
                <w:rFonts w:hint="eastAsia"/>
                <w:b/>
                <w:bCs/>
                <w:color w:val="auto"/>
                <w:highlight w:val="none"/>
              </w:rPr>
              <w:t>一、服务目标</w:t>
            </w:r>
          </w:p>
          <w:p w14:paraId="3A688C62">
            <w:pPr>
              <w:pStyle w:val="62"/>
              <w:spacing w:line="360" w:lineRule="auto"/>
              <w:rPr>
                <w:b/>
                <w:bCs/>
                <w:color w:val="auto"/>
                <w:highlight w:val="none"/>
              </w:rPr>
            </w:pPr>
            <w:r>
              <w:rPr>
                <w:color w:val="auto"/>
                <w:highlight w:val="none"/>
              </w:rPr>
              <w:t>通过提供建筑外窗系统的节能性能提升技术服务，增强建筑围护结构的保温隔热性能与气密性，为建筑整体节能目标提供支撑</w:t>
            </w:r>
            <w:r>
              <w:rPr>
                <w:rFonts w:hint="eastAsia"/>
                <w:color w:val="auto"/>
                <w:highlight w:val="none"/>
              </w:rPr>
              <w:t>。</w:t>
            </w:r>
          </w:p>
          <w:p w14:paraId="57DE6D9B">
            <w:pPr>
              <w:pStyle w:val="62"/>
              <w:spacing w:line="360" w:lineRule="auto"/>
              <w:ind w:left="420" w:firstLine="0" w:firstLineChars="0"/>
              <w:rPr>
                <w:b/>
                <w:bCs/>
                <w:color w:val="auto"/>
                <w:highlight w:val="none"/>
              </w:rPr>
            </w:pPr>
            <w:r>
              <w:rPr>
                <w:rFonts w:hint="eastAsia"/>
                <w:b/>
                <w:bCs/>
                <w:color w:val="auto"/>
                <w:highlight w:val="none"/>
              </w:rPr>
              <w:t>二、服务内容及技术要求</w:t>
            </w:r>
          </w:p>
          <w:p w14:paraId="0B1FC3A1">
            <w:pPr>
              <w:pStyle w:val="62"/>
              <w:numPr>
                <w:ilvl w:val="0"/>
                <w:numId w:val="6"/>
              </w:numPr>
              <w:spacing w:line="360" w:lineRule="auto"/>
              <w:ind w:firstLine="422" w:firstLineChars="0"/>
              <w:rPr>
                <w:color w:val="auto"/>
                <w:highlight w:val="none"/>
              </w:rPr>
            </w:pPr>
            <w:r>
              <w:rPr>
                <w:rFonts w:hint="eastAsia"/>
                <w:b/>
                <w:bCs/>
                <w:color w:val="auto"/>
                <w:highlight w:val="none"/>
              </w:rPr>
              <w:t>建筑外窗热工性能诊断与方案设计服务：</w:t>
            </w:r>
            <w:r>
              <w:rPr>
                <w:rFonts w:hint="eastAsia"/>
                <w:color w:val="auto"/>
                <w:highlight w:val="none"/>
              </w:rPr>
              <w:t>供应商须对现有外窗系统的热工性能（传热系数）、气密性等进行评估，提供诊断报告及节能改造技术方案，并进行节能效益分析。</w:t>
            </w:r>
          </w:p>
          <w:p w14:paraId="5CA0B5AD">
            <w:pPr>
              <w:pStyle w:val="62"/>
              <w:numPr>
                <w:ilvl w:val="0"/>
                <w:numId w:val="6"/>
              </w:numPr>
              <w:spacing w:line="360" w:lineRule="auto"/>
              <w:ind w:firstLine="422" w:firstLineChars="0"/>
              <w:rPr>
                <w:color w:val="auto"/>
                <w:highlight w:val="none"/>
              </w:rPr>
            </w:pPr>
            <w:r>
              <w:rPr>
                <w:b/>
                <w:bCs/>
                <w:color w:val="auto"/>
                <w:highlight w:val="none"/>
              </w:rPr>
              <w:t>节能外窗系统技术咨询与设计服务：</w:t>
            </w:r>
            <w:r>
              <w:rPr>
                <w:rFonts w:hint="eastAsia"/>
                <w:color w:val="auto"/>
                <w:highlight w:val="none"/>
              </w:rPr>
              <w:t>供应商</w:t>
            </w:r>
            <w:r>
              <w:rPr>
                <w:color w:val="auto"/>
                <w:highlight w:val="none"/>
              </w:rPr>
              <w:t>须提供外窗系统的技术选型、性能参数设计服务。推荐并采用经技术经济论证的、断桥铝合金窗系统中空Low-E玻璃</w:t>
            </w:r>
            <w:r>
              <w:rPr>
                <w:rFonts w:hint="eastAsia"/>
                <w:color w:val="auto"/>
                <w:highlight w:val="none"/>
              </w:rPr>
              <w:t>（约300平方米）</w:t>
            </w:r>
            <w:r>
              <w:rPr>
                <w:color w:val="auto"/>
                <w:highlight w:val="none"/>
              </w:rPr>
              <w:t>方案，以确保其保温隔热性能满足建筑节能设计要求</w:t>
            </w:r>
            <w:r>
              <w:rPr>
                <w:rFonts w:hint="eastAsia"/>
                <w:color w:val="auto"/>
                <w:highlight w:val="none"/>
              </w:rPr>
              <w:t>。</w:t>
            </w:r>
          </w:p>
          <w:p w14:paraId="1C66A4E9">
            <w:pPr>
              <w:pStyle w:val="62"/>
              <w:spacing w:line="360" w:lineRule="auto"/>
              <w:ind w:left="420" w:firstLine="0" w:firstLineChars="0"/>
              <w:rPr>
                <w:b/>
                <w:bCs/>
                <w:color w:val="auto"/>
                <w:highlight w:val="none"/>
              </w:rPr>
            </w:pPr>
            <w:r>
              <w:rPr>
                <w:b/>
                <w:bCs/>
                <w:color w:val="auto"/>
                <w:highlight w:val="none"/>
              </w:rPr>
              <w:t>技术方案中拟采用的外窗系统性能标准：</w:t>
            </w:r>
          </w:p>
          <w:p w14:paraId="28D14A2D">
            <w:pPr>
              <w:pStyle w:val="62"/>
              <w:spacing w:line="360" w:lineRule="auto"/>
              <w:ind w:firstLine="422"/>
              <w:rPr>
                <w:color w:val="auto"/>
                <w:highlight w:val="none"/>
              </w:rPr>
            </w:pPr>
            <w:r>
              <w:rPr>
                <w:b/>
                <w:bCs/>
                <w:color w:val="auto"/>
                <w:highlight w:val="none"/>
              </w:rPr>
              <w:t>型材：</w:t>
            </w:r>
            <w:r>
              <w:rPr>
                <w:color w:val="auto"/>
                <w:highlight w:val="none"/>
              </w:rPr>
              <w:t>采用6063-T5原生铝型材，宽度112mm，主壁厚≥2.0mm</w:t>
            </w:r>
            <w:r>
              <w:rPr>
                <w:rFonts w:hint="eastAsia"/>
                <w:color w:val="auto"/>
                <w:highlight w:val="none"/>
              </w:rPr>
              <w:t>。</w:t>
            </w:r>
          </w:p>
          <w:p w14:paraId="0017576D">
            <w:pPr>
              <w:pStyle w:val="62"/>
              <w:spacing w:line="360" w:lineRule="auto"/>
              <w:ind w:firstLine="422"/>
              <w:rPr>
                <w:color w:val="auto"/>
                <w:highlight w:val="none"/>
              </w:rPr>
            </w:pPr>
            <w:r>
              <w:rPr>
                <w:b/>
                <w:bCs/>
                <w:color w:val="auto"/>
                <w:highlight w:val="none"/>
              </w:rPr>
              <w:t>玻璃配置：</w:t>
            </w:r>
            <w:r>
              <w:rPr>
                <w:color w:val="auto"/>
                <w:highlight w:val="none"/>
              </w:rPr>
              <w:t>采用5mm+20A空气层+5mm的中空Low-E玻璃</w:t>
            </w:r>
            <w:r>
              <w:rPr>
                <w:rFonts w:hint="eastAsia"/>
                <w:color w:val="auto"/>
                <w:highlight w:val="none"/>
              </w:rPr>
              <w:t>。</w:t>
            </w:r>
          </w:p>
          <w:p w14:paraId="1A81911F">
            <w:pPr>
              <w:pStyle w:val="62"/>
              <w:spacing w:line="360" w:lineRule="auto"/>
              <w:ind w:firstLine="422"/>
              <w:rPr>
                <w:color w:val="auto"/>
                <w:highlight w:val="none"/>
              </w:rPr>
            </w:pPr>
            <w:r>
              <w:rPr>
                <w:b/>
                <w:bCs/>
                <w:color w:val="auto"/>
                <w:highlight w:val="none"/>
              </w:rPr>
              <w:t>五金系统：</w:t>
            </w:r>
            <w:r>
              <w:rPr>
                <w:color w:val="auto"/>
                <w:highlight w:val="none"/>
              </w:rPr>
              <w:t>采用全套</w:t>
            </w:r>
            <w:r>
              <w:rPr>
                <w:rFonts w:hint="eastAsia"/>
                <w:color w:val="auto"/>
                <w:highlight w:val="none"/>
              </w:rPr>
              <w:t>同</w:t>
            </w:r>
            <w:r>
              <w:rPr>
                <w:color w:val="auto"/>
                <w:highlight w:val="none"/>
              </w:rPr>
              <w:t>品牌五金，以确保使用寿命与密封性能。</w:t>
            </w:r>
          </w:p>
          <w:p w14:paraId="77A8FF4B">
            <w:pPr>
              <w:pStyle w:val="62"/>
              <w:spacing w:line="360" w:lineRule="auto"/>
              <w:ind w:firstLine="422"/>
              <w:rPr>
                <w:color w:val="auto"/>
                <w:highlight w:val="none"/>
              </w:rPr>
            </w:pPr>
            <w:r>
              <w:rPr>
                <w:b/>
                <w:bCs/>
                <w:color w:val="auto"/>
                <w:highlight w:val="none"/>
              </w:rPr>
              <w:t>其他性能要求：</w:t>
            </w:r>
            <w:r>
              <w:rPr>
                <w:color w:val="auto"/>
                <w:highlight w:val="none"/>
              </w:rPr>
              <w:t>标牌无缝焊接、整体大副框（推入式安装）、地漏式排水设计等，均服务于提升整个外窗系统的综合性能</w:t>
            </w:r>
            <w:r>
              <w:rPr>
                <w:rFonts w:hint="eastAsia"/>
                <w:color w:val="auto"/>
                <w:highlight w:val="none"/>
              </w:rPr>
              <w:t>。</w:t>
            </w:r>
          </w:p>
          <w:p w14:paraId="2956CE1D">
            <w:pPr>
              <w:pStyle w:val="62"/>
              <w:numPr>
                <w:ilvl w:val="0"/>
                <w:numId w:val="6"/>
              </w:numPr>
              <w:spacing w:line="360" w:lineRule="auto"/>
              <w:ind w:firstLine="422" w:firstLineChars="0"/>
              <w:rPr>
                <w:color w:val="auto"/>
                <w:highlight w:val="none"/>
              </w:rPr>
            </w:pPr>
            <w:r>
              <w:rPr>
                <w:rFonts w:hint="eastAsia"/>
                <w:b/>
                <w:bCs/>
                <w:color w:val="auto"/>
                <w:highlight w:val="none"/>
              </w:rPr>
              <w:t>外窗系统拆除与专业化安装调试服务：</w:t>
            </w:r>
            <w:r>
              <w:rPr>
                <w:rFonts w:hint="eastAsia"/>
                <w:color w:val="auto"/>
                <w:highlight w:val="none"/>
              </w:rPr>
              <w:t>负责安全拆除原有窗体，并依据设计技术方案，进行新外窗系统的专业化安装、气密性及水密性专项调试，确保安装质量符合国家相关标准规范。</w:t>
            </w:r>
          </w:p>
          <w:p w14:paraId="022DE529">
            <w:pPr>
              <w:pStyle w:val="62"/>
              <w:numPr>
                <w:ilvl w:val="0"/>
                <w:numId w:val="6"/>
              </w:numPr>
              <w:spacing w:line="360" w:lineRule="auto"/>
              <w:ind w:firstLine="422" w:firstLineChars="0"/>
              <w:rPr>
                <w:color w:val="auto"/>
                <w:highlight w:val="none"/>
              </w:rPr>
            </w:pPr>
            <w:r>
              <w:rPr>
                <w:b/>
                <w:bCs/>
                <w:color w:val="auto"/>
                <w:highlight w:val="none"/>
              </w:rPr>
              <w:t>性能验证与完工培训服务：</w:t>
            </w:r>
            <w:r>
              <w:rPr>
                <w:color w:val="auto"/>
                <w:highlight w:val="none"/>
              </w:rPr>
              <w:t>改造完成后，提供关键性能指标（如气密性）的验证报告，并向</w:t>
            </w:r>
            <w:r>
              <w:rPr>
                <w:rFonts w:hint="eastAsia"/>
                <w:color w:val="auto"/>
                <w:highlight w:val="none"/>
              </w:rPr>
              <w:t>采购人</w:t>
            </w:r>
            <w:r>
              <w:rPr>
                <w:color w:val="auto"/>
                <w:highlight w:val="none"/>
              </w:rPr>
              <w:t>提供外窗系统使用与维护的要点培训</w:t>
            </w:r>
            <w:r>
              <w:rPr>
                <w:rFonts w:hint="eastAsia"/>
                <w:color w:val="auto"/>
                <w:highlight w:val="none"/>
              </w:rPr>
              <w:t>。</w:t>
            </w:r>
          </w:p>
        </w:tc>
      </w:tr>
      <w:tr w14:paraId="30A33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tcPr>
          <w:p w14:paraId="328197A4">
            <w:pPr>
              <w:spacing w:line="360" w:lineRule="auto"/>
              <w:rPr>
                <w:rFonts w:ascii="宋体" w:hAnsi="宋体" w:cs="宋体"/>
                <w:color w:val="auto"/>
                <w:szCs w:val="21"/>
                <w:highlight w:val="none"/>
              </w:rPr>
            </w:pPr>
            <w:r>
              <w:rPr>
                <w:rFonts w:hint="eastAsia" w:ascii="宋体" w:hAnsi="宋体" w:cs="宋体"/>
                <w:b/>
                <w:color w:val="auto"/>
                <w:szCs w:val="21"/>
                <w:highlight w:val="none"/>
              </w:rPr>
              <w:t>▲一、商务要求</w:t>
            </w:r>
          </w:p>
        </w:tc>
      </w:tr>
      <w:tr w14:paraId="473C9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042" w:type="dxa"/>
            <w:gridSpan w:val="3"/>
            <w:tcBorders>
              <w:top w:val="single" w:color="auto" w:sz="4" w:space="0"/>
              <w:left w:val="single" w:color="auto" w:sz="4" w:space="0"/>
              <w:bottom w:val="single" w:color="auto" w:sz="4" w:space="0"/>
              <w:right w:val="single" w:color="auto" w:sz="4" w:space="0"/>
            </w:tcBorders>
            <w:vAlign w:val="center"/>
          </w:tcPr>
          <w:p w14:paraId="016ED5F2">
            <w:pPr>
              <w:spacing w:line="360" w:lineRule="auto"/>
              <w:rPr>
                <w:rFonts w:ascii="宋体" w:hAnsi="宋体" w:cs="宋体"/>
                <w:b/>
                <w:color w:val="auto"/>
                <w:szCs w:val="21"/>
                <w:highlight w:val="none"/>
              </w:rPr>
            </w:pPr>
            <w:r>
              <w:rPr>
                <w:rFonts w:hint="eastAsia" w:ascii="宋体" w:hAnsi="宋体" w:cs="宋体"/>
                <w:color w:val="auto"/>
                <w:szCs w:val="21"/>
                <w:highlight w:val="none"/>
              </w:rPr>
              <w:t>服务期限（合同履行期限）及地点</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14125C4A">
            <w:pPr>
              <w:spacing w:line="360" w:lineRule="auto"/>
              <w:rPr>
                <w:rFonts w:ascii="宋体" w:hAnsi="宋体" w:cs="宋体"/>
                <w:bCs/>
                <w:color w:val="auto"/>
                <w:szCs w:val="21"/>
                <w:highlight w:val="none"/>
              </w:rPr>
            </w:pPr>
            <w:r>
              <w:rPr>
                <w:rFonts w:hint="eastAsia" w:ascii="宋体" w:hAnsi="宋体" w:cs="宋体"/>
                <w:bCs/>
                <w:color w:val="auto"/>
                <w:szCs w:val="21"/>
                <w:highlight w:val="none"/>
              </w:rPr>
              <w:t>1.服务期限：自签订合同之日起90日历天内。</w:t>
            </w:r>
          </w:p>
          <w:p w14:paraId="1F6B3F47">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2.交付时间：自签订合同之日起90日历天内。</w:t>
            </w:r>
          </w:p>
          <w:p w14:paraId="70675534">
            <w:pPr>
              <w:spacing w:line="360" w:lineRule="auto"/>
              <w:rPr>
                <w:rFonts w:ascii="宋体" w:hAnsi="宋体" w:cs="宋体"/>
                <w:b/>
                <w:color w:val="auto"/>
                <w:szCs w:val="21"/>
                <w:highlight w:val="none"/>
              </w:rPr>
            </w:pPr>
            <w:r>
              <w:rPr>
                <w:rFonts w:hint="eastAsia" w:ascii="宋体" w:hAnsi="宋体" w:cs="宋体"/>
                <w:bCs/>
                <w:color w:val="auto"/>
                <w:szCs w:val="21"/>
                <w:highlight w:val="none"/>
              </w:rPr>
              <w:t>3.交付（实施）的地点：梧州市政府办公大楼。</w:t>
            </w:r>
          </w:p>
        </w:tc>
      </w:tr>
      <w:tr w14:paraId="562E4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7B42F1C7">
            <w:pPr>
              <w:spacing w:line="360" w:lineRule="auto"/>
              <w:rPr>
                <w:rFonts w:ascii="宋体" w:hAnsi="宋体" w:cs="宋体"/>
                <w:b/>
                <w:color w:val="auto"/>
                <w:szCs w:val="21"/>
                <w:highlight w:val="none"/>
              </w:rPr>
            </w:pPr>
            <w:r>
              <w:rPr>
                <w:rFonts w:hint="eastAsia" w:ascii="宋体" w:hAnsi="宋体" w:cs="宋体"/>
                <w:color w:val="auto"/>
                <w:szCs w:val="21"/>
                <w:highlight w:val="none"/>
              </w:rPr>
              <w:t>合同签订时间</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524257C7">
            <w:pPr>
              <w:spacing w:line="360" w:lineRule="auto"/>
              <w:rPr>
                <w:rFonts w:ascii="宋体" w:hAnsi="宋体" w:cs="宋体"/>
                <w:b/>
                <w:color w:val="auto"/>
                <w:szCs w:val="21"/>
                <w:highlight w:val="none"/>
              </w:rPr>
            </w:pPr>
            <w:r>
              <w:rPr>
                <w:rFonts w:hint="eastAsia" w:ascii="宋体" w:hAnsi="宋体" w:cs="宋体"/>
                <w:color w:val="auto"/>
                <w:szCs w:val="21"/>
                <w:highlight w:val="none"/>
              </w:rPr>
              <w:t xml:space="preserve">自成交通知书发出之日起 </w:t>
            </w:r>
            <w:r>
              <w:rPr>
                <w:rFonts w:hint="eastAsia" w:ascii="宋体" w:hAnsi="宋体" w:cs="宋体"/>
                <w:color w:val="auto"/>
                <w:szCs w:val="21"/>
                <w:highlight w:val="none"/>
                <w:u w:val="single"/>
              </w:rPr>
              <w:t xml:space="preserve">15 </w:t>
            </w:r>
            <w:r>
              <w:rPr>
                <w:rFonts w:hint="eastAsia" w:ascii="宋体" w:hAnsi="宋体" w:cs="宋体"/>
                <w:color w:val="auto"/>
                <w:szCs w:val="21"/>
                <w:highlight w:val="none"/>
              </w:rPr>
              <w:t>日内</w:t>
            </w:r>
          </w:p>
        </w:tc>
      </w:tr>
      <w:tr w14:paraId="6D873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48DEAFDA">
            <w:pPr>
              <w:spacing w:line="360" w:lineRule="auto"/>
              <w:rPr>
                <w:rFonts w:ascii="宋体" w:hAnsi="宋体" w:cs="宋体"/>
                <w:b/>
                <w:color w:val="auto"/>
                <w:szCs w:val="21"/>
                <w:highlight w:val="none"/>
              </w:rPr>
            </w:pPr>
            <w:r>
              <w:rPr>
                <w:rFonts w:hint="eastAsia" w:ascii="宋体" w:hAnsi="宋体" w:cs="宋体"/>
                <w:color w:val="auto"/>
                <w:szCs w:val="21"/>
                <w:highlight w:val="none"/>
              </w:rPr>
              <w:t>付款条件</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220D0C33">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1.双方签订合同之日起10个工作日内，采购人向成交供应商支付合同总金额的30%作为预付款，项目完成并经采购人验收合格且全部交付正常使用后，采购人在10个工作</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内</w:t>
            </w:r>
            <w:r>
              <w:rPr>
                <w:rFonts w:hint="eastAsia" w:ascii="宋体" w:hAnsi="宋体" w:cs="宋体"/>
                <w:color w:val="auto"/>
                <w:szCs w:val="21"/>
                <w:highlight w:val="none"/>
              </w:rPr>
              <w:t>向成交供应商支付合同总金额的70%。</w:t>
            </w:r>
          </w:p>
          <w:p w14:paraId="491CB637">
            <w:pPr>
              <w:rPr>
                <w:rFonts w:ascii="宋体" w:hAnsi="宋体" w:cs="宋体"/>
                <w:b/>
                <w:color w:val="auto"/>
                <w:szCs w:val="21"/>
                <w:highlight w:val="none"/>
              </w:rPr>
            </w:pPr>
            <w:r>
              <w:rPr>
                <w:rFonts w:hint="eastAsia" w:ascii="宋体" w:hAnsi="宋体" w:cs="宋体"/>
                <w:color w:val="auto"/>
                <w:szCs w:val="21"/>
                <w:highlight w:val="none"/>
              </w:rPr>
              <w:t>2.成交供应商在申请款项时，必须向采购人提供相应金额的符合国家规定的有效发票。</w:t>
            </w:r>
          </w:p>
        </w:tc>
      </w:tr>
      <w:tr w14:paraId="0002D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780BA0BE">
            <w:pPr>
              <w:spacing w:line="360" w:lineRule="auto"/>
              <w:rPr>
                <w:rFonts w:ascii="宋体" w:hAnsi="宋体" w:cs="宋体"/>
                <w:color w:val="auto"/>
                <w:szCs w:val="21"/>
                <w:highlight w:val="none"/>
              </w:rPr>
            </w:pPr>
            <w:r>
              <w:rPr>
                <w:rFonts w:hint="eastAsia" w:ascii="宋体" w:hAnsi="宋体" w:cs="宋体"/>
                <w:color w:val="auto"/>
                <w:szCs w:val="21"/>
                <w:highlight w:val="none"/>
              </w:rPr>
              <w:t>售后服务要求</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71228631">
            <w:pPr>
              <w:tabs>
                <w:tab w:val="left" w:pos="180"/>
                <w:tab w:val="left" w:pos="1620"/>
              </w:tabs>
              <w:spacing w:line="360" w:lineRule="auto"/>
              <w:rPr>
                <w:color w:val="auto"/>
                <w:highlight w:val="none"/>
              </w:rPr>
            </w:pPr>
            <w:r>
              <w:rPr>
                <w:rFonts w:hint="eastAsia" w:ascii="宋体" w:hAnsi="宋体" w:cs="宋体"/>
                <w:color w:val="auto"/>
                <w:szCs w:val="21"/>
                <w:highlight w:val="none"/>
              </w:rPr>
              <w:t>1.本服务项目伴随的所有货物按国家有关产品“三包”规定执行“三包”，质保期除特别注明外，最短不得少于1年。</w:t>
            </w:r>
          </w:p>
          <w:p w14:paraId="5482F8AA">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2.“质保期”是指在规定时限或成交供应商承诺时限内，因货物质量、性能问题导致 不能正常使用需要维修维护或设备更换而产生的所有费用均由成交供应商负责支付，包括人员上门、设备货物及配件的更换和运输等。如由于采购人操作不当或维护不当造成的货物不能正常使用，则成交供应商需协助采购人进行维护或更换。</w:t>
            </w:r>
          </w:p>
          <w:p w14:paraId="3F8A7D21">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3.在供应商承诺的质保期内，设备保修保换所需要的配件均是原厂原装，不得使用兼容产品。</w:t>
            </w:r>
          </w:p>
          <w:p w14:paraId="3EEF3FFE">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4.本服务项目伴随的所有货物无条件送货上门至采购人指定地点（含装卸），现场安装所需工具、器材由成交供应商自理，各项性能指标达到服务内容及要求的，由供需双方共同签字认可；最终验收前产生的所有费用由成交供应商承担；</w:t>
            </w:r>
          </w:p>
          <w:p w14:paraId="7B76C76A">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5.处理问题响应时间：接到采购人处理问题通知后应在当天内到达采购人指定现场解决（属于本服务项目伴随的所有货物接到维护电话保证24小时响应，自接到维修通知起4小时内到达现场处理解决，一般维修处理时限不超过12小时，12小时内不能修复的，提供替代品）；</w:t>
            </w:r>
          </w:p>
          <w:p w14:paraId="16CD2D0A">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6.本服务项目伴随的所有货物成交供应商负责处理解决货物出现的质量及安全问题并承担一切费用，所有非故意性损坏以及正常使用范围内造成的损坏均要无条件维修，因人为因素出现的故障不在无条件保修范围内，但成交供应商也要积极帮助采购人修理，并提供优惠价格的配件和服务；</w:t>
            </w:r>
          </w:p>
          <w:p w14:paraId="5845921A">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7.本服务项目伴随的所有货物均备有配件，接报修通知后4小时内到达现场处理。</w:t>
            </w:r>
          </w:p>
        </w:tc>
      </w:tr>
      <w:tr w14:paraId="2E191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07C5521D">
            <w:pPr>
              <w:spacing w:line="360" w:lineRule="auto"/>
              <w:rPr>
                <w:rFonts w:ascii="宋体" w:hAnsi="宋体" w:cs="宋体"/>
                <w:color w:val="auto"/>
                <w:szCs w:val="21"/>
                <w:highlight w:val="none"/>
              </w:rPr>
            </w:pPr>
            <w:r>
              <w:rPr>
                <w:rFonts w:hint="eastAsia" w:ascii="宋体" w:hAnsi="宋体" w:cs="宋体"/>
                <w:bCs/>
                <w:color w:val="auto"/>
                <w:szCs w:val="21"/>
                <w:highlight w:val="none"/>
              </w:rPr>
              <w:t>验收标准</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37EBE85F">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1.符合采购需求要求的服务标准、服务要求等。</w:t>
            </w:r>
          </w:p>
          <w:p w14:paraId="703E50E8">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2.验收方式：服务完成后，成交供应商须向采购人提交验收申请，验收内容要包括每一项技术和商务要求的履约情况，采购人收到申请后五个工作</w:t>
            </w:r>
            <w:r>
              <w:rPr>
                <w:rFonts w:hint="eastAsia" w:ascii="宋体" w:hAnsi="宋体" w:cs="宋体"/>
                <w:color w:val="auto"/>
                <w:szCs w:val="21"/>
                <w:highlight w:val="none"/>
              </w:rPr>
              <w:t>日</w:t>
            </w:r>
            <w:r>
              <w:rPr>
                <w:rStyle w:val="30"/>
                <w:rFonts w:hint="eastAsia"/>
                <w:color w:val="auto"/>
                <w:highlight w:val="none"/>
                <w:lang w:val="en-US" w:eastAsia="zh-CN"/>
              </w:rPr>
              <w:t>内</w:t>
            </w:r>
            <w:r>
              <w:rPr>
                <w:rFonts w:hint="eastAsia" w:ascii="宋体" w:hAnsi="宋体" w:cs="宋体"/>
                <w:color w:val="auto"/>
                <w:szCs w:val="21"/>
                <w:highlight w:val="none"/>
              </w:rPr>
              <w:t>进行验收（如有特殊情况，按采购人指定的时间，另行验收）。</w:t>
            </w:r>
          </w:p>
          <w:p w14:paraId="21B2D78F">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3.验收过程中所产生的一切费用均由成交供应商承担。报价时应考虑相关费用。</w:t>
            </w:r>
          </w:p>
          <w:p w14:paraId="6504456A">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4.成交供应商在服务验收时由采购人对照采购文件的服务内容及要求全面核对检验，如不符合采购文件的服务内容及要求以及提供虚假承诺的，一经查实，将上报有关部门按虚假应标处理，采购人可按相关规定做终止服务处理，同时将取消其成交资格并追究其违约责任。</w:t>
            </w:r>
          </w:p>
          <w:p w14:paraId="6FE7E3BF">
            <w:pPr>
              <w:tabs>
                <w:tab w:val="left" w:pos="180"/>
                <w:tab w:val="left" w:pos="1620"/>
              </w:tabs>
              <w:spacing w:line="360" w:lineRule="auto"/>
              <w:rPr>
                <w:color w:val="auto"/>
                <w:highlight w:val="none"/>
              </w:rPr>
            </w:pPr>
            <w:r>
              <w:rPr>
                <w:rFonts w:hint="eastAsia" w:ascii="宋体" w:hAnsi="宋体" w:cs="宋体"/>
                <w:color w:val="auto"/>
                <w:szCs w:val="21"/>
                <w:highlight w:val="none"/>
              </w:rPr>
              <w:t>5.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1BF3B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14142A24">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报价要求</w:t>
            </w:r>
          </w:p>
        </w:tc>
        <w:tc>
          <w:tcPr>
            <w:tcW w:w="6480" w:type="dxa"/>
            <w:gridSpan w:val="3"/>
            <w:tcBorders>
              <w:top w:val="single" w:color="auto" w:sz="4" w:space="0"/>
              <w:left w:val="single" w:color="auto" w:sz="4" w:space="0"/>
              <w:bottom w:val="single" w:color="auto" w:sz="4" w:space="0"/>
              <w:right w:val="single" w:color="auto" w:sz="4" w:space="0"/>
            </w:tcBorders>
          </w:tcPr>
          <w:p w14:paraId="64A152D6">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本项目不允许转包、分包，本次报价需为人民币报价，报价必须包含供应商完成本项目服务所有内容及其他可能发生的一切费用。报价包含但不限于服务</w:t>
            </w:r>
            <w:r>
              <w:rPr>
                <w:rFonts w:hint="eastAsia" w:ascii="宋体" w:hAnsi="宋体" w:cs="宋体"/>
                <w:color w:val="auto"/>
                <w:szCs w:val="21"/>
                <w:highlight w:val="none"/>
              </w:rPr>
              <w:t>所包含的货物成本、</w:t>
            </w:r>
            <w:r>
              <w:rPr>
                <w:rFonts w:ascii="宋体" w:hAnsi="宋体" w:cs="宋体"/>
                <w:color w:val="auto"/>
                <w:szCs w:val="21"/>
                <w:highlight w:val="none"/>
              </w:rPr>
              <w:t>提交成果、编制、组织、策划、开发、调研、技术协助、校准、培训、技术指导、税金等 类似服务内容的全部费用，采购人不再支付其他任何费用。</w:t>
            </w:r>
          </w:p>
        </w:tc>
      </w:tr>
      <w:tr w14:paraId="7187B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6FFCE1A0">
            <w:pPr>
              <w:spacing w:line="360" w:lineRule="auto"/>
              <w:rPr>
                <w:rFonts w:ascii="宋体" w:hAnsi="宋体" w:cs="宋体"/>
                <w:bCs/>
                <w:color w:val="auto"/>
                <w:szCs w:val="21"/>
                <w:highlight w:val="none"/>
              </w:rPr>
            </w:pPr>
            <w:r>
              <w:rPr>
                <w:rFonts w:hint="eastAsia" w:ascii="宋体" w:hAnsi="宋体" w:cs="宋体"/>
                <w:bCs/>
                <w:color w:val="auto"/>
                <w:szCs w:val="21"/>
                <w:highlight w:val="none"/>
              </w:rPr>
              <w:t>知识产权</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5368AB7D">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采购人在中华人民共和国境内使用供应商提供的产品及服务时免受第三方提出的侵犯其专利权或其它知识产权的起诉。如果第三方提出侵权指控，成交供应商承担由此而引起的一切法律责任和费用。</w:t>
            </w:r>
          </w:p>
        </w:tc>
      </w:tr>
      <w:tr w14:paraId="35DB5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14:paraId="7E9F06F8">
            <w:pPr>
              <w:spacing w:line="360" w:lineRule="auto"/>
              <w:rPr>
                <w:rFonts w:ascii="宋体" w:hAnsi="宋体" w:cs="宋体"/>
                <w:color w:val="auto"/>
                <w:szCs w:val="21"/>
                <w:highlight w:val="none"/>
              </w:rPr>
            </w:pPr>
            <w:r>
              <w:rPr>
                <w:rFonts w:hint="eastAsia" w:ascii="宋体" w:hAnsi="宋体" w:cs="宋体"/>
                <w:b/>
                <w:bCs/>
                <w:color w:val="auto"/>
                <w:szCs w:val="21"/>
                <w:highlight w:val="none"/>
              </w:rPr>
              <w:t>二、与实现项目目标相关的其他要求</w:t>
            </w:r>
          </w:p>
        </w:tc>
      </w:tr>
      <w:tr w14:paraId="4BBAD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14:paraId="3B1C2A41">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为保证项目顺利实施，供应商应在商务技术文件中提供以下方案：</w:t>
            </w:r>
          </w:p>
          <w:p w14:paraId="428DC9CB">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1.项目技术方案：包括但不限于改造单位的基础信息和三大改造内容</w:t>
            </w:r>
            <w:r>
              <w:rPr>
                <w:rFonts w:hint="eastAsia" w:ascii="宋体" w:hAnsi="宋体" w:cs="宋体"/>
                <w:bCs/>
                <w:color w:val="auto"/>
                <w:szCs w:val="21"/>
                <w:highlight w:val="none"/>
              </w:rPr>
              <w:t>[照明系统节能改造技术服务（含原有灯具拆除、高光效节能灯具安装及调试服务）]、[空调系统能效优化技术服务（含冷媒置换及系统调试服务、空调智能控制系统集成服务）]、[建筑围护结构节能改造技术服务（含既有窗体拆除服务、断桥铝合金节能窗系统安装及气密性调试服务）]</w:t>
            </w:r>
            <w:r>
              <w:rPr>
                <w:rFonts w:hint="eastAsia" w:ascii="宋体" w:hAnsi="宋体" w:cs="宋体"/>
                <w:color w:val="auto"/>
                <w:szCs w:val="21"/>
                <w:highlight w:val="none"/>
              </w:rPr>
              <w:t>；</w:t>
            </w:r>
          </w:p>
          <w:p w14:paraId="548343D7">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2.项目设计方案图：包括但不限于改造位置示意图、系统图、平面布置图或材料清单等；</w:t>
            </w:r>
          </w:p>
          <w:p w14:paraId="4ACE79CE">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3.项目实施方案：包括但不限于改造内容、实施计划及进度安排等；</w:t>
            </w:r>
          </w:p>
          <w:p w14:paraId="6E23A07C">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4.售后服务方案：包括但不限于承诺的质保期、接到通知到达时现场处理故障时间、一般故障承诺解决时间、故障无法排除时的解决方案、技术培训、回访措施、维护措施、耗材及备品备件优惠措施、维保人员配置等；</w:t>
            </w:r>
          </w:p>
          <w:p w14:paraId="67D0AE47">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5.对应采购需求的技术要求、商务要求提供的其他文件资料（格式自拟）。</w:t>
            </w:r>
          </w:p>
        </w:tc>
      </w:tr>
    </w:tbl>
    <w:p w14:paraId="59B46408">
      <w:pPr>
        <w:snapToGrid w:val="0"/>
        <w:spacing w:line="520" w:lineRule="exact"/>
        <w:rPr>
          <w:rFonts w:ascii="黑体" w:hAnsi="黑体" w:eastAsia="黑体" w:cs="黑体"/>
          <w:color w:val="auto"/>
          <w:sz w:val="32"/>
          <w:szCs w:val="32"/>
          <w:highlight w:val="none"/>
        </w:rPr>
      </w:pPr>
      <w:r>
        <w:rPr>
          <w:rFonts w:hint="eastAsia" w:ascii="宋体" w:hAnsi="宋体" w:cs="宋体"/>
          <w:color w:val="auto"/>
          <w:szCs w:val="21"/>
          <w:highlight w:val="none"/>
        </w:rPr>
        <w:br w:type="page"/>
      </w:r>
      <w:r>
        <w:rPr>
          <w:rFonts w:hint="eastAsia" w:ascii="黑体" w:hAnsi="黑体" w:eastAsia="黑体" w:cs="黑体"/>
          <w:color w:val="auto"/>
          <w:sz w:val="32"/>
          <w:szCs w:val="32"/>
          <w:highlight w:val="none"/>
        </w:rPr>
        <w:t>附件1：</w:t>
      </w:r>
    </w:p>
    <w:p w14:paraId="786E76C5">
      <w:pPr>
        <w:pStyle w:val="13"/>
        <w:jc w:val="center"/>
        <w:rPr>
          <w:b/>
          <w:color w:val="auto"/>
          <w:sz w:val="28"/>
          <w:szCs w:val="28"/>
          <w:highlight w:val="none"/>
        </w:rPr>
      </w:pPr>
      <w:r>
        <w:rPr>
          <w:rFonts w:hint="eastAsia"/>
          <w:b/>
          <w:color w:val="auto"/>
          <w:sz w:val="28"/>
          <w:szCs w:val="28"/>
          <w:highlight w:val="none"/>
        </w:rPr>
        <w:t>中小企业划型标准规定</w:t>
      </w:r>
    </w:p>
    <w:p w14:paraId="40CF6B09">
      <w:pPr>
        <w:pStyle w:val="13"/>
        <w:jc w:val="center"/>
        <w:rPr>
          <w:rFonts w:ascii="宋体" w:hAnsi="宋体"/>
          <w:color w:val="auto"/>
          <w:szCs w:val="21"/>
          <w:highlight w:val="none"/>
        </w:rPr>
      </w:pPr>
      <w:r>
        <w:rPr>
          <w:rFonts w:hint="eastAsia" w:ascii="宋体" w:hAnsi="宋体"/>
          <w:color w:val="auto"/>
          <w:szCs w:val="21"/>
          <w:highlight w:val="none"/>
        </w:rPr>
        <w:t>工信部联企业〔2011〕300号</w:t>
      </w:r>
    </w:p>
    <w:p w14:paraId="704A21B1">
      <w:pPr>
        <w:pStyle w:val="13"/>
        <w:rPr>
          <w:color w:val="auto"/>
          <w:sz w:val="24"/>
          <w:szCs w:val="21"/>
          <w:highlight w:val="none"/>
        </w:rPr>
      </w:pPr>
    </w:p>
    <w:p w14:paraId="66FB72F1">
      <w:pPr>
        <w:pStyle w:val="13"/>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rFonts w:hint="eastAsia" w:ascii="宋体" w:hAnsi="宋体"/>
          <w:color w:val="auto"/>
          <w:szCs w:val="21"/>
          <w:highlight w:val="none"/>
        </w:rPr>
        <w:t>〔2009〕36号</w:t>
      </w:r>
      <w:r>
        <w:rPr>
          <w:color w:val="auto"/>
          <w:szCs w:val="21"/>
          <w:highlight w:val="none"/>
        </w:rPr>
        <w:t>)</w:t>
      </w:r>
      <w:r>
        <w:rPr>
          <w:rFonts w:hint="eastAsia"/>
          <w:color w:val="auto"/>
          <w:szCs w:val="21"/>
          <w:highlight w:val="none"/>
        </w:rPr>
        <w:t>，制定本规定。</w:t>
      </w:r>
    </w:p>
    <w:p w14:paraId="57757A44">
      <w:pPr>
        <w:pStyle w:val="13"/>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50E06010">
      <w:pPr>
        <w:pStyle w:val="13"/>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AD22C17">
      <w:pPr>
        <w:pStyle w:val="13"/>
        <w:rPr>
          <w:color w:val="auto"/>
          <w:szCs w:val="21"/>
          <w:highlight w:val="none"/>
        </w:rPr>
      </w:pPr>
      <w:r>
        <w:rPr>
          <w:rFonts w:hint="eastAsia"/>
          <w:color w:val="auto"/>
          <w:szCs w:val="21"/>
          <w:highlight w:val="none"/>
        </w:rPr>
        <w:t>　　四、各行业划型标准为：</w:t>
      </w:r>
    </w:p>
    <w:p w14:paraId="7BF245DE">
      <w:pPr>
        <w:pStyle w:val="13"/>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186F5BD9">
      <w:pPr>
        <w:pStyle w:val="13"/>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0323539A">
      <w:pPr>
        <w:pStyle w:val="13"/>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7D4ADE28">
      <w:pPr>
        <w:pStyle w:val="13"/>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3C39B2F9">
      <w:pPr>
        <w:pStyle w:val="13"/>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C93D067">
      <w:pPr>
        <w:pStyle w:val="13"/>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1DAEC002">
      <w:pPr>
        <w:pStyle w:val="13"/>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408D63B">
      <w:pPr>
        <w:pStyle w:val="13"/>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20F768A">
      <w:pPr>
        <w:pStyle w:val="13"/>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643758E">
      <w:pPr>
        <w:pStyle w:val="13"/>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501B84D">
      <w:pPr>
        <w:pStyle w:val="13"/>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E085B81">
      <w:pPr>
        <w:pStyle w:val="13"/>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01AB55AF">
      <w:pPr>
        <w:pStyle w:val="13"/>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2502CAAE">
      <w:pPr>
        <w:pStyle w:val="13"/>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77264037">
      <w:pPr>
        <w:pStyle w:val="13"/>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117A6802">
      <w:pPr>
        <w:pStyle w:val="13"/>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1FF4C91B">
      <w:pPr>
        <w:pStyle w:val="13"/>
        <w:rPr>
          <w:color w:val="auto"/>
          <w:szCs w:val="21"/>
          <w:highlight w:val="none"/>
        </w:rPr>
      </w:pPr>
      <w:r>
        <w:rPr>
          <w:rFonts w:hint="eastAsia"/>
          <w:color w:val="auto"/>
          <w:szCs w:val="21"/>
          <w:highlight w:val="none"/>
        </w:rPr>
        <w:t>　　五、企业类型的划分以统计部门的统计数据为依据。</w:t>
      </w:r>
    </w:p>
    <w:p w14:paraId="0CD3C304">
      <w:pPr>
        <w:pStyle w:val="13"/>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32ED1864">
      <w:pPr>
        <w:pStyle w:val="13"/>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CCD870C">
      <w:pPr>
        <w:pStyle w:val="13"/>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03C2C595">
      <w:pPr>
        <w:pStyle w:val="13"/>
        <w:rPr>
          <w:color w:val="auto"/>
          <w:szCs w:val="21"/>
          <w:highlight w:val="none"/>
        </w:rPr>
      </w:pPr>
      <w:r>
        <w:rPr>
          <w:rFonts w:hint="eastAsia"/>
          <w:color w:val="auto"/>
          <w:szCs w:val="21"/>
          <w:highlight w:val="none"/>
        </w:rPr>
        <w:t>　　九、本规定由工业和信息化部、国家统计局会同有关部门负责解释。</w:t>
      </w:r>
    </w:p>
    <w:p w14:paraId="6222A005">
      <w:pPr>
        <w:pStyle w:val="13"/>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6561D72D">
      <w:pPr>
        <w:tabs>
          <w:tab w:val="left" w:pos="180"/>
          <w:tab w:val="left" w:pos="1620"/>
        </w:tabs>
        <w:spacing w:line="360" w:lineRule="auto"/>
        <w:ind w:firstLine="422" w:firstLineChars="200"/>
        <w:rPr>
          <w:rFonts w:ascii="宋体" w:hAnsi="宋体" w:cs="宋体"/>
          <w:b/>
          <w:bCs/>
          <w:color w:val="auto"/>
          <w:szCs w:val="21"/>
          <w:highlight w:val="none"/>
        </w:rPr>
      </w:pPr>
    </w:p>
    <w:p w14:paraId="7588C0BF">
      <w:pPr>
        <w:rPr>
          <w:color w:val="auto"/>
          <w:highlight w:val="none"/>
        </w:rPr>
      </w:pPr>
      <w:bookmarkStart w:id="70" w:name="_Toc74323459"/>
      <w:r>
        <w:rPr>
          <w:rFonts w:hint="eastAsia"/>
          <w:color w:val="auto"/>
          <w:highlight w:val="none"/>
        </w:rPr>
        <w:br w:type="page"/>
      </w:r>
    </w:p>
    <w:p w14:paraId="1A5752B4">
      <w:pPr>
        <w:pStyle w:val="2"/>
        <w:jc w:val="center"/>
        <w:rPr>
          <w:color w:val="auto"/>
          <w:highlight w:val="none"/>
        </w:rPr>
      </w:pPr>
    </w:p>
    <w:p w14:paraId="230C8BD9">
      <w:pPr>
        <w:pStyle w:val="2"/>
        <w:jc w:val="center"/>
        <w:rPr>
          <w:color w:val="auto"/>
          <w:highlight w:val="none"/>
        </w:rPr>
      </w:pPr>
      <w:r>
        <w:rPr>
          <w:rFonts w:hint="eastAsia"/>
          <w:color w:val="auto"/>
          <w:highlight w:val="none"/>
        </w:rPr>
        <w:t>第四章  评审程序、评审方法和评审标准</w:t>
      </w:r>
      <w:bookmarkEnd w:id="70"/>
    </w:p>
    <w:p w14:paraId="335DD01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3105989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EBAB6B6">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1C003B4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4FEE365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 “信用中国”网站(www.creditchina.gov.cn)、中国政府采购网(www.ccgp.gov.cn)。</w:t>
      </w:r>
    </w:p>
    <w:p w14:paraId="00A72F2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8C9921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57F62D6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1A39DFB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39475BB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01969A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09B404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5A2F47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62CC7D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59E689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w:t>
      </w:r>
      <w:r>
        <w:rPr>
          <w:rFonts w:hint="eastAsia"/>
          <w:color w:val="auto"/>
          <w:highlight w:val="none"/>
        </w:rPr>
        <w:t>不</w:t>
      </w:r>
      <w:r>
        <w:rPr>
          <w:rFonts w:hint="eastAsia" w:ascii="宋体" w:hAnsi="宋体" w:cs="宋体"/>
          <w:color w:val="auto"/>
          <w:szCs w:val="21"/>
          <w:highlight w:val="none"/>
        </w:rPr>
        <w:t>再参加该采购项目的其他采购活动的。</w:t>
      </w:r>
    </w:p>
    <w:p w14:paraId="7C3DB5B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66726E2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4EF89B1E">
      <w:pPr>
        <w:spacing w:line="360" w:lineRule="auto"/>
        <w:ind w:firstLine="420" w:firstLineChars="200"/>
        <w:rPr>
          <w:rFonts w:ascii="宋体" w:hAnsi="宋体" w:cs="宋体"/>
          <w:color w:val="auto"/>
          <w:szCs w:val="21"/>
          <w:highlight w:val="none"/>
        </w:rPr>
      </w:pPr>
      <w:bookmarkStart w:id="71"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1"/>
    <w:p w14:paraId="3263BCA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48CB40">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7EAA30C3">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21D92DD">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239803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9B8D5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2ECCE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1C208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BD303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9308F8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6FE3F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2D214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3076B3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4E094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46AA64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11E8D7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CA3CF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5）商务、技术要求允许负偏离的条款数超过“供应商须知前附表”规定项数的；</w:t>
      </w:r>
    </w:p>
    <w:p w14:paraId="236EFA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73954E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1F3F5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472AA8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4A8557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7884129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1）虚假竞标，或者出现其他情形而导致被磋商小组认定无效；</w:t>
      </w:r>
    </w:p>
    <w:p w14:paraId="7DC989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bookmarkStart w:id="72"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2"/>
    </w:p>
    <w:p w14:paraId="37B026D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3）响应文件标注的项目名称或者项目编号与磋商文件标注的项目名称或者项目编号不一致的；</w:t>
      </w:r>
    </w:p>
    <w:p w14:paraId="7BCE0C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olor w:val="auto"/>
          <w:szCs w:val="21"/>
          <w:highlight w:val="none"/>
        </w:rPr>
        <w:t>竞争性磋商文件明确不允许分包，响应文件拟分包的；</w:t>
      </w:r>
    </w:p>
    <w:p w14:paraId="2ABC85C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5）未响应磋商文件实质性要求；</w:t>
      </w:r>
    </w:p>
    <w:p w14:paraId="1D65F0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6AD3AE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55D88B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w:t>
      </w:r>
    </w:p>
    <w:p w14:paraId="6F5990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A1261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0E2B9B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73" w:name="_Hlk42596405"/>
      <w:r>
        <w:rPr>
          <w:rFonts w:hint="eastAsia" w:ascii="宋体" w:hAnsi="宋体" w:cs="宋体"/>
          <w:color w:val="auto"/>
          <w:szCs w:val="21"/>
          <w:highlight w:val="none"/>
        </w:rPr>
        <w:t>分项竞标报价（包含首次报价、最后报价）</w:t>
      </w:r>
      <w:bookmarkEnd w:id="73"/>
      <w:bookmarkStart w:id="74" w:name="_Hlk42596276"/>
      <w:r>
        <w:rPr>
          <w:rFonts w:hint="eastAsia" w:ascii="宋体" w:hAnsi="宋体" w:cs="宋体"/>
          <w:color w:val="auto"/>
          <w:szCs w:val="21"/>
          <w:highlight w:val="none"/>
        </w:rPr>
        <w:t>超过磋商文件分项采购预算金额或者最高限价的</w:t>
      </w:r>
      <w:bookmarkEnd w:id="74"/>
      <w:r>
        <w:rPr>
          <w:rFonts w:hint="eastAsia" w:ascii="宋体" w:hAnsi="宋体" w:cs="宋体"/>
          <w:color w:val="auto"/>
          <w:szCs w:val="21"/>
          <w:highlight w:val="none"/>
        </w:rPr>
        <w:t>（如本项目公布了最高限价）；</w:t>
      </w:r>
    </w:p>
    <w:p w14:paraId="39EAA7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7A17F0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0372104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9E6587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24DCB8A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42A5B0D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w:t>
      </w:r>
      <w:r>
        <w:rPr>
          <w:color w:val="auto"/>
          <w:highlight w:val="none"/>
        </w:rPr>
        <w:t>在规定时间内在广西政府采购云平台上参加</w:t>
      </w:r>
      <w:r>
        <w:rPr>
          <w:rFonts w:hint="eastAsia"/>
          <w:color w:val="auto"/>
          <w:highlight w:val="none"/>
        </w:rPr>
        <w:t>磋商</w:t>
      </w:r>
      <w:r>
        <w:rPr>
          <w:rFonts w:hint="eastAsia" w:ascii="宋体" w:hAnsi="宋体" w:cs="宋体"/>
          <w:color w:val="auto"/>
          <w:szCs w:val="21"/>
          <w:highlight w:val="none"/>
        </w:rPr>
        <w:t>，未在规定时间内参加磋商的视同放弃参加磋商权利，其响应文件按无效响应处理。</w:t>
      </w:r>
    </w:p>
    <w:p w14:paraId="697D384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3E62E9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3096A61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E6F43A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2D845D4D">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49FC2CD0">
      <w:pPr>
        <w:tabs>
          <w:tab w:val="left" w:pos="2835"/>
        </w:tabs>
        <w:spacing w:line="360" w:lineRule="auto"/>
        <w:ind w:firstLine="420" w:firstLineChars="200"/>
        <w:rPr>
          <w:color w:val="auto"/>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A4FF93B">
      <w:pPr>
        <w:tabs>
          <w:tab w:val="left" w:pos="2835"/>
        </w:tabs>
        <w:spacing w:line="360" w:lineRule="auto"/>
        <w:ind w:firstLine="420" w:firstLineChars="200"/>
        <w:rPr>
          <w:rFonts w:ascii="宋体" w:hAnsi="宋体" w:cs="宋体"/>
          <w:color w:val="auto"/>
          <w:szCs w:val="21"/>
          <w:highlight w:val="none"/>
        </w:rPr>
      </w:pPr>
      <w:r>
        <w:rPr>
          <w:color w:val="auto"/>
          <w:highlight w:val="none"/>
        </w:rPr>
        <w:t>3.8除本章第3.7条情形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19194C30">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7A8C9B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7F3C94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521A31A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w:t>
      </w:r>
      <w:r>
        <w:rPr>
          <w:rFonts w:ascii="宋体" w:hAnsi="宋体" w:cs="宋体"/>
          <w:color w:val="auto"/>
          <w:szCs w:val="21"/>
          <w:highlight w:val="none"/>
        </w:rPr>
        <w:t>章第3.7条情</w:t>
      </w:r>
      <w:r>
        <w:rPr>
          <w:color w:val="auto"/>
          <w:highlight w:val="none"/>
        </w:rPr>
        <w:t>形的，</w:t>
      </w:r>
      <w:r>
        <w:rPr>
          <w:rFonts w:hint="eastAsia" w:ascii="宋体" w:hAnsi="宋体" w:cs="宋体"/>
          <w:color w:val="auto"/>
          <w:szCs w:val="21"/>
          <w:highlight w:val="none"/>
        </w:rPr>
        <w:t>提交最后报价的供应商可以为2家。</w:t>
      </w:r>
    </w:p>
    <w:p w14:paraId="51EF488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63BD543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1552D5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6BB8DDC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2E22366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718EC0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（1）供应商不确认的（全流程电子化评审采取在线确认）；</w:t>
      </w:r>
    </w:p>
    <w:p w14:paraId="0C7DA9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4BE064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A869BA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190E37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517212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20338C3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7497588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6D2BE32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47B5F3F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2A5CD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7E53E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0A432F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76444648">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34493177">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FB7F10">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29468B0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350A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1250CCC9">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18" w:type="dxa"/>
            <w:vAlign w:val="center"/>
          </w:tcPr>
          <w:p w14:paraId="40CCFFCE">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288" w:type="dxa"/>
            <w:vAlign w:val="center"/>
          </w:tcPr>
          <w:p w14:paraId="137E51F0">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851" w:type="dxa"/>
            <w:vAlign w:val="center"/>
          </w:tcPr>
          <w:p w14:paraId="701A1E54">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9FD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6E1A73B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418" w:type="dxa"/>
            <w:vAlign w:val="center"/>
          </w:tcPr>
          <w:p w14:paraId="07D543D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6288" w:type="dxa"/>
            <w:vAlign w:val="center"/>
          </w:tcPr>
          <w:p w14:paraId="1B98505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（1）因本项目属于专门面向中小企业采购的项目，不享受价格扣除优惠政策。评审价为供应商的最后报价（如有修正，以确认修正后的最后报价为准）。</w:t>
            </w:r>
          </w:p>
          <w:p w14:paraId="3D500801">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（2）以进入比较与评价环节的报价最低的供应商的价格为磋商基准价，基准价得分为10分。</w:t>
            </w:r>
          </w:p>
          <w:p w14:paraId="424FF0B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（3）价格分计算公式：</w:t>
            </w:r>
          </w:p>
          <w:p w14:paraId="0FD395D3">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报价得分=（基准价/最后报价）×10分</w:t>
            </w:r>
          </w:p>
        </w:tc>
        <w:tc>
          <w:tcPr>
            <w:tcW w:w="851" w:type="dxa"/>
            <w:vAlign w:val="center"/>
          </w:tcPr>
          <w:p w14:paraId="4327693D">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4E21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5E1DB537">
            <w:pPr>
              <w:widowControl/>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2</w:t>
            </w:r>
          </w:p>
        </w:tc>
        <w:tc>
          <w:tcPr>
            <w:tcW w:w="1418" w:type="dxa"/>
            <w:vAlign w:val="center"/>
          </w:tcPr>
          <w:p w14:paraId="34BDE87B">
            <w:pPr>
              <w:widowControl/>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7139" w:type="dxa"/>
            <w:gridSpan w:val="2"/>
          </w:tcPr>
          <w:p w14:paraId="748C86EE">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35D8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6DAA023A">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418" w:type="dxa"/>
            <w:vAlign w:val="center"/>
          </w:tcPr>
          <w:p w14:paraId="2E246402">
            <w:pPr>
              <w:adjustRightInd w:val="0"/>
              <w:spacing w:line="360" w:lineRule="auto"/>
              <w:jc w:val="center"/>
              <w:textAlignment w:val="baseline"/>
              <w:rPr>
                <w:rFonts w:ascii="宋体" w:hAnsi="宋体" w:cs="宋体"/>
                <w:bCs/>
                <w:color w:val="auto"/>
                <w:kern w:val="0"/>
                <w:szCs w:val="21"/>
                <w:highlight w:val="none"/>
              </w:rPr>
            </w:pPr>
            <w:r>
              <w:rPr>
                <w:rFonts w:ascii="宋体" w:hAnsi="宋体" w:cs="宋体"/>
                <w:bCs/>
                <w:color w:val="auto"/>
                <w:kern w:val="0"/>
                <w:szCs w:val="21"/>
                <w:highlight w:val="none"/>
              </w:rPr>
              <w:t>项目技术方案</w:t>
            </w:r>
          </w:p>
        </w:tc>
        <w:tc>
          <w:tcPr>
            <w:tcW w:w="6288" w:type="dxa"/>
            <w:vAlign w:val="center"/>
          </w:tcPr>
          <w:p w14:paraId="451D5ACC">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一档（6分）：供应商提供的项目技术方案中，对改造单位的基础信息（包括建筑面积、用能人数、用能设备清单与功率、能耗水耗账单数据等）及三大改造内容[照明系统节能改造技术服务（含原有灯具拆除、高光效节能灯具安装及调试服务）]、[空调系统能效优化技术服务（含冷媒置换及系统调试服务、空调智能控制系统集成服务）]、[建筑围护结构节能改造技术服务（含既有窗体拆除服务、断桥铝合金节能窗系统安装及气密性调试服务）]的描述，与项目实际情况仅有部分相符，存在明显缺失或偏差。具有技术方案框架但缺乏细节深度；节能量与节能率计算过程不明确，依据不足，无法有效支撑其结论。</w:t>
            </w:r>
          </w:p>
          <w:p w14:paraId="1231152F">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二档（12分）：供应商提供的项目技术方案中，对改造单位的基础信息及三大改造内容[照明系统节能改造技术服务（含原有灯具拆除、高光效节能灯具安装及调试服务）]、[空调系统能效优化技术服务（含冷媒置换及系统调试服务、空调智能控制系统集成服务）]、[建筑围护结构节能改造技术服务（含既有窗体拆除服务、断桥铝合金节能窗系统安装及气密性调试服务）]的描述，与项目实际情况基本相符，关键信息无重大遗漏。技术方案结构完整，但缺乏深度，对部分技术要点的阐述不够深入；节能量与节能率计算过程清晰，方法基本正确，计算结果能够满足“综合节能率不低于10%”。</w:t>
            </w:r>
          </w:p>
          <w:p w14:paraId="00067416">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三档（18分）：供应商提供的项目技术方案中，对改造单位的基础信息及三大改造内容[照明系统节能改造技术服务（含原有灯具拆除、高光效节能灯具安装及调试服务）]、[空调系统能效优化技术服务（含冷媒置换及系统调试服务、空调智能控制系统集成服务）]、[建筑围护结构节能改造技术服务（含既有窗体拆除服务、断桥铝合金节能窗系统安装及气密性调试服务）]的描述，与项目实际情况高度相符，数据详实、准确。技术方案内容详细、完善，逻辑清晰，对改造原理、施工工艺、调试方法等有具体阐述，体现了技术理解与应用能力。节能量与节能率计算详细，引用的计算参数合理，计算过程透明，结果可信度高，综合节能率高于10%。所提出的硬件和软件配置方案针对性强，能够基本满足本项目各项技术服务内容的实现与稳定运行需求。</w:t>
            </w:r>
          </w:p>
          <w:p w14:paraId="12A01276">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四档（24分）：供应商提供的项目技术方案中，对改造单位的基础信息及三大改造内容[照明系统节能改造技术服务（含原有灯具拆除、高光效节能灯具安装及调试服务）]、[空调系统能效优化技术服务（含冷媒置换及系统调试服务、空调智能控制系统集成服务）]、[建筑围护结构节能改造技术服务（含既有窗体拆除服务、断桥铝合金节能窗系统安装及气密性调试服务）]的描述，与项目实际情况完全吻合。技术方案极为详尽与完善，不仅覆盖所有技术要求，更融入了前瞻性的优化措施和风险管理策略，展现出技术实力与项目把控能力。节能量与节能率计算极为严谨，采用的计算方法或模拟软件具有先进性，参数选取有充分依据，计算结果精确，综合节能率高于10%，并承诺可验证。所提出的硬件和软件配置方案完备，完全满足且优于本项目当前及未来的服务需求，为项目的长期运行提供保障。</w:t>
            </w:r>
          </w:p>
        </w:tc>
        <w:tc>
          <w:tcPr>
            <w:tcW w:w="851" w:type="dxa"/>
            <w:vAlign w:val="center"/>
          </w:tcPr>
          <w:p w14:paraId="21F101A0">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24分</w:t>
            </w:r>
          </w:p>
        </w:tc>
      </w:tr>
      <w:tr w14:paraId="59C6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404C6F54">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418" w:type="dxa"/>
            <w:vAlign w:val="center"/>
          </w:tcPr>
          <w:p w14:paraId="4F57BD82">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项目设计方案图</w:t>
            </w:r>
          </w:p>
          <w:p w14:paraId="740E15D1">
            <w:pPr>
              <w:adjustRightInd w:val="0"/>
              <w:spacing w:line="360" w:lineRule="auto"/>
              <w:jc w:val="center"/>
              <w:textAlignment w:val="baseline"/>
              <w:rPr>
                <w:rFonts w:ascii="宋体" w:hAnsi="宋体" w:cs="宋体"/>
                <w:color w:val="auto"/>
                <w:szCs w:val="21"/>
                <w:highlight w:val="none"/>
              </w:rPr>
            </w:pPr>
          </w:p>
        </w:tc>
        <w:tc>
          <w:tcPr>
            <w:tcW w:w="6288" w:type="dxa"/>
            <w:vAlign w:val="center"/>
          </w:tcPr>
          <w:p w14:paraId="5B67DAD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一档（6分）：供应商提供的方案图与项目实际情况仅有部分相符，存在明显偏差或缺失。图纸仅包含最基本的改造位置示意图，缺乏系统图、平面布置图或材料清单等关键组成部分；设计说明不明确，无法有效指导施工，方案整体不具备可行性。</w:t>
            </w:r>
          </w:p>
          <w:p w14:paraId="3A43B4A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二档（12分）：供应商提供的方案图与项目实际情况基本相符，无重大错误。图纸包含了分体空调智控控制系统与建筑围护结构的改造位置、基本的系统图与平面布置图，以及初步的材料清单。设计说明能够反映核心改造思路，但深度不足，细节缺失，可能在实际施工中引发不确定性问题。</w:t>
            </w:r>
          </w:p>
          <w:p w14:paraId="5275AA1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三档（18分）：供应商提供的方案图与项目实际情况高度相符，数据准确，分析到位。图纸体系完整、清晰，详细展示了智控系统的网络拓扑、设备安装节点、管线敷设路径，以及节能窗的型材结构、安装节点、密封工艺等。设计说明详尽，阐述了设计依据、技术参数和施工要点。材料清单规格明确、数量准确，方案具备可实施性，能有效指导施工并保障改造效果。</w:t>
            </w:r>
          </w:p>
          <w:p w14:paraId="070AAB7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四档（24分）：供应商提供的方案图与项目实际情况完全吻合，体现了全面现场勘查与准确的设计还原。</w:t>
            </w:r>
            <w:r>
              <w:rPr>
                <w:rFonts w:hint="eastAsia" w:ascii="宋体" w:hAnsi="宋体" w:cs="宋体"/>
                <w:color w:val="auto"/>
                <w:szCs w:val="21"/>
                <w:highlight w:val="none"/>
              </w:rPr>
              <w:t>图纸体系完整，深化设计深度</w:t>
            </w:r>
            <w:r>
              <w:rPr>
                <w:rFonts w:hint="eastAsia" w:ascii="宋体" w:hAnsi="宋体" w:cs="宋体"/>
                <w:color w:val="auto"/>
                <w:szCs w:val="21"/>
                <w:highlight w:val="none"/>
              </w:rPr>
              <w:t>，包含详细的大样图、接线图、气密性/水密性构造图等，对每一处细节都进行了表达。设计说明逻辑严谨，引用了相关技术标准，并对特殊工况（如异形结构安装、系统抗干扰等）提供了专项解决方案。材料清单详尽且注明品牌、型号及关键性能指标，展现出技术整合与设计优化能力，保障系统长期稳定运行。</w:t>
            </w:r>
          </w:p>
        </w:tc>
        <w:tc>
          <w:tcPr>
            <w:tcW w:w="851" w:type="dxa"/>
            <w:vAlign w:val="center"/>
          </w:tcPr>
          <w:p w14:paraId="3F5FD04A">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24</w:t>
            </w:r>
            <w:r>
              <w:rPr>
                <w:rFonts w:ascii="宋体" w:hAnsi="宋体" w:cs="宋体"/>
                <w:color w:val="auto"/>
                <w:kern w:val="0"/>
                <w:szCs w:val="21"/>
                <w:highlight w:val="none"/>
              </w:rPr>
              <w:t>分</w:t>
            </w:r>
          </w:p>
        </w:tc>
      </w:tr>
      <w:tr w14:paraId="17FC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2CCCA755">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418" w:type="dxa"/>
            <w:vAlign w:val="center"/>
          </w:tcPr>
          <w:p w14:paraId="423C332F">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项目实施方案</w:t>
            </w:r>
          </w:p>
        </w:tc>
        <w:tc>
          <w:tcPr>
            <w:tcW w:w="6288" w:type="dxa"/>
            <w:vAlign w:val="center"/>
          </w:tcPr>
          <w:p w14:paraId="1A845A9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一档（2分）：供应商对项目理解不清晰，实施方案仅对改造内容作出罗列或笼统描述，缺乏实质性计划和具体安排，无法体现项目执行的基本思路和可行性。</w:t>
            </w:r>
          </w:p>
          <w:p w14:paraId="6294BF8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二档（7分）：供应商提供了项目整体实施计划及进度安排，内容基本完整，时间节点设置合理，整体方案虽不深入但能基本响应采购需求，具备初步的可操作性。</w:t>
            </w:r>
          </w:p>
          <w:p w14:paraId="7F857CD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三档（14分）：供应商提供的实施方案结构完整、逻辑清晰，包含合理的实施计划与进度安排，并对项目实施的关键措施、质量与安全监督管理机制、系统调试及验收方法等有较详实的阐述，方案整体具备可执行性，能够有效满足采购需求。</w:t>
            </w:r>
          </w:p>
          <w:p w14:paraId="3F13C85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四档（21分）：供应商提供的实施方案全面、系统、深入，实施计划周密且进度安排合理，关键路径清晰。在实施内容、预期目标、技术措施、管理方法、监督机制、调试流程、验收标准等方面均针对项目特点进行了详细且有针对性的阐述，各项内容逻辑严谨、衔接顺畅，展现出项目把控能力和执行保障水平，</w:t>
            </w:r>
            <w:r>
              <w:rPr>
                <w:rFonts w:hint="eastAsia"/>
                <w:color w:val="auto"/>
                <w:highlight w:val="none"/>
              </w:rPr>
              <w:t>优于采购需求</w:t>
            </w:r>
            <w:r>
              <w:rPr>
                <w:rFonts w:hint="eastAsia" w:ascii="宋体" w:hAnsi="宋体" w:cs="宋体"/>
                <w:color w:val="auto"/>
                <w:szCs w:val="21"/>
                <w:highlight w:val="none"/>
              </w:rPr>
              <w:t>。</w:t>
            </w:r>
          </w:p>
        </w:tc>
        <w:tc>
          <w:tcPr>
            <w:tcW w:w="851" w:type="dxa"/>
            <w:vAlign w:val="center"/>
          </w:tcPr>
          <w:p w14:paraId="74F93892">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21分</w:t>
            </w:r>
          </w:p>
        </w:tc>
      </w:tr>
      <w:tr w14:paraId="5A78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418EB84F">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418" w:type="dxa"/>
            <w:vAlign w:val="center"/>
          </w:tcPr>
          <w:p w14:paraId="1B418492">
            <w:pPr>
              <w:widowControl/>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商务分</w:t>
            </w:r>
          </w:p>
        </w:tc>
        <w:tc>
          <w:tcPr>
            <w:tcW w:w="7139" w:type="dxa"/>
            <w:gridSpan w:val="2"/>
            <w:vAlign w:val="center"/>
          </w:tcPr>
          <w:p w14:paraId="3B878EA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05DA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3" w:type="dxa"/>
            <w:vAlign w:val="center"/>
          </w:tcPr>
          <w:p w14:paraId="64121B8C">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418" w:type="dxa"/>
            <w:vAlign w:val="center"/>
          </w:tcPr>
          <w:p w14:paraId="25B7B6CF">
            <w:pPr>
              <w:wordWrap w:val="0"/>
              <w:adjustRightInd w:val="0"/>
              <w:spacing w:line="360" w:lineRule="auto"/>
              <w:jc w:val="center"/>
              <w:textAlignment w:val="baseline"/>
              <w:rPr>
                <w:rFonts w:ascii="宋体" w:hAnsi="宋体" w:cs="宋体"/>
                <w:bCs/>
                <w:color w:val="auto"/>
                <w:kern w:val="0"/>
                <w:szCs w:val="21"/>
                <w:highlight w:val="none"/>
              </w:rPr>
            </w:pPr>
            <w:r>
              <w:rPr>
                <w:rFonts w:hint="eastAsia" w:ascii="宋体" w:hAnsi="宋体" w:cs="宋体"/>
                <w:color w:val="auto"/>
                <w:szCs w:val="21"/>
                <w:highlight w:val="none"/>
              </w:rPr>
              <w:t>售后服务方案</w:t>
            </w:r>
          </w:p>
        </w:tc>
        <w:tc>
          <w:tcPr>
            <w:tcW w:w="6288" w:type="dxa"/>
            <w:vAlign w:val="center"/>
          </w:tcPr>
          <w:p w14:paraId="13ECDAB9">
            <w:pPr>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要对供应商承诺的质保期、接到通知到达时现场处理故障时间、一般故障承诺解决时间、故障无法排除时的解决方案、技术培训、回访措施、维护措施、耗材及备品备件优惠措施、维保人员配置等服务承诺、服务体系及措施方面。</w:t>
            </w:r>
          </w:p>
          <w:p w14:paraId="008FB58A">
            <w:pPr>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一档（3分）：供应商提供的售后服务方案内容空洞、形式化，仅复述采购文件中的基础要求，未结合项目具体需求进行展开，缺乏可量化的服务承诺与可执行的具体措施。</w:t>
            </w:r>
          </w:p>
          <w:p w14:paraId="243429CE">
            <w:pPr>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档（6分）：供应商提供的售后服务方案框架基本完整，但阐述较为笼统。方案中明确了基本的售后服务团队构成，配备基本合理；对质保期、故障响应与处理、技术培训等服务承诺有初步描述，但未对关键指标（如具体响应时间、故障分级解决机制）作出明确量化承诺，服务体系仅能满足项目基本保障需求。</w:t>
            </w:r>
          </w:p>
          <w:p w14:paraId="00347FEF">
            <w:pPr>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档（9分）：供应商提供的售后服务方案内容详细、结构清晰。售后服务团队配备合理，岗位职责明确；对服务承诺有清晰阐述，明确了具体的质保期、现场响应时间、一般故障解决时间及故障无法排除时的应急解决方案。在技术培训、定期回访、预防性维护、备品备件供应等方面有全面考虑和安排，方案具备可操作性，能为本项目提供服务支持。</w:t>
            </w:r>
          </w:p>
          <w:p w14:paraId="791CA65C">
            <w:pPr>
              <w:snapToGrid w:val="0"/>
              <w:spacing w:line="560" w:lineRule="exact"/>
              <w:ind w:firstLine="420" w:firstLineChars="200"/>
              <w:jc w:val="left"/>
              <w:rPr>
                <w:color w:val="auto"/>
                <w:kern w:val="0"/>
                <w:sz w:val="18"/>
                <w:szCs w:val="18"/>
                <w:highlight w:val="none"/>
              </w:rPr>
            </w:pPr>
            <w:r>
              <w:rPr>
                <w:rFonts w:hint="eastAsia" w:ascii="宋体" w:hAnsi="宋体" w:cs="宋体"/>
                <w:color w:val="auto"/>
                <w:szCs w:val="21"/>
                <w:highlight w:val="none"/>
              </w:rPr>
              <w:t>四档（16分）：供应商提供的售后服务方案极具针对性、周密且切合实际。方案完全围绕项目全生命周期运维需求进行定制化设计，承诺了优于基本的质保期。提供了明确量化的服务响应机制响应时间优于采购需求，并制定了完备的故障升级与解决方案。对技术培训、定期回访制度、预防性维护计划、耗材及备品备件优惠措施等均有周密、详实的安排，并承诺储备充沛的备件库存以确保系统持续稳定运行。售后服务团队人员配比合理、方案整体展现出服务保障能力和风险管控意识优于采购需求。</w:t>
            </w:r>
          </w:p>
        </w:tc>
        <w:tc>
          <w:tcPr>
            <w:tcW w:w="851" w:type="dxa"/>
            <w:vAlign w:val="center"/>
          </w:tcPr>
          <w:p w14:paraId="5B271843">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16分</w:t>
            </w:r>
          </w:p>
        </w:tc>
      </w:tr>
      <w:tr w14:paraId="230C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3" w:type="dxa"/>
            <w:vAlign w:val="center"/>
          </w:tcPr>
          <w:p w14:paraId="2FD714AD">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418" w:type="dxa"/>
            <w:vAlign w:val="center"/>
          </w:tcPr>
          <w:p w14:paraId="6940FB66">
            <w:pPr>
              <w:wordWrap w:val="0"/>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业绩分</w:t>
            </w:r>
          </w:p>
        </w:tc>
        <w:tc>
          <w:tcPr>
            <w:tcW w:w="6288" w:type="dxa"/>
            <w:vAlign w:val="center"/>
          </w:tcPr>
          <w:p w14:paraId="7CF96DFD">
            <w:pPr>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供应商2022年1月1日以来承担过节能改造项目业绩的，每提供一个业绩得2分，满分4分。</w:t>
            </w:r>
            <w:r>
              <w:rPr>
                <w:rFonts w:hint="eastAsia" w:ascii="宋体" w:hAnsi="宋体" w:cs="宋体"/>
                <w:b/>
                <w:bCs/>
                <w:color w:val="auto"/>
                <w:szCs w:val="21"/>
                <w:highlight w:val="none"/>
              </w:rPr>
              <w:t>【响应文件中提供合同协议书关键页或中标（成交）通知书的复印件或扫描件并加盖供应商公章，不提供不得分】</w:t>
            </w:r>
          </w:p>
        </w:tc>
        <w:tc>
          <w:tcPr>
            <w:tcW w:w="851" w:type="dxa"/>
            <w:vAlign w:val="center"/>
          </w:tcPr>
          <w:p w14:paraId="07FD7F5F">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4分</w:t>
            </w:r>
          </w:p>
        </w:tc>
      </w:tr>
      <w:tr w14:paraId="1F2E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3" w:type="dxa"/>
            <w:vAlign w:val="center"/>
          </w:tcPr>
          <w:p w14:paraId="1F9218FC">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1418" w:type="dxa"/>
            <w:vAlign w:val="center"/>
          </w:tcPr>
          <w:p w14:paraId="42D532EB">
            <w:pPr>
              <w:wordWrap w:val="0"/>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政策分</w:t>
            </w:r>
          </w:p>
        </w:tc>
        <w:tc>
          <w:tcPr>
            <w:tcW w:w="6288" w:type="dxa"/>
            <w:vAlign w:val="center"/>
          </w:tcPr>
          <w:p w14:paraId="080F442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属于财政部《节能产品政府采购品目清单》内优先采购（清单内未标注“★”的品目）的产品[响应文件中提供有效的认证证书复印件及品目清单（标注出竞标产品在品目清单中所属的品目），并加盖供应商公章]，根据其所占项目（或者分标）竞标报价比例得0至0.5分，满分0.5分。</w:t>
            </w:r>
          </w:p>
          <w:p w14:paraId="4CB568E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属于财政部《环境标志产品政府采购品目清单》内的产品[响应文件中提供有效的认证证书复印件及品目清单（标注出竞标产品在品目清单中所属的品目），并加盖供应商公章]，根据其所占项目（或者分标）竞标报价比例得0至0.5分，满分0.5分；</w:t>
            </w:r>
          </w:p>
          <w:p w14:paraId="6686214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备注：以上（1）（2）分值计算公式列举说明，如某供应商属于优先采购环境标志产品总值占本竞标报价的比例为35.6%，那该项得分为0.5×0.356=0.178分；</w:t>
            </w:r>
          </w:p>
          <w:p w14:paraId="42B6DBC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（3）非节能、环境标志产品的不得分。</w:t>
            </w:r>
          </w:p>
        </w:tc>
        <w:tc>
          <w:tcPr>
            <w:tcW w:w="851" w:type="dxa"/>
            <w:vAlign w:val="center"/>
          </w:tcPr>
          <w:p w14:paraId="7C1A7CB1">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1分</w:t>
            </w:r>
          </w:p>
        </w:tc>
      </w:tr>
      <w:tr w14:paraId="3ACF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tcPr>
          <w:p w14:paraId="571F02F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总得分为以上各项评审因素得分合计</w:t>
            </w:r>
          </w:p>
        </w:tc>
        <w:tc>
          <w:tcPr>
            <w:tcW w:w="851" w:type="dxa"/>
            <w:vAlign w:val="center"/>
          </w:tcPr>
          <w:p w14:paraId="5BC1F48E">
            <w:pPr>
              <w:widowControl/>
              <w:spacing w:line="360" w:lineRule="auto"/>
              <w:jc w:val="center"/>
              <w:rPr>
                <w:rFonts w:ascii="宋体" w:hAnsi="宋体" w:cs="宋体"/>
                <w:color w:val="auto"/>
                <w:kern w:val="0"/>
                <w:szCs w:val="21"/>
                <w:highlight w:val="none"/>
              </w:rPr>
            </w:pPr>
          </w:p>
        </w:tc>
      </w:tr>
    </w:tbl>
    <w:p w14:paraId="5100AAD2">
      <w:pPr>
        <w:pStyle w:val="19"/>
        <w:rPr>
          <w:rFonts w:ascii="宋体" w:hAnsi="宋体"/>
          <w:bCs/>
          <w:color w:val="auto"/>
          <w:szCs w:val="21"/>
          <w:highlight w:val="none"/>
        </w:rPr>
      </w:pPr>
    </w:p>
    <w:p w14:paraId="21A60D16">
      <w:pPr>
        <w:spacing w:line="360" w:lineRule="auto"/>
        <w:ind w:firstLine="420" w:firstLineChars="200"/>
        <w:rPr>
          <w:rFonts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w:t>
      </w:r>
      <w:r>
        <w:rPr>
          <w:rFonts w:hint="eastAsia"/>
          <w:color w:val="auto"/>
          <w:highlight w:val="none"/>
        </w:rPr>
        <w:t>及</w:t>
      </w:r>
      <w:r>
        <w:rPr>
          <w:rFonts w:hint="eastAsia" w:ascii="宋体" w:hAnsi="宋体"/>
          <w:bCs/>
          <w:color w:val="auto"/>
          <w:szCs w:val="21"/>
          <w:highlight w:val="none"/>
        </w:rPr>
        <w:t>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7A50D3D0">
      <w:pPr>
        <w:spacing w:line="400" w:lineRule="exact"/>
        <w:ind w:firstLine="420" w:firstLineChars="200"/>
        <w:rPr>
          <w:rFonts w:ascii="宋体" w:hAnsi="宋体" w:cs="宋体"/>
          <w:color w:val="auto"/>
          <w:highlight w:val="none"/>
        </w:rPr>
      </w:pPr>
    </w:p>
    <w:p w14:paraId="09DAD611">
      <w:pPr>
        <w:spacing w:line="400" w:lineRule="exact"/>
        <w:ind w:firstLine="420" w:firstLineChars="200"/>
        <w:rPr>
          <w:rFonts w:ascii="宋体" w:hAnsi="宋体" w:cs="宋体"/>
          <w:color w:val="auto"/>
          <w:highlight w:val="none"/>
        </w:rPr>
      </w:pPr>
    </w:p>
    <w:p w14:paraId="2B52F543">
      <w:pPr>
        <w:pStyle w:val="2"/>
        <w:jc w:val="center"/>
        <w:rPr>
          <w:color w:val="auto"/>
          <w:highlight w:val="none"/>
        </w:rPr>
      </w:pPr>
      <w:r>
        <w:rPr>
          <w:color w:val="auto"/>
          <w:highlight w:val="none"/>
        </w:rPr>
        <w:br w:type="page"/>
      </w:r>
    </w:p>
    <w:p w14:paraId="2897CFD3">
      <w:pPr>
        <w:rPr>
          <w:color w:val="auto"/>
          <w:highlight w:val="none"/>
        </w:rPr>
      </w:pPr>
    </w:p>
    <w:p w14:paraId="630CAC3D">
      <w:pPr>
        <w:pStyle w:val="2"/>
        <w:jc w:val="center"/>
        <w:rPr>
          <w:color w:val="auto"/>
          <w:highlight w:val="none"/>
        </w:rPr>
      </w:pPr>
      <w:bookmarkStart w:id="75" w:name="_Toc74323460"/>
      <w:r>
        <w:rPr>
          <w:rFonts w:hint="eastAsia"/>
          <w:color w:val="auto"/>
          <w:highlight w:val="none"/>
        </w:rPr>
        <w:t>第五章 响应文件格式</w:t>
      </w:r>
      <w:bookmarkEnd w:id="75"/>
    </w:p>
    <w:p w14:paraId="78389126">
      <w:pPr>
        <w:spacing w:line="240" w:lineRule="atLeast"/>
        <w:rPr>
          <w:rFonts w:ascii="宋体" w:hAnsi="宋体"/>
          <w:b/>
          <w:color w:val="auto"/>
          <w:sz w:val="32"/>
          <w:szCs w:val="32"/>
          <w:highlight w:val="none"/>
        </w:rPr>
      </w:pPr>
    </w:p>
    <w:p w14:paraId="2D255BB6">
      <w:pPr>
        <w:spacing w:line="240" w:lineRule="atLeast"/>
        <w:rPr>
          <w:rFonts w:ascii="宋体" w:hAnsi="宋体"/>
          <w:b/>
          <w:color w:val="auto"/>
          <w:sz w:val="32"/>
          <w:szCs w:val="32"/>
          <w:highlight w:val="none"/>
        </w:rPr>
      </w:pPr>
    </w:p>
    <w:p w14:paraId="0D3C272B">
      <w:pPr>
        <w:spacing w:line="240" w:lineRule="atLeast"/>
        <w:rPr>
          <w:rFonts w:ascii="宋体" w:hAnsi="宋体"/>
          <w:b/>
          <w:color w:val="auto"/>
          <w:sz w:val="32"/>
          <w:szCs w:val="32"/>
          <w:highlight w:val="none"/>
        </w:rPr>
      </w:pPr>
    </w:p>
    <w:p w14:paraId="57B74C20">
      <w:pPr>
        <w:spacing w:line="240" w:lineRule="atLeast"/>
        <w:rPr>
          <w:rFonts w:ascii="宋体" w:hAnsi="宋体"/>
          <w:b/>
          <w:color w:val="auto"/>
          <w:sz w:val="32"/>
          <w:szCs w:val="32"/>
          <w:highlight w:val="none"/>
        </w:rPr>
      </w:pPr>
    </w:p>
    <w:p w14:paraId="2DF0479C">
      <w:pPr>
        <w:spacing w:line="240" w:lineRule="atLeast"/>
        <w:rPr>
          <w:rFonts w:ascii="宋体" w:hAnsi="宋体"/>
          <w:b/>
          <w:color w:val="auto"/>
          <w:sz w:val="32"/>
          <w:szCs w:val="32"/>
          <w:highlight w:val="none"/>
        </w:rPr>
      </w:pPr>
    </w:p>
    <w:p w14:paraId="75F7F94B">
      <w:pPr>
        <w:spacing w:line="240" w:lineRule="atLeast"/>
        <w:rPr>
          <w:rFonts w:ascii="宋体" w:hAnsi="宋体"/>
          <w:b/>
          <w:color w:val="auto"/>
          <w:sz w:val="32"/>
          <w:szCs w:val="32"/>
          <w:highlight w:val="none"/>
        </w:rPr>
      </w:pPr>
    </w:p>
    <w:p w14:paraId="4523B958">
      <w:pPr>
        <w:spacing w:line="240" w:lineRule="atLeast"/>
        <w:rPr>
          <w:rFonts w:ascii="宋体" w:hAnsi="宋体"/>
          <w:b/>
          <w:color w:val="auto"/>
          <w:sz w:val="32"/>
          <w:szCs w:val="32"/>
          <w:highlight w:val="none"/>
        </w:rPr>
      </w:pPr>
    </w:p>
    <w:p w14:paraId="068A2BA1">
      <w:pPr>
        <w:spacing w:line="240" w:lineRule="atLeast"/>
        <w:rPr>
          <w:rFonts w:ascii="宋体" w:hAnsi="宋体"/>
          <w:b/>
          <w:color w:val="auto"/>
          <w:sz w:val="32"/>
          <w:szCs w:val="32"/>
          <w:highlight w:val="none"/>
        </w:rPr>
      </w:pPr>
    </w:p>
    <w:p w14:paraId="7DB87DFA">
      <w:pPr>
        <w:spacing w:line="240" w:lineRule="atLeast"/>
        <w:rPr>
          <w:rFonts w:ascii="宋体" w:hAnsi="宋体"/>
          <w:b/>
          <w:color w:val="auto"/>
          <w:sz w:val="32"/>
          <w:szCs w:val="32"/>
          <w:highlight w:val="none"/>
        </w:rPr>
      </w:pPr>
    </w:p>
    <w:p w14:paraId="29C5CC65">
      <w:pPr>
        <w:spacing w:line="240" w:lineRule="atLeast"/>
        <w:rPr>
          <w:rFonts w:ascii="宋体" w:hAnsi="宋体"/>
          <w:b/>
          <w:color w:val="auto"/>
          <w:sz w:val="32"/>
          <w:szCs w:val="32"/>
          <w:highlight w:val="none"/>
        </w:rPr>
      </w:pPr>
    </w:p>
    <w:p w14:paraId="243EF9D0">
      <w:pPr>
        <w:spacing w:line="240" w:lineRule="atLeast"/>
        <w:rPr>
          <w:rFonts w:ascii="宋体" w:hAnsi="宋体"/>
          <w:b/>
          <w:color w:val="auto"/>
          <w:sz w:val="32"/>
          <w:szCs w:val="32"/>
          <w:highlight w:val="none"/>
        </w:rPr>
      </w:pPr>
    </w:p>
    <w:p w14:paraId="1F02601B">
      <w:pPr>
        <w:snapToGrid w:val="0"/>
        <w:spacing w:before="50" w:after="50"/>
        <w:outlineLvl w:val="1"/>
        <w:rPr>
          <w:rFonts w:ascii="宋体" w:hAnsi="宋体"/>
          <w:b/>
          <w:bCs/>
          <w:color w:val="auto"/>
          <w:sz w:val="24"/>
          <w:highlight w:val="none"/>
        </w:rPr>
      </w:pPr>
    </w:p>
    <w:p w14:paraId="392DA07C">
      <w:pPr>
        <w:snapToGrid w:val="0"/>
        <w:spacing w:before="156" w:beforeLines="50" w:after="50"/>
        <w:jc w:val="center"/>
        <w:rPr>
          <w:rFonts w:ascii="仿宋_GB2312" w:hAnsi="仿宋_GB2312" w:eastAsia="仿宋_GB2312" w:cs="仿宋_GB2312"/>
          <w:bCs/>
          <w:color w:val="auto"/>
          <w:sz w:val="32"/>
          <w:szCs w:val="32"/>
          <w:highlight w:val="none"/>
        </w:rPr>
      </w:pPr>
    </w:p>
    <w:p w14:paraId="26728320">
      <w:pPr>
        <w:rPr>
          <w:b/>
          <w:color w:val="auto"/>
          <w:sz w:val="32"/>
          <w:szCs w:val="32"/>
          <w:highlight w:val="none"/>
        </w:rPr>
      </w:pPr>
      <w:bookmarkStart w:id="76" w:name="_Toc31723070"/>
      <w:bookmarkStart w:id="77" w:name="_Toc31728084"/>
      <w:bookmarkStart w:id="78" w:name="_Toc35611438"/>
      <w:bookmarkStart w:id="79" w:name="_Toc35611516"/>
      <w:bookmarkStart w:id="80" w:name="_Toc71366186"/>
      <w:bookmarkStart w:id="81" w:name="_Toc44229899"/>
      <w:r>
        <w:rPr>
          <w:b/>
          <w:color w:val="auto"/>
          <w:sz w:val="32"/>
          <w:szCs w:val="32"/>
          <w:highlight w:val="none"/>
        </w:rPr>
        <w:br w:type="page"/>
      </w:r>
      <w:r>
        <w:rPr>
          <w:rFonts w:hint="eastAsia"/>
          <w:b/>
          <w:color w:val="auto"/>
          <w:sz w:val="32"/>
          <w:szCs w:val="32"/>
          <w:highlight w:val="none"/>
        </w:rPr>
        <w:t>一、资格证明文件格式</w:t>
      </w:r>
      <w:bookmarkEnd w:id="76"/>
      <w:bookmarkEnd w:id="77"/>
      <w:bookmarkEnd w:id="78"/>
      <w:bookmarkEnd w:id="79"/>
      <w:bookmarkEnd w:id="80"/>
      <w:bookmarkEnd w:id="81"/>
    </w:p>
    <w:p w14:paraId="121D2072">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p>
    <w:p w14:paraId="02726346">
      <w:pPr>
        <w:snapToGrid w:val="0"/>
        <w:spacing w:before="156" w:beforeLines="50" w:after="50"/>
        <w:jc w:val="center"/>
        <w:rPr>
          <w:rFonts w:ascii="宋体" w:hAnsi="宋体"/>
          <w:color w:val="auto"/>
          <w:sz w:val="44"/>
          <w:szCs w:val="44"/>
          <w:highlight w:val="none"/>
        </w:rPr>
      </w:pPr>
    </w:p>
    <w:p w14:paraId="79572E32">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20943618">
      <w:pPr>
        <w:snapToGrid w:val="0"/>
        <w:spacing w:before="156" w:beforeLines="50" w:after="50"/>
        <w:rPr>
          <w:rFonts w:ascii="宋体" w:hAnsi="宋体"/>
          <w:color w:val="auto"/>
          <w:sz w:val="24"/>
          <w:szCs w:val="20"/>
          <w:highlight w:val="none"/>
        </w:rPr>
      </w:pPr>
    </w:p>
    <w:p w14:paraId="70EBFFEC">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28C5EC55">
      <w:pPr>
        <w:snapToGrid w:val="0"/>
        <w:spacing w:before="156" w:beforeLines="50" w:after="50"/>
        <w:rPr>
          <w:rFonts w:ascii="宋体" w:hAnsi="宋体"/>
          <w:bCs/>
          <w:color w:val="auto"/>
          <w:sz w:val="24"/>
          <w:szCs w:val="20"/>
          <w:highlight w:val="none"/>
        </w:rPr>
      </w:pPr>
    </w:p>
    <w:p w14:paraId="4C084C6C">
      <w:pPr>
        <w:snapToGrid w:val="0"/>
        <w:spacing w:before="156" w:beforeLines="50" w:after="50"/>
        <w:rPr>
          <w:rFonts w:ascii="宋体" w:hAnsi="宋体"/>
          <w:bCs/>
          <w:color w:val="auto"/>
          <w:sz w:val="24"/>
          <w:szCs w:val="20"/>
          <w:highlight w:val="none"/>
        </w:rPr>
      </w:pPr>
    </w:p>
    <w:p w14:paraId="7568B960">
      <w:pPr>
        <w:snapToGrid w:val="0"/>
        <w:spacing w:before="156" w:beforeLines="50" w:after="50"/>
        <w:rPr>
          <w:rFonts w:ascii="宋体" w:hAnsi="宋体"/>
          <w:bCs/>
          <w:color w:val="auto"/>
          <w:sz w:val="24"/>
          <w:szCs w:val="20"/>
          <w:highlight w:val="none"/>
        </w:rPr>
      </w:pPr>
    </w:p>
    <w:p w14:paraId="4D9C9887">
      <w:pPr>
        <w:snapToGrid w:val="0"/>
        <w:spacing w:before="156" w:beforeLines="50" w:after="50"/>
        <w:rPr>
          <w:rFonts w:ascii="宋体" w:hAnsi="宋体"/>
          <w:bCs/>
          <w:color w:val="auto"/>
          <w:sz w:val="24"/>
          <w:szCs w:val="20"/>
          <w:highlight w:val="none"/>
        </w:rPr>
      </w:pPr>
    </w:p>
    <w:p w14:paraId="0B94483D">
      <w:pPr>
        <w:snapToGrid w:val="0"/>
        <w:spacing w:before="156" w:beforeLines="50" w:after="50"/>
        <w:rPr>
          <w:rFonts w:ascii="宋体" w:hAnsi="宋体"/>
          <w:bCs/>
          <w:color w:val="auto"/>
          <w:sz w:val="24"/>
          <w:szCs w:val="20"/>
          <w:highlight w:val="none"/>
        </w:rPr>
      </w:pPr>
    </w:p>
    <w:p w14:paraId="52A413CA">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B981F18">
      <w:pPr>
        <w:snapToGrid w:val="0"/>
        <w:spacing w:before="156" w:beforeLines="50" w:after="50"/>
        <w:ind w:firstLine="720" w:firstLineChars="225"/>
        <w:rPr>
          <w:rFonts w:ascii="宋体" w:hAnsi="宋体" w:cs="仿宋_GB2312"/>
          <w:bCs/>
          <w:color w:val="auto"/>
          <w:sz w:val="32"/>
          <w:szCs w:val="32"/>
          <w:highlight w:val="none"/>
        </w:rPr>
      </w:pPr>
    </w:p>
    <w:p w14:paraId="15EDDF72">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1A1D87A">
      <w:pPr>
        <w:snapToGrid w:val="0"/>
        <w:spacing w:before="156" w:beforeLines="50" w:after="50"/>
        <w:ind w:firstLine="720" w:firstLineChars="225"/>
        <w:rPr>
          <w:rFonts w:ascii="宋体" w:hAnsi="宋体" w:cs="仿宋_GB2312"/>
          <w:bCs/>
          <w:color w:val="auto"/>
          <w:sz w:val="32"/>
          <w:szCs w:val="32"/>
          <w:highlight w:val="none"/>
        </w:rPr>
      </w:pPr>
    </w:p>
    <w:p w14:paraId="18FAA5C7">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2B67485">
      <w:pPr>
        <w:snapToGrid w:val="0"/>
        <w:spacing w:before="156" w:beforeLines="50" w:after="50"/>
        <w:ind w:firstLine="720" w:firstLineChars="225"/>
        <w:rPr>
          <w:rFonts w:ascii="宋体" w:hAnsi="宋体" w:cs="仿宋_GB2312"/>
          <w:bCs/>
          <w:color w:val="auto"/>
          <w:sz w:val="32"/>
          <w:szCs w:val="32"/>
          <w:highlight w:val="none"/>
        </w:rPr>
      </w:pPr>
    </w:p>
    <w:p w14:paraId="0CA0F91F">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681D5D5">
      <w:pPr>
        <w:snapToGrid w:val="0"/>
        <w:spacing w:before="156" w:beforeLines="50" w:after="50"/>
        <w:ind w:firstLine="640" w:firstLineChars="200"/>
        <w:rPr>
          <w:rFonts w:ascii="宋体" w:hAnsi="宋体" w:cs="仿宋_GB2312"/>
          <w:bCs/>
          <w:color w:val="auto"/>
          <w:sz w:val="32"/>
          <w:szCs w:val="32"/>
          <w:highlight w:val="none"/>
        </w:rPr>
      </w:pPr>
    </w:p>
    <w:p w14:paraId="0DF50F5E">
      <w:pPr>
        <w:pStyle w:val="6"/>
        <w:snapToGrid w:val="0"/>
        <w:spacing w:before="50" w:after="50"/>
        <w:ind w:firstLine="720" w:firstLineChars="225"/>
        <w:rPr>
          <w:rFonts w:ascii="宋体" w:hAnsi="宋体" w:cs="仿宋_GB2312"/>
          <w:bCs/>
          <w:color w:val="auto"/>
          <w:sz w:val="32"/>
          <w:szCs w:val="32"/>
          <w:highlight w:val="none"/>
        </w:rPr>
      </w:pPr>
    </w:p>
    <w:p w14:paraId="0D5B4B77">
      <w:pPr>
        <w:pStyle w:val="6"/>
        <w:snapToGrid w:val="0"/>
        <w:spacing w:before="50" w:after="50"/>
        <w:ind w:firstLine="720" w:firstLineChars="225"/>
        <w:rPr>
          <w:rFonts w:ascii="宋体" w:hAnsi="宋体" w:cs="仿宋_GB2312"/>
          <w:bCs/>
          <w:color w:val="auto"/>
          <w:sz w:val="32"/>
          <w:szCs w:val="32"/>
          <w:highlight w:val="none"/>
        </w:rPr>
      </w:pPr>
    </w:p>
    <w:p w14:paraId="026ABE32">
      <w:pPr>
        <w:pStyle w:val="6"/>
        <w:snapToGrid w:val="0"/>
        <w:spacing w:before="50" w:after="50"/>
        <w:ind w:firstLine="1280" w:firstLineChars="400"/>
        <w:rPr>
          <w:rFonts w:ascii="宋体" w:hAnsi="宋体" w:cs="仿宋_GB2312"/>
          <w:bCs/>
          <w:color w:val="auto"/>
          <w:sz w:val="32"/>
          <w:szCs w:val="32"/>
          <w:highlight w:val="none"/>
        </w:rPr>
      </w:pPr>
    </w:p>
    <w:p w14:paraId="540F2CD9">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3872E0">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419BD763">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2A2CCE8">
      <w:pPr>
        <w:snapToGrid w:val="0"/>
        <w:spacing w:before="156" w:beforeLines="50" w:after="50"/>
        <w:rPr>
          <w:rFonts w:ascii="宋体" w:hAnsi="宋体"/>
          <w:color w:val="auto"/>
          <w:sz w:val="24"/>
          <w:szCs w:val="20"/>
          <w:highlight w:val="none"/>
        </w:rPr>
      </w:pPr>
    </w:p>
    <w:p w14:paraId="0A9B8EE4">
      <w:pPr>
        <w:spacing w:line="300" w:lineRule="auto"/>
        <w:rPr>
          <w:rFonts w:ascii="宋体" w:hAnsi="宋体"/>
          <w:color w:val="auto"/>
          <w:szCs w:val="21"/>
          <w:highlight w:val="none"/>
        </w:rPr>
      </w:pPr>
    </w:p>
    <w:p w14:paraId="0CC5738F">
      <w:pPr>
        <w:spacing w:line="300" w:lineRule="auto"/>
        <w:rPr>
          <w:rFonts w:ascii="宋体" w:hAnsi="宋体"/>
          <w:color w:val="auto"/>
          <w:szCs w:val="21"/>
          <w:highlight w:val="none"/>
        </w:rPr>
      </w:pPr>
    </w:p>
    <w:p w14:paraId="0DEEE74E">
      <w:pPr>
        <w:spacing w:line="300" w:lineRule="auto"/>
        <w:rPr>
          <w:rFonts w:ascii="宋体" w:hAnsi="宋体"/>
          <w:color w:val="auto"/>
          <w:szCs w:val="21"/>
          <w:highlight w:val="none"/>
        </w:rPr>
      </w:pPr>
    </w:p>
    <w:p w14:paraId="212C5136">
      <w:pPr>
        <w:spacing w:line="300" w:lineRule="auto"/>
        <w:rPr>
          <w:rFonts w:ascii="宋体" w:hAnsi="宋体"/>
          <w:color w:val="auto"/>
          <w:szCs w:val="21"/>
          <w:highlight w:val="none"/>
        </w:rPr>
      </w:pPr>
    </w:p>
    <w:p w14:paraId="3C344F19">
      <w:pPr>
        <w:spacing w:line="300" w:lineRule="auto"/>
        <w:rPr>
          <w:rFonts w:ascii="宋体" w:hAnsi="宋体"/>
          <w:color w:val="auto"/>
          <w:szCs w:val="21"/>
          <w:highlight w:val="none"/>
        </w:rPr>
      </w:pPr>
    </w:p>
    <w:p w14:paraId="3DCB3AB0">
      <w:pPr>
        <w:spacing w:line="300" w:lineRule="auto"/>
        <w:rPr>
          <w:rFonts w:ascii="宋体" w:hAnsi="宋体"/>
          <w:color w:val="auto"/>
          <w:szCs w:val="21"/>
          <w:highlight w:val="none"/>
        </w:rPr>
      </w:pPr>
    </w:p>
    <w:p w14:paraId="38974C27">
      <w:pPr>
        <w:spacing w:line="300" w:lineRule="auto"/>
        <w:rPr>
          <w:rFonts w:ascii="宋体" w:hAnsi="宋体"/>
          <w:color w:val="auto"/>
          <w:szCs w:val="21"/>
          <w:highlight w:val="none"/>
        </w:rPr>
      </w:pPr>
    </w:p>
    <w:p w14:paraId="1F514252">
      <w:pPr>
        <w:spacing w:line="300" w:lineRule="auto"/>
        <w:rPr>
          <w:rFonts w:ascii="宋体" w:hAnsi="宋体"/>
          <w:color w:val="auto"/>
          <w:szCs w:val="21"/>
          <w:highlight w:val="none"/>
        </w:rPr>
      </w:pPr>
    </w:p>
    <w:p w14:paraId="0B6A0894">
      <w:pPr>
        <w:spacing w:line="300" w:lineRule="auto"/>
        <w:rPr>
          <w:rFonts w:ascii="宋体" w:hAnsi="宋体"/>
          <w:color w:val="auto"/>
          <w:szCs w:val="21"/>
          <w:highlight w:val="none"/>
        </w:rPr>
      </w:pPr>
    </w:p>
    <w:p w14:paraId="7DD7BF7F">
      <w:pPr>
        <w:spacing w:line="300" w:lineRule="auto"/>
        <w:rPr>
          <w:rFonts w:ascii="宋体" w:hAnsi="宋体"/>
          <w:color w:val="auto"/>
          <w:szCs w:val="21"/>
          <w:highlight w:val="none"/>
        </w:rPr>
      </w:pPr>
    </w:p>
    <w:p w14:paraId="58DA7202">
      <w:pPr>
        <w:spacing w:line="300" w:lineRule="auto"/>
        <w:rPr>
          <w:rFonts w:ascii="宋体" w:hAnsi="宋体"/>
          <w:color w:val="auto"/>
          <w:szCs w:val="21"/>
          <w:highlight w:val="none"/>
        </w:rPr>
      </w:pPr>
    </w:p>
    <w:p w14:paraId="4F548EC4">
      <w:pPr>
        <w:spacing w:line="300" w:lineRule="auto"/>
        <w:rPr>
          <w:rFonts w:ascii="宋体" w:hAnsi="宋体"/>
          <w:color w:val="auto"/>
          <w:szCs w:val="21"/>
          <w:highlight w:val="none"/>
        </w:rPr>
      </w:pPr>
    </w:p>
    <w:p w14:paraId="79F5DF73">
      <w:pPr>
        <w:spacing w:line="300" w:lineRule="auto"/>
        <w:rPr>
          <w:rFonts w:ascii="宋体" w:hAnsi="宋体"/>
          <w:color w:val="auto"/>
          <w:szCs w:val="21"/>
          <w:highlight w:val="none"/>
        </w:rPr>
      </w:pPr>
    </w:p>
    <w:p w14:paraId="688A2E58">
      <w:pPr>
        <w:spacing w:line="300" w:lineRule="auto"/>
        <w:rPr>
          <w:rFonts w:ascii="宋体" w:hAnsi="宋体"/>
          <w:color w:val="auto"/>
          <w:szCs w:val="21"/>
          <w:highlight w:val="none"/>
        </w:rPr>
      </w:pPr>
    </w:p>
    <w:p w14:paraId="1820D1A5">
      <w:pPr>
        <w:spacing w:line="300" w:lineRule="auto"/>
        <w:rPr>
          <w:rFonts w:ascii="宋体" w:hAnsi="宋体"/>
          <w:color w:val="auto"/>
          <w:szCs w:val="21"/>
          <w:highlight w:val="none"/>
        </w:rPr>
      </w:pPr>
    </w:p>
    <w:p w14:paraId="3E175B18">
      <w:pPr>
        <w:spacing w:line="320" w:lineRule="exact"/>
        <w:jc w:val="left"/>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供应商直接控股股东信息表</w:t>
      </w:r>
    </w:p>
    <w:p w14:paraId="210E6B62">
      <w:pPr>
        <w:snapToGrid w:val="0"/>
        <w:spacing w:before="50" w:after="156" w:afterLines="50"/>
        <w:jc w:val="center"/>
        <w:rPr>
          <w:rFonts w:ascii="宋体" w:hAnsi="宋体"/>
          <w:b/>
          <w:color w:val="auto"/>
          <w:sz w:val="28"/>
          <w:szCs w:val="28"/>
          <w:highlight w:val="none"/>
        </w:rPr>
      </w:pPr>
    </w:p>
    <w:p w14:paraId="413A42E7">
      <w:pPr>
        <w:snapToGrid w:val="0"/>
        <w:spacing w:before="50" w:after="156"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5"/>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CC267C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325698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D4DBF5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AB3983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6E38E2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2D1915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A45FF4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14836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301EA2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B80849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C6AF44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2987A7">
            <w:pPr>
              <w:spacing w:line="360" w:lineRule="auto"/>
              <w:jc w:val="center"/>
              <w:rPr>
                <w:rFonts w:ascii="宋体" w:hAnsi="宋体" w:cs="宋体"/>
                <w:color w:val="auto"/>
                <w:kern w:val="0"/>
                <w:sz w:val="24"/>
                <w:highlight w:val="none"/>
              </w:rPr>
            </w:pPr>
          </w:p>
        </w:tc>
      </w:tr>
      <w:tr w14:paraId="7BF0D0D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A5F89C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E34A31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611AA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48FB3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6DB73A9">
            <w:pPr>
              <w:spacing w:line="360" w:lineRule="auto"/>
              <w:jc w:val="center"/>
              <w:rPr>
                <w:rFonts w:ascii="宋体" w:hAnsi="宋体" w:cs="宋体"/>
                <w:color w:val="auto"/>
                <w:kern w:val="0"/>
                <w:sz w:val="24"/>
                <w:highlight w:val="none"/>
              </w:rPr>
            </w:pPr>
          </w:p>
        </w:tc>
      </w:tr>
      <w:tr w14:paraId="5EF707F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89B08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D455FBE">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976C0D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BCF954D">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59F651E">
            <w:pPr>
              <w:spacing w:line="360" w:lineRule="auto"/>
              <w:jc w:val="center"/>
              <w:rPr>
                <w:rFonts w:ascii="宋体" w:hAnsi="宋体" w:cs="宋体"/>
                <w:color w:val="auto"/>
                <w:kern w:val="0"/>
                <w:sz w:val="24"/>
                <w:highlight w:val="none"/>
              </w:rPr>
            </w:pPr>
          </w:p>
        </w:tc>
      </w:tr>
      <w:tr w14:paraId="4B1B87F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F86C7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64CDE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43B8F6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BFA1C2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5167F3A">
            <w:pPr>
              <w:spacing w:line="360" w:lineRule="auto"/>
              <w:jc w:val="center"/>
              <w:rPr>
                <w:rFonts w:ascii="宋体" w:hAnsi="宋体" w:cs="宋体"/>
                <w:color w:val="auto"/>
                <w:kern w:val="0"/>
                <w:sz w:val="24"/>
                <w:highlight w:val="none"/>
              </w:rPr>
            </w:pPr>
          </w:p>
        </w:tc>
      </w:tr>
    </w:tbl>
    <w:p w14:paraId="7A3D16C1">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149ED125">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BCA22A1">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49F3815">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6B373CF1">
      <w:pPr>
        <w:snapToGrid w:val="0"/>
        <w:spacing w:line="360" w:lineRule="auto"/>
        <w:jc w:val="left"/>
        <w:rPr>
          <w:rFonts w:ascii="宋体" w:hAnsi="宋体"/>
          <w:color w:val="auto"/>
          <w:sz w:val="24"/>
          <w:highlight w:val="none"/>
        </w:rPr>
      </w:pPr>
    </w:p>
    <w:p w14:paraId="4129D60C">
      <w:pPr>
        <w:snapToGrid w:val="0"/>
        <w:spacing w:line="360" w:lineRule="auto"/>
        <w:jc w:val="left"/>
        <w:rPr>
          <w:rFonts w:ascii="宋体" w:hAnsi="宋体"/>
          <w:color w:val="auto"/>
          <w:sz w:val="24"/>
          <w:highlight w:val="none"/>
        </w:rPr>
      </w:pPr>
    </w:p>
    <w:p w14:paraId="7D0564CB">
      <w:pPr>
        <w:snapToGrid w:val="0"/>
        <w:spacing w:line="360" w:lineRule="auto"/>
        <w:jc w:val="left"/>
        <w:rPr>
          <w:rFonts w:ascii="宋体" w:hAnsi="宋体"/>
          <w:color w:val="auto"/>
          <w:sz w:val="24"/>
          <w:highlight w:val="none"/>
        </w:rPr>
      </w:pPr>
    </w:p>
    <w:p w14:paraId="52F8C92A">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2D4A2F32">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120149F6">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567F3011">
      <w:pPr>
        <w:snapToGrid w:val="0"/>
        <w:jc w:val="center"/>
        <w:rPr>
          <w:rFonts w:ascii="宋体" w:hAnsi="宋体"/>
          <w:b/>
          <w:color w:val="auto"/>
          <w:sz w:val="28"/>
          <w:szCs w:val="28"/>
          <w:highlight w:val="none"/>
        </w:rPr>
      </w:pPr>
    </w:p>
    <w:p w14:paraId="6863E3E0">
      <w:pPr>
        <w:snapToGrid w:val="0"/>
        <w:spacing w:line="360" w:lineRule="auto"/>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rFonts w:hint="eastAsia" w:ascii="宋体" w:hAnsi="宋体"/>
          <w:b/>
          <w:color w:val="auto"/>
          <w:sz w:val="28"/>
          <w:szCs w:val="28"/>
          <w:highlight w:val="none"/>
        </w:rPr>
        <w:t>供应商直接管理关系信息表</w:t>
      </w:r>
    </w:p>
    <w:p w14:paraId="5B29F133">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25"/>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BCF751A">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3170FC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6C57F3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1AD474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F95404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F607E8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CC3EB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8EA4E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593B7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4BF0C5">
            <w:pPr>
              <w:spacing w:line="360" w:lineRule="auto"/>
              <w:jc w:val="center"/>
              <w:rPr>
                <w:rFonts w:ascii="宋体" w:hAnsi="宋体" w:cs="宋体"/>
                <w:color w:val="auto"/>
                <w:kern w:val="0"/>
                <w:sz w:val="24"/>
                <w:highlight w:val="none"/>
              </w:rPr>
            </w:pPr>
          </w:p>
        </w:tc>
      </w:tr>
      <w:tr w14:paraId="41E04A5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3E3978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D39DC2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FBECB0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57EF095">
            <w:pPr>
              <w:spacing w:line="360" w:lineRule="auto"/>
              <w:jc w:val="center"/>
              <w:rPr>
                <w:rFonts w:ascii="宋体" w:hAnsi="宋体" w:cs="宋体"/>
                <w:color w:val="auto"/>
                <w:kern w:val="0"/>
                <w:sz w:val="24"/>
                <w:highlight w:val="none"/>
              </w:rPr>
            </w:pPr>
          </w:p>
        </w:tc>
      </w:tr>
      <w:tr w14:paraId="5CFC9A1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90A6A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C560D3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C46BC5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B3637D">
            <w:pPr>
              <w:spacing w:line="360" w:lineRule="auto"/>
              <w:jc w:val="center"/>
              <w:rPr>
                <w:rFonts w:ascii="宋体" w:hAnsi="宋体" w:cs="宋体"/>
                <w:color w:val="auto"/>
                <w:kern w:val="0"/>
                <w:sz w:val="24"/>
                <w:highlight w:val="none"/>
              </w:rPr>
            </w:pPr>
          </w:p>
        </w:tc>
      </w:tr>
      <w:tr w14:paraId="4F8F25F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B10CF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4C70E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93EE5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2C3237">
            <w:pPr>
              <w:spacing w:line="360" w:lineRule="auto"/>
              <w:jc w:val="center"/>
              <w:rPr>
                <w:rFonts w:ascii="宋体" w:hAnsi="宋体" w:cs="宋体"/>
                <w:color w:val="auto"/>
                <w:kern w:val="0"/>
                <w:sz w:val="24"/>
                <w:highlight w:val="none"/>
              </w:rPr>
            </w:pPr>
          </w:p>
        </w:tc>
      </w:tr>
    </w:tbl>
    <w:p w14:paraId="41AF9712">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0843656F">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C97094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94B93E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1374E33A">
      <w:pPr>
        <w:snapToGrid w:val="0"/>
        <w:spacing w:line="360" w:lineRule="auto"/>
        <w:jc w:val="left"/>
        <w:rPr>
          <w:rFonts w:ascii="宋体" w:hAnsi="宋体"/>
          <w:color w:val="auto"/>
          <w:sz w:val="24"/>
          <w:highlight w:val="none"/>
        </w:rPr>
      </w:pPr>
    </w:p>
    <w:p w14:paraId="063DDC4D">
      <w:pPr>
        <w:snapToGrid w:val="0"/>
        <w:spacing w:line="360" w:lineRule="auto"/>
        <w:jc w:val="left"/>
        <w:rPr>
          <w:rFonts w:ascii="宋体" w:hAnsi="宋体"/>
          <w:color w:val="auto"/>
          <w:sz w:val="24"/>
          <w:highlight w:val="none"/>
        </w:rPr>
      </w:pPr>
    </w:p>
    <w:p w14:paraId="0E391A3E">
      <w:pPr>
        <w:snapToGrid w:val="0"/>
        <w:spacing w:line="360" w:lineRule="auto"/>
        <w:jc w:val="left"/>
        <w:rPr>
          <w:rFonts w:ascii="宋体" w:hAnsi="宋体"/>
          <w:color w:val="auto"/>
          <w:sz w:val="24"/>
          <w:highlight w:val="none"/>
        </w:rPr>
      </w:pPr>
    </w:p>
    <w:p w14:paraId="3FB06CB4">
      <w:pPr>
        <w:snapToGrid w:val="0"/>
        <w:spacing w:line="360" w:lineRule="auto"/>
        <w:jc w:val="left"/>
        <w:rPr>
          <w:color w:val="auto"/>
          <w:sz w:val="24"/>
          <w:highlight w:val="none"/>
        </w:rPr>
      </w:pPr>
    </w:p>
    <w:p w14:paraId="6E47075C">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5F249B0">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2B01A2C1">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78CD9A54">
      <w:pPr>
        <w:snapToGrid w:val="0"/>
        <w:spacing w:before="156" w:beforeLines="50" w:after="50"/>
        <w:jc w:val="left"/>
        <w:rPr>
          <w:rFonts w:ascii="宋体" w:hAnsi="宋体"/>
          <w:color w:val="auto"/>
          <w:sz w:val="24"/>
          <w:highlight w:val="none"/>
        </w:rPr>
      </w:pPr>
    </w:p>
    <w:p w14:paraId="02A68F04">
      <w:pPr>
        <w:snapToGrid w:val="0"/>
        <w:spacing w:before="50" w:after="156" w:afterLines="50"/>
        <w:jc w:val="left"/>
        <w:rPr>
          <w:rFonts w:ascii="宋体" w:hAnsi="宋体"/>
          <w:color w:val="auto"/>
          <w:szCs w:val="21"/>
          <w:highlight w:val="none"/>
        </w:rPr>
      </w:pPr>
    </w:p>
    <w:p w14:paraId="4AC941BA">
      <w:pPr>
        <w:snapToGrid w:val="0"/>
        <w:spacing w:before="156" w:beforeLines="50" w:after="50"/>
        <w:jc w:val="left"/>
        <w:rPr>
          <w:rFonts w:ascii="宋体" w:hAnsi="宋体"/>
          <w:b/>
          <w:color w:val="auto"/>
          <w:sz w:val="24"/>
          <w:szCs w:val="20"/>
          <w:highlight w:val="none"/>
        </w:rPr>
      </w:pPr>
    </w:p>
    <w:p w14:paraId="25EB5C09">
      <w:pPr>
        <w:snapToGrid w:val="0"/>
        <w:spacing w:before="156" w:beforeLines="50" w:after="50"/>
        <w:ind w:left="142"/>
        <w:jc w:val="left"/>
        <w:rPr>
          <w:rFonts w:ascii="宋体" w:hAnsi="宋体"/>
          <w:b/>
          <w:color w:val="auto"/>
          <w:sz w:val="24"/>
          <w:highlight w:val="none"/>
        </w:rPr>
      </w:pPr>
    </w:p>
    <w:p w14:paraId="5136791F">
      <w:pPr>
        <w:snapToGrid w:val="0"/>
        <w:spacing w:before="156" w:beforeLines="50" w:after="50"/>
        <w:ind w:left="142"/>
        <w:jc w:val="left"/>
        <w:rPr>
          <w:rFonts w:ascii="宋体" w:hAnsi="宋体"/>
          <w:b/>
          <w:color w:val="auto"/>
          <w:sz w:val="24"/>
          <w:highlight w:val="none"/>
        </w:rPr>
      </w:pPr>
    </w:p>
    <w:p w14:paraId="31D1686A">
      <w:pPr>
        <w:snapToGrid w:val="0"/>
        <w:spacing w:before="156" w:beforeLines="50" w:after="50"/>
        <w:ind w:left="142"/>
        <w:jc w:val="left"/>
        <w:rPr>
          <w:rFonts w:ascii="宋体" w:hAnsi="宋体"/>
          <w:b/>
          <w:color w:val="auto"/>
          <w:sz w:val="24"/>
          <w:highlight w:val="none"/>
        </w:rPr>
      </w:pPr>
    </w:p>
    <w:p w14:paraId="499F6F4B">
      <w:pPr>
        <w:snapToGrid w:val="0"/>
        <w:spacing w:before="156" w:beforeLines="50" w:after="50"/>
        <w:ind w:left="142"/>
        <w:jc w:val="left"/>
        <w:rPr>
          <w:rFonts w:ascii="宋体" w:hAnsi="宋体"/>
          <w:b/>
          <w:color w:val="auto"/>
          <w:sz w:val="24"/>
          <w:highlight w:val="none"/>
        </w:rPr>
      </w:pPr>
    </w:p>
    <w:p w14:paraId="047D6059">
      <w:pPr>
        <w:snapToGrid w:val="0"/>
        <w:spacing w:before="156" w:beforeLines="50" w:after="50"/>
        <w:ind w:left="142"/>
        <w:jc w:val="left"/>
        <w:rPr>
          <w:rFonts w:ascii="宋体" w:hAnsi="宋体"/>
          <w:b/>
          <w:color w:val="auto"/>
          <w:sz w:val="24"/>
          <w:highlight w:val="none"/>
        </w:rPr>
      </w:pPr>
    </w:p>
    <w:p w14:paraId="58E5F07A">
      <w:pPr>
        <w:rPr>
          <w:rFonts w:ascii="宋体" w:hAnsi="宋体"/>
          <w:b/>
          <w:color w:val="auto"/>
          <w:sz w:val="24"/>
          <w:highlight w:val="none"/>
        </w:rPr>
      </w:pPr>
      <w:r>
        <w:rPr>
          <w:rFonts w:hint="eastAsia" w:ascii="宋体" w:hAnsi="宋体"/>
          <w:b/>
          <w:color w:val="auto"/>
          <w:sz w:val="24"/>
          <w:highlight w:val="none"/>
        </w:rPr>
        <w:br w:type="page"/>
      </w:r>
    </w:p>
    <w:p w14:paraId="0847505D">
      <w:pPr>
        <w:snapToGrid w:val="0"/>
        <w:spacing w:before="156" w:beforeLines="50" w:after="50"/>
        <w:ind w:left="142"/>
        <w:jc w:val="left"/>
        <w:rPr>
          <w:rFonts w:ascii="宋体" w:hAnsi="宋体"/>
          <w:b/>
          <w:color w:val="auto"/>
          <w:sz w:val="24"/>
          <w:szCs w:val="20"/>
          <w:highlight w:val="none"/>
        </w:rPr>
      </w:pPr>
      <w:r>
        <w:rPr>
          <w:rFonts w:hint="eastAsia" w:ascii="宋体" w:hAnsi="宋体"/>
          <w:b/>
          <w:color w:val="auto"/>
          <w:sz w:val="24"/>
          <w:highlight w:val="none"/>
        </w:rPr>
        <w:t>5.竞标声明</w:t>
      </w:r>
    </w:p>
    <w:p w14:paraId="32E2C3AC">
      <w:pPr>
        <w:spacing w:line="320" w:lineRule="exact"/>
        <w:jc w:val="center"/>
        <w:rPr>
          <w:rFonts w:ascii="宋体" w:hAnsi="宋体"/>
          <w:color w:val="auto"/>
          <w:sz w:val="28"/>
          <w:szCs w:val="28"/>
          <w:highlight w:val="none"/>
        </w:rPr>
      </w:pPr>
    </w:p>
    <w:p w14:paraId="407966B1">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竞标声明</w:t>
      </w:r>
    </w:p>
    <w:p w14:paraId="0C65598A">
      <w:pPr>
        <w:spacing w:line="320" w:lineRule="exact"/>
        <w:jc w:val="center"/>
        <w:rPr>
          <w:rFonts w:ascii="宋体" w:hAnsi="宋体"/>
          <w:color w:val="auto"/>
          <w:sz w:val="24"/>
          <w:szCs w:val="20"/>
          <w:highlight w:val="none"/>
        </w:rPr>
      </w:pPr>
    </w:p>
    <w:p w14:paraId="2728B05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F00DB3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E65A8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62C5B9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EC37D1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CA19F4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5F68908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97C8E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A7CB56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D4770C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28BF608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0E6349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A7D5FA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6CA48E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95AABB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67A6C5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19C00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58C485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654B94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5424C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614575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567651F">
      <w:pPr>
        <w:pStyle w:val="16"/>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5A9F18CC">
      <w:pPr>
        <w:pStyle w:val="16"/>
        <w:spacing w:line="360" w:lineRule="auto"/>
        <w:ind w:firstLine="480" w:firstLineChars="200"/>
        <w:contextualSpacing/>
        <w:rPr>
          <w:rFonts w:hAnsi="宋体" w:cs="宋体"/>
          <w:color w:val="auto"/>
          <w:sz w:val="24"/>
          <w:highlight w:val="none"/>
          <w:u w:val="single"/>
        </w:rPr>
      </w:pPr>
      <w:r>
        <w:rPr>
          <w:rFonts w:hint="eastAsia" w:hAnsi="宋体" w:cs="宋体"/>
          <w:color w:val="auto"/>
          <w:sz w:val="24"/>
          <w:szCs w:val="24"/>
          <w:highlight w:val="none"/>
        </w:rPr>
        <w:t>电话/传真：</w:t>
      </w:r>
      <w:r>
        <w:rPr>
          <w:rFonts w:hint="eastAsia" w:hAnsi="宋体" w:cs="宋体"/>
          <w:color w:val="auto"/>
          <w:sz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highlight w:val="none"/>
          <w:u w:val="single"/>
        </w:rPr>
        <w:t xml:space="preserve">                </w:t>
      </w:r>
    </w:p>
    <w:p w14:paraId="24872F57">
      <w:pPr>
        <w:pStyle w:val="16"/>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开户银行：</w:t>
      </w:r>
      <w:r>
        <w:rPr>
          <w:rFonts w:hint="eastAsia" w:hAnsi="宋体" w:cs="宋体"/>
          <w:color w:val="auto"/>
          <w:sz w:val="24"/>
          <w:highlight w:val="none"/>
          <w:u w:val="single"/>
        </w:rPr>
        <w:t xml:space="preserve">                </w:t>
      </w:r>
      <w:r>
        <w:rPr>
          <w:rFonts w:hint="eastAsia" w:hAnsi="宋体" w:cs="宋体"/>
          <w:color w:val="auto"/>
          <w:sz w:val="24"/>
          <w:highlight w:val="none"/>
        </w:rPr>
        <w:t xml:space="preserve">  账号：</w:t>
      </w:r>
      <w:r>
        <w:rPr>
          <w:rFonts w:hint="eastAsia" w:hAnsi="宋体" w:cs="宋体"/>
          <w:color w:val="auto"/>
          <w:sz w:val="24"/>
          <w:highlight w:val="none"/>
          <w:u w:val="single"/>
        </w:rPr>
        <w:t xml:space="preserve">                </w:t>
      </w:r>
    </w:p>
    <w:p w14:paraId="712FDF4A">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4960D0C">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B7F663F">
      <w:pPr>
        <w:spacing w:line="360" w:lineRule="auto"/>
        <w:contextualSpacing/>
        <w:jc w:val="left"/>
        <w:rPr>
          <w:rFonts w:ascii="宋体" w:hAnsi="宋体" w:cs="宋体"/>
          <w:color w:val="auto"/>
          <w:szCs w:val="21"/>
          <w:highlight w:val="none"/>
        </w:rPr>
      </w:pPr>
    </w:p>
    <w:p w14:paraId="01822D0C">
      <w:pPr>
        <w:spacing w:line="360" w:lineRule="auto"/>
        <w:ind w:firstLine="1575" w:firstLineChars="750"/>
        <w:contextualSpacing/>
        <w:rPr>
          <w:color w:val="auto"/>
          <w:highlight w:val="none"/>
        </w:rPr>
      </w:pPr>
      <w:r>
        <w:rPr>
          <w:rFonts w:hint="eastAsia"/>
          <w:color w:val="auto"/>
          <w:highlight w:val="none"/>
        </w:rPr>
        <w:t>法定代表人或者委托代理人（签字或者电子签名）：</w:t>
      </w:r>
    </w:p>
    <w:p w14:paraId="7A06D4A3">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供应商名称（电子签章）：</w:t>
      </w:r>
    </w:p>
    <w:p w14:paraId="731862A8">
      <w:pPr>
        <w:pStyle w:val="15"/>
        <w:tabs>
          <w:tab w:val="left" w:pos="939"/>
        </w:tabs>
        <w:spacing w:line="360" w:lineRule="auto"/>
        <w:ind w:left="0" w:leftChars="0" w:firstLine="420" w:firstLineChars="200"/>
        <w:jc w:val="right"/>
        <w:rPr>
          <w:color w:val="auto"/>
          <w:sz w:val="24"/>
          <w:highlight w:val="none"/>
        </w:rPr>
      </w:pPr>
      <w:r>
        <w:rPr>
          <w:rFonts w:hint="eastAsia"/>
          <w:color w:val="auto"/>
          <w:highlight w:val="none"/>
        </w:rPr>
        <w:t xml:space="preserve"> 年    月    日</w:t>
      </w:r>
    </w:p>
    <w:p w14:paraId="098DAC90">
      <w:pPr>
        <w:spacing w:line="360" w:lineRule="auto"/>
        <w:ind w:right="480" w:firstLine="240" w:firstLineChars="100"/>
        <w:contextualSpacing/>
        <w:jc w:val="center"/>
        <w:rPr>
          <w:rFonts w:ascii="宋体" w:hAnsi="宋体"/>
          <w:b/>
          <w:color w:val="auto"/>
          <w:sz w:val="32"/>
          <w:szCs w:val="32"/>
          <w:highlight w:val="none"/>
        </w:rPr>
      </w:pPr>
      <w:r>
        <w:rPr>
          <w:rFonts w:hint="eastAsia"/>
          <w:color w:val="auto"/>
          <w:sz w:val="24"/>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1B21C896">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7A18E5C6">
      <w:pPr>
        <w:snapToGrid w:val="0"/>
        <w:spacing w:before="156" w:beforeLines="50" w:after="50"/>
        <w:rPr>
          <w:rFonts w:ascii="宋体" w:hAnsi="宋体"/>
          <w:bCs/>
          <w:color w:val="auto"/>
          <w:sz w:val="32"/>
          <w:szCs w:val="20"/>
          <w:highlight w:val="none"/>
        </w:rPr>
      </w:pPr>
    </w:p>
    <w:p w14:paraId="2833E17B">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695DEB98">
      <w:pPr>
        <w:snapToGrid w:val="0"/>
        <w:spacing w:before="156" w:beforeLines="50" w:after="50"/>
        <w:rPr>
          <w:rFonts w:ascii="宋体" w:hAnsi="宋体"/>
          <w:color w:val="auto"/>
          <w:sz w:val="24"/>
          <w:szCs w:val="20"/>
          <w:highlight w:val="none"/>
        </w:rPr>
      </w:pPr>
    </w:p>
    <w:p w14:paraId="53242419">
      <w:pPr>
        <w:snapToGrid w:val="0"/>
        <w:spacing w:before="156" w:beforeLines="50" w:after="50"/>
        <w:rPr>
          <w:rFonts w:ascii="宋体" w:hAnsi="宋体"/>
          <w:color w:val="auto"/>
          <w:sz w:val="24"/>
          <w:szCs w:val="20"/>
          <w:highlight w:val="none"/>
        </w:rPr>
      </w:pPr>
    </w:p>
    <w:p w14:paraId="2C89B2EB">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39A1A110">
      <w:pPr>
        <w:snapToGrid w:val="0"/>
        <w:spacing w:before="156" w:beforeLines="50" w:after="50"/>
        <w:rPr>
          <w:rFonts w:ascii="宋体" w:hAnsi="宋体"/>
          <w:bCs/>
          <w:color w:val="auto"/>
          <w:sz w:val="24"/>
          <w:szCs w:val="20"/>
          <w:highlight w:val="none"/>
        </w:rPr>
      </w:pPr>
    </w:p>
    <w:p w14:paraId="08ACA56D">
      <w:pPr>
        <w:snapToGrid w:val="0"/>
        <w:spacing w:before="156" w:beforeLines="50" w:after="50"/>
        <w:rPr>
          <w:rFonts w:ascii="宋体" w:hAnsi="宋体"/>
          <w:bCs/>
          <w:color w:val="auto"/>
          <w:sz w:val="24"/>
          <w:szCs w:val="20"/>
          <w:highlight w:val="none"/>
        </w:rPr>
      </w:pPr>
    </w:p>
    <w:p w14:paraId="62530C6E">
      <w:pPr>
        <w:snapToGrid w:val="0"/>
        <w:spacing w:before="156" w:beforeLines="50" w:after="50"/>
        <w:rPr>
          <w:rFonts w:ascii="宋体" w:hAnsi="宋体"/>
          <w:bCs/>
          <w:color w:val="auto"/>
          <w:sz w:val="24"/>
          <w:szCs w:val="20"/>
          <w:highlight w:val="none"/>
        </w:rPr>
      </w:pPr>
    </w:p>
    <w:p w14:paraId="2710BCE4">
      <w:pPr>
        <w:snapToGrid w:val="0"/>
        <w:spacing w:before="156" w:beforeLines="50" w:after="50"/>
        <w:rPr>
          <w:rFonts w:ascii="宋体" w:hAnsi="宋体"/>
          <w:bCs/>
          <w:color w:val="auto"/>
          <w:sz w:val="24"/>
          <w:szCs w:val="20"/>
          <w:highlight w:val="none"/>
        </w:rPr>
      </w:pPr>
    </w:p>
    <w:p w14:paraId="482B4401">
      <w:pPr>
        <w:snapToGrid w:val="0"/>
        <w:spacing w:before="156" w:beforeLines="50" w:after="50"/>
        <w:rPr>
          <w:rFonts w:ascii="宋体" w:hAnsi="宋体"/>
          <w:bCs/>
          <w:color w:val="auto"/>
          <w:sz w:val="24"/>
          <w:szCs w:val="20"/>
          <w:highlight w:val="none"/>
        </w:rPr>
      </w:pPr>
    </w:p>
    <w:p w14:paraId="3EDCB7A6">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47E3A9D">
      <w:pPr>
        <w:snapToGrid w:val="0"/>
        <w:spacing w:before="156" w:beforeLines="50" w:after="50"/>
        <w:ind w:firstLine="720" w:firstLineChars="225"/>
        <w:rPr>
          <w:rFonts w:ascii="宋体" w:hAnsi="宋体" w:cs="仿宋_GB2312"/>
          <w:bCs/>
          <w:color w:val="auto"/>
          <w:sz w:val="32"/>
          <w:szCs w:val="32"/>
          <w:highlight w:val="none"/>
        </w:rPr>
      </w:pPr>
    </w:p>
    <w:p w14:paraId="699B74AC">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BD7C9F2">
      <w:pPr>
        <w:snapToGrid w:val="0"/>
        <w:spacing w:before="156" w:beforeLines="50" w:after="50"/>
        <w:ind w:firstLine="720" w:firstLineChars="225"/>
        <w:rPr>
          <w:rFonts w:ascii="宋体" w:hAnsi="宋体" w:cs="仿宋_GB2312"/>
          <w:bCs/>
          <w:color w:val="auto"/>
          <w:sz w:val="32"/>
          <w:szCs w:val="32"/>
          <w:highlight w:val="none"/>
        </w:rPr>
      </w:pPr>
    </w:p>
    <w:p w14:paraId="706B0C1F">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5BCFED7">
      <w:pPr>
        <w:snapToGrid w:val="0"/>
        <w:spacing w:before="156" w:beforeLines="50" w:after="50"/>
        <w:ind w:firstLine="720" w:firstLineChars="225"/>
        <w:rPr>
          <w:rFonts w:ascii="宋体" w:hAnsi="宋体" w:cs="仿宋_GB2312"/>
          <w:bCs/>
          <w:color w:val="auto"/>
          <w:sz w:val="32"/>
          <w:szCs w:val="32"/>
          <w:highlight w:val="none"/>
        </w:rPr>
      </w:pPr>
    </w:p>
    <w:p w14:paraId="4E89686E">
      <w:pPr>
        <w:pStyle w:val="6"/>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8781423">
      <w:pPr>
        <w:pStyle w:val="6"/>
        <w:snapToGrid w:val="0"/>
        <w:spacing w:before="50" w:after="50"/>
        <w:ind w:firstLine="640" w:firstLineChars="200"/>
        <w:rPr>
          <w:rFonts w:ascii="宋体" w:hAnsi="宋体" w:cs="仿宋_GB2312"/>
          <w:bCs/>
          <w:color w:val="auto"/>
          <w:sz w:val="32"/>
          <w:szCs w:val="32"/>
          <w:highlight w:val="none"/>
        </w:rPr>
      </w:pPr>
    </w:p>
    <w:p w14:paraId="01A943D5">
      <w:pPr>
        <w:pStyle w:val="6"/>
        <w:snapToGrid w:val="0"/>
        <w:spacing w:before="50" w:after="50"/>
        <w:ind w:firstLine="720" w:firstLineChars="225"/>
        <w:rPr>
          <w:rFonts w:ascii="宋体" w:hAnsi="宋体" w:cs="仿宋_GB2312"/>
          <w:bCs/>
          <w:color w:val="auto"/>
          <w:sz w:val="32"/>
          <w:szCs w:val="32"/>
          <w:highlight w:val="none"/>
        </w:rPr>
      </w:pPr>
    </w:p>
    <w:p w14:paraId="559BEFEF">
      <w:pPr>
        <w:pStyle w:val="6"/>
        <w:snapToGrid w:val="0"/>
        <w:spacing w:before="50" w:after="50"/>
        <w:ind w:firstLine="0"/>
        <w:rPr>
          <w:rFonts w:ascii="宋体" w:hAnsi="宋体" w:cs="仿宋_GB2312"/>
          <w:bCs/>
          <w:color w:val="auto"/>
          <w:sz w:val="32"/>
          <w:szCs w:val="32"/>
          <w:highlight w:val="none"/>
        </w:rPr>
      </w:pPr>
    </w:p>
    <w:p w14:paraId="5A508E72">
      <w:pPr>
        <w:pStyle w:val="6"/>
        <w:snapToGrid w:val="0"/>
        <w:spacing w:before="50" w:after="50"/>
        <w:ind w:firstLine="1280" w:firstLineChars="400"/>
        <w:rPr>
          <w:rFonts w:ascii="宋体" w:hAnsi="宋体" w:cs="仿宋_GB2312"/>
          <w:bCs/>
          <w:color w:val="auto"/>
          <w:sz w:val="32"/>
          <w:szCs w:val="32"/>
          <w:highlight w:val="none"/>
        </w:rPr>
      </w:pPr>
    </w:p>
    <w:p w14:paraId="5F75A2EC">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EF82D13">
      <w:pPr>
        <w:snapToGrid w:val="0"/>
        <w:spacing w:before="156"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51E5F69C">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7E32AE29">
      <w:pPr>
        <w:spacing w:line="440" w:lineRule="exact"/>
        <w:jc w:val="center"/>
        <w:rPr>
          <w:rFonts w:ascii="方正小标宋简体" w:hAnsi="方正小标宋简体" w:eastAsia="方正小标宋简体" w:cs="方正小标宋简体"/>
          <w:bCs/>
          <w:color w:val="auto"/>
          <w:sz w:val="32"/>
          <w:szCs w:val="32"/>
          <w:highlight w:val="none"/>
        </w:rPr>
      </w:pPr>
    </w:p>
    <w:p w14:paraId="795065E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C618D35">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6572F8B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6BBF20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                                               </w:t>
      </w:r>
    </w:p>
    <w:tbl>
      <w:tblPr>
        <w:tblStyle w:val="2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446"/>
        <w:gridCol w:w="1095"/>
        <w:gridCol w:w="945"/>
        <w:gridCol w:w="2160"/>
        <w:gridCol w:w="862"/>
      </w:tblGrid>
      <w:tr w14:paraId="2404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3419C5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446" w:type="dxa"/>
            <w:tcBorders>
              <w:top w:val="single" w:color="auto" w:sz="4" w:space="0"/>
              <w:left w:val="single" w:color="auto" w:sz="4" w:space="0"/>
              <w:bottom w:val="single" w:color="auto" w:sz="4" w:space="0"/>
              <w:right w:val="single" w:color="auto" w:sz="4" w:space="0"/>
            </w:tcBorders>
            <w:noWrap/>
            <w:vAlign w:val="center"/>
          </w:tcPr>
          <w:p w14:paraId="37177140">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1095" w:type="dxa"/>
            <w:tcBorders>
              <w:top w:val="single" w:color="auto" w:sz="4" w:space="0"/>
              <w:left w:val="single" w:color="auto" w:sz="4" w:space="0"/>
              <w:bottom w:val="single" w:color="auto" w:sz="4" w:space="0"/>
              <w:right w:val="single" w:color="auto" w:sz="4" w:space="0"/>
            </w:tcBorders>
            <w:noWrap/>
            <w:vAlign w:val="center"/>
          </w:tcPr>
          <w:p w14:paraId="19606E3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945" w:type="dxa"/>
            <w:tcBorders>
              <w:top w:val="single" w:color="auto" w:sz="4" w:space="0"/>
              <w:left w:val="single" w:color="auto" w:sz="4" w:space="0"/>
              <w:bottom w:val="single" w:color="auto" w:sz="4" w:space="0"/>
              <w:right w:val="single" w:color="auto" w:sz="4" w:space="0"/>
            </w:tcBorders>
            <w:noWrap/>
            <w:vAlign w:val="center"/>
          </w:tcPr>
          <w:p w14:paraId="2370A57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160" w:type="dxa"/>
            <w:tcBorders>
              <w:top w:val="single" w:color="auto" w:sz="4" w:space="0"/>
              <w:left w:val="single" w:color="auto" w:sz="4" w:space="0"/>
              <w:bottom w:val="single" w:color="auto" w:sz="4" w:space="0"/>
              <w:right w:val="single" w:color="auto" w:sz="4" w:space="0"/>
            </w:tcBorders>
            <w:noWrap/>
            <w:vAlign w:val="center"/>
          </w:tcPr>
          <w:p w14:paraId="3387D71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862" w:type="dxa"/>
            <w:tcBorders>
              <w:top w:val="single" w:color="auto" w:sz="4" w:space="0"/>
              <w:left w:val="single" w:color="auto" w:sz="4" w:space="0"/>
              <w:bottom w:val="single" w:color="auto" w:sz="4" w:space="0"/>
              <w:right w:val="single" w:color="auto" w:sz="4" w:space="0"/>
            </w:tcBorders>
            <w:noWrap/>
            <w:vAlign w:val="center"/>
          </w:tcPr>
          <w:p w14:paraId="7D543F0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38CA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E3C2C3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446" w:type="dxa"/>
            <w:tcBorders>
              <w:top w:val="single" w:color="auto" w:sz="4" w:space="0"/>
              <w:left w:val="single" w:color="auto" w:sz="4" w:space="0"/>
              <w:bottom w:val="single" w:color="auto" w:sz="4" w:space="0"/>
              <w:right w:val="single" w:color="auto" w:sz="4" w:space="0"/>
            </w:tcBorders>
            <w:noWrap/>
            <w:vAlign w:val="center"/>
          </w:tcPr>
          <w:p w14:paraId="7578C79D">
            <w:pPr>
              <w:snapToGrid w:val="0"/>
              <w:spacing w:line="360" w:lineRule="auto"/>
              <w:jc w:val="center"/>
              <w:rPr>
                <w:rFonts w:ascii="宋体" w:hAnsi="宋体" w:cs="仿宋_GB2312"/>
                <w:color w:val="auto"/>
                <w:sz w:val="24"/>
                <w:highlight w:val="none"/>
              </w:rPr>
            </w:pPr>
            <w:r>
              <w:rPr>
                <w:rFonts w:hint="eastAsia" w:ascii="宋体" w:hAnsi="宋体" w:cs="宋体"/>
                <w:color w:val="auto"/>
                <w:szCs w:val="21"/>
                <w:highlight w:val="none"/>
              </w:rPr>
              <w:t>照明系统节能改造技术服务</w:t>
            </w:r>
          </w:p>
        </w:tc>
        <w:tc>
          <w:tcPr>
            <w:tcW w:w="1095" w:type="dxa"/>
            <w:tcBorders>
              <w:top w:val="single" w:color="auto" w:sz="4" w:space="0"/>
              <w:left w:val="single" w:color="auto" w:sz="4" w:space="0"/>
              <w:bottom w:val="single" w:color="auto" w:sz="4" w:space="0"/>
              <w:right w:val="single" w:color="auto" w:sz="4" w:space="0"/>
            </w:tcBorders>
            <w:noWrap/>
            <w:vAlign w:val="center"/>
          </w:tcPr>
          <w:p w14:paraId="358ED47C">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945" w:type="dxa"/>
            <w:tcBorders>
              <w:top w:val="single" w:color="auto" w:sz="4" w:space="0"/>
              <w:left w:val="single" w:color="auto" w:sz="4" w:space="0"/>
              <w:bottom w:val="single" w:color="auto" w:sz="4" w:space="0"/>
              <w:right w:val="single" w:color="auto" w:sz="4" w:space="0"/>
            </w:tcBorders>
            <w:noWrap/>
            <w:vAlign w:val="center"/>
          </w:tcPr>
          <w:p w14:paraId="437A7C0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w:t>
            </w:r>
          </w:p>
        </w:tc>
        <w:tc>
          <w:tcPr>
            <w:tcW w:w="2160" w:type="dxa"/>
            <w:tcBorders>
              <w:top w:val="single" w:color="auto" w:sz="4" w:space="0"/>
              <w:left w:val="single" w:color="auto" w:sz="4" w:space="0"/>
              <w:bottom w:val="single" w:color="auto" w:sz="4" w:space="0"/>
              <w:right w:val="single" w:color="auto" w:sz="4" w:space="0"/>
            </w:tcBorders>
            <w:noWrap/>
            <w:vAlign w:val="center"/>
          </w:tcPr>
          <w:p w14:paraId="4CF4F05C">
            <w:pPr>
              <w:spacing w:line="360" w:lineRule="auto"/>
              <w:contextualSpacing/>
              <w:jc w:val="center"/>
              <w:rPr>
                <w:rFonts w:ascii="宋体" w:hAnsi="宋体" w:cs="仿宋_GB2312"/>
                <w:color w:val="auto"/>
                <w:sz w:val="24"/>
                <w:highlight w:val="none"/>
              </w:rPr>
            </w:pPr>
          </w:p>
        </w:tc>
        <w:tc>
          <w:tcPr>
            <w:tcW w:w="862" w:type="dxa"/>
            <w:tcBorders>
              <w:top w:val="single" w:color="auto" w:sz="4" w:space="0"/>
              <w:left w:val="single" w:color="auto" w:sz="4" w:space="0"/>
              <w:bottom w:val="single" w:color="auto" w:sz="4" w:space="0"/>
              <w:right w:val="single" w:color="auto" w:sz="4" w:space="0"/>
            </w:tcBorders>
            <w:noWrap/>
            <w:vAlign w:val="center"/>
          </w:tcPr>
          <w:p w14:paraId="6BB5CEC3">
            <w:pPr>
              <w:spacing w:line="360" w:lineRule="auto"/>
              <w:contextualSpacing/>
              <w:jc w:val="center"/>
              <w:rPr>
                <w:rFonts w:ascii="宋体" w:hAnsi="宋体" w:cs="仿宋_GB2312"/>
                <w:color w:val="auto"/>
                <w:sz w:val="24"/>
                <w:highlight w:val="none"/>
              </w:rPr>
            </w:pPr>
          </w:p>
        </w:tc>
      </w:tr>
      <w:tr w14:paraId="68A0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3A0C123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3446" w:type="dxa"/>
            <w:tcBorders>
              <w:top w:val="single" w:color="auto" w:sz="4" w:space="0"/>
              <w:left w:val="single" w:color="auto" w:sz="4" w:space="0"/>
              <w:bottom w:val="single" w:color="auto" w:sz="4" w:space="0"/>
              <w:right w:val="single" w:color="auto" w:sz="4" w:space="0"/>
            </w:tcBorders>
            <w:noWrap/>
            <w:vAlign w:val="center"/>
          </w:tcPr>
          <w:p w14:paraId="7C22A77B">
            <w:pPr>
              <w:snapToGrid w:val="0"/>
              <w:spacing w:line="360" w:lineRule="auto"/>
              <w:jc w:val="center"/>
              <w:rPr>
                <w:rFonts w:ascii="宋体" w:hAnsi="宋体" w:cs="仿宋_GB2312"/>
                <w:color w:val="auto"/>
                <w:sz w:val="24"/>
                <w:highlight w:val="none"/>
              </w:rPr>
            </w:pPr>
            <w:r>
              <w:rPr>
                <w:rFonts w:hint="eastAsia" w:ascii="宋体" w:hAnsi="宋体" w:cs="宋体"/>
                <w:color w:val="auto"/>
                <w:szCs w:val="21"/>
                <w:highlight w:val="none"/>
              </w:rPr>
              <w:t>空调系统能效优化技术服务</w:t>
            </w:r>
          </w:p>
        </w:tc>
        <w:tc>
          <w:tcPr>
            <w:tcW w:w="1095" w:type="dxa"/>
            <w:tcBorders>
              <w:top w:val="single" w:color="auto" w:sz="4" w:space="0"/>
              <w:left w:val="single" w:color="auto" w:sz="4" w:space="0"/>
              <w:bottom w:val="single" w:color="auto" w:sz="4" w:space="0"/>
              <w:right w:val="single" w:color="auto" w:sz="4" w:space="0"/>
            </w:tcBorders>
            <w:noWrap/>
            <w:vAlign w:val="center"/>
          </w:tcPr>
          <w:p w14:paraId="5880170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945" w:type="dxa"/>
            <w:tcBorders>
              <w:top w:val="single" w:color="auto" w:sz="4" w:space="0"/>
              <w:left w:val="single" w:color="auto" w:sz="4" w:space="0"/>
              <w:bottom w:val="single" w:color="auto" w:sz="4" w:space="0"/>
              <w:right w:val="single" w:color="auto" w:sz="4" w:space="0"/>
            </w:tcBorders>
            <w:noWrap/>
            <w:vAlign w:val="center"/>
          </w:tcPr>
          <w:p w14:paraId="4500B02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w:t>
            </w:r>
          </w:p>
        </w:tc>
        <w:tc>
          <w:tcPr>
            <w:tcW w:w="2160" w:type="dxa"/>
            <w:tcBorders>
              <w:top w:val="single" w:color="auto" w:sz="4" w:space="0"/>
              <w:left w:val="single" w:color="auto" w:sz="4" w:space="0"/>
              <w:bottom w:val="single" w:color="auto" w:sz="4" w:space="0"/>
              <w:right w:val="single" w:color="auto" w:sz="4" w:space="0"/>
            </w:tcBorders>
            <w:noWrap/>
            <w:vAlign w:val="center"/>
          </w:tcPr>
          <w:p w14:paraId="46719F21">
            <w:pPr>
              <w:spacing w:line="360" w:lineRule="auto"/>
              <w:contextualSpacing/>
              <w:jc w:val="center"/>
              <w:rPr>
                <w:rFonts w:ascii="宋体" w:hAnsi="宋体" w:cs="仿宋_GB2312"/>
                <w:color w:val="auto"/>
                <w:sz w:val="24"/>
                <w:highlight w:val="none"/>
              </w:rPr>
            </w:pPr>
          </w:p>
        </w:tc>
        <w:tc>
          <w:tcPr>
            <w:tcW w:w="862" w:type="dxa"/>
            <w:tcBorders>
              <w:top w:val="single" w:color="auto" w:sz="4" w:space="0"/>
              <w:left w:val="single" w:color="auto" w:sz="4" w:space="0"/>
              <w:bottom w:val="single" w:color="auto" w:sz="4" w:space="0"/>
              <w:right w:val="single" w:color="auto" w:sz="4" w:space="0"/>
            </w:tcBorders>
            <w:noWrap/>
            <w:vAlign w:val="center"/>
          </w:tcPr>
          <w:p w14:paraId="0FF29739">
            <w:pPr>
              <w:spacing w:line="360" w:lineRule="auto"/>
              <w:contextualSpacing/>
              <w:jc w:val="center"/>
              <w:rPr>
                <w:rFonts w:ascii="宋体" w:hAnsi="宋体" w:cs="仿宋_GB2312"/>
                <w:color w:val="auto"/>
                <w:sz w:val="24"/>
                <w:highlight w:val="none"/>
              </w:rPr>
            </w:pPr>
          </w:p>
        </w:tc>
      </w:tr>
      <w:tr w14:paraId="1A72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61B3891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3</w:t>
            </w:r>
          </w:p>
        </w:tc>
        <w:tc>
          <w:tcPr>
            <w:tcW w:w="3446" w:type="dxa"/>
            <w:tcBorders>
              <w:top w:val="single" w:color="auto" w:sz="4" w:space="0"/>
              <w:left w:val="single" w:color="auto" w:sz="4" w:space="0"/>
              <w:bottom w:val="single" w:color="auto" w:sz="4" w:space="0"/>
              <w:right w:val="single" w:color="auto" w:sz="4" w:space="0"/>
            </w:tcBorders>
            <w:noWrap/>
            <w:vAlign w:val="center"/>
          </w:tcPr>
          <w:p w14:paraId="3F9EBC73">
            <w:pPr>
              <w:snapToGrid w:val="0"/>
              <w:spacing w:line="360" w:lineRule="auto"/>
              <w:jc w:val="center"/>
              <w:rPr>
                <w:rFonts w:ascii="宋体" w:hAnsi="宋体" w:cs="仿宋_GB2312"/>
                <w:color w:val="auto"/>
                <w:sz w:val="24"/>
                <w:highlight w:val="none"/>
              </w:rPr>
            </w:pPr>
            <w:r>
              <w:rPr>
                <w:rFonts w:hint="eastAsia" w:ascii="宋体" w:hAnsi="宋体" w:cs="宋体"/>
                <w:color w:val="auto"/>
                <w:szCs w:val="21"/>
                <w:highlight w:val="none"/>
              </w:rPr>
              <w:t>建筑围护结构节能改造技术服务</w:t>
            </w:r>
          </w:p>
        </w:tc>
        <w:tc>
          <w:tcPr>
            <w:tcW w:w="1095" w:type="dxa"/>
            <w:tcBorders>
              <w:top w:val="single" w:color="auto" w:sz="4" w:space="0"/>
              <w:left w:val="single" w:color="auto" w:sz="4" w:space="0"/>
              <w:bottom w:val="single" w:color="auto" w:sz="4" w:space="0"/>
              <w:right w:val="single" w:color="auto" w:sz="4" w:space="0"/>
            </w:tcBorders>
            <w:noWrap/>
            <w:vAlign w:val="center"/>
          </w:tcPr>
          <w:p w14:paraId="47B06F1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945" w:type="dxa"/>
            <w:tcBorders>
              <w:top w:val="single" w:color="auto" w:sz="4" w:space="0"/>
              <w:left w:val="single" w:color="auto" w:sz="4" w:space="0"/>
              <w:bottom w:val="single" w:color="auto" w:sz="4" w:space="0"/>
              <w:right w:val="single" w:color="auto" w:sz="4" w:space="0"/>
            </w:tcBorders>
            <w:noWrap/>
            <w:vAlign w:val="center"/>
          </w:tcPr>
          <w:p w14:paraId="56A324C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w:t>
            </w:r>
          </w:p>
        </w:tc>
        <w:tc>
          <w:tcPr>
            <w:tcW w:w="2160" w:type="dxa"/>
            <w:tcBorders>
              <w:top w:val="single" w:color="auto" w:sz="4" w:space="0"/>
              <w:left w:val="single" w:color="auto" w:sz="4" w:space="0"/>
              <w:bottom w:val="single" w:color="auto" w:sz="4" w:space="0"/>
              <w:right w:val="single" w:color="auto" w:sz="4" w:space="0"/>
            </w:tcBorders>
            <w:noWrap/>
            <w:vAlign w:val="center"/>
          </w:tcPr>
          <w:p w14:paraId="4BC74C3F">
            <w:pPr>
              <w:spacing w:line="360" w:lineRule="auto"/>
              <w:contextualSpacing/>
              <w:jc w:val="center"/>
              <w:rPr>
                <w:rFonts w:ascii="宋体" w:hAnsi="宋体" w:cs="仿宋_GB2312"/>
                <w:color w:val="auto"/>
                <w:sz w:val="24"/>
                <w:highlight w:val="none"/>
              </w:rPr>
            </w:pPr>
          </w:p>
        </w:tc>
        <w:tc>
          <w:tcPr>
            <w:tcW w:w="862" w:type="dxa"/>
            <w:tcBorders>
              <w:top w:val="single" w:color="auto" w:sz="4" w:space="0"/>
              <w:left w:val="single" w:color="auto" w:sz="4" w:space="0"/>
              <w:bottom w:val="single" w:color="auto" w:sz="4" w:space="0"/>
              <w:right w:val="single" w:color="auto" w:sz="4" w:space="0"/>
            </w:tcBorders>
            <w:noWrap/>
            <w:vAlign w:val="center"/>
          </w:tcPr>
          <w:p w14:paraId="37C4F82F">
            <w:pPr>
              <w:spacing w:line="360" w:lineRule="auto"/>
              <w:contextualSpacing/>
              <w:jc w:val="center"/>
              <w:rPr>
                <w:rFonts w:ascii="宋体" w:hAnsi="宋体" w:cs="仿宋_GB2312"/>
                <w:color w:val="auto"/>
                <w:sz w:val="24"/>
                <w:highlight w:val="none"/>
              </w:rPr>
            </w:pPr>
          </w:p>
        </w:tc>
      </w:tr>
      <w:tr w14:paraId="250A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right"/>
        </w:trPr>
        <w:tc>
          <w:tcPr>
            <w:tcW w:w="9095" w:type="dxa"/>
            <w:gridSpan w:val="6"/>
            <w:tcBorders>
              <w:top w:val="single" w:color="auto" w:sz="4" w:space="0"/>
              <w:left w:val="single" w:color="auto" w:sz="4" w:space="0"/>
              <w:bottom w:val="single" w:color="auto" w:sz="4" w:space="0"/>
              <w:right w:val="single" w:color="auto" w:sz="4" w:space="0"/>
            </w:tcBorders>
            <w:noWrap/>
            <w:vAlign w:val="center"/>
          </w:tcPr>
          <w:p w14:paraId="22A1677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0D8D8787">
      <w:pPr>
        <w:spacing w:line="360" w:lineRule="auto"/>
        <w:contextualSpacing/>
        <w:jc w:val="left"/>
        <w:rPr>
          <w:rFonts w:ascii="宋体" w:hAnsi="宋体" w:cs="仿宋_GB2312"/>
          <w:color w:val="auto"/>
          <w:sz w:val="24"/>
          <w:highlight w:val="none"/>
        </w:rPr>
      </w:pPr>
    </w:p>
    <w:p w14:paraId="09950C67">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36099466">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288EE3C0">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0CC3F64C">
      <w:pPr>
        <w:spacing w:line="360" w:lineRule="auto"/>
        <w:ind w:right="-817" w:rightChars="-389"/>
        <w:contextualSpacing/>
        <w:rPr>
          <w:rFonts w:ascii="宋体" w:hAnsi="宋体" w:cs="仿宋_GB2312"/>
          <w:color w:val="auto"/>
          <w:sz w:val="24"/>
          <w:highlight w:val="none"/>
        </w:rPr>
      </w:pPr>
    </w:p>
    <w:p w14:paraId="54CC8844">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5947D8E">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6CA19D28">
      <w:pP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14:paraId="0F16E8F1">
      <w:pPr>
        <w:spacing w:line="360" w:lineRule="auto"/>
        <w:ind w:right="-817" w:rightChars="-389" w:firstLine="5461" w:firstLineChars="1700"/>
        <w:contextualSpacing/>
        <w:rPr>
          <w:rFonts w:ascii="宋体" w:hAnsi="宋体" w:cs="仿宋_GB2312"/>
          <w:b/>
          <w:color w:val="auto"/>
          <w:sz w:val="24"/>
          <w:highlight w:val="none"/>
        </w:rPr>
      </w:pPr>
      <w:r>
        <w:rPr>
          <w:rFonts w:ascii="宋体" w:hAnsi="宋体"/>
          <w:b/>
          <w:bCs/>
          <w:color w:val="auto"/>
          <w:sz w:val="32"/>
          <w:szCs w:val="32"/>
          <w:highlight w:val="none"/>
        </w:rPr>
        <w:br w:type="page"/>
      </w:r>
    </w:p>
    <w:p w14:paraId="7CF31E1E">
      <w:pPr>
        <w:spacing w:line="360" w:lineRule="auto"/>
        <w:ind w:firstLine="643" w:firstLineChars="200"/>
        <w:contextualSpacing/>
        <w:jc w:val="left"/>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15D76A6C">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041A7F17">
      <w:pPr>
        <w:snapToGrid w:val="0"/>
        <w:spacing w:before="156" w:beforeLines="50" w:after="50"/>
        <w:rPr>
          <w:rFonts w:ascii="宋体" w:hAnsi="宋体"/>
          <w:bCs/>
          <w:color w:val="auto"/>
          <w:sz w:val="32"/>
          <w:szCs w:val="20"/>
          <w:highlight w:val="none"/>
        </w:rPr>
      </w:pPr>
    </w:p>
    <w:p w14:paraId="078A3E45">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5D839749">
      <w:pPr>
        <w:snapToGrid w:val="0"/>
        <w:spacing w:before="156" w:beforeLines="50" w:after="50"/>
        <w:rPr>
          <w:rFonts w:ascii="宋体" w:hAnsi="宋体"/>
          <w:color w:val="auto"/>
          <w:sz w:val="24"/>
          <w:szCs w:val="20"/>
          <w:highlight w:val="none"/>
        </w:rPr>
      </w:pPr>
    </w:p>
    <w:p w14:paraId="1C4FAA88">
      <w:pPr>
        <w:snapToGrid w:val="0"/>
        <w:spacing w:before="156" w:beforeLines="50" w:after="50"/>
        <w:rPr>
          <w:rFonts w:ascii="宋体" w:hAnsi="宋体"/>
          <w:color w:val="auto"/>
          <w:sz w:val="24"/>
          <w:szCs w:val="20"/>
          <w:highlight w:val="none"/>
        </w:rPr>
      </w:pPr>
    </w:p>
    <w:p w14:paraId="374DE32C">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210D890">
      <w:pPr>
        <w:snapToGrid w:val="0"/>
        <w:spacing w:before="156" w:beforeLines="50" w:after="50"/>
        <w:rPr>
          <w:rFonts w:ascii="宋体" w:hAnsi="宋体"/>
          <w:bCs/>
          <w:color w:val="auto"/>
          <w:sz w:val="24"/>
          <w:szCs w:val="20"/>
          <w:highlight w:val="none"/>
        </w:rPr>
      </w:pPr>
    </w:p>
    <w:p w14:paraId="1B50F464">
      <w:pPr>
        <w:snapToGrid w:val="0"/>
        <w:spacing w:before="156" w:beforeLines="50" w:after="50"/>
        <w:rPr>
          <w:rFonts w:ascii="宋体" w:hAnsi="宋体"/>
          <w:bCs/>
          <w:color w:val="auto"/>
          <w:sz w:val="24"/>
          <w:szCs w:val="20"/>
          <w:highlight w:val="none"/>
        </w:rPr>
      </w:pPr>
    </w:p>
    <w:p w14:paraId="0BBC5F45">
      <w:pPr>
        <w:snapToGrid w:val="0"/>
        <w:spacing w:before="156" w:beforeLines="50" w:after="50"/>
        <w:rPr>
          <w:rFonts w:ascii="宋体" w:hAnsi="宋体"/>
          <w:bCs/>
          <w:color w:val="auto"/>
          <w:sz w:val="24"/>
          <w:szCs w:val="20"/>
          <w:highlight w:val="none"/>
        </w:rPr>
      </w:pPr>
    </w:p>
    <w:p w14:paraId="549FA3B8">
      <w:pPr>
        <w:snapToGrid w:val="0"/>
        <w:spacing w:before="156" w:beforeLines="50" w:after="50"/>
        <w:rPr>
          <w:rFonts w:ascii="宋体" w:hAnsi="宋体"/>
          <w:bCs/>
          <w:color w:val="auto"/>
          <w:sz w:val="24"/>
          <w:szCs w:val="20"/>
          <w:highlight w:val="none"/>
        </w:rPr>
      </w:pPr>
    </w:p>
    <w:p w14:paraId="0B58B8E4">
      <w:pPr>
        <w:snapToGrid w:val="0"/>
        <w:spacing w:before="156" w:beforeLines="50" w:after="50"/>
        <w:rPr>
          <w:rFonts w:ascii="宋体" w:hAnsi="宋体"/>
          <w:bCs/>
          <w:color w:val="auto"/>
          <w:sz w:val="24"/>
          <w:szCs w:val="20"/>
          <w:highlight w:val="none"/>
        </w:rPr>
      </w:pPr>
    </w:p>
    <w:p w14:paraId="65B9BDA5">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1AD5356">
      <w:pPr>
        <w:snapToGrid w:val="0"/>
        <w:spacing w:before="156" w:beforeLines="50" w:after="50"/>
        <w:ind w:firstLine="720" w:firstLineChars="225"/>
        <w:rPr>
          <w:rFonts w:ascii="宋体" w:hAnsi="宋体" w:cs="仿宋_GB2312"/>
          <w:bCs/>
          <w:color w:val="auto"/>
          <w:sz w:val="32"/>
          <w:szCs w:val="32"/>
          <w:highlight w:val="none"/>
        </w:rPr>
      </w:pPr>
    </w:p>
    <w:p w14:paraId="1162CF6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6BB6EFF">
      <w:pPr>
        <w:snapToGrid w:val="0"/>
        <w:spacing w:before="156" w:beforeLines="50" w:after="50"/>
        <w:ind w:firstLine="720" w:firstLineChars="225"/>
        <w:rPr>
          <w:rFonts w:ascii="宋体" w:hAnsi="宋体" w:cs="仿宋_GB2312"/>
          <w:bCs/>
          <w:color w:val="auto"/>
          <w:sz w:val="32"/>
          <w:szCs w:val="32"/>
          <w:highlight w:val="none"/>
        </w:rPr>
      </w:pPr>
    </w:p>
    <w:p w14:paraId="2F9DF88A">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A54A00C">
      <w:pPr>
        <w:snapToGrid w:val="0"/>
        <w:spacing w:before="156" w:beforeLines="50" w:after="50"/>
        <w:ind w:firstLine="720" w:firstLineChars="225"/>
        <w:rPr>
          <w:rFonts w:ascii="宋体" w:hAnsi="宋体" w:cs="仿宋_GB2312"/>
          <w:bCs/>
          <w:color w:val="auto"/>
          <w:sz w:val="32"/>
          <w:szCs w:val="32"/>
          <w:highlight w:val="none"/>
        </w:rPr>
      </w:pPr>
    </w:p>
    <w:p w14:paraId="7B8CC4FF">
      <w:pPr>
        <w:pStyle w:val="6"/>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26E6644">
      <w:pPr>
        <w:pStyle w:val="6"/>
        <w:snapToGrid w:val="0"/>
        <w:spacing w:before="50" w:after="50"/>
        <w:ind w:firstLine="640" w:firstLineChars="200"/>
        <w:rPr>
          <w:rFonts w:ascii="宋体" w:hAnsi="宋体" w:cs="仿宋_GB2312"/>
          <w:bCs/>
          <w:color w:val="auto"/>
          <w:sz w:val="32"/>
          <w:szCs w:val="32"/>
          <w:highlight w:val="none"/>
        </w:rPr>
      </w:pPr>
    </w:p>
    <w:p w14:paraId="405633D1">
      <w:pPr>
        <w:pStyle w:val="6"/>
        <w:snapToGrid w:val="0"/>
        <w:spacing w:before="50" w:after="50"/>
        <w:ind w:firstLine="720" w:firstLineChars="225"/>
        <w:rPr>
          <w:rFonts w:ascii="宋体" w:hAnsi="宋体" w:cs="仿宋_GB2312"/>
          <w:bCs/>
          <w:color w:val="auto"/>
          <w:sz w:val="32"/>
          <w:szCs w:val="32"/>
          <w:highlight w:val="none"/>
        </w:rPr>
      </w:pPr>
    </w:p>
    <w:p w14:paraId="460EAF18">
      <w:pPr>
        <w:pStyle w:val="6"/>
        <w:snapToGrid w:val="0"/>
        <w:spacing w:before="50" w:after="50"/>
        <w:ind w:firstLine="0"/>
        <w:rPr>
          <w:rFonts w:ascii="宋体" w:hAnsi="宋体" w:cs="仿宋_GB2312"/>
          <w:bCs/>
          <w:color w:val="auto"/>
          <w:sz w:val="32"/>
          <w:szCs w:val="32"/>
          <w:highlight w:val="none"/>
        </w:rPr>
      </w:pPr>
    </w:p>
    <w:p w14:paraId="3C600136">
      <w:pPr>
        <w:pStyle w:val="6"/>
        <w:snapToGrid w:val="0"/>
        <w:spacing w:before="50" w:after="50"/>
        <w:ind w:firstLine="1280" w:firstLineChars="400"/>
        <w:rPr>
          <w:rFonts w:ascii="宋体" w:hAnsi="宋体" w:cs="仿宋_GB2312"/>
          <w:bCs/>
          <w:color w:val="auto"/>
          <w:sz w:val="32"/>
          <w:szCs w:val="32"/>
          <w:highlight w:val="none"/>
        </w:rPr>
      </w:pPr>
    </w:p>
    <w:p w14:paraId="4A1B581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6107F7F">
      <w:pPr>
        <w:snapToGrid w:val="0"/>
        <w:spacing w:before="156"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1F7E3A3">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DE4960A">
      <w:pPr>
        <w:spacing w:line="400" w:lineRule="exact"/>
        <w:rPr>
          <w:rFonts w:ascii="仿宋_GB2312" w:hAnsi="仿宋_GB2312" w:eastAsia="仿宋_GB2312" w:cs="仿宋_GB2312"/>
          <w:color w:val="auto"/>
          <w:sz w:val="32"/>
          <w:szCs w:val="32"/>
          <w:highlight w:val="none"/>
        </w:rPr>
      </w:pPr>
    </w:p>
    <w:p w14:paraId="755CF5D1">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0A4F3A41">
      <w:pPr>
        <w:spacing w:line="360" w:lineRule="auto"/>
        <w:ind w:firstLine="640" w:firstLineChars="200"/>
        <w:contextualSpacing/>
        <w:rPr>
          <w:rFonts w:ascii="仿宋_GB2312" w:hAnsi="仿宋_GB2312" w:eastAsia="仿宋_GB2312" w:cs="仿宋_GB2312"/>
          <w:color w:val="auto"/>
          <w:sz w:val="32"/>
          <w:szCs w:val="32"/>
          <w:highlight w:val="none"/>
        </w:rPr>
      </w:pPr>
    </w:p>
    <w:p w14:paraId="1C7A95AC">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5CCBAF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1.不同供应商的响应文件由同一单位或者个人编制，或不同供应商报名的IP地址一致的；或不同供应商竞标设备信息（包括但不限于：IP地址、MAC地址、硬盘号、CPU号、主板号）一致的；</w:t>
      </w:r>
    </w:p>
    <w:p w14:paraId="3A2D09D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CDE755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2D4838F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46BF062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95C8BA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5E66F61C">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2EFC8BF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2991EC2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E1E60B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E70918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4F8B2A4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28E2B26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BE2D88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898CAD1">
      <w:pPr>
        <w:spacing w:line="360" w:lineRule="auto"/>
        <w:ind w:firstLine="480" w:firstLineChars="200"/>
        <w:contextualSpacing/>
        <w:rPr>
          <w:rFonts w:ascii="宋体" w:hAnsi="宋体" w:cs="仿宋_GB2312"/>
          <w:color w:val="auto"/>
          <w:sz w:val="24"/>
          <w:highlight w:val="none"/>
        </w:rPr>
      </w:pPr>
    </w:p>
    <w:p w14:paraId="48A99ABA">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DA1B381">
      <w:pPr>
        <w:spacing w:line="360" w:lineRule="auto"/>
        <w:contextualSpacing/>
        <w:rPr>
          <w:rFonts w:ascii="宋体" w:hAnsi="宋体" w:cs="仿宋_GB2312"/>
          <w:color w:val="auto"/>
          <w:sz w:val="24"/>
          <w:highlight w:val="none"/>
        </w:rPr>
      </w:pPr>
    </w:p>
    <w:p w14:paraId="2F701ED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7B5C5381">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1FFC728D">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32C35A46">
      <w:pPr>
        <w:spacing w:line="360" w:lineRule="auto"/>
        <w:ind w:left="540"/>
        <w:contextualSpacing/>
        <w:rPr>
          <w:rFonts w:ascii="仿宋_GB2312" w:hAnsi="仿宋_GB2312" w:eastAsia="仿宋_GB2312" w:cs="仿宋_GB2312"/>
          <w:color w:val="auto"/>
          <w:sz w:val="32"/>
          <w:szCs w:val="32"/>
          <w:highlight w:val="none"/>
        </w:rPr>
      </w:pPr>
    </w:p>
    <w:p w14:paraId="0B6AFB1C">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2230262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2C3597B7">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1F0A1BA1">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61D2A24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68A8D09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F5622C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1681909A">
      <w:pPr>
        <w:spacing w:line="360" w:lineRule="auto"/>
        <w:ind w:left="540"/>
        <w:contextualSpacing/>
        <w:rPr>
          <w:rFonts w:ascii="宋体" w:hAnsi="宋体" w:cs="仿宋_GB2312"/>
          <w:color w:val="auto"/>
          <w:sz w:val="24"/>
          <w:highlight w:val="none"/>
        </w:rPr>
      </w:pPr>
    </w:p>
    <w:p w14:paraId="03952909">
      <w:pPr>
        <w:spacing w:line="360" w:lineRule="auto"/>
        <w:ind w:left="540"/>
        <w:contextualSpacing/>
        <w:rPr>
          <w:rFonts w:ascii="宋体" w:hAnsi="宋体" w:cs="仿宋_GB2312"/>
          <w:color w:val="auto"/>
          <w:sz w:val="24"/>
          <w:highlight w:val="none"/>
        </w:rPr>
      </w:pPr>
    </w:p>
    <w:p w14:paraId="0C53DD85">
      <w:pPr>
        <w:spacing w:line="360" w:lineRule="auto"/>
        <w:ind w:left="540"/>
        <w:contextualSpacing/>
        <w:rPr>
          <w:rFonts w:ascii="宋体" w:hAnsi="宋体" w:cs="仿宋_GB2312"/>
          <w:color w:val="auto"/>
          <w:sz w:val="24"/>
          <w:highlight w:val="none"/>
        </w:rPr>
      </w:pPr>
    </w:p>
    <w:p w14:paraId="0865E0F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4774B05C">
      <w:pPr>
        <w:spacing w:line="360" w:lineRule="auto"/>
        <w:ind w:left="540"/>
        <w:contextualSpacing/>
        <w:rPr>
          <w:rFonts w:ascii="宋体" w:hAnsi="宋体" w:cs="仿宋_GB2312"/>
          <w:color w:val="auto"/>
          <w:sz w:val="24"/>
          <w:highlight w:val="none"/>
        </w:rPr>
      </w:pPr>
    </w:p>
    <w:p w14:paraId="629E9595">
      <w:pPr>
        <w:spacing w:line="360" w:lineRule="auto"/>
        <w:ind w:left="540" w:leftChars="257" w:right="480" w:firstLine="2280" w:firstLineChars="95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78DD5F00">
      <w:pPr>
        <w:spacing w:line="360" w:lineRule="auto"/>
        <w:ind w:firstLine="5040" w:firstLineChars="21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F927617">
      <w:pPr>
        <w:spacing w:line="360" w:lineRule="auto"/>
        <w:contextualSpacing/>
        <w:jc w:val="center"/>
        <w:rPr>
          <w:rFonts w:ascii="宋体" w:hAnsi="宋体" w:cs="仿宋_GB2312"/>
          <w:b/>
          <w:color w:val="auto"/>
          <w:sz w:val="24"/>
          <w:highlight w:val="none"/>
        </w:rPr>
      </w:pPr>
    </w:p>
    <w:p w14:paraId="10C92A33">
      <w:pPr>
        <w:spacing w:line="360" w:lineRule="auto"/>
        <w:contextualSpacing/>
        <w:jc w:val="left"/>
        <w:rPr>
          <w:rFonts w:ascii="宋体" w:hAnsi="宋体" w:cs="仿宋_GB2312"/>
          <w:color w:val="auto"/>
          <w:sz w:val="24"/>
          <w:highlight w:val="none"/>
        </w:rPr>
      </w:pPr>
    </w:p>
    <w:p w14:paraId="106491D7">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7D3B9821">
      <w:pPr>
        <w:adjustRightInd w:val="0"/>
        <w:snapToGrid w:val="0"/>
        <w:spacing w:line="300" w:lineRule="auto"/>
        <w:jc w:val="left"/>
        <w:rPr>
          <w:rFonts w:ascii="宋体" w:hAnsi="宋体"/>
          <w:b/>
          <w:color w:val="auto"/>
          <w:szCs w:val="21"/>
          <w:highlight w:val="none"/>
        </w:rPr>
      </w:pPr>
    </w:p>
    <w:p w14:paraId="72481E93">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82" w:name="_Hlk65853643"/>
      <w:r>
        <w:rPr>
          <w:rFonts w:hint="eastAsia" w:ascii="方正小标宋简体" w:hAnsi="方正小标宋简体" w:eastAsia="方正小标宋简体" w:cs="方正小标宋简体"/>
          <w:color w:val="auto"/>
          <w:sz w:val="44"/>
          <w:szCs w:val="44"/>
          <w:highlight w:val="none"/>
        </w:rPr>
        <w:t>授权委托书</w:t>
      </w:r>
    </w:p>
    <w:p w14:paraId="53C9DF84">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0290BD5F">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05BDA701">
      <w:pPr>
        <w:spacing w:line="520" w:lineRule="exact"/>
        <w:rPr>
          <w:rFonts w:ascii="仿宋_GB2312" w:hAnsi="仿宋_GB2312" w:eastAsia="仿宋_GB2312" w:cs="仿宋_GB2312"/>
          <w:color w:val="auto"/>
          <w:sz w:val="32"/>
          <w:szCs w:val="32"/>
          <w:highlight w:val="none"/>
        </w:rPr>
      </w:pPr>
    </w:p>
    <w:p w14:paraId="57BC7B66">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4D6E510">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731E92B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76F06DA5">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0AB3F1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449F26D9">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28A22B1A">
      <w:pPr>
        <w:spacing w:line="360" w:lineRule="auto"/>
        <w:rPr>
          <w:rFonts w:ascii="宋体" w:hAnsi="宋体" w:cs="仿宋_GB2312"/>
          <w:color w:val="auto"/>
          <w:sz w:val="24"/>
          <w:highlight w:val="none"/>
        </w:rPr>
      </w:pPr>
    </w:p>
    <w:p w14:paraId="705C425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1E69B86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8D5300C">
      <w:pPr>
        <w:spacing w:line="360" w:lineRule="auto"/>
        <w:contextualSpacing/>
        <w:rPr>
          <w:rFonts w:ascii="宋体" w:hAnsi="宋体" w:cs="仿宋_GB2312"/>
          <w:color w:val="auto"/>
          <w:sz w:val="24"/>
          <w:highlight w:val="none"/>
        </w:rPr>
      </w:pPr>
    </w:p>
    <w:p w14:paraId="05A11F4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1139448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5D07AEB0">
      <w:pPr>
        <w:spacing w:line="360" w:lineRule="auto"/>
        <w:rPr>
          <w:rFonts w:ascii="宋体" w:hAnsi="宋体" w:cs="仿宋_GB2312"/>
          <w:color w:val="auto"/>
          <w:sz w:val="24"/>
          <w:highlight w:val="none"/>
        </w:rPr>
      </w:pPr>
    </w:p>
    <w:p w14:paraId="0AC56B22">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52ABBEFB">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83" w:name="_Hlk65853109"/>
      <w:bookmarkStart w:id="84" w:name="_Hlk65853542"/>
      <w:r>
        <w:rPr>
          <w:rFonts w:hint="eastAsia" w:ascii="宋体" w:hAnsi="宋体" w:cs="仿宋_GB2312"/>
          <w:color w:val="auto"/>
          <w:sz w:val="24"/>
          <w:highlight w:val="none"/>
        </w:rPr>
        <w:t>法人、其他组织竞标时“我方”是指“我单位”，自然人竞标时“我方”是指“本人”。</w:t>
      </w:r>
      <w:bookmarkEnd w:id="83"/>
    </w:p>
    <w:bookmarkEnd w:id="84"/>
    <w:p w14:paraId="21CA95E7">
      <w:pPr>
        <w:spacing w:line="360" w:lineRule="auto"/>
        <w:ind w:firstLine="420" w:firstLineChars="200"/>
        <w:jc w:val="left"/>
        <w:rPr>
          <w:rFonts w:ascii="仿宋_GB2312" w:hAnsi="仿宋_GB2312" w:eastAsia="仿宋_GB2312" w:cs="仿宋_GB2312"/>
          <w:color w:val="auto"/>
          <w:szCs w:val="21"/>
          <w:highlight w:val="none"/>
        </w:rPr>
      </w:pPr>
    </w:p>
    <w:p w14:paraId="73E575EA">
      <w:pPr>
        <w:spacing w:line="360" w:lineRule="auto"/>
        <w:ind w:firstLine="420" w:firstLineChars="200"/>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82"/>
      <w:r>
        <w:rPr>
          <w:rFonts w:hint="eastAsia" w:ascii="方正小标宋简体" w:hAnsi="方正小标宋简体" w:eastAsia="方正小标宋简体" w:cs="方正小标宋简体"/>
          <w:bCs/>
          <w:color w:val="auto"/>
          <w:sz w:val="44"/>
          <w:szCs w:val="44"/>
          <w:highlight w:val="none"/>
        </w:rPr>
        <w:t>商务要求偏离表格式</w:t>
      </w:r>
    </w:p>
    <w:p w14:paraId="44E97849">
      <w:pPr>
        <w:spacing w:line="500" w:lineRule="exact"/>
        <w:jc w:val="center"/>
        <w:rPr>
          <w:rFonts w:ascii="宋体" w:hAnsi="宋体"/>
          <w:b/>
          <w:i/>
          <w:color w:val="auto"/>
          <w:sz w:val="32"/>
          <w:szCs w:val="32"/>
          <w:highlight w:val="none"/>
        </w:rPr>
      </w:pPr>
    </w:p>
    <w:p w14:paraId="4BB8601C">
      <w:pPr>
        <w:spacing w:line="360" w:lineRule="auto"/>
        <w:contextualSpacing/>
        <w:jc w:val="left"/>
        <w:rPr>
          <w:rFonts w:ascii="宋体" w:hAnsi="宋体"/>
          <w:color w:val="auto"/>
          <w:sz w:val="24"/>
          <w:highlight w:val="none"/>
        </w:rPr>
      </w:pPr>
    </w:p>
    <w:p w14:paraId="7B4BF8F8">
      <w:pPr>
        <w:pStyle w:val="16"/>
        <w:spacing w:line="360" w:lineRule="auto"/>
        <w:contextualSpacing/>
        <w:rPr>
          <w:rFonts w:hAnsi="宋体" w:cs="仿宋_GB2312"/>
          <w:color w:val="auto"/>
          <w:sz w:val="24"/>
          <w:szCs w:val="24"/>
          <w:highlight w:val="none"/>
        </w:rPr>
      </w:pPr>
      <w:r>
        <w:rPr>
          <w:rFonts w:hint="eastAsia" w:hAnsi="宋体" w:cs="仿宋_GB2312"/>
          <w:color w:val="auto"/>
          <w:sz w:val="24"/>
          <w:szCs w:val="24"/>
          <w:highlight w:val="none"/>
        </w:rPr>
        <w:t>所竞分标：</w:t>
      </w:r>
    </w:p>
    <w:p w14:paraId="2C9B4A64">
      <w:pPr>
        <w:spacing w:line="360" w:lineRule="auto"/>
        <w:contextualSpacing/>
        <w:jc w:val="left"/>
        <w:rPr>
          <w:rFonts w:ascii="宋体" w:hAnsi="宋体" w:cs="仿宋_GB2312"/>
          <w:color w:val="auto"/>
          <w:sz w:val="24"/>
          <w:highlight w:val="none"/>
          <w:u w:val="single"/>
        </w:rPr>
      </w:pPr>
    </w:p>
    <w:tbl>
      <w:tblPr>
        <w:tblStyle w:val="25"/>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B381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C81A16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7419429B">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081D26E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ign w:val="center"/>
          </w:tcPr>
          <w:p w14:paraId="61692EDF">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14:paraId="61F9B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1C3FF25">
            <w:pPr>
              <w:jc w:val="center"/>
              <w:rPr>
                <w:rFonts w:ascii="宋体" w:hAnsi="宋体"/>
                <w:color w:val="auto"/>
                <w:sz w:val="24"/>
                <w:highlight w:val="none"/>
              </w:rPr>
            </w:pPr>
            <w:r>
              <w:rPr>
                <w:rFonts w:hint="eastAsia" w:ascii="宋体" w:hAnsi="宋体"/>
                <w:color w:val="auto"/>
                <w:sz w:val="24"/>
                <w:highlight w:val="none"/>
              </w:rPr>
              <w:t>服务期限（合同履行期限）及地点</w:t>
            </w:r>
          </w:p>
        </w:tc>
        <w:tc>
          <w:tcPr>
            <w:tcW w:w="2668" w:type="dxa"/>
            <w:tcBorders>
              <w:top w:val="single" w:color="auto" w:sz="4" w:space="0"/>
              <w:left w:val="single" w:color="auto" w:sz="4" w:space="0"/>
              <w:bottom w:val="single" w:color="auto" w:sz="4" w:space="0"/>
              <w:right w:val="single" w:color="auto" w:sz="4" w:space="0"/>
            </w:tcBorders>
            <w:noWrap/>
            <w:vAlign w:val="center"/>
          </w:tcPr>
          <w:p w14:paraId="672015B1">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4ED0CAE">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250C3FD6">
            <w:pPr>
              <w:spacing w:line="360" w:lineRule="auto"/>
              <w:contextualSpacing/>
              <w:jc w:val="center"/>
              <w:rPr>
                <w:rFonts w:ascii="宋体" w:hAnsi="宋体" w:cs="仿宋_GB2312"/>
                <w:color w:val="auto"/>
                <w:sz w:val="24"/>
                <w:highlight w:val="none"/>
              </w:rPr>
            </w:pPr>
          </w:p>
        </w:tc>
      </w:tr>
      <w:tr w14:paraId="72296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4446A088">
            <w:pPr>
              <w:jc w:val="center"/>
              <w:rPr>
                <w:rFonts w:ascii="宋体" w:hAnsi="宋体"/>
                <w:color w:val="auto"/>
                <w:sz w:val="24"/>
                <w:highlight w:val="none"/>
              </w:rPr>
            </w:pPr>
            <w:r>
              <w:rPr>
                <w:rFonts w:hint="eastAsia" w:ascii="宋体" w:hAnsi="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ign w:val="center"/>
          </w:tcPr>
          <w:p w14:paraId="648947E9">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0198B2EE">
            <w:pPr>
              <w:spacing w:line="360" w:lineRule="auto"/>
              <w:ind w:left="43"/>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A14FC8C">
            <w:pPr>
              <w:spacing w:line="360" w:lineRule="auto"/>
              <w:ind w:left="43"/>
              <w:contextualSpacing/>
              <w:jc w:val="center"/>
              <w:rPr>
                <w:rFonts w:ascii="宋体" w:hAnsi="宋体" w:cs="仿宋_GB2312"/>
                <w:color w:val="auto"/>
                <w:sz w:val="24"/>
                <w:highlight w:val="none"/>
              </w:rPr>
            </w:pPr>
          </w:p>
        </w:tc>
      </w:tr>
      <w:tr w14:paraId="566B0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ign w:val="center"/>
          </w:tcPr>
          <w:p w14:paraId="3975246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ign w:val="center"/>
          </w:tcPr>
          <w:p w14:paraId="5E0210D4">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04C8290">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2399737">
            <w:pPr>
              <w:spacing w:line="360" w:lineRule="auto"/>
              <w:contextualSpacing/>
              <w:jc w:val="center"/>
              <w:rPr>
                <w:rFonts w:ascii="宋体" w:hAnsi="宋体" w:cs="仿宋_GB2312"/>
                <w:color w:val="auto"/>
                <w:sz w:val="24"/>
                <w:highlight w:val="none"/>
              </w:rPr>
            </w:pPr>
          </w:p>
        </w:tc>
      </w:tr>
    </w:tbl>
    <w:p w14:paraId="642DE334">
      <w:pPr>
        <w:pStyle w:val="12"/>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4F722E89">
      <w:pPr>
        <w:pStyle w:val="12"/>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6A702624">
      <w:pPr>
        <w:spacing w:line="360" w:lineRule="auto"/>
        <w:contextualSpacing/>
        <w:jc w:val="left"/>
        <w:rPr>
          <w:rFonts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6B743441">
      <w:pPr>
        <w:spacing w:line="360" w:lineRule="auto"/>
        <w:ind w:right="-817" w:rightChars="-389"/>
        <w:contextualSpacing/>
        <w:rPr>
          <w:rFonts w:ascii="宋体" w:hAnsi="宋体" w:cs="仿宋_GB2312"/>
          <w:color w:val="auto"/>
          <w:sz w:val="24"/>
          <w:highlight w:val="none"/>
        </w:rPr>
      </w:pPr>
    </w:p>
    <w:p w14:paraId="64058125">
      <w:pPr>
        <w:snapToGrid w:val="0"/>
        <w:spacing w:line="360" w:lineRule="auto"/>
        <w:ind w:left="-2" w:leftChars="-1" w:right="-817" w:rightChars="-389" w:firstLine="3600" w:firstLineChars="1500"/>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4238590F">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供应商名称（电子签章）：</w:t>
      </w:r>
      <w:r>
        <w:rPr>
          <w:rFonts w:hint="eastAsia" w:ascii="宋体" w:hAnsi="宋体"/>
          <w:color w:val="auto"/>
          <w:sz w:val="24"/>
          <w:highlight w:val="none"/>
          <w:u w:val="single"/>
        </w:rPr>
        <w:t xml:space="preserve">            </w:t>
      </w:r>
    </w:p>
    <w:p w14:paraId="06BD6E84">
      <w:pPr>
        <w:snapToGrid w:val="0"/>
        <w:spacing w:line="360" w:lineRule="auto"/>
        <w:ind w:right="480" w:firstLine="240" w:firstLineChars="100"/>
        <w:jc w:val="left"/>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C457E2B">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010604A7">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5EED23A7">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4A7DA538">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51383BB2">
      <w:pPr>
        <w:adjustRightInd w:val="0"/>
        <w:snapToGrid w:val="0"/>
        <w:spacing w:line="520" w:lineRule="exact"/>
        <w:rPr>
          <w:rFonts w:ascii="宋体" w:hAnsi="宋体"/>
          <w:color w:val="auto"/>
          <w:szCs w:val="21"/>
          <w:highlight w:val="none"/>
          <w:u w:val="single"/>
        </w:rPr>
      </w:pPr>
    </w:p>
    <w:p w14:paraId="7556FA25">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24C75F85">
      <w:pPr>
        <w:spacing w:line="520" w:lineRule="exact"/>
        <w:rPr>
          <w:rFonts w:ascii="仿宋_GB2312" w:hAnsi="仿宋_GB2312" w:eastAsia="仿宋_GB2312" w:cs="仿宋_GB2312"/>
          <w:color w:val="auto"/>
          <w:sz w:val="32"/>
          <w:szCs w:val="32"/>
          <w:highlight w:val="none"/>
        </w:rPr>
      </w:pPr>
    </w:p>
    <w:p w14:paraId="0FA83162">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p>
    <w:p w14:paraId="427B3BB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p>
    <w:p w14:paraId="0CADCCE5">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分标号：</w:t>
      </w:r>
    </w:p>
    <w:tbl>
      <w:tblPr>
        <w:tblStyle w:val="25"/>
        <w:tblW w:w="96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8"/>
        <w:gridCol w:w="968"/>
        <w:gridCol w:w="3212"/>
        <w:gridCol w:w="2891"/>
        <w:gridCol w:w="1577"/>
      </w:tblGrid>
      <w:tr w14:paraId="2F1664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029A2DA2">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85" w:name="_Toc173211900"/>
            <w:bookmarkStart w:id="86" w:name="_Toc297193185"/>
            <w:bookmarkStart w:id="87" w:name="_Toc301781611"/>
            <w:bookmarkStart w:id="88" w:name="_Toc254970588"/>
            <w:bookmarkStart w:id="89" w:name="_Toc173066401"/>
            <w:bookmarkStart w:id="90" w:name="_Toc373333689"/>
            <w:bookmarkStart w:id="91" w:name="_Toc254970729"/>
            <w:bookmarkStart w:id="92" w:name="_Toc295404981"/>
            <w:bookmarkStart w:id="93" w:name="_Toc383699906"/>
            <w:r>
              <w:rPr>
                <w:rFonts w:hint="eastAsia" w:ascii="宋体" w:hAnsi="宋体" w:eastAsia="宋体" w:cs="仿宋_GB2312"/>
                <w:color w:val="auto"/>
                <w:kern w:val="2"/>
                <w:sz w:val="24"/>
                <w:szCs w:val="24"/>
                <w:highlight w:val="none"/>
              </w:rPr>
              <w:t>序号</w:t>
            </w:r>
            <w:bookmarkEnd w:id="85"/>
            <w:bookmarkEnd w:id="86"/>
            <w:bookmarkEnd w:id="87"/>
            <w:bookmarkEnd w:id="88"/>
            <w:bookmarkEnd w:id="89"/>
            <w:bookmarkEnd w:id="90"/>
            <w:bookmarkEnd w:id="91"/>
            <w:bookmarkEnd w:id="92"/>
            <w:bookmarkEnd w:id="93"/>
          </w:p>
        </w:tc>
        <w:tc>
          <w:tcPr>
            <w:tcW w:w="968" w:type="dxa"/>
            <w:tcBorders>
              <w:right w:val="single" w:color="auto" w:sz="4" w:space="0"/>
            </w:tcBorders>
            <w:noWrap/>
            <w:vAlign w:val="center"/>
          </w:tcPr>
          <w:p w14:paraId="6FD55B6B">
            <w:pPr>
              <w:pStyle w:val="14"/>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212" w:type="dxa"/>
            <w:tcBorders>
              <w:left w:val="single" w:color="auto" w:sz="4" w:space="0"/>
            </w:tcBorders>
            <w:noWrap/>
            <w:vAlign w:val="center"/>
          </w:tcPr>
          <w:p w14:paraId="67210138">
            <w:pPr>
              <w:pStyle w:val="14"/>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891" w:type="dxa"/>
            <w:noWrap/>
            <w:vAlign w:val="center"/>
          </w:tcPr>
          <w:p w14:paraId="7838C118">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94" w:name="_Toc297193187"/>
            <w:bookmarkStart w:id="95" w:name="_Toc254970731"/>
            <w:bookmarkStart w:id="96" w:name="_Toc295404983"/>
            <w:bookmarkStart w:id="97" w:name="_Toc301781613"/>
            <w:bookmarkStart w:id="98" w:name="_Toc373333691"/>
            <w:bookmarkStart w:id="99" w:name="_Toc173211902"/>
            <w:bookmarkStart w:id="100" w:name="_Toc173066403"/>
            <w:bookmarkStart w:id="101" w:name="_Toc383699908"/>
            <w:bookmarkStart w:id="102" w:name="_Toc254970590"/>
            <w:r>
              <w:rPr>
                <w:rFonts w:hint="eastAsia" w:ascii="宋体" w:hAnsi="宋体" w:eastAsia="宋体" w:cs="仿宋_GB2312"/>
                <w:color w:val="auto"/>
                <w:kern w:val="2"/>
                <w:sz w:val="24"/>
                <w:szCs w:val="24"/>
                <w:highlight w:val="none"/>
              </w:rPr>
              <w:t>竞标响应</w:t>
            </w:r>
            <w:bookmarkEnd w:id="94"/>
            <w:bookmarkEnd w:id="95"/>
            <w:bookmarkEnd w:id="96"/>
            <w:bookmarkEnd w:id="97"/>
            <w:bookmarkEnd w:id="98"/>
            <w:bookmarkEnd w:id="99"/>
            <w:bookmarkEnd w:id="100"/>
            <w:bookmarkEnd w:id="101"/>
            <w:bookmarkEnd w:id="102"/>
          </w:p>
        </w:tc>
        <w:tc>
          <w:tcPr>
            <w:tcW w:w="1577" w:type="dxa"/>
            <w:noWrap/>
            <w:vAlign w:val="center"/>
          </w:tcPr>
          <w:p w14:paraId="3454AA4F">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03" w:name="_Toc373333692"/>
            <w:bookmarkStart w:id="104" w:name="_Toc254970591"/>
            <w:bookmarkStart w:id="105" w:name="_Toc173066404"/>
            <w:bookmarkStart w:id="106" w:name="_Toc254970732"/>
            <w:bookmarkStart w:id="107" w:name="_Toc173211903"/>
            <w:bookmarkStart w:id="108" w:name="_Toc295404984"/>
            <w:bookmarkStart w:id="109" w:name="_Toc301781614"/>
            <w:bookmarkStart w:id="110" w:name="_Toc383699909"/>
            <w:bookmarkStart w:id="111" w:name="_Toc297193188"/>
            <w:r>
              <w:rPr>
                <w:rFonts w:hint="eastAsia" w:ascii="宋体" w:hAnsi="宋体" w:eastAsia="宋体" w:cs="仿宋_GB2312"/>
                <w:color w:val="auto"/>
                <w:kern w:val="2"/>
                <w:sz w:val="24"/>
                <w:szCs w:val="24"/>
                <w:highlight w:val="none"/>
              </w:rPr>
              <w:t>偏离</w:t>
            </w:r>
            <w:bookmarkEnd w:id="103"/>
            <w:bookmarkEnd w:id="104"/>
            <w:bookmarkEnd w:id="105"/>
            <w:bookmarkEnd w:id="106"/>
            <w:bookmarkEnd w:id="107"/>
            <w:bookmarkEnd w:id="108"/>
            <w:bookmarkEnd w:id="109"/>
            <w:bookmarkEnd w:id="110"/>
            <w:bookmarkEnd w:id="111"/>
            <w:bookmarkStart w:id="112" w:name="_Toc295404985"/>
            <w:bookmarkStart w:id="113" w:name="_Toc173211904"/>
            <w:bookmarkStart w:id="114" w:name="_Toc173066405"/>
            <w:bookmarkStart w:id="115" w:name="_Toc254970592"/>
            <w:bookmarkStart w:id="116" w:name="_Toc373333693"/>
            <w:bookmarkStart w:id="117" w:name="_Toc297193189"/>
            <w:bookmarkStart w:id="118" w:name="_Toc301781615"/>
            <w:bookmarkStart w:id="119" w:name="_Toc254970733"/>
            <w:bookmarkStart w:id="120" w:name="_Toc383699910"/>
            <w:r>
              <w:rPr>
                <w:rFonts w:hint="eastAsia" w:ascii="宋体" w:hAnsi="宋体" w:eastAsia="宋体" w:cs="仿宋_GB2312"/>
                <w:color w:val="auto"/>
                <w:kern w:val="2"/>
                <w:sz w:val="24"/>
                <w:szCs w:val="24"/>
                <w:highlight w:val="none"/>
              </w:rPr>
              <w:t>说明</w:t>
            </w:r>
            <w:bookmarkEnd w:id="112"/>
            <w:bookmarkEnd w:id="113"/>
            <w:bookmarkEnd w:id="114"/>
            <w:bookmarkEnd w:id="115"/>
            <w:bookmarkEnd w:id="116"/>
            <w:bookmarkEnd w:id="117"/>
            <w:bookmarkEnd w:id="118"/>
            <w:bookmarkEnd w:id="119"/>
            <w:bookmarkEnd w:id="120"/>
          </w:p>
        </w:tc>
      </w:tr>
      <w:tr w14:paraId="18893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0918821F">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21" w:name="_Toc297193190"/>
            <w:bookmarkStart w:id="122" w:name="_Toc383699911"/>
            <w:bookmarkStart w:id="123" w:name="_Toc173066406"/>
            <w:bookmarkStart w:id="124" w:name="_Toc373333694"/>
            <w:bookmarkStart w:id="125" w:name="_Toc173211905"/>
            <w:bookmarkStart w:id="126" w:name="_Toc295404986"/>
            <w:bookmarkStart w:id="127" w:name="_Toc301781616"/>
            <w:bookmarkStart w:id="128" w:name="_Toc254970734"/>
            <w:bookmarkStart w:id="129" w:name="_Toc254970593"/>
            <w:r>
              <w:rPr>
                <w:rFonts w:hint="eastAsia" w:ascii="宋体" w:hAnsi="宋体" w:eastAsia="宋体" w:cs="仿宋_GB2312"/>
                <w:color w:val="auto"/>
                <w:kern w:val="2"/>
                <w:sz w:val="24"/>
                <w:szCs w:val="24"/>
                <w:highlight w:val="none"/>
              </w:rPr>
              <w:t>1</w:t>
            </w:r>
            <w:bookmarkEnd w:id="121"/>
            <w:bookmarkEnd w:id="122"/>
            <w:bookmarkEnd w:id="123"/>
            <w:bookmarkEnd w:id="124"/>
            <w:bookmarkEnd w:id="125"/>
            <w:bookmarkEnd w:id="126"/>
            <w:bookmarkEnd w:id="127"/>
            <w:bookmarkEnd w:id="128"/>
            <w:bookmarkEnd w:id="129"/>
          </w:p>
        </w:tc>
        <w:tc>
          <w:tcPr>
            <w:tcW w:w="968" w:type="dxa"/>
            <w:tcBorders>
              <w:right w:val="single" w:color="auto" w:sz="4" w:space="0"/>
            </w:tcBorders>
            <w:noWrap/>
            <w:vAlign w:val="center"/>
          </w:tcPr>
          <w:p w14:paraId="0C4499C9">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2" w:type="dxa"/>
            <w:tcBorders>
              <w:left w:val="single" w:color="auto" w:sz="4" w:space="0"/>
            </w:tcBorders>
            <w:noWrap/>
            <w:vAlign w:val="center"/>
          </w:tcPr>
          <w:p w14:paraId="3ECC622D">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1" w:type="dxa"/>
            <w:noWrap/>
            <w:vAlign w:val="center"/>
          </w:tcPr>
          <w:p w14:paraId="41DF2DFE">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7" w:type="dxa"/>
            <w:noWrap/>
            <w:vAlign w:val="center"/>
          </w:tcPr>
          <w:p w14:paraId="29F4345A">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1C1F8F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639D2B2E">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30" w:name="_Toc383699912"/>
            <w:bookmarkStart w:id="131" w:name="_Toc301781617"/>
            <w:bookmarkStart w:id="132" w:name="_Toc297193191"/>
            <w:bookmarkStart w:id="133" w:name="_Toc173066407"/>
            <w:bookmarkStart w:id="134" w:name="_Toc373333695"/>
            <w:bookmarkStart w:id="135" w:name="_Toc295404987"/>
            <w:bookmarkStart w:id="136" w:name="_Toc254970735"/>
            <w:bookmarkStart w:id="137" w:name="_Toc173211906"/>
            <w:bookmarkStart w:id="138" w:name="_Toc254970594"/>
            <w:r>
              <w:rPr>
                <w:rFonts w:hint="eastAsia" w:ascii="宋体" w:hAnsi="宋体" w:eastAsia="宋体" w:cs="仿宋_GB2312"/>
                <w:color w:val="auto"/>
                <w:kern w:val="2"/>
                <w:sz w:val="24"/>
                <w:szCs w:val="24"/>
                <w:highlight w:val="none"/>
              </w:rPr>
              <w:t>2</w:t>
            </w:r>
            <w:bookmarkEnd w:id="130"/>
            <w:bookmarkEnd w:id="131"/>
            <w:bookmarkEnd w:id="132"/>
            <w:bookmarkEnd w:id="133"/>
            <w:bookmarkEnd w:id="134"/>
            <w:bookmarkEnd w:id="135"/>
            <w:bookmarkEnd w:id="136"/>
            <w:bookmarkEnd w:id="137"/>
            <w:bookmarkEnd w:id="138"/>
          </w:p>
        </w:tc>
        <w:tc>
          <w:tcPr>
            <w:tcW w:w="968" w:type="dxa"/>
            <w:tcBorders>
              <w:right w:val="single" w:color="auto" w:sz="4" w:space="0"/>
            </w:tcBorders>
            <w:noWrap/>
            <w:vAlign w:val="center"/>
          </w:tcPr>
          <w:p w14:paraId="1F8E7B39">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2" w:type="dxa"/>
            <w:tcBorders>
              <w:left w:val="single" w:color="auto" w:sz="4" w:space="0"/>
            </w:tcBorders>
            <w:noWrap/>
            <w:vAlign w:val="center"/>
          </w:tcPr>
          <w:p w14:paraId="381A08AF">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1" w:type="dxa"/>
            <w:noWrap/>
            <w:vAlign w:val="center"/>
          </w:tcPr>
          <w:p w14:paraId="59CBE648">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7" w:type="dxa"/>
            <w:noWrap/>
            <w:vAlign w:val="center"/>
          </w:tcPr>
          <w:p w14:paraId="7E4E47A5">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71D16E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01E19B92">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39" w:name="_Toc295404988"/>
            <w:bookmarkStart w:id="140" w:name="_Toc254970595"/>
            <w:bookmarkStart w:id="141" w:name="_Toc383699913"/>
            <w:bookmarkStart w:id="142" w:name="_Toc173211907"/>
            <w:bookmarkStart w:id="143" w:name="_Toc173066408"/>
            <w:bookmarkStart w:id="144" w:name="_Toc297193192"/>
            <w:bookmarkStart w:id="145" w:name="_Toc373333696"/>
            <w:bookmarkStart w:id="146" w:name="_Toc254970736"/>
            <w:bookmarkStart w:id="147" w:name="_Toc301781618"/>
            <w:r>
              <w:rPr>
                <w:rFonts w:hint="eastAsia" w:ascii="宋体" w:hAnsi="宋体" w:eastAsia="宋体" w:cs="仿宋_GB2312"/>
                <w:color w:val="auto"/>
                <w:kern w:val="2"/>
                <w:sz w:val="24"/>
                <w:szCs w:val="24"/>
                <w:highlight w:val="none"/>
              </w:rPr>
              <w:t>3</w:t>
            </w:r>
            <w:bookmarkEnd w:id="139"/>
            <w:bookmarkEnd w:id="140"/>
            <w:bookmarkEnd w:id="141"/>
            <w:bookmarkEnd w:id="142"/>
            <w:bookmarkEnd w:id="143"/>
            <w:bookmarkEnd w:id="144"/>
            <w:bookmarkEnd w:id="145"/>
            <w:bookmarkEnd w:id="146"/>
            <w:bookmarkEnd w:id="147"/>
          </w:p>
        </w:tc>
        <w:tc>
          <w:tcPr>
            <w:tcW w:w="968" w:type="dxa"/>
            <w:tcBorders>
              <w:right w:val="single" w:color="auto" w:sz="4" w:space="0"/>
            </w:tcBorders>
            <w:noWrap/>
            <w:vAlign w:val="center"/>
          </w:tcPr>
          <w:p w14:paraId="4719D80D">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2" w:type="dxa"/>
            <w:tcBorders>
              <w:left w:val="single" w:color="auto" w:sz="4" w:space="0"/>
            </w:tcBorders>
            <w:noWrap/>
            <w:vAlign w:val="center"/>
          </w:tcPr>
          <w:p w14:paraId="4582446A">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1" w:type="dxa"/>
            <w:noWrap/>
            <w:vAlign w:val="center"/>
          </w:tcPr>
          <w:p w14:paraId="3187713F">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7" w:type="dxa"/>
            <w:noWrap/>
            <w:vAlign w:val="center"/>
          </w:tcPr>
          <w:p w14:paraId="34105674">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31DC1D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0A86B7C6">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48" w:name="_Toc173211908"/>
            <w:bookmarkStart w:id="149" w:name="_Toc297193193"/>
            <w:bookmarkStart w:id="150" w:name="_Toc173066409"/>
            <w:bookmarkStart w:id="151" w:name="_Toc383699914"/>
            <w:bookmarkStart w:id="152" w:name="_Toc254970737"/>
            <w:bookmarkStart w:id="153" w:name="_Toc254970596"/>
            <w:bookmarkStart w:id="154" w:name="_Toc295404989"/>
            <w:bookmarkStart w:id="155" w:name="_Toc373333697"/>
            <w:bookmarkStart w:id="156" w:name="_Toc301781619"/>
            <w:r>
              <w:rPr>
                <w:rFonts w:hint="eastAsia" w:ascii="宋体" w:hAnsi="宋体" w:eastAsia="宋体" w:cs="仿宋_GB2312"/>
                <w:color w:val="auto"/>
                <w:kern w:val="2"/>
                <w:sz w:val="24"/>
                <w:szCs w:val="24"/>
                <w:highlight w:val="none"/>
              </w:rPr>
              <w:t>4</w:t>
            </w:r>
            <w:bookmarkEnd w:id="148"/>
            <w:bookmarkEnd w:id="149"/>
            <w:bookmarkEnd w:id="150"/>
            <w:bookmarkEnd w:id="151"/>
            <w:bookmarkEnd w:id="152"/>
            <w:bookmarkEnd w:id="153"/>
            <w:bookmarkEnd w:id="154"/>
            <w:bookmarkEnd w:id="155"/>
            <w:bookmarkEnd w:id="156"/>
          </w:p>
        </w:tc>
        <w:tc>
          <w:tcPr>
            <w:tcW w:w="968" w:type="dxa"/>
            <w:tcBorders>
              <w:right w:val="single" w:color="auto" w:sz="4" w:space="0"/>
            </w:tcBorders>
            <w:noWrap/>
            <w:vAlign w:val="center"/>
          </w:tcPr>
          <w:p w14:paraId="6D44EEC9">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2" w:type="dxa"/>
            <w:tcBorders>
              <w:left w:val="single" w:color="auto" w:sz="4" w:space="0"/>
            </w:tcBorders>
            <w:noWrap/>
            <w:vAlign w:val="center"/>
          </w:tcPr>
          <w:p w14:paraId="08897648">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1" w:type="dxa"/>
            <w:noWrap/>
            <w:vAlign w:val="center"/>
          </w:tcPr>
          <w:p w14:paraId="1C8B52F1">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7" w:type="dxa"/>
            <w:noWrap/>
            <w:vAlign w:val="center"/>
          </w:tcPr>
          <w:p w14:paraId="27F9B687">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42C6C8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646E3E3E">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57" w:name="_Toc297193194"/>
            <w:bookmarkStart w:id="158" w:name="_Toc254970738"/>
            <w:bookmarkStart w:id="159" w:name="_Toc373333698"/>
            <w:bookmarkStart w:id="160" w:name="_Toc383699915"/>
            <w:bookmarkStart w:id="161" w:name="_Toc254970597"/>
            <w:bookmarkStart w:id="162" w:name="_Toc173066410"/>
            <w:bookmarkStart w:id="163" w:name="_Toc295404990"/>
            <w:bookmarkStart w:id="164" w:name="_Toc301781620"/>
            <w:bookmarkStart w:id="165" w:name="_Toc173211909"/>
            <w:r>
              <w:rPr>
                <w:rFonts w:hint="eastAsia" w:ascii="宋体" w:hAnsi="宋体" w:eastAsia="宋体" w:cs="仿宋_GB2312"/>
                <w:color w:val="auto"/>
                <w:kern w:val="2"/>
                <w:sz w:val="24"/>
                <w:szCs w:val="24"/>
                <w:highlight w:val="none"/>
              </w:rPr>
              <w:t>5</w:t>
            </w:r>
            <w:bookmarkEnd w:id="157"/>
            <w:bookmarkEnd w:id="158"/>
            <w:bookmarkEnd w:id="159"/>
            <w:bookmarkEnd w:id="160"/>
            <w:bookmarkEnd w:id="161"/>
            <w:bookmarkEnd w:id="162"/>
            <w:bookmarkEnd w:id="163"/>
            <w:bookmarkEnd w:id="164"/>
            <w:bookmarkEnd w:id="165"/>
          </w:p>
        </w:tc>
        <w:tc>
          <w:tcPr>
            <w:tcW w:w="968" w:type="dxa"/>
            <w:tcBorders>
              <w:right w:val="single" w:color="auto" w:sz="4" w:space="0"/>
            </w:tcBorders>
            <w:noWrap/>
            <w:vAlign w:val="center"/>
          </w:tcPr>
          <w:p w14:paraId="7456B526">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2" w:type="dxa"/>
            <w:tcBorders>
              <w:left w:val="single" w:color="auto" w:sz="4" w:space="0"/>
            </w:tcBorders>
            <w:noWrap/>
            <w:vAlign w:val="center"/>
          </w:tcPr>
          <w:p w14:paraId="3D7070D6">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1" w:type="dxa"/>
            <w:noWrap/>
            <w:vAlign w:val="center"/>
          </w:tcPr>
          <w:p w14:paraId="1DA5894D">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7" w:type="dxa"/>
            <w:noWrap/>
            <w:vAlign w:val="center"/>
          </w:tcPr>
          <w:p w14:paraId="7291145A">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002551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68" w:type="dxa"/>
            <w:noWrap/>
            <w:vAlign w:val="center"/>
          </w:tcPr>
          <w:p w14:paraId="5F083C1C">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66" w:name="_Toc297193195"/>
            <w:bookmarkStart w:id="167" w:name="_Toc254970743"/>
            <w:bookmarkStart w:id="168" w:name="_Toc383699916"/>
            <w:bookmarkStart w:id="169" w:name="_Toc301781621"/>
            <w:bookmarkStart w:id="170" w:name="_Toc254970602"/>
            <w:bookmarkStart w:id="171" w:name="_Toc373333699"/>
            <w:bookmarkStart w:id="172" w:name="_Toc173066415"/>
            <w:bookmarkStart w:id="173" w:name="_Toc173211914"/>
            <w:bookmarkStart w:id="174" w:name="_Toc295404991"/>
            <w:r>
              <w:rPr>
                <w:rFonts w:hint="eastAsia" w:ascii="宋体" w:hAnsi="宋体" w:eastAsia="宋体" w:cs="仿宋_GB2312"/>
                <w:color w:val="auto"/>
                <w:kern w:val="2"/>
                <w:sz w:val="24"/>
                <w:szCs w:val="24"/>
                <w:highlight w:val="none"/>
              </w:rPr>
              <w:t>…</w:t>
            </w:r>
            <w:bookmarkEnd w:id="166"/>
            <w:bookmarkEnd w:id="167"/>
            <w:bookmarkEnd w:id="168"/>
            <w:bookmarkEnd w:id="169"/>
            <w:bookmarkEnd w:id="170"/>
            <w:bookmarkEnd w:id="171"/>
            <w:bookmarkEnd w:id="172"/>
            <w:bookmarkEnd w:id="173"/>
            <w:bookmarkEnd w:id="174"/>
          </w:p>
        </w:tc>
        <w:tc>
          <w:tcPr>
            <w:tcW w:w="968" w:type="dxa"/>
            <w:tcBorders>
              <w:right w:val="single" w:color="auto" w:sz="4" w:space="0"/>
            </w:tcBorders>
            <w:noWrap/>
            <w:vAlign w:val="center"/>
          </w:tcPr>
          <w:p w14:paraId="59F6E02D">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2" w:type="dxa"/>
            <w:tcBorders>
              <w:left w:val="single" w:color="auto" w:sz="4" w:space="0"/>
            </w:tcBorders>
            <w:noWrap/>
            <w:vAlign w:val="center"/>
          </w:tcPr>
          <w:p w14:paraId="6F030EAA">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1" w:type="dxa"/>
            <w:noWrap/>
            <w:vAlign w:val="center"/>
          </w:tcPr>
          <w:p w14:paraId="6356744F">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7" w:type="dxa"/>
            <w:tcBorders>
              <w:right w:val="single" w:color="auto" w:sz="4" w:space="0"/>
            </w:tcBorders>
            <w:noWrap/>
            <w:vAlign w:val="center"/>
          </w:tcPr>
          <w:p w14:paraId="06B8F1EA">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bl>
    <w:p w14:paraId="32A5745E">
      <w:pPr>
        <w:adjustRightInd w:val="0"/>
        <w:spacing w:line="360" w:lineRule="auto"/>
        <w:contextualSpacing/>
        <w:rPr>
          <w:rFonts w:ascii="宋体" w:hAnsi="宋体" w:cs="仿宋_GB2312"/>
          <w:color w:val="auto"/>
          <w:sz w:val="24"/>
          <w:highlight w:val="none"/>
        </w:rPr>
      </w:pPr>
    </w:p>
    <w:p w14:paraId="106E01C9">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67473064">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31186B42">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10D79148">
      <w:pPr>
        <w:spacing w:line="360" w:lineRule="auto"/>
        <w:ind w:right="-817" w:rightChars="-389"/>
        <w:contextualSpacing/>
        <w:rPr>
          <w:rFonts w:ascii="宋体" w:hAnsi="宋体" w:cs="仿宋_GB2312"/>
          <w:color w:val="auto"/>
          <w:sz w:val="24"/>
          <w:highlight w:val="none"/>
        </w:rPr>
      </w:pPr>
    </w:p>
    <w:p w14:paraId="38ED2384">
      <w:pPr>
        <w:snapToGrid w:val="0"/>
        <w:spacing w:line="360" w:lineRule="auto"/>
        <w:ind w:left="-2" w:leftChars="-1" w:right="-817" w:rightChars="-389" w:firstLine="3600" w:firstLineChars="1500"/>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7C7846CE">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供应商名称（电子签章）：</w:t>
      </w:r>
      <w:r>
        <w:rPr>
          <w:rFonts w:hint="eastAsia" w:ascii="宋体" w:hAnsi="宋体"/>
          <w:color w:val="auto"/>
          <w:sz w:val="24"/>
          <w:highlight w:val="none"/>
          <w:u w:val="single"/>
        </w:rPr>
        <w:t xml:space="preserve">            </w:t>
      </w:r>
    </w:p>
    <w:p w14:paraId="2D415475">
      <w:pPr>
        <w:snapToGrid w:val="0"/>
        <w:spacing w:line="360" w:lineRule="auto"/>
        <w:ind w:right="480" w:firstLine="240" w:firstLineChars="100"/>
        <w:jc w:val="left"/>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E51DDA7">
      <w:pPr>
        <w:snapToGrid w:val="0"/>
        <w:spacing w:line="360" w:lineRule="auto"/>
        <w:ind w:right="480" w:firstLine="240" w:firstLineChars="100"/>
        <w:jc w:val="left"/>
        <w:rPr>
          <w:rFonts w:ascii="宋体" w:hAnsi="宋体"/>
          <w:color w:val="auto"/>
          <w:sz w:val="24"/>
          <w:highlight w:val="none"/>
        </w:rPr>
      </w:pPr>
      <w:r>
        <w:rPr>
          <w:rFonts w:ascii="宋体" w:hAnsi="宋体" w:cs="仿宋_GB2312"/>
          <w:color w:val="auto"/>
          <w:sz w:val="24"/>
          <w:highlight w:val="none"/>
        </w:rPr>
        <w:br w:type="page"/>
      </w:r>
    </w:p>
    <w:p w14:paraId="65B11EA4">
      <w:pPr>
        <w:snapToGrid w:val="0"/>
        <w:spacing w:before="156" w:beforeLines="50" w:after="50"/>
        <w:jc w:val="left"/>
        <w:rPr>
          <w:rFonts w:ascii="方正小标宋简体" w:hAnsi="方正小标宋简体" w:eastAsia="方正小标宋简体" w:cs="方正小标宋简体"/>
          <w:bCs/>
          <w:color w:val="auto"/>
          <w:szCs w:val="21"/>
          <w:highlight w:val="none"/>
        </w:rPr>
      </w:pPr>
    </w:p>
    <w:p w14:paraId="56F164A6">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05AF23CD">
      <w:pPr>
        <w:snapToGrid w:val="0"/>
        <w:spacing w:before="156" w:beforeLines="50" w:after="50"/>
        <w:jc w:val="center"/>
        <w:rPr>
          <w:rFonts w:ascii="宋体" w:hAnsi="宋体"/>
          <w:b/>
          <w:color w:val="auto"/>
          <w:sz w:val="24"/>
          <w:highlight w:val="none"/>
        </w:rPr>
      </w:pPr>
    </w:p>
    <w:p w14:paraId="2AFD2DBD">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4DD0835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534AF4EC">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1.我方承诺，若本单位成交，保证在发出成交通知书之后，按本项目竞争性磋商文件的规定标准向贵单位一次性足额支付代理服务费。</w:t>
      </w:r>
    </w:p>
    <w:p w14:paraId="7DA2DF8B">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C66C13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3D0F6693">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2DED82B">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A17970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4609C43B">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FB9D95B">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7D474AB">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C8C7A4B">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43C7599">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E784D11">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83160E3">
      <w:pPr>
        <w:spacing w:line="440" w:lineRule="exact"/>
        <w:rPr>
          <w:rFonts w:ascii="宋体" w:hAnsi="宋体"/>
          <w:color w:val="auto"/>
          <w:sz w:val="24"/>
          <w:highlight w:val="none"/>
        </w:rPr>
      </w:pPr>
    </w:p>
    <w:p w14:paraId="295ECAE5">
      <w:pPr>
        <w:spacing w:line="440" w:lineRule="exact"/>
        <w:rPr>
          <w:rFonts w:ascii="宋体" w:hAnsi="宋体"/>
          <w:color w:val="auto"/>
          <w:sz w:val="24"/>
          <w:highlight w:val="none"/>
        </w:rPr>
      </w:pPr>
    </w:p>
    <w:p w14:paraId="349A7248">
      <w:pPr>
        <w:spacing w:line="440" w:lineRule="exact"/>
        <w:rPr>
          <w:rFonts w:ascii="宋体" w:hAnsi="宋体"/>
          <w:color w:val="auto"/>
          <w:sz w:val="24"/>
          <w:highlight w:val="none"/>
        </w:rPr>
      </w:pPr>
    </w:p>
    <w:p w14:paraId="241F0BC0">
      <w:pPr>
        <w:snapToGrid w:val="0"/>
        <w:spacing w:line="360" w:lineRule="auto"/>
        <w:ind w:left="-2" w:leftChars="-1" w:right="-817" w:rightChars="-389" w:firstLine="3600" w:firstLineChars="1500"/>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6128530">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供应商名称（电子签章）：</w:t>
      </w:r>
      <w:r>
        <w:rPr>
          <w:rFonts w:hint="eastAsia" w:ascii="宋体" w:hAnsi="宋体"/>
          <w:color w:val="auto"/>
          <w:sz w:val="24"/>
          <w:highlight w:val="none"/>
          <w:u w:val="single"/>
        </w:rPr>
        <w:t xml:space="preserve">            </w:t>
      </w:r>
    </w:p>
    <w:p w14:paraId="1F8C645F">
      <w:pPr>
        <w:snapToGrid w:val="0"/>
        <w:spacing w:line="360" w:lineRule="auto"/>
        <w:ind w:right="480" w:firstLine="240" w:firstLineChars="100"/>
        <w:jc w:val="left"/>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7F3537F">
      <w:pPr>
        <w:rPr>
          <w:rFonts w:ascii="宋体" w:hAnsi="宋体"/>
          <w:b/>
          <w:bCs/>
          <w:color w:val="auto"/>
          <w:sz w:val="24"/>
          <w:highlight w:val="none"/>
        </w:rPr>
      </w:pPr>
      <w:r>
        <w:rPr>
          <w:rFonts w:hint="eastAsia" w:ascii="宋体" w:hAnsi="宋体"/>
          <w:b/>
          <w:bCs/>
          <w:color w:val="auto"/>
          <w:sz w:val="24"/>
          <w:highlight w:val="none"/>
        </w:rPr>
        <w:br w:type="page"/>
      </w:r>
    </w:p>
    <w:p w14:paraId="7CD717CF">
      <w:pPr>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14:paraId="62B956E2">
      <w:pPr>
        <w:jc w:val="center"/>
        <w:rPr>
          <w:rFonts w:ascii="方正小标宋简体" w:hAnsi="方正小标宋简体" w:eastAsia="方正小标宋简体" w:cs="方正小标宋简体"/>
          <w:color w:val="auto"/>
          <w:sz w:val="44"/>
          <w:szCs w:val="44"/>
          <w:highlight w:val="none"/>
        </w:rPr>
      </w:pPr>
      <w:bookmarkStart w:id="175" w:name="_Toc71365926"/>
      <w:r>
        <w:rPr>
          <w:rFonts w:hint="eastAsia" w:ascii="方正小标宋简体" w:hAnsi="方正小标宋简体" w:eastAsia="方正小标宋简体" w:cs="方正小标宋简体"/>
          <w:color w:val="auto"/>
          <w:sz w:val="44"/>
          <w:szCs w:val="44"/>
          <w:highlight w:val="none"/>
        </w:rPr>
        <w:t>中小企业声明函（服务）</w:t>
      </w:r>
      <w:bookmarkEnd w:id="175"/>
    </w:p>
    <w:p w14:paraId="7B471183">
      <w:pPr>
        <w:spacing w:before="2" w:line="500" w:lineRule="exact"/>
        <w:ind w:firstLine="708" w:firstLineChars="294"/>
        <w:rPr>
          <w:rFonts w:ascii="宋体" w:hAnsi="宋体" w:cs="宋体"/>
          <w:b/>
          <w:bCs/>
          <w:color w:val="auto"/>
          <w:sz w:val="24"/>
          <w:highlight w:val="none"/>
        </w:rPr>
      </w:pPr>
    </w:p>
    <w:p w14:paraId="7077C0A1">
      <w:pPr>
        <w:pStyle w:val="1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3D25CC03">
      <w:pPr>
        <w:pStyle w:val="13"/>
        <w:spacing w:before="34" w:line="500" w:lineRule="exact"/>
        <w:ind w:right="142" w:firstLine="480" w:firstLineChars="200"/>
        <w:rPr>
          <w:rFonts w:ascii="宋体" w:hAnsi="宋体"/>
          <w:color w:val="auto"/>
          <w:sz w:val="24"/>
          <w:highlight w:val="none"/>
        </w:rPr>
      </w:pPr>
      <w:r>
        <w:rPr>
          <w:rFonts w:hint="eastAsia" w:ascii="宋体" w:hAnsi="宋体"/>
          <w:color w:val="auto"/>
          <w:sz w:val="24"/>
          <w:highlight w:val="none"/>
          <w:u w:val="singl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E105BBD">
      <w:pPr>
        <w:pStyle w:val="13"/>
        <w:spacing w:before="34" w:line="500" w:lineRule="exact"/>
        <w:ind w:right="142" w:firstLine="480" w:firstLineChars="200"/>
        <w:rPr>
          <w:rFonts w:ascii="宋体" w:hAnsi="宋体"/>
          <w:color w:val="auto"/>
          <w:sz w:val="24"/>
          <w:highlight w:val="none"/>
        </w:rPr>
      </w:pPr>
      <w:r>
        <w:rPr>
          <w:rFonts w:hint="eastAsia" w:ascii="宋体" w:hAnsi="宋体"/>
          <w:color w:val="auto"/>
          <w:sz w:val="24"/>
          <w:highlight w:val="none"/>
          <w:u w:val="singl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49C5AE6">
      <w:pPr>
        <w:pStyle w:val="13"/>
        <w:spacing w:before="34" w:line="500" w:lineRule="exact"/>
        <w:ind w:right="142" w:firstLine="480" w:firstLineChars="200"/>
        <w:rPr>
          <w:rFonts w:ascii="宋体" w:hAnsi="宋体"/>
          <w:color w:val="auto"/>
          <w:sz w:val="24"/>
          <w:highlight w:val="none"/>
        </w:rPr>
      </w:pPr>
      <w:r>
        <w:rPr>
          <w:rFonts w:ascii="宋体" w:hAnsi="宋体"/>
          <w:color w:val="auto"/>
          <w:sz w:val="24"/>
          <w:highlight w:val="none"/>
        </w:rPr>
        <w:t xml:space="preserve">…… </w:t>
      </w:r>
    </w:p>
    <w:p w14:paraId="7D57D921">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2E31D44E">
      <w:pPr>
        <w:pStyle w:val="1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8AA7DFE">
      <w:pPr>
        <w:pStyle w:val="13"/>
        <w:spacing w:before="56" w:line="500" w:lineRule="exact"/>
        <w:ind w:right="1808" w:firstLine="705" w:firstLineChars="294"/>
        <w:rPr>
          <w:rFonts w:ascii="宋体" w:hAnsi="宋体"/>
          <w:color w:val="auto"/>
          <w:sz w:val="24"/>
          <w:highlight w:val="none"/>
        </w:rPr>
      </w:pPr>
    </w:p>
    <w:p w14:paraId="4FB041F4">
      <w:pPr>
        <w:pStyle w:val="13"/>
        <w:spacing w:before="56" w:line="500" w:lineRule="exact"/>
        <w:ind w:right="650" w:firstLine="5625" w:firstLineChars="2344"/>
        <w:rPr>
          <w:rFonts w:ascii="宋体" w:hAnsi="宋体"/>
          <w:color w:val="auto"/>
          <w:sz w:val="24"/>
          <w:highlight w:val="none"/>
        </w:rPr>
      </w:pPr>
      <w:r>
        <w:rPr>
          <w:rFonts w:hint="eastAsia" w:ascii="宋体" w:hAnsi="宋体"/>
          <w:color w:val="auto"/>
          <w:sz w:val="24"/>
          <w:highlight w:val="none"/>
        </w:rPr>
        <w:t>企业名称（电子签章）</w:t>
      </w:r>
      <w:r>
        <w:rPr>
          <w:rFonts w:ascii="宋体" w:hAnsi="宋体"/>
          <w:color w:val="auto"/>
          <w:sz w:val="24"/>
          <w:highlight w:val="none"/>
        </w:rPr>
        <w:t xml:space="preserve">： </w:t>
      </w:r>
    </w:p>
    <w:p w14:paraId="37DF0ED3">
      <w:pPr>
        <w:pStyle w:val="1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03487EAF">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F30C4BD">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5CF82CE0">
      <w:pPr>
        <w:spacing w:line="360" w:lineRule="auto"/>
        <w:contextualSpacing/>
        <w:rPr>
          <w:rFonts w:ascii="仿宋_GB2312" w:hAnsi="仿宋_GB2312" w:eastAsia="仿宋_GB2312" w:cs="仿宋_GB2312"/>
          <w:color w:val="auto"/>
          <w:sz w:val="32"/>
          <w:szCs w:val="32"/>
          <w:highlight w:val="none"/>
        </w:rPr>
      </w:pPr>
    </w:p>
    <w:p w14:paraId="37DE704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B864B0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9F83ED5">
      <w:pPr>
        <w:spacing w:line="360" w:lineRule="auto"/>
        <w:contextualSpacing/>
        <w:rPr>
          <w:rFonts w:ascii="宋体" w:hAnsi="宋体" w:cs="仿宋_GB2312"/>
          <w:color w:val="auto"/>
          <w:sz w:val="24"/>
          <w:highlight w:val="none"/>
        </w:rPr>
      </w:pPr>
    </w:p>
    <w:p w14:paraId="638F205B">
      <w:pPr>
        <w:spacing w:line="360" w:lineRule="auto"/>
        <w:contextualSpacing/>
        <w:rPr>
          <w:rFonts w:ascii="宋体" w:hAnsi="宋体" w:cs="仿宋_GB2312"/>
          <w:color w:val="auto"/>
          <w:sz w:val="24"/>
          <w:highlight w:val="none"/>
        </w:rPr>
      </w:pPr>
    </w:p>
    <w:p w14:paraId="04D93EFE">
      <w:pPr>
        <w:spacing w:line="360" w:lineRule="auto"/>
        <w:contextualSpacing/>
        <w:rPr>
          <w:rFonts w:ascii="宋体" w:hAnsi="宋体" w:cs="仿宋_GB2312"/>
          <w:color w:val="auto"/>
          <w:sz w:val="24"/>
          <w:highlight w:val="none"/>
        </w:rPr>
      </w:pPr>
    </w:p>
    <w:p w14:paraId="1D525A63">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7B623FB5">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0333085B">
      <w:pPr>
        <w:spacing w:line="360" w:lineRule="auto"/>
        <w:contextualSpacing/>
        <w:rPr>
          <w:rFonts w:ascii="宋体" w:hAnsi="宋体" w:cs="仿宋_GB2312"/>
          <w:color w:val="auto"/>
          <w:sz w:val="24"/>
          <w:highlight w:val="none"/>
        </w:rPr>
      </w:pPr>
    </w:p>
    <w:p w14:paraId="57D43970">
      <w:pPr>
        <w:spacing w:line="360" w:lineRule="auto"/>
        <w:contextualSpacing/>
        <w:rPr>
          <w:rFonts w:ascii="宋体" w:hAnsi="宋体" w:cs="仿宋_GB2312"/>
          <w:color w:val="auto"/>
          <w:sz w:val="24"/>
          <w:highlight w:val="none"/>
        </w:rPr>
      </w:pPr>
    </w:p>
    <w:p w14:paraId="03AC683E">
      <w:pPr>
        <w:spacing w:line="360" w:lineRule="auto"/>
        <w:contextualSpacing/>
        <w:rPr>
          <w:rFonts w:ascii="宋体" w:hAnsi="宋体" w:cs="仿宋_GB2312"/>
          <w:color w:val="auto"/>
          <w:sz w:val="24"/>
          <w:highlight w:val="none"/>
        </w:rPr>
      </w:pPr>
    </w:p>
    <w:p w14:paraId="0827C1E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845A6C8">
      <w:pPr>
        <w:spacing w:line="360" w:lineRule="auto"/>
        <w:contextualSpacing/>
        <w:rPr>
          <w:rFonts w:ascii="宋体" w:hAnsi="宋体" w:cs="仿宋_GB2312"/>
          <w:color w:val="auto"/>
          <w:sz w:val="24"/>
          <w:highlight w:val="none"/>
        </w:rPr>
      </w:pPr>
    </w:p>
    <w:p w14:paraId="231C42E4">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0E3EDE9A">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1CEE6F26">
      <w:pPr>
        <w:pStyle w:val="1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022AB6F0">
      <w:pPr>
        <w:pStyle w:val="16"/>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BB8B628">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830F360">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8F5885C">
      <w:pPr>
        <w:pStyle w:val="16"/>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E7D0D23">
      <w:pPr>
        <w:pStyle w:val="16"/>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E6DB7C7">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23032C0">
      <w:pPr>
        <w:pStyle w:val="1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0E17A122">
      <w:pPr>
        <w:pStyle w:val="1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B8D3D5E">
      <w:pPr>
        <w:pStyle w:val="1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478097A">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C106E59">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1D665527">
      <w:pPr>
        <w:pStyle w:val="1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9DD86B7">
      <w:pPr>
        <w:pStyle w:val="1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42861A9C">
      <w:pPr>
        <w:pStyle w:val="16"/>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2DB79D87">
      <w:pPr>
        <w:pStyle w:val="16"/>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78230920">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321FC98">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9E449AD">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5EB78CB">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7585E2D4">
      <w:pPr>
        <w:pStyle w:val="16"/>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2C5BCC1D">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58B239FE">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867ADB9">
      <w:pPr>
        <w:pStyle w:val="16"/>
        <w:spacing w:line="360" w:lineRule="auto"/>
        <w:ind w:left="25" w:leftChars="12" w:firstLine="352" w:firstLineChars="147"/>
        <w:contextualSpacing/>
        <w:rPr>
          <w:rFonts w:hAnsi="宋体"/>
          <w:color w:val="auto"/>
          <w:sz w:val="24"/>
          <w:szCs w:val="24"/>
          <w:highlight w:val="none"/>
        </w:rPr>
      </w:pPr>
    </w:p>
    <w:p w14:paraId="4C8073FD">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76EE8C52">
      <w:pPr>
        <w:pStyle w:val="16"/>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388A16B5">
      <w:pPr>
        <w:rPr>
          <w:rFonts w:hAnsi="宋体"/>
          <w:b/>
          <w:color w:val="auto"/>
          <w:sz w:val="24"/>
          <w:highlight w:val="none"/>
        </w:rPr>
      </w:pPr>
      <w:r>
        <w:rPr>
          <w:rFonts w:hint="eastAsia" w:hAnsi="宋体"/>
          <w:b/>
          <w:color w:val="auto"/>
          <w:sz w:val="24"/>
          <w:highlight w:val="none"/>
        </w:rPr>
        <w:br w:type="page"/>
      </w:r>
    </w:p>
    <w:p w14:paraId="2495ED68">
      <w:pPr>
        <w:pStyle w:val="16"/>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26C1657B">
      <w:pPr>
        <w:pStyle w:val="16"/>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45EEA16">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4735FF">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EEF2F9C">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49024172">
      <w:pPr>
        <w:pStyle w:val="16"/>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695A115">
      <w:pPr>
        <w:rPr>
          <w:rFonts w:hAnsi="宋体"/>
          <w:b/>
          <w:color w:val="auto"/>
          <w:sz w:val="24"/>
          <w:highlight w:val="none"/>
        </w:rPr>
      </w:pPr>
      <w:r>
        <w:rPr>
          <w:rFonts w:hint="eastAsia" w:hAnsi="宋体"/>
          <w:b/>
          <w:color w:val="auto"/>
          <w:sz w:val="24"/>
          <w:highlight w:val="none"/>
        </w:rPr>
        <w:br w:type="page"/>
      </w:r>
    </w:p>
    <w:p w14:paraId="65518755">
      <w:pPr>
        <w:spacing w:line="360" w:lineRule="auto"/>
        <w:jc w:val="center"/>
        <w:rPr>
          <w:rFonts w:ascii="方正小标宋简体" w:hAnsi="方正小标宋简体" w:eastAsia="方正小标宋简体" w:cs="方正小标宋简体"/>
          <w:color w:val="auto"/>
          <w:sz w:val="44"/>
          <w:szCs w:val="44"/>
          <w:highlight w:val="none"/>
        </w:rPr>
      </w:pPr>
      <w:bookmarkStart w:id="176" w:name="_Toc74323461"/>
      <w:r>
        <w:rPr>
          <w:rFonts w:hint="eastAsia" w:ascii="方正小标宋简体" w:hAnsi="方正小标宋简体" w:eastAsia="方正小标宋简体" w:cs="方正小标宋简体"/>
          <w:color w:val="auto"/>
          <w:sz w:val="44"/>
          <w:szCs w:val="44"/>
          <w:highlight w:val="none"/>
        </w:rPr>
        <w:t>投诉书（格式）</w:t>
      </w:r>
    </w:p>
    <w:p w14:paraId="03C1A684">
      <w:pPr>
        <w:pStyle w:val="1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371DD93D">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F23D759">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D09312B">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4B03589">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702866F">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6EC3CF8">
      <w:pPr>
        <w:pStyle w:val="1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FEBDE77">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6C27C68">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2E2B8151">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60CCA9B">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C56F67">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84FAD1F">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73B1248C">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6DD40817">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A4756A9">
      <w:pPr>
        <w:pStyle w:val="1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DD4786C">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B1C97C7">
      <w:pPr>
        <w:pStyle w:val="1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12F7B79D">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44BC180">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94B1F92">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206F63C">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20213F9B">
      <w:pPr>
        <w:pStyle w:val="16"/>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691CEB0">
      <w:pPr>
        <w:pStyle w:val="16"/>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2B30451">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8B94AC0">
      <w:pPr>
        <w:pStyle w:val="16"/>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777591D8">
      <w:pPr>
        <w:pStyle w:val="16"/>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4691376">
      <w:pPr>
        <w:pStyle w:val="16"/>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E1C89C7">
      <w:pPr>
        <w:pStyle w:val="16"/>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7DE977F">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166B4E3">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C362275">
      <w:pPr>
        <w:pStyle w:val="1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3D4D2F9">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6AE66A8">
      <w:pPr>
        <w:pStyle w:val="1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BA530D1">
      <w:pPr>
        <w:pStyle w:val="16"/>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B4EB073">
      <w:pPr>
        <w:pStyle w:val="16"/>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4D3DC41">
      <w:pPr>
        <w:pStyle w:val="16"/>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2EB59776">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7804849">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F61D7C2">
      <w:pPr>
        <w:pStyle w:val="16"/>
        <w:spacing w:line="360" w:lineRule="auto"/>
        <w:ind w:left="25" w:leftChars="12" w:firstLine="352" w:firstLineChars="147"/>
        <w:rPr>
          <w:rFonts w:hAnsi="宋体"/>
          <w:color w:val="auto"/>
          <w:sz w:val="24"/>
          <w:szCs w:val="24"/>
          <w:highlight w:val="none"/>
        </w:rPr>
      </w:pPr>
    </w:p>
    <w:p w14:paraId="479F1301">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CA8EBEC">
      <w:pPr>
        <w:pStyle w:val="16"/>
        <w:spacing w:line="360" w:lineRule="auto"/>
        <w:ind w:left="25" w:leftChars="12" w:firstLine="352" w:firstLineChars="147"/>
        <w:rPr>
          <w:rFonts w:hAnsi="宋体"/>
          <w:color w:val="auto"/>
          <w:sz w:val="24"/>
          <w:szCs w:val="24"/>
          <w:highlight w:val="none"/>
        </w:rPr>
      </w:pPr>
    </w:p>
    <w:p w14:paraId="376F9F6A">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504387D0">
      <w:pPr>
        <w:pStyle w:val="16"/>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49BE1C64">
      <w:pPr>
        <w:pStyle w:val="16"/>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1D53FC66">
      <w:pPr>
        <w:pStyle w:val="1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A06A740">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C4B260E">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9FFBED3">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3489964">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53316B04">
      <w:pPr>
        <w:pStyle w:val="16"/>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9E3628E">
      <w:pPr>
        <w:pStyle w:val="2"/>
        <w:jc w:val="center"/>
        <w:rPr>
          <w:color w:val="auto"/>
          <w:highlight w:val="none"/>
        </w:rPr>
      </w:pPr>
    </w:p>
    <w:p w14:paraId="13489CDB">
      <w:pPr>
        <w:pStyle w:val="2"/>
        <w:jc w:val="center"/>
        <w:rPr>
          <w:color w:val="auto"/>
          <w:highlight w:val="none"/>
        </w:rPr>
      </w:pPr>
      <w:r>
        <w:rPr>
          <w:rFonts w:hint="eastAsia"/>
          <w:color w:val="auto"/>
          <w:highlight w:val="none"/>
        </w:rPr>
        <w:t>第六章 合同文本</w:t>
      </w:r>
      <w:bookmarkEnd w:id="176"/>
    </w:p>
    <w:p w14:paraId="63B64B08">
      <w:pPr>
        <w:rPr>
          <w:color w:val="auto"/>
          <w:highlight w:val="none"/>
        </w:rPr>
      </w:pPr>
      <w:r>
        <w:rPr>
          <w:rFonts w:hint="eastAsia"/>
          <w:color w:val="auto"/>
          <w:highlight w:val="none"/>
        </w:rPr>
        <w:br w:type="page"/>
      </w:r>
    </w:p>
    <w:p w14:paraId="63696B10">
      <w:pPr>
        <w:snapToGrid w:val="0"/>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政府采购合同</w:t>
      </w:r>
    </w:p>
    <w:p w14:paraId="5E3D3A00">
      <w:pPr>
        <w:snapToGrid w:val="0"/>
        <w:spacing w:line="360" w:lineRule="auto"/>
        <w:ind w:left="420" w:hanging="420" w:hangingChars="200"/>
        <w:rPr>
          <w:rFonts w:ascii="宋体" w:hAnsi="宋体" w:cs="宋体"/>
          <w:bCs/>
          <w:color w:val="auto"/>
          <w:szCs w:val="21"/>
          <w:highlight w:val="none"/>
          <w:u w:val="single"/>
        </w:rPr>
      </w:pPr>
      <w:r>
        <w:rPr>
          <w:rFonts w:hint="eastAsia" w:ascii="宋体" w:hAnsi="宋体" w:cs="宋体"/>
          <w:bCs/>
          <w:color w:val="auto"/>
          <w:szCs w:val="21"/>
          <w:highlight w:val="none"/>
          <w:lang w:bidi="ar"/>
        </w:rPr>
        <w:t>合同编号：</w:t>
      </w:r>
    </w:p>
    <w:p w14:paraId="6DE6EF22">
      <w:pPr>
        <w:snapToGrid w:val="0"/>
        <w:spacing w:line="360" w:lineRule="auto"/>
        <w:ind w:left="420" w:hanging="420" w:hangingChars="200"/>
        <w:rPr>
          <w:rFonts w:ascii="宋体" w:hAnsi="宋体" w:cs="宋体"/>
          <w:bCs/>
          <w:color w:val="auto"/>
          <w:szCs w:val="21"/>
          <w:highlight w:val="none"/>
          <w:lang w:bidi="ar"/>
        </w:rPr>
      </w:pPr>
      <w:r>
        <w:rPr>
          <w:rFonts w:hint="eastAsia" w:ascii="宋体" w:hAnsi="宋体" w:cs="宋体"/>
          <w:bCs/>
          <w:color w:val="auto"/>
          <w:szCs w:val="21"/>
          <w:highlight w:val="none"/>
          <w:lang w:bidi="ar"/>
        </w:rPr>
        <w:t>采购单位（甲方）：</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 xml:space="preserve">     </w:t>
      </w:r>
    </w:p>
    <w:p w14:paraId="4F70E316">
      <w:pPr>
        <w:snapToGrid w:val="0"/>
        <w:spacing w:line="360" w:lineRule="auto"/>
        <w:ind w:left="420" w:hanging="420" w:hangingChars="200"/>
        <w:rPr>
          <w:rFonts w:ascii="宋体" w:hAnsi="宋体" w:cs="宋体"/>
          <w:bCs/>
          <w:color w:val="auto"/>
          <w:szCs w:val="21"/>
          <w:highlight w:val="none"/>
          <w:u w:val="single"/>
        </w:rPr>
      </w:pPr>
      <w:r>
        <w:rPr>
          <w:rFonts w:hint="eastAsia" w:ascii="宋体" w:hAnsi="宋体" w:cs="宋体"/>
          <w:bCs/>
          <w:color w:val="auto"/>
          <w:szCs w:val="21"/>
          <w:highlight w:val="none"/>
          <w:lang w:bidi="ar"/>
        </w:rPr>
        <w:t>成交供应商（乙方）：</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 xml:space="preserve">      项目名称和编号：</w:t>
      </w:r>
      <w:r>
        <w:rPr>
          <w:rFonts w:hint="eastAsia" w:ascii="宋体" w:hAnsi="宋体" w:cs="宋体"/>
          <w:bCs/>
          <w:color w:val="auto"/>
          <w:szCs w:val="21"/>
          <w:highlight w:val="none"/>
          <w:u w:val="single"/>
          <w:lang w:bidi="ar"/>
        </w:rPr>
        <w:t xml:space="preserve">         </w:t>
      </w:r>
    </w:p>
    <w:p w14:paraId="38C4A706">
      <w:pPr>
        <w:snapToGrid w:val="0"/>
        <w:spacing w:line="360" w:lineRule="auto"/>
        <w:ind w:left="420" w:hanging="420" w:hangingChars="200"/>
        <w:rPr>
          <w:rFonts w:ascii="宋体" w:hAnsi="宋体" w:cs="宋体"/>
          <w:bCs/>
          <w:color w:val="auto"/>
          <w:szCs w:val="21"/>
          <w:highlight w:val="none"/>
          <w:u w:val="single"/>
        </w:rPr>
      </w:pPr>
      <w:r>
        <w:rPr>
          <w:rFonts w:hint="eastAsia" w:ascii="宋体" w:hAnsi="宋体" w:cs="宋体"/>
          <w:bCs/>
          <w:color w:val="auto"/>
          <w:szCs w:val="21"/>
          <w:highlight w:val="none"/>
          <w:lang w:bidi="ar"/>
        </w:rPr>
        <w:t>签  订  地  点：</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 xml:space="preserve">      签订时间：</w:t>
      </w:r>
      <w:r>
        <w:rPr>
          <w:rFonts w:hint="eastAsia" w:ascii="宋体" w:hAnsi="宋体" w:cs="宋体"/>
          <w:bCs/>
          <w:color w:val="auto"/>
          <w:szCs w:val="21"/>
          <w:highlight w:val="none"/>
          <w:u w:val="single"/>
          <w:lang w:bidi="ar"/>
        </w:rPr>
        <w:t xml:space="preserve">                </w:t>
      </w:r>
    </w:p>
    <w:p w14:paraId="6B48577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本合同是否为中小企业预留合同：</w:t>
      </w:r>
      <w:r>
        <w:rPr>
          <w:rFonts w:hint="eastAsia" w:ascii="宋体" w:hAnsi="宋体" w:cs="宋体"/>
          <w:color w:val="auto"/>
          <w:szCs w:val="21"/>
          <w:highlight w:val="none"/>
          <w:u w:val="single"/>
        </w:rPr>
        <w:t>是</w:t>
      </w:r>
    </w:p>
    <w:p w14:paraId="515032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0CA44F6A">
      <w:pPr>
        <w:numPr>
          <w:ilvl w:val="0"/>
          <w:numId w:val="7"/>
        </w:numPr>
        <w:spacing w:line="360" w:lineRule="auto"/>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项目概况和服务成果交付</w:t>
      </w:r>
    </w:p>
    <w:p w14:paraId="168755A6">
      <w:pPr>
        <w:snapToGrid w:val="0"/>
        <w:spacing w:line="360" w:lineRule="auto"/>
        <w:ind w:firstLine="420" w:firstLineChars="200"/>
        <w:jc w:val="left"/>
        <w:outlineLvl w:val="1"/>
        <w:rPr>
          <w:rFonts w:ascii="宋体" w:hAnsi="宋体" w:cs="宋体"/>
          <w:color w:val="auto"/>
          <w:kern w:val="0"/>
          <w:szCs w:val="21"/>
          <w:highlight w:val="none"/>
        </w:rPr>
      </w:pPr>
      <w:r>
        <w:rPr>
          <w:rFonts w:hint="eastAsia" w:ascii="宋体" w:hAnsi="宋体" w:cs="宋体"/>
          <w:color w:val="auto"/>
          <w:kern w:val="0"/>
          <w:szCs w:val="21"/>
          <w:highlight w:val="none"/>
        </w:rPr>
        <w:t>1.项目概况</w:t>
      </w:r>
    </w:p>
    <w:p w14:paraId="60ED875C">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（1）项目名称：梧州市政府办公大楼既有建筑节能降碳改造项目（重）</w:t>
      </w:r>
    </w:p>
    <w:p w14:paraId="136ECE42">
      <w:pPr>
        <w:snapToGrid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（2）服务范围：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CEB7ACB">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（3）交付付间：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0D275CC">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（4）交付地点：</w:t>
      </w:r>
      <w:r>
        <w:rPr>
          <w:rFonts w:hint="eastAsia" w:ascii="宋体" w:hAnsi="宋体" w:cs="宋体"/>
          <w:color w:val="auto"/>
          <w:kern w:val="0"/>
          <w:szCs w:val="21"/>
          <w:highlight w:val="none"/>
          <w:u w:val="single"/>
        </w:rPr>
        <w:t xml:space="preserve">       梧州市政府办公大楼                    </w:t>
      </w:r>
      <w:r>
        <w:rPr>
          <w:rFonts w:hint="eastAsia" w:ascii="宋体" w:hAnsi="宋体" w:cs="宋体"/>
          <w:color w:val="auto"/>
          <w:kern w:val="0"/>
          <w:szCs w:val="21"/>
          <w:highlight w:val="none"/>
        </w:rPr>
        <w:t>；</w:t>
      </w:r>
    </w:p>
    <w:p w14:paraId="74FDC17D">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报价要求:包含</w:t>
      </w:r>
      <w:r>
        <w:rPr>
          <w:rFonts w:hint="eastAsia" w:ascii="宋体" w:hAnsi="宋体" w:cs="宋体"/>
          <w:color w:val="auto"/>
          <w:kern w:val="0"/>
          <w:szCs w:val="21"/>
          <w:highlight w:val="none"/>
        </w:rPr>
        <w:t>乙方</w:t>
      </w:r>
      <w:r>
        <w:rPr>
          <w:rFonts w:ascii="宋体" w:hAnsi="宋体" w:cs="宋体"/>
          <w:color w:val="auto"/>
          <w:kern w:val="0"/>
          <w:szCs w:val="21"/>
          <w:highlight w:val="none"/>
        </w:rPr>
        <w:t>完成本项目服务所有内容及其他可能发生的一切费用。报价包含但不限于服务所包含的货物成本、提交成果、编制、组织、策划、开发、调研、技术协助、校准、培训、技术指导、税金等 类似服务内容的全部费用，</w:t>
      </w:r>
      <w:r>
        <w:rPr>
          <w:rFonts w:hint="eastAsia" w:ascii="宋体" w:hAnsi="宋体" w:cs="宋体"/>
          <w:color w:val="auto"/>
          <w:kern w:val="0"/>
          <w:szCs w:val="21"/>
          <w:highlight w:val="none"/>
        </w:rPr>
        <w:t>甲方</w:t>
      </w:r>
      <w:r>
        <w:rPr>
          <w:rFonts w:ascii="宋体" w:hAnsi="宋体" w:cs="宋体"/>
          <w:color w:val="auto"/>
          <w:kern w:val="0"/>
          <w:szCs w:val="21"/>
          <w:highlight w:val="none"/>
        </w:rPr>
        <w:t>不再支付其他任何费用。</w:t>
      </w:r>
    </w:p>
    <w:p w14:paraId="45F4C2F5">
      <w:pPr>
        <w:snapToGrid w:val="0"/>
        <w:spacing w:line="360" w:lineRule="auto"/>
        <w:ind w:firstLine="420" w:firstLineChars="200"/>
        <w:jc w:val="left"/>
        <w:outlineLvl w:val="1"/>
        <w:rPr>
          <w:color w:val="auto"/>
          <w:kern w:val="0"/>
          <w:sz w:val="18"/>
          <w:szCs w:val="18"/>
          <w:highlight w:val="none"/>
        </w:rPr>
      </w:pPr>
      <w:r>
        <w:rPr>
          <w:rFonts w:hint="eastAsia" w:ascii="宋体" w:hAnsi="宋体" w:cs="宋体"/>
          <w:color w:val="auto"/>
          <w:kern w:val="0"/>
          <w:szCs w:val="21"/>
          <w:highlight w:val="none"/>
        </w:rPr>
        <w:t>2.合同标的：</w:t>
      </w:r>
    </w:p>
    <w:tbl>
      <w:tblPr>
        <w:tblStyle w:val="25"/>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3472"/>
        <w:gridCol w:w="2663"/>
        <w:gridCol w:w="2468"/>
      </w:tblGrid>
      <w:tr w14:paraId="59A1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1009" w:type="dxa"/>
            <w:tcBorders>
              <w:top w:val="single" w:color="auto" w:sz="4" w:space="0"/>
              <w:left w:val="single" w:color="auto" w:sz="4" w:space="0"/>
              <w:bottom w:val="single" w:color="auto" w:sz="4" w:space="0"/>
              <w:right w:val="single" w:color="auto" w:sz="4" w:space="0"/>
            </w:tcBorders>
            <w:vAlign w:val="center"/>
          </w:tcPr>
          <w:p w14:paraId="59E816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472" w:type="dxa"/>
            <w:tcBorders>
              <w:top w:val="single" w:color="auto" w:sz="4" w:space="0"/>
              <w:left w:val="single" w:color="auto" w:sz="4" w:space="0"/>
              <w:bottom w:val="single" w:color="auto" w:sz="4" w:space="0"/>
              <w:right w:val="single" w:color="auto" w:sz="4" w:space="0"/>
            </w:tcBorders>
            <w:vAlign w:val="center"/>
          </w:tcPr>
          <w:p w14:paraId="37A9BE7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2663" w:type="dxa"/>
            <w:tcBorders>
              <w:top w:val="single" w:color="auto" w:sz="4" w:space="0"/>
              <w:left w:val="single" w:color="auto" w:sz="4" w:space="0"/>
              <w:bottom w:val="single" w:color="auto" w:sz="4" w:space="0"/>
              <w:right w:val="single" w:color="auto" w:sz="4" w:space="0"/>
            </w:tcBorders>
            <w:vAlign w:val="center"/>
          </w:tcPr>
          <w:p w14:paraId="05FD67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2468" w:type="dxa"/>
            <w:tcBorders>
              <w:top w:val="single" w:color="auto" w:sz="4" w:space="0"/>
              <w:left w:val="single" w:color="auto" w:sz="4" w:space="0"/>
              <w:bottom w:val="single" w:color="auto" w:sz="4" w:space="0"/>
              <w:right w:val="single" w:color="auto" w:sz="4" w:space="0"/>
            </w:tcBorders>
            <w:vAlign w:val="center"/>
          </w:tcPr>
          <w:p w14:paraId="6585D0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r>
      <w:tr w14:paraId="56A5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009" w:type="dxa"/>
            <w:tcBorders>
              <w:top w:val="single" w:color="auto" w:sz="4" w:space="0"/>
              <w:left w:val="single" w:color="auto" w:sz="4" w:space="0"/>
              <w:bottom w:val="single" w:color="auto" w:sz="4" w:space="0"/>
              <w:right w:val="single" w:color="auto" w:sz="4" w:space="0"/>
            </w:tcBorders>
            <w:vAlign w:val="center"/>
          </w:tcPr>
          <w:p w14:paraId="34AC58C1">
            <w:pPr>
              <w:spacing w:line="360" w:lineRule="auto"/>
              <w:jc w:val="center"/>
              <w:rPr>
                <w:rFonts w:ascii="宋体" w:hAnsi="宋体" w:cs="宋体"/>
                <w:color w:val="auto"/>
                <w:szCs w:val="21"/>
                <w:highlight w:val="none"/>
              </w:rPr>
            </w:pPr>
          </w:p>
        </w:tc>
        <w:tc>
          <w:tcPr>
            <w:tcW w:w="3472" w:type="dxa"/>
            <w:tcBorders>
              <w:top w:val="single" w:color="auto" w:sz="4" w:space="0"/>
              <w:left w:val="single" w:color="auto" w:sz="4" w:space="0"/>
              <w:bottom w:val="single" w:color="auto" w:sz="4" w:space="0"/>
              <w:right w:val="single" w:color="auto" w:sz="4" w:space="0"/>
            </w:tcBorders>
            <w:vAlign w:val="center"/>
          </w:tcPr>
          <w:p w14:paraId="52D5AED1">
            <w:pPr>
              <w:spacing w:line="360" w:lineRule="auto"/>
              <w:jc w:val="left"/>
              <w:rPr>
                <w:rFonts w:ascii="宋体" w:hAnsi="宋体" w:cs="宋体"/>
                <w:color w:val="auto"/>
                <w:szCs w:val="21"/>
                <w:highlight w:val="none"/>
              </w:rPr>
            </w:pPr>
          </w:p>
        </w:tc>
        <w:tc>
          <w:tcPr>
            <w:tcW w:w="2663" w:type="dxa"/>
            <w:tcBorders>
              <w:top w:val="single" w:color="auto" w:sz="4" w:space="0"/>
              <w:left w:val="single" w:color="auto" w:sz="4" w:space="0"/>
              <w:bottom w:val="single" w:color="auto" w:sz="4" w:space="0"/>
              <w:right w:val="single" w:color="auto" w:sz="4" w:space="0"/>
            </w:tcBorders>
            <w:vAlign w:val="center"/>
          </w:tcPr>
          <w:p w14:paraId="6AA0656F">
            <w:pPr>
              <w:spacing w:line="360" w:lineRule="auto"/>
              <w:jc w:val="center"/>
              <w:rPr>
                <w:rFonts w:ascii="宋体" w:hAnsi="宋体" w:cs="宋体"/>
                <w:color w:val="auto"/>
                <w:szCs w:val="21"/>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2660478A">
            <w:pPr>
              <w:spacing w:line="360" w:lineRule="auto"/>
              <w:jc w:val="center"/>
              <w:rPr>
                <w:rFonts w:ascii="宋体" w:hAnsi="宋体" w:cs="宋体"/>
                <w:color w:val="auto"/>
                <w:szCs w:val="21"/>
                <w:highlight w:val="none"/>
              </w:rPr>
            </w:pPr>
          </w:p>
        </w:tc>
      </w:tr>
      <w:tr w14:paraId="3B46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009" w:type="dxa"/>
            <w:tcBorders>
              <w:top w:val="single" w:color="auto" w:sz="4" w:space="0"/>
              <w:left w:val="single" w:color="auto" w:sz="4" w:space="0"/>
              <w:bottom w:val="single" w:color="auto" w:sz="4" w:space="0"/>
              <w:right w:val="single" w:color="auto" w:sz="4" w:space="0"/>
            </w:tcBorders>
            <w:vAlign w:val="center"/>
          </w:tcPr>
          <w:p w14:paraId="1DD79E5E">
            <w:pPr>
              <w:spacing w:line="360" w:lineRule="auto"/>
              <w:jc w:val="center"/>
              <w:rPr>
                <w:rFonts w:ascii="宋体" w:hAnsi="宋体" w:cs="宋体"/>
                <w:color w:val="auto"/>
                <w:szCs w:val="21"/>
                <w:highlight w:val="none"/>
              </w:rPr>
            </w:pPr>
          </w:p>
        </w:tc>
        <w:tc>
          <w:tcPr>
            <w:tcW w:w="3472" w:type="dxa"/>
            <w:tcBorders>
              <w:top w:val="single" w:color="auto" w:sz="4" w:space="0"/>
              <w:left w:val="single" w:color="auto" w:sz="4" w:space="0"/>
              <w:bottom w:val="single" w:color="auto" w:sz="4" w:space="0"/>
              <w:right w:val="single" w:color="auto" w:sz="4" w:space="0"/>
            </w:tcBorders>
            <w:vAlign w:val="center"/>
          </w:tcPr>
          <w:p w14:paraId="73E334CB">
            <w:pPr>
              <w:spacing w:line="360" w:lineRule="auto"/>
              <w:jc w:val="left"/>
              <w:rPr>
                <w:rFonts w:ascii="宋体" w:hAnsi="宋体" w:cs="宋体"/>
                <w:color w:val="auto"/>
                <w:szCs w:val="21"/>
                <w:highlight w:val="none"/>
              </w:rPr>
            </w:pPr>
          </w:p>
        </w:tc>
        <w:tc>
          <w:tcPr>
            <w:tcW w:w="2663" w:type="dxa"/>
            <w:tcBorders>
              <w:top w:val="single" w:color="auto" w:sz="4" w:space="0"/>
              <w:left w:val="single" w:color="auto" w:sz="4" w:space="0"/>
              <w:bottom w:val="single" w:color="auto" w:sz="4" w:space="0"/>
              <w:right w:val="single" w:color="auto" w:sz="4" w:space="0"/>
            </w:tcBorders>
            <w:vAlign w:val="center"/>
          </w:tcPr>
          <w:p w14:paraId="6E6D35DF">
            <w:pPr>
              <w:spacing w:line="360" w:lineRule="auto"/>
              <w:jc w:val="center"/>
              <w:rPr>
                <w:rFonts w:ascii="宋体" w:hAnsi="宋体" w:cs="宋体"/>
                <w:color w:val="auto"/>
                <w:szCs w:val="21"/>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6EB89C07">
            <w:pPr>
              <w:spacing w:line="360" w:lineRule="auto"/>
              <w:jc w:val="center"/>
              <w:rPr>
                <w:rFonts w:ascii="宋体" w:hAnsi="宋体" w:cs="宋体"/>
                <w:color w:val="auto"/>
                <w:szCs w:val="21"/>
                <w:highlight w:val="none"/>
              </w:rPr>
            </w:pPr>
          </w:p>
        </w:tc>
      </w:tr>
      <w:tr w14:paraId="49E3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009" w:type="dxa"/>
            <w:tcBorders>
              <w:top w:val="single" w:color="auto" w:sz="4" w:space="0"/>
              <w:left w:val="single" w:color="auto" w:sz="4" w:space="0"/>
              <w:bottom w:val="single" w:color="auto" w:sz="4" w:space="0"/>
              <w:right w:val="single" w:color="auto" w:sz="4" w:space="0"/>
            </w:tcBorders>
            <w:vAlign w:val="center"/>
          </w:tcPr>
          <w:p w14:paraId="209AE69F">
            <w:pPr>
              <w:spacing w:line="360" w:lineRule="auto"/>
              <w:jc w:val="center"/>
              <w:rPr>
                <w:rFonts w:ascii="宋体" w:hAnsi="宋体" w:cs="宋体"/>
                <w:color w:val="auto"/>
                <w:szCs w:val="21"/>
                <w:highlight w:val="none"/>
              </w:rPr>
            </w:pPr>
          </w:p>
        </w:tc>
        <w:tc>
          <w:tcPr>
            <w:tcW w:w="3472" w:type="dxa"/>
            <w:tcBorders>
              <w:top w:val="single" w:color="auto" w:sz="4" w:space="0"/>
              <w:left w:val="single" w:color="auto" w:sz="4" w:space="0"/>
              <w:bottom w:val="single" w:color="auto" w:sz="4" w:space="0"/>
              <w:right w:val="single" w:color="auto" w:sz="4" w:space="0"/>
            </w:tcBorders>
            <w:vAlign w:val="center"/>
          </w:tcPr>
          <w:p w14:paraId="718E2EA3">
            <w:pPr>
              <w:spacing w:line="360" w:lineRule="auto"/>
              <w:jc w:val="left"/>
              <w:rPr>
                <w:rFonts w:ascii="宋体" w:hAnsi="宋体" w:cs="宋体"/>
                <w:color w:val="auto"/>
                <w:szCs w:val="21"/>
                <w:highlight w:val="none"/>
              </w:rPr>
            </w:pPr>
          </w:p>
        </w:tc>
        <w:tc>
          <w:tcPr>
            <w:tcW w:w="2663" w:type="dxa"/>
            <w:tcBorders>
              <w:top w:val="single" w:color="auto" w:sz="4" w:space="0"/>
              <w:left w:val="single" w:color="auto" w:sz="4" w:space="0"/>
              <w:right w:val="single" w:color="auto" w:sz="4" w:space="0"/>
            </w:tcBorders>
            <w:vAlign w:val="center"/>
          </w:tcPr>
          <w:p w14:paraId="76A00AFD">
            <w:pPr>
              <w:spacing w:line="360" w:lineRule="auto"/>
              <w:jc w:val="center"/>
              <w:rPr>
                <w:rFonts w:ascii="宋体" w:hAnsi="宋体" w:cs="宋体"/>
                <w:color w:val="auto"/>
                <w:szCs w:val="21"/>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74D27BC6">
            <w:pPr>
              <w:spacing w:line="360" w:lineRule="auto"/>
              <w:jc w:val="center"/>
              <w:rPr>
                <w:rFonts w:ascii="宋体" w:hAnsi="宋体" w:cs="宋体"/>
                <w:color w:val="auto"/>
                <w:szCs w:val="21"/>
                <w:highlight w:val="none"/>
              </w:rPr>
            </w:pPr>
          </w:p>
        </w:tc>
      </w:tr>
      <w:tr w14:paraId="12F4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9612" w:type="dxa"/>
            <w:gridSpan w:val="4"/>
            <w:tcBorders>
              <w:top w:val="single" w:color="auto" w:sz="4" w:space="0"/>
              <w:left w:val="single" w:color="auto" w:sz="4" w:space="0"/>
              <w:bottom w:val="single" w:color="auto" w:sz="4" w:space="0"/>
              <w:right w:val="single" w:color="auto" w:sz="4" w:space="0"/>
            </w:tcBorders>
            <w:vAlign w:val="center"/>
          </w:tcPr>
          <w:p w14:paraId="3345AC6D">
            <w:pPr>
              <w:spacing w:line="400" w:lineRule="exact"/>
              <w:rPr>
                <w:rFonts w:ascii="宋体" w:hAnsi="宋体" w:cs="宋体"/>
                <w:color w:val="auto"/>
                <w:szCs w:val="21"/>
                <w:highlight w:val="none"/>
              </w:rPr>
            </w:pPr>
            <w:r>
              <w:rPr>
                <w:rFonts w:hint="eastAsia" w:ascii="宋体" w:hAnsi="宋体" w:cs="宋体"/>
                <w:color w:val="auto"/>
                <w:szCs w:val="21"/>
                <w:highlight w:val="none"/>
              </w:rPr>
              <w:t>合计金额（人民币）：</w:t>
            </w:r>
            <w:r>
              <w:rPr>
                <w:rFonts w:hint="eastAsia" w:ascii="宋体" w:hAnsi="宋体" w:cs="宋体"/>
                <w:color w:val="auto"/>
                <w:szCs w:val="21"/>
                <w:highlight w:val="none"/>
                <w:u w:val="single"/>
              </w:rPr>
              <w:t xml:space="preserve">（大写）                          （小写）                   </w:t>
            </w:r>
            <w:r>
              <w:rPr>
                <w:rFonts w:hint="eastAsia" w:ascii="宋体" w:hAnsi="宋体" w:cs="宋体"/>
                <w:color w:val="auto"/>
                <w:szCs w:val="21"/>
                <w:highlight w:val="none"/>
              </w:rPr>
              <w:t xml:space="preserve">  </w:t>
            </w:r>
          </w:p>
        </w:tc>
      </w:tr>
    </w:tbl>
    <w:p w14:paraId="4D53B107">
      <w:pPr>
        <w:spacing w:line="40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第二条  权利和义务</w:t>
      </w:r>
    </w:p>
    <w:p w14:paraId="1EBB25D3">
      <w:pPr>
        <w:spacing w:line="400" w:lineRule="exact"/>
        <w:ind w:firstLine="422" w:firstLineChars="200"/>
        <w:outlineLvl w:val="1"/>
        <w:rPr>
          <w:rFonts w:ascii="宋体" w:hAnsi="宋体" w:cs="宋体"/>
          <w:b/>
          <w:color w:val="auto"/>
          <w:szCs w:val="21"/>
          <w:highlight w:val="none"/>
        </w:rPr>
      </w:pPr>
      <w:r>
        <w:rPr>
          <w:rFonts w:hint="eastAsia" w:ascii="宋体" w:hAnsi="宋体" w:cs="宋体"/>
          <w:b/>
          <w:color w:val="auto"/>
          <w:szCs w:val="21"/>
          <w:highlight w:val="none"/>
        </w:rPr>
        <w:t>1.甲方权利和义务</w:t>
      </w:r>
    </w:p>
    <w:p w14:paraId="0CA6BFA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甲方有权对合同规定范围内乙方的服务行为进行监督和检查，拥有监管权。有权定期核对乙方提供服务所配备的人员数量。对甲方认为不合理的部分有权下达整改通知书，并要求乙方限期整改。</w:t>
      </w:r>
    </w:p>
    <w:p w14:paraId="7414609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 负责检查监督乙方管理工作的实施及制度的执行情况。</w:t>
      </w:r>
    </w:p>
    <w:p w14:paraId="4CCB17D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 根据本合同规定，按时向乙方支付应付服务费用。</w:t>
      </w:r>
    </w:p>
    <w:p w14:paraId="265D69F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 国家法律、法规所规定由甲方承担的其它责任。</w:t>
      </w:r>
    </w:p>
    <w:p w14:paraId="68B81089">
      <w:pPr>
        <w:spacing w:line="400" w:lineRule="exact"/>
        <w:ind w:firstLine="422" w:firstLineChars="200"/>
        <w:outlineLvl w:val="1"/>
        <w:rPr>
          <w:rFonts w:ascii="宋体" w:hAnsi="宋体" w:cs="宋体"/>
          <w:b/>
          <w:color w:val="auto"/>
          <w:szCs w:val="21"/>
          <w:highlight w:val="none"/>
        </w:rPr>
      </w:pPr>
      <w:r>
        <w:rPr>
          <w:rFonts w:hint="eastAsia" w:ascii="宋体" w:hAnsi="宋体" w:cs="宋体"/>
          <w:b/>
          <w:color w:val="auto"/>
          <w:szCs w:val="21"/>
          <w:highlight w:val="none"/>
        </w:rPr>
        <w:t>2.乙方权利和义务</w:t>
      </w:r>
    </w:p>
    <w:p w14:paraId="785F3AB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 对本合同规定的委托服务范围内的项目享有管理权及服务义务。</w:t>
      </w:r>
    </w:p>
    <w:p w14:paraId="785DAF9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 根据本合同的规定向甲方收取相关服务费用，并有权在本项目管理范围内管理及合理使用。</w:t>
      </w:r>
    </w:p>
    <w:p w14:paraId="3D25230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 及时向甲方通告本项目服务范围内有关服务的重大事项，及时配合处理投诉。</w:t>
      </w:r>
    </w:p>
    <w:p w14:paraId="54BD4C7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 接受项目行业管理部门及政府有关部门的指导，接受甲方的监督。</w:t>
      </w:r>
    </w:p>
    <w:p w14:paraId="7D2B15F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 国家法律、法规所规定由乙方承担的其它责任。</w:t>
      </w:r>
    </w:p>
    <w:p w14:paraId="78F5BEE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 乙方所提供的服务必须符合相关政策文件及法律法规，严禁将甲方信息泄露。</w:t>
      </w:r>
    </w:p>
    <w:p w14:paraId="06A9839B">
      <w:pPr>
        <w:spacing w:line="40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第三条  质量保证</w:t>
      </w:r>
    </w:p>
    <w:p w14:paraId="302A832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w:t>
      </w:r>
      <w:r>
        <w:rPr>
          <w:rFonts w:hint="eastAsia" w:ascii="宋体" w:hAnsi="宋体"/>
          <w:color w:val="auto"/>
          <w:szCs w:val="21"/>
          <w:highlight w:val="none"/>
        </w:rPr>
        <w:t>响应</w:t>
      </w:r>
      <w:r>
        <w:rPr>
          <w:rFonts w:hint="eastAsia" w:ascii="宋体" w:hAnsi="宋体" w:cs="宋体"/>
          <w:color w:val="auto"/>
          <w:szCs w:val="21"/>
          <w:highlight w:val="none"/>
        </w:rPr>
        <w:t>承诺相一致，</w:t>
      </w:r>
      <w:r>
        <w:rPr>
          <w:rFonts w:hint="eastAsia" w:ascii="宋体" w:hAnsi="宋体"/>
          <w:color w:val="auto"/>
          <w:szCs w:val="21"/>
          <w:highlight w:val="none"/>
        </w:rPr>
        <w:t>且满足项目实施要求，</w:t>
      </w:r>
      <w:r>
        <w:rPr>
          <w:rFonts w:hint="eastAsia" w:ascii="宋体" w:hAnsi="宋体" w:cs="宋体"/>
          <w:color w:val="auto"/>
          <w:szCs w:val="21"/>
          <w:highlight w:val="none"/>
        </w:rPr>
        <w:t>有国家强制性标准的，还必须符合国家强制性标准的规定，没有国家强制性标准但有其他强制性标准的，必须符合其他强制性标准的规定。</w:t>
      </w:r>
    </w:p>
    <w:p w14:paraId="69F5A789">
      <w:pPr>
        <w:spacing w:line="40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第四条  标准、规范</w:t>
      </w:r>
    </w:p>
    <w:p w14:paraId="10291A1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p w14:paraId="13DAF711">
      <w:pPr>
        <w:spacing w:line="400" w:lineRule="exact"/>
        <w:ind w:firstLine="422" w:firstLineChars="200"/>
        <w:outlineLvl w:val="0"/>
        <w:rPr>
          <w:rFonts w:ascii="宋体" w:hAnsi="宋体" w:cs="宋体"/>
          <w:color w:val="auto"/>
          <w:szCs w:val="21"/>
          <w:highlight w:val="none"/>
        </w:rPr>
      </w:pPr>
      <w:r>
        <w:rPr>
          <w:rFonts w:hint="eastAsia" w:ascii="宋体" w:hAnsi="宋体" w:cs="宋体"/>
          <w:b/>
          <w:color w:val="auto"/>
          <w:szCs w:val="21"/>
          <w:highlight w:val="none"/>
        </w:rPr>
        <w:t>第五条  知识产权和无产权瑕疵</w:t>
      </w:r>
    </w:p>
    <w:p w14:paraId="524513A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对甲方提供的文件等资料以及完成的服务成果以及在合同履行中所掌握的数据需承担保密义务；未经甲方书面同意，乙方对甲方提供的资料以及向甲方交付的服务成果以及在合同履行中所掌握的数据，不得向第三方透露、转让、提供知识产权或所有权。如乙方违反本条约定的义务，乙方已收取的费用应全额返还给甲方，造成甲方或第三人损失的，乙方还需承担赔偿责任。</w:t>
      </w:r>
    </w:p>
    <w:p w14:paraId="3F10BF2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2.乙方承诺，乙方向甲方提交的服务成果没有侵犯第三人的知识产权或所有权。否则，由此所产生的一切法律责任由乙方承担，造成甲方或第三人损失的，乙方还需承担赔偿责任。</w:t>
      </w:r>
    </w:p>
    <w:p w14:paraId="0081CC7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3.乙方完成并提交服务成果的所有权以及知识产权均属于甲方所有。甲方利用乙方提交的服务成果，而自行研究开发产生的任何新的智力成果，其所有权及知识产权属于甲方所有。</w:t>
      </w:r>
    </w:p>
    <w:p w14:paraId="0E8E3C97">
      <w:pPr>
        <w:spacing w:line="400" w:lineRule="exact"/>
        <w:ind w:firstLine="422" w:firstLineChars="200"/>
        <w:outlineLvl w:val="0"/>
        <w:rPr>
          <w:rFonts w:ascii="宋体" w:hAnsi="宋体" w:cs="宋体"/>
          <w:color w:val="auto"/>
          <w:szCs w:val="21"/>
          <w:highlight w:val="none"/>
        </w:rPr>
      </w:pPr>
      <w:r>
        <w:rPr>
          <w:rFonts w:hint="eastAsia" w:ascii="宋体" w:hAnsi="宋体" w:cs="宋体"/>
          <w:b/>
          <w:color w:val="auto"/>
          <w:szCs w:val="21"/>
          <w:highlight w:val="none"/>
        </w:rPr>
        <w:t>第六条  交付和验收</w:t>
      </w:r>
    </w:p>
    <w:p w14:paraId="01B71F4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1.服务期限（合同履行期限）：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bCs/>
          <w:color w:val="auto"/>
          <w:highlight w:val="none"/>
        </w:rPr>
        <w:t>交付地点</w:t>
      </w:r>
      <w:r>
        <w:rPr>
          <w:rFonts w:hint="eastAsia" w:ascii="宋体" w:hAnsi="宋体" w:cs="宋体"/>
          <w:color w:val="auto"/>
          <w:szCs w:val="21"/>
          <w:highlight w:val="none"/>
        </w:rPr>
        <w:t>：</w:t>
      </w:r>
      <w:r>
        <w:rPr>
          <w:rFonts w:hint="eastAsia" w:ascii="宋体" w:hAnsi="宋体" w:cs="宋体"/>
          <w:color w:val="auto"/>
          <w:szCs w:val="21"/>
          <w:highlight w:val="none"/>
          <w:u w:val="single"/>
        </w:rPr>
        <w:t>甲方指定地点</w:t>
      </w:r>
      <w:r>
        <w:rPr>
          <w:rFonts w:hint="eastAsia" w:ascii="宋体" w:hAnsi="宋体" w:cs="宋体"/>
          <w:color w:val="auto"/>
          <w:szCs w:val="21"/>
          <w:highlight w:val="none"/>
        </w:rPr>
        <w:t>。</w:t>
      </w:r>
    </w:p>
    <w:p w14:paraId="6937FBD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23C6224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031E779C">
      <w:pPr>
        <w:snapToGrid w:val="0"/>
        <w:spacing w:line="400" w:lineRule="exact"/>
        <w:ind w:firstLine="420" w:firstLineChars="200"/>
        <w:jc w:val="left"/>
        <w:rPr>
          <w:rFonts w:ascii="宋体" w:hAnsi="宋体" w:cs="宋体"/>
          <w:color w:val="auto"/>
          <w:kern w:val="0"/>
          <w:sz w:val="18"/>
          <w:szCs w:val="21"/>
          <w:highlight w:val="none"/>
        </w:rPr>
      </w:pPr>
      <w:r>
        <w:rPr>
          <w:rFonts w:hint="eastAsia" w:ascii="宋体" w:hAnsi="宋体" w:cs="宋体"/>
          <w:color w:val="auto"/>
          <w:kern w:val="0"/>
          <w:szCs w:val="21"/>
          <w:highlight w:val="none"/>
        </w:rPr>
        <w:t>4.验收标准：符合采购需求要求的服务标准、服务要求等。</w:t>
      </w:r>
    </w:p>
    <w:p w14:paraId="42DF3F6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5.验收方式：服务完成后，乙方须向采购人提交验收申请，验收内容要包括每一项技术和商务要求的履约情况，甲方收到申请后五个工作</w:t>
      </w:r>
      <w:r>
        <w:rPr>
          <w:rFonts w:hint="eastAsia" w:ascii="宋体" w:hAnsi="宋体" w:cs="宋体"/>
          <w:color w:val="auto"/>
          <w:szCs w:val="21"/>
          <w:highlight w:val="none"/>
        </w:rPr>
        <w:t>日</w:t>
      </w:r>
      <w:r>
        <w:rPr>
          <w:rFonts w:hint="eastAsia" w:ascii="宋体" w:hAnsi="宋体" w:cs="宋体"/>
          <w:color w:val="auto"/>
          <w:szCs w:val="21"/>
          <w:highlight w:val="none"/>
        </w:rPr>
        <w:t>进行验收（如有特殊情况，按采甲方指定的时间，另行验收）。</w:t>
      </w:r>
    </w:p>
    <w:p w14:paraId="099091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在服务验收时由甲方对照采购文件的服务内容及要求全面核对检验，如不符合采购文件的服务内容及要求以及提供虚假承诺的，一经查实，将上报有关部门按虚假应标处理，甲方可按相关规定做终止服务处理，同时将取消其成交资格并追究其违约责任。</w:t>
      </w:r>
    </w:p>
    <w:p w14:paraId="0A2FF9AD">
      <w:pPr>
        <w:spacing w:line="400" w:lineRule="exact"/>
        <w:ind w:firstLine="420" w:firstLineChars="200"/>
        <w:outlineLvl w:val="1"/>
        <w:rPr>
          <w:rFonts w:ascii="宋体" w:hAnsi="宋体" w:cs="宋体"/>
          <w:color w:val="auto"/>
          <w:szCs w:val="21"/>
          <w:highlight w:val="none"/>
        </w:rPr>
      </w:pPr>
      <w:r>
        <w:rPr>
          <w:rFonts w:hint="eastAsia" w:ascii="宋体" w:hAnsi="宋体" w:cs="宋体"/>
          <w:color w:val="auto"/>
          <w:szCs w:val="21"/>
          <w:highlight w:val="none"/>
        </w:rPr>
        <w:t>7.验收产生的费用由乙方负责。</w:t>
      </w:r>
    </w:p>
    <w:p w14:paraId="6D8A250E">
      <w:pPr>
        <w:spacing w:line="400" w:lineRule="exact"/>
        <w:ind w:firstLine="420" w:firstLineChars="200"/>
        <w:outlineLvl w:val="1"/>
        <w:rPr>
          <w:rFonts w:ascii="宋体" w:hAnsi="宋体" w:cs="宋体"/>
          <w:color w:val="auto"/>
          <w:szCs w:val="21"/>
          <w:highlight w:val="none"/>
        </w:rPr>
      </w:pPr>
      <w:r>
        <w:rPr>
          <w:rFonts w:hint="eastAsia" w:ascii="宋体" w:hAnsi="宋体" w:cs="宋体"/>
          <w:color w:val="auto"/>
          <w:szCs w:val="21"/>
          <w:highlight w:val="none"/>
        </w:rPr>
        <w:t>8.其他未尽事宜应严格按照《关于印发广西壮族自治区政府采购项目履约验收管理办法的通知》【桂财采〔2015〕22号】以及《财政部关于进一步加强政府采购需求和履约验收管理的指导意见》[财库(2016)205号]规定执行。</w:t>
      </w:r>
    </w:p>
    <w:p w14:paraId="67BC87AA">
      <w:pPr>
        <w:spacing w:line="40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第七条  服务及售后</w:t>
      </w:r>
    </w:p>
    <w:p w14:paraId="46AD6F1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1.乙方应按照国家有关法律法规规定以及响应文件承诺，为甲方提供售后服务。</w:t>
      </w:r>
    </w:p>
    <w:p w14:paraId="068B48C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2.处理问题响应时间：乙方确保服务期间提供7×24小时的电话支持服务，通过电话、短信、即时通讯工具、电子邮件等及时解决考核服务中的各种问题，一旦出现电话解决不了的问题，接到采购人通知后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小时内到达指定地点解决。</w:t>
      </w:r>
    </w:p>
    <w:p w14:paraId="2874C7F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3.伴随货物质保期：</w:t>
      </w:r>
      <w:r>
        <w:rPr>
          <w:rFonts w:hint="eastAsia" w:ascii="宋体" w:hAnsi="宋体" w:cs="宋体"/>
          <w:color w:val="auto"/>
          <w:szCs w:val="21"/>
          <w:highlight w:val="none"/>
          <w:u w:val="single"/>
        </w:rPr>
        <w:t xml:space="preserve">              </w:t>
      </w:r>
    </w:p>
    <w:p w14:paraId="23278933">
      <w:pPr>
        <w:spacing w:line="400" w:lineRule="exact"/>
        <w:ind w:firstLine="422" w:firstLineChars="200"/>
        <w:outlineLvl w:val="0"/>
        <w:rPr>
          <w:rFonts w:ascii="宋体" w:hAnsi="宋体" w:cs="宋体"/>
          <w:color w:val="auto"/>
          <w:szCs w:val="21"/>
          <w:highlight w:val="none"/>
          <w:u w:val="single"/>
        </w:rPr>
      </w:pPr>
      <w:r>
        <w:rPr>
          <w:rFonts w:hint="eastAsia" w:ascii="宋体" w:hAnsi="宋体" w:cs="宋体"/>
          <w:b/>
          <w:color w:val="auto"/>
          <w:szCs w:val="21"/>
          <w:highlight w:val="none"/>
        </w:rPr>
        <w:t>第八条  合同价款及支付</w:t>
      </w:r>
    </w:p>
    <w:p w14:paraId="3EC72DCA">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1.本合同以人民币付款。</w:t>
      </w:r>
    </w:p>
    <w:p w14:paraId="7A346410">
      <w:pPr>
        <w:snapToGrid w:val="0"/>
        <w:spacing w:line="400" w:lineRule="exact"/>
        <w:ind w:firstLine="420" w:firstLineChars="200"/>
        <w:rPr>
          <w:rFonts w:ascii="宋体" w:hAnsi="宋体" w:cs="宋体"/>
          <w:color w:val="auto"/>
          <w:kern w:val="0"/>
          <w:sz w:val="20"/>
          <w:szCs w:val="21"/>
          <w:highlight w:val="none"/>
        </w:rPr>
      </w:pPr>
      <w:r>
        <w:rPr>
          <w:rFonts w:hint="eastAsia" w:ascii="宋体" w:hAnsi="宋体" w:cs="宋体"/>
          <w:color w:val="auto"/>
          <w:kern w:val="0"/>
          <w:szCs w:val="21"/>
          <w:highlight w:val="none"/>
        </w:rPr>
        <w:t>2.合同价款（或者报酬）：</w:t>
      </w:r>
      <w:r>
        <w:rPr>
          <w:rFonts w:hint="eastAsia" w:ascii="宋体" w:hAnsi="宋体" w:cs="宋体"/>
          <w:color w:val="auto"/>
          <w:kern w:val="0"/>
          <w:sz w:val="20"/>
          <w:szCs w:val="21"/>
          <w:highlight w:val="none"/>
          <w:u w:val="single"/>
        </w:rPr>
        <w:t xml:space="preserve">                     </w:t>
      </w:r>
      <w:r>
        <w:rPr>
          <w:rFonts w:hint="eastAsia" w:ascii="宋体" w:hAnsi="宋体" w:cs="宋体"/>
          <w:color w:val="auto"/>
          <w:kern w:val="0"/>
          <w:sz w:val="20"/>
          <w:szCs w:val="21"/>
          <w:highlight w:val="none"/>
        </w:rPr>
        <w:t>。</w:t>
      </w:r>
    </w:p>
    <w:p w14:paraId="46EFB72B">
      <w:pPr>
        <w:spacing w:line="400" w:lineRule="exact"/>
        <w:ind w:firstLine="420" w:firstLineChars="200"/>
        <w:rPr>
          <w:rFonts w:ascii="宋体" w:hAnsi="宋体" w:cs="宋体"/>
          <w:iCs/>
          <w:color w:val="auto"/>
          <w:szCs w:val="21"/>
          <w:highlight w:val="none"/>
          <w:u w:val="single"/>
        </w:rPr>
      </w:pPr>
      <w:r>
        <w:rPr>
          <w:rFonts w:hint="eastAsia" w:ascii="宋体" w:hAnsi="宋体" w:cs="宋体"/>
          <w:color w:val="auto"/>
          <w:szCs w:val="21"/>
          <w:highlight w:val="none"/>
        </w:rPr>
        <w:t>3.合同价款包括</w:t>
      </w:r>
      <w:r>
        <w:rPr>
          <w:rFonts w:hint="eastAsia" w:ascii="宋体" w:hAnsi="宋体" w:cs="宋体"/>
          <w:color w:val="auto"/>
          <w:szCs w:val="21"/>
          <w:highlight w:val="none"/>
          <w:u w:val="single"/>
        </w:rPr>
        <w:t>乙方</w:t>
      </w:r>
      <w:r>
        <w:rPr>
          <w:rFonts w:ascii="宋体" w:hAnsi="宋体" w:cs="宋体"/>
          <w:color w:val="auto"/>
          <w:szCs w:val="21"/>
          <w:highlight w:val="none"/>
          <w:u w:val="single"/>
        </w:rPr>
        <w:t>完成本项目服务所有内容及其他可能发生的一切费用。报价包含但不限于服务</w:t>
      </w:r>
      <w:r>
        <w:rPr>
          <w:rFonts w:hint="eastAsia" w:ascii="宋体" w:hAnsi="宋体" w:cs="宋体"/>
          <w:color w:val="auto"/>
          <w:szCs w:val="21"/>
          <w:highlight w:val="none"/>
          <w:u w:val="single"/>
        </w:rPr>
        <w:t>所包含的货物成本、</w:t>
      </w:r>
      <w:r>
        <w:rPr>
          <w:rFonts w:ascii="宋体" w:hAnsi="宋体" w:cs="宋体"/>
          <w:color w:val="auto"/>
          <w:szCs w:val="21"/>
          <w:highlight w:val="none"/>
          <w:u w:val="single"/>
        </w:rPr>
        <w:t>提交成果、编制、组织、策划、开发、调研、技术协助、校准、培训、技术指导、税金等 类似服务内容的全部费用，</w:t>
      </w:r>
      <w:r>
        <w:rPr>
          <w:rFonts w:hint="eastAsia" w:ascii="宋体" w:hAnsi="宋体" w:cs="宋体"/>
          <w:color w:val="auto"/>
          <w:szCs w:val="21"/>
          <w:highlight w:val="none"/>
          <w:u w:val="single"/>
        </w:rPr>
        <w:t>甲方</w:t>
      </w:r>
      <w:r>
        <w:rPr>
          <w:rFonts w:ascii="宋体" w:hAnsi="宋体" w:cs="宋体"/>
          <w:color w:val="auto"/>
          <w:szCs w:val="21"/>
          <w:highlight w:val="none"/>
          <w:u w:val="single"/>
        </w:rPr>
        <w:t>不再支付其他任何费用</w:t>
      </w:r>
      <w:r>
        <w:rPr>
          <w:rFonts w:hint="eastAsia" w:ascii="宋体" w:hAnsi="宋体" w:cs="宋体"/>
          <w:iCs/>
          <w:color w:val="auto"/>
          <w:szCs w:val="21"/>
          <w:highlight w:val="none"/>
          <w:u w:val="single"/>
        </w:rPr>
        <w:t>。</w:t>
      </w:r>
    </w:p>
    <w:p w14:paraId="7552C21D">
      <w:pPr>
        <w:spacing w:line="400" w:lineRule="exact"/>
        <w:ind w:firstLine="420" w:firstLineChars="200"/>
        <w:rPr>
          <w:rFonts w:ascii="宋体" w:hAnsi="宋体" w:cs="宋体"/>
          <w:color w:val="auto"/>
          <w:highlight w:val="none"/>
        </w:rPr>
      </w:pPr>
      <w:r>
        <w:rPr>
          <w:rFonts w:hint="eastAsia" w:ascii="宋体" w:hAnsi="宋体" w:cs="宋体"/>
          <w:bCs/>
          <w:color w:val="auto"/>
          <w:kern w:val="0"/>
          <w:szCs w:val="21"/>
          <w:highlight w:val="none"/>
        </w:rPr>
        <w:t>4.</w:t>
      </w:r>
      <w:r>
        <w:rPr>
          <w:rFonts w:hint="eastAsia" w:ascii="宋体" w:hAnsi="宋体" w:cs="宋体"/>
          <w:bCs/>
          <w:color w:val="auto"/>
          <w:highlight w:val="none"/>
        </w:rPr>
        <w:t>付款方式：</w:t>
      </w:r>
      <w:r>
        <w:rPr>
          <w:rFonts w:hint="eastAsia" w:ascii="宋体" w:hAnsi="宋体" w:cs="宋体"/>
          <w:color w:val="auto"/>
          <w:highlight w:val="none"/>
        </w:rPr>
        <w:t>双方签订合同之日起10个工作日内，甲方向乙方支付合同总金额的30%作为预付款，项目完成并经甲方验收合格且全部交付正常使用后，甲方在10个工作日内向乙方支付合同总金额的70%。</w:t>
      </w:r>
    </w:p>
    <w:p w14:paraId="02EDB60B">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highlight w:val="none"/>
        </w:rPr>
        <w:t>乙方在申请款项时，必须向甲方提供相应金额的符合国家规定的有效发票。</w:t>
      </w:r>
    </w:p>
    <w:p w14:paraId="746D7FDC">
      <w:pPr>
        <w:snapToGrid w:val="0"/>
        <w:spacing w:line="400" w:lineRule="exact"/>
        <w:ind w:firstLine="420" w:firstLineChars="200"/>
        <w:rPr>
          <w:rFonts w:ascii="宋体" w:hAnsi="宋体" w:cs="宋体"/>
          <w:b/>
          <w:color w:val="auto"/>
          <w:szCs w:val="21"/>
          <w:highlight w:val="none"/>
        </w:rPr>
      </w:pPr>
      <w:r>
        <w:rPr>
          <w:rFonts w:hint="eastAsia" w:ascii="宋体" w:hAnsi="宋体" w:cs="宋体"/>
          <w:color w:val="auto"/>
          <w:highlight w:val="none"/>
        </w:rPr>
        <w:t>5.资金支付方式：</w:t>
      </w:r>
      <w:r>
        <w:rPr>
          <w:rFonts w:hint="eastAsia" w:ascii="宋体" w:hAnsi="宋体" w:cs="宋体"/>
          <w:color w:val="auto"/>
          <w:highlight w:val="none"/>
          <w:u w:val="single"/>
        </w:rPr>
        <w:t xml:space="preserve">  </w:t>
      </w:r>
      <w:r>
        <w:rPr>
          <w:rFonts w:hint="eastAsia" w:ascii="宋体" w:hAnsi="宋体" w:cs="宋体"/>
          <w:i/>
          <w:color w:val="auto"/>
          <w:highlight w:val="none"/>
          <w:u w:val="single"/>
        </w:rPr>
        <w:t xml:space="preserve">  </w:t>
      </w:r>
      <w:r>
        <w:rPr>
          <w:rFonts w:hint="eastAsia" w:ascii="宋体" w:hAnsi="宋体" w:cs="宋体"/>
          <w:iCs/>
          <w:color w:val="auto"/>
          <w:highlight w:val="none"/>
          <w:u w:val="single"/>
        </w:rPr>
        <w:t>（银行转账）</w:t>
      </w:r>
      <w:r>
        <w:rPr>
          <w:rFonts w:hint="eastAsia" w:ascii="宋体" w:hAnsi="宋体" w:cs="宋体"/>
          <w:i/>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7CF2026">
      <w:pPr>
        <w:spacing w:line="40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第九条  税费</w:t>
      </w:r>
    </w:p>
    <w:p w14:paraId="50111AB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3B3A87D7">
      <w:pPr>
        <w:spacing w:line="40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第十条  违约责任</w:t>
      </w:r>
    </w:p>
    <w:p w14:paraId="4F7A272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1.甲乙双方必须遵守本合同并执行合同中的各项规定，保证本合同的正常履行。</w:t>
      </w:r>
    </w:p>
    <w:p w14:paraId="1C3C300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2.甲方延期付款的，每天向乙方偿付延期款额3‰违约金，但违约金累计不得超过延期款额5%。</w:t>
      </w:r>
    </w:p>
    <w:p w14:paraId="4C0A320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E2D77E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4.除不可抗力原因外，乙方没有按照合同规定的时间提供服务的，甲方可要求乙方支付违约金。每推迟一天按合同金额的3‰支付违约金，该违约金累计不超过合同金额的10%。</w:t>
      </w:r>
    </w:p>
    <w:p w14:paraId="715DB87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5.乙方提供的服务如侵犯了第三方合法权益而引发的任何纠纷或者诉讼，均由乙方负责交涉并承担全部责任。</w:t>
      </w:r>
    </w:p>
    <w:p w14:paraId="337A045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6.因某一方原因导致变更、中止或者终止政府采购合同的，该方应当对另一方受到的损失予以赔偿或者补偿。</w:t>
      </w:r>
    </w:p>
    <w:p w14:paraId="6B04910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7.其他违约责任按《中华人民共和国民法典》处理。</w:t>
      </w:r>
    </w:p>
    <w:p w14:paraId="293CD88B">
      <w:pPr>
        <w:spacing w:line="40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第十一条  不可抗力事件处理</w:t>
      </w:r>
    </w:p>
    <w:p w14:paraId="1E4C110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673727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49F8AB7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63D631B1">
      <w:pPr>
        <w:spacing w:line="400" w:lineRule="exact"/>
        <w:ind w:firstLine="422" w:firstLineChars="200"/>
        <w:outlineLvl w:val="0"/>
        <w:rPr>
          <w:rFonts w:ascii="宋体" w:hAnsi="宋体" w:cs="宋体"/>
          <w:color w:val="auto"/>
          <w:szCs w:val="21"/>
          <w:highlight w:val="none"/>
        </w:rPr>
      </w:pPr>
      <w:r>
        <w:rPr>
          <w:rFonts w:hint="eastAsia" w:ascii="宋体" w:hAnsi="宋体" w:cs="宋体"/>
          <w:b/>
          <w:color w:val="auto"/>
          <w:szCs w:val="21"/>
          <w:highlight w:val="none"/>
        </w:rPr>
        <w:t>第十二条  合同争议解决</w:t>
      </w:r>
    </w:p>
    <w:p w14:paraId="2B3D481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或专家组进行鉴定。服务符合标准的，鉴定费由甲方承担；服务不符合标准的，鉴定费由乙方承担；但乙方对鉴定费用承担垫付义务。如乙方接到甲方通知缴交鉴定费用之日起2日内没有履行垫付义务，视为乙方提供的服务不合格。届时，甲方有权解除合同，乙方已收的费用应全额返还甲方，造成甲方或第三人损失的，由乙方承担赔偿责任。</w:t>
      </w:r>
    </w:p>
    <w:p w14:paraId="6904613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68117AC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01A0064E">
      <w:pPr>
        <w:spacing w:line="40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731E81E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除《中华人民共和国政府采购法》第五十条规定的情形外，本合同一经签订，甲乙双方不得擅自变更、中止或者终止合同。</w:t>
      </w:r>
    </w:p>
    <w:p w14:paraId="746B45A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525BF3E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3.乙方不得擅自转让其应履行的合同义务。</w:t>
      </w:r>
    </w:p>
    <w:p w14:paraId="2CA8D5D6">
      <w:pPr>
        <w:snapToGrid w:val="0"/>
        <w:spacing w:line="400" w:lineRule="exact"/>
        <w:ind w:firstLine="422" w:firstLineChars="200"/>
        <w:outlineLvl w:val="0"/>
        <w:rPr>
          <w:rFonts w:ascii="宋体" w:hAnsi="宋体"/>
          <w:b/>
          <w:color w:val="auto"/>
          <w:szCs w:val="21"/>
          <w:highlight w:val="none"/>
        </w:rPr>
      </w:pPr>
      <w:r>
        <w:rPr>
          <w:rFonts w:hint="eastAsia" w:ascii="宋体" w:hAnsi="宋体"/>
          <w:b/>
          <w:color w:val="auto"/>
          <w:szCs w:val="21"/>
          <w:highlight w:val="none"/>
        </w:rPr>
        <w:t xml:space="preserve">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64204250">
      <w:pPr>
        <w:snapToGrid w:val="0"/>
        <w:spacing w:line="400" w:lineRule="exact"/>
        <w:ind w:firstLine="420" w:firstLineChars="200"/>
        <w:outlineLvl w:val="1"/>
        <w:rPr>
          <w:rFonts w:ascii="宋体" w:hAnsi="宋体"/>
          <w:color w:val="auto"/>
          <w:kern w:val="0"/>
          <w:szCs w:val="21"/>
          <w:highlight w:val="none"/>
        </w:rPr>
      </w:pPr>
      <w:r>
        <w:rPr>
          <w:rFonts w:hint="eastAsia" w:ascii="宋体" w:hAnsi="宋体"/>
          <w:color w:val="auto"/>
          <w:kern w:val="0"/>
          <w:szCs w:val="21"/>
          <w:highlight w:val="none"/>
        </w:rPr>
        <w:t>1.政府采购合同</w:t>
      </w:r>
    </w:p>
    <w:p w14:paraId="449CF385">
      <w:pPr>
        <w:snapToGrid w:val="0"/>
        <w:spacing w:line="400" w:lineRule="exact"/>
        <w:ind w:firstLine="420" w:firstLineChars="200"/>
        <w:outlineLvl w:val="1"/>
        <w:rPr>
          <w:rFonts w:ascii="宋体" w:hAnsi="宋体"/>
          <w:color w:val="auto"/>
          <w:kern w:val="0"/>
          <w:szCs w:val="21"/>
          <w:highlight w:val="none"/>
        </w:rPr>
      </w:pPr>
      <w:r>
        <w:rPr>
          <w:rFonts w:hint="eastAsia" w:ascii="宋体" w:hAnsi="宋体"/>
          <w:color w:val="auto"/>
          <w:kern w:val="0"/>
          <w:szCs w:val="21"/>
          <w:highlight w:val="none"/>
        </w:rPr>
        <w:t>2.成交通知书；</w:t>
      </w:r>
    </w:p>
    <w:p w14:paraId="543703D7">
      <w:pPr>
        <w:snapToGrid w:val="0"/>
        <w:spacing w:line="400" w:lineRule="exact"/>
        <w:ind w:firstLine="420" w:firstLineChars="200"/>
        <w:outlineLvl w:val="1"/>
        <w:rPr>
          <w:rFonts w:ascii="宋体" w:hAnsi="宋体"/>
          <w:color w:val="auto"/>
          <w:kern w:val="0"/>
          <w:szCs w:val="21"/>
          <w:highlight w:val="none"/>
        </w:rPr>
      </w:pPr>
      <w:r>
        <w:rPr>
          <w:rFonts w:hint="eastAsia" w:ascii="宋体" w:hAnsi="宋体"/>
          <w:color w:val="auto"/>
          <w:kern w:val="0"/>
          <w:szCs w:val="21"/>
          <w:highlight w:val="none"/>
        </w:rPr>
        <w:t>3.响应文件；</w:t>
      </w:r>
    </w:p>
    <w:p w14:paraId="5D9B36BB">
      <w:pPr>
        <w:snapToGrid w:val="0"/>
        <w:spacing w:line="400" w:lineRule="exact"/>
        <w:ind w:firstLine="420" w:firstLineChars="200"/>
        <w:outlineLvl w:val="1"/>
        <w:rPr>
          <w:rFonts w:ascii="宋体" w:hAnsi="宋体"/>
          <w:color w:val="auto"/>
          <w:kern w:val="0"/>
          <w:szCs w:val="21"/>
          <w:highlight w:val="none"/>
        </w:rPr>
      </w:pPr>
      <w:r>
        <w:rPr>
          <w:rFonts w:hint="eastAsia" w:ascii="宋体" w:hAnsi="宋体"/>
          <w:color w:val="auto"/>
          <w:kern w:val="0"/>
          <w:szCs w:val="21"/>
          <w:highlight w:val="none"/>
        </w:rPr>
        <w:t>4.采购文件及更正公告（澄清或补充通知）；</w:t>
      </w:r>
    </w:p>
    <w:p w14:paraId="268F85CB">
      <w:pPr>
        <w:snapToGrid w:val="0"/>
        <w:spacing w:line="400" w:lineRule="exact"/>
        <w:ind w:firstLine="420" w:firstLineChars="200"/>
        <w:outlineLvl w:val="1"/>
        <w:rPr>
          <w:rFonts w:ascii="宋体" w:hAnsi="宋体"/>
          <w:color w:val="auto"/>
          <w:kern w:val="0"/>
          <w:szCs w:val="21"/>
          <w:highlight w:val="none"/>
        </w:rPr>
      </w:pPr>
      <w:r>
        <w:rPr>
          <w:rFonts w:hint="eastAsia" w:ascii="宋体" w:hAnsi="宋体"/>
          <w:color w:val="auto"/>
          <w:kern w:val="0"/>
          <w:szCs w:val="21"/>
          <w:highlight w:val="none"/>
        </w:rPr>
        <w:t>5.标准、规范及有关技术文件；</w:t>
      </w:r>
    </w:p>
    <w:p w14:paraId="6B0C78C3">
      <w:pPr>
        <w:snapToGrid w:val="0"/>
        <w:spacing w:line="400" w:lineRule="exact"/>
        <w:ind w:firstLine="420" w:firstLineChars="200"/>
        <w:outlineLvl w:val="1"/>
        <w:rPr>
          <w:rFonts w:ascii="宋体" w:hAnsi="宋体"/>
          <w:color w:val="auto"/>
          <w:kern w:val="0"/>
          <w:szCs w:val="21"/>
          <w:highlight w:val="none"/>
        </w:rPr>
      </w:pPr>
      <w:r>
        <w:rPr>
          <w:rFonts w:hint="eastAsia" w:ascii="宋体" w:hAnsi="宋体"/>
          <w:color w:val="auto"/>
          <w:kern w:val="0"/>
          <w:szCs w:val="21"/>
          <w:highlight w:val="none"/>
        </w:rPr>
        <w:t>6.双方约定的其他合同文件。</w:t>
      </w:r>
    </w:p>
    <w:p w14:paraId="5881BDA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上述合同文件互相补充和解释。如果合同文件之间存在矛盾或者不一致之处，以上述文件的排列顺序在先者为准。</w:t>
      </w:r>
    </w:p>
    <w:p w14:paraId="0454E62B">
      <w:pPr>
        <w:spacing w:line="40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第十五条  合同生效</w:t>
      </w:r>
    </w:p>
    <w:p w14:paraId="480EABD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1.合同执行过程中涉及采购资金和采购内容修改或补充的，须签订书面补充协议，方可作为主合同不可分割的一部分。</w:t>
      </w:r>
    </w:p>
    <w:p w14:paraId="75E2C44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2.本合同未尽事宜，遵照《中华人民共和国民法典》有关条文执行。</w:t>
      </w:r>
    </w:p>
    <w:p w14:paraId="1791811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3.本合同经甲乙双方法定代表人或授权代表签字并加盖单位公章后生效（委托代理人签字的需后附法定代表人授权委托书，格式自拟）。</w:t>
      </w:r>
    </w:p>
    <w:p w14:paraId="4412DF6C">
      <w:pPr>
        <w:spacing w:line="500" w:lineRule="exact"/>
        <w:ind w:firstLine="420" w:firstLineChars="200"/>
        <w:rPr>
          <w:rFonts w:ascii="仿宋" w:hAnsi="仿宋" w:eastAsia="仿宋" w:cs="仿宋"/>
          <w:color w:val="auto"/>
          <w:sz w:val="28"/>
          <w:szCs w:val="28"/>
          <w:highlight w:val="none"/>
        </w:rPr>
      </w:pPr>
      <w:r>
        <w:rPr>
          <w:rFonts w:hint="eastAsia" w:ascii="宋体" w:hAnsi="宋体" w:cs="宋体"/>
          <w:color w:val="auto"/>
          <w:szCs w:val="21"/>
          <w:highlight w:val="none"/>
        </w:rPr>
        <w:t>4.本合同自签订之日起2个工作日内，甲方应当将采购合同在广西壮族自治区财政厅指定的媒体上公告。</w:t>
      </w:r>
    </w:p>
    <w:p w14:paraId="2311FA51">
      <w:pPr>
        <w:spacing w:line="360" w:lineRule="auto"/>
        <w:ind w:right="-624" w:rightChars="-297"/>
        <w:rPr>
          <w:rFonts w:asciiTheme="minorEastAsia" w:hAnsiTheme="minorEastAsia" w:eastAsiaTheme="minorEastAsia" w:cstheme="minorEastAsia"/>
          <w:color w:val="auto"/>
          <w:szCs w:val="21"/>
          <w:highlight w:val="none"/>
        </w:rPr>
      </w:pPr>
    </w:p>
    <w:p w14:paraId="03BCC53A">
      <w:pPr>
        <w:tabs>
          <w:tab w:val="left" w:pos="4395"/>
        </w:tabs>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甲方（盖章）：</w:t>
      </w:r>
      <w:r>
        <w:rPr>
          <w:rFonts w:hint="eastAsia" w:asciiTheme="minorEastAsia" w:hAnsiTheme="minorEastAsia" w:eastAsiaTheme="minorEastAsia" w:cstheme="minorEastAsia"/>
          <w:b/>
          <w:color w:val="auto"/>
          <w:szCs w:val="21"/>
          <w:highlight w:val="none"/>
        </w:rPr>
        <w:tab/>
      </w:r>
      <w:r>
        <w:rPr>
          <w:rFonts w:hint="eastAsia" w:asciiTheme="minorEastAsia" w:hAnsiTheme="minorEastAsia" w:eastAsiaTheme="minorEastAsia" w:cstheme="minorEastAsia"/>
          <w:b/>
          <w:color w:val="auto"/>
          <w:szCs w:val="21"/>
          <w:highlight w:val="none"/>
        </w:rPr>
        <w:t>乙方（盖章）：</w:t>
      </w:r>
    </w:p>
    <w:p w14:paraId="7BE706B4">
      <w:pPr>
        <w:tabs>
          <w:tab w:val="left" w:pos="4395"/>
        </w:tabs>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法定代表人或者委托代理人（签字）</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rPr>
        <w:tab/>
      </w:r>
      <w:r>
        <w:rPr>
          <w:rFonts w:hint="eastAsia" w:asciiTheme="minorEastAsia" w:hAnsiTheme="minorEastAsia" w:eastAsiaTheme="minorEastAsia" w:cstheme="minorEastAsia"/>
          <w:bCs/>
          <w:color w:val="auto"/>
          <w:szCs w:val="21"/>
          <w:highlight w:val="none"/>
        </w:rPr>
        <w:t>法定代表人或者委托代理人（签字）</w:t>
      </w:r>
      <w:r>
        <w:rPr>
          <w:rFonts w:hint="eastAsia" w:asciiTheme="minorEastAsia" w:hAnsiTheme="minorEastAsia" w:eastAsiaTheme="minorEastAsia" w:cstheme="minorEastAsia"/>
          <w:b/>
          <w:color w:val="auto"/>
          <w:szCs w:val="21"/>
          <w:highlight w:val="none"/>
        </w:rPr>
        <w:t xml:space="preserve">： </w:t>
      </w:r>
    </w:p>
    <w:p w14:paraId="68F90FEA">
      <w:pPr>
        <w:tabs>
          <w:tab w:val="left" w:pos="4395"/>
        </w:tabs>
        <w:spacing w:line="360" w:lineRule="auto"/>
        <w:rPr>
          <w:rFonts w:ascii="宋体" w:hAnsi="宋体" w:cs="宋体"/>
          <w:color w:val="auto"/>
          <w:sz w:val="6"/>
          <w:szCs w:val="6"/>
          <w:highlight w:val="none"/>
        </w:rPr>
      </w:pPr>
      <w:r>
        <w:rPr>
          <w:rFonts w:hint="eastAsia" w:asciiTheme="minorEastAsia" w:hAnsiTheme="minorEastAsia" w:eastAsiaTheme="minorEastAsia" w:cstheme="minorEastAsia"/>
          <w:color w:val="auto"/>
          <w:szCs w:val="21"/>
          <w:highlight w:val="none"/>
        </w:rPr>
        <w:t>签订日期：　　　年　　月　　日</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签订日期：　　　年　　月　　日</w:t>
      </w:r>
    </w:p>
    <w:bookmarkEnd w:id="177"/>
    <w:sectPr>
      <w:footerReference r:id="rId8" w:type="first"/>
      <w:footerReference r:id="rId7" w:type="default"/>
      <w:pgSz w:w="11906" w:h="16838"/>
      <w:pgMar w:top="1327" w:right="1253" w:bottom="1327" w:left="12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A44C93-7519-452B-BBE8-4EA021C3E8B4}"/>
  </w:font>
  <w:font w:name="黑体">
    <w:panose1 w:val="02010609060101010101"/>
    <w:charset w:val="86"/>
    <w:family w:val="auto"/>
    <w:pitch w:val="default"/>
    <w:sig w:usb0="800002BF" w:usb1="38CF7CFA" w:usb2="00000016" w:usb3="00000000" w:csb0="00040001" w:csb1="00000000"/>
    <w:embedRegular r:id="rId2" w:fontKey="{D86ED1FE-ACA1-448D-8F42-7F0E9FB59F19}"/>
  </w:font>
  <w:font w:name="Courier New">
    <w:panose1 w:val="02070309020205020404"/>
    <w:charset w:val="01"/>
    <w:family w:val="modern"/>
    <w:pitch w:val="default"/>
    <w:sig w:usb0="E0002EFF" w:usb1="C0007843" w:usb2="00000009" w:usb3="00000000" w:csb0="400001FF" w:csb1="FFFF0000"/>
    <w:embedRegular r:id="rId3" w:fontKey="{78E75A48-F4B2-442D-B7DA-EF1A9CA9D1E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8E687DEB-41B4-4732-A542-1A7B70CB5EF8}"/>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embedRegular r:id="rId5" w:fontKey="{87413815-2B49-4711-927A-7E8B684B70A0}"/>
  </w:font>
  <w:font w:name="华文新魏">
    <w:panose1 w:val="02010800040101010101"/>
    <w:charset w:val="86"/>
    <w:family w:val="auto"/>
    <w:pitch w:val="default"/>
    <w:sig w:usb0="00000001" w:usb1="080F0000" w:usb2="00000000" w:usb3="00000000" w:csb0="00040000" w:csb1="00000000"/>
    <w:embedRegular r:id="rId6" w:fontKey="{A4F072BE-476B-48A2-8E71-BD0F8AF24E5D}"/>
  </w:font>
  <w:font w:name="Wingdings 2">
    <w:panose1 w:val="05020102010507070707"/>
    <w:charset w:val="02"/>
    <w:family w:val="roman"/>
    <w:pitch w:val="default"/>
    <w:sig w:usb0="00000000" w:usb1="00000000" w:usb2="00000000" w:usb3="00000000" w:csb0="80000000" w:csb1="00000000"/>
    <w:embedRegular r:id="rId7" w:fontKey="{4F7ACB40-BF31-4B2A-8E99-66AA51FE1370}"/>
  </w:font>
  <w:font w:name="微软雅黑">
    <w:panose1 w:val="020B0503020204020204"/>
    <w:charset w:val="86"/>
    <w:family w:val="swiss"/>
    <w:pitch w:val="default"/>
    <w:sig w:usb0="80000287" w:usb1="2ACF3C50" w:usb2="00000016" w:usb3="00000000" w:csb0="0004001F" w:csb1="00000000"/>
    <w:embedRegular r:id="rId8" w:fontKey="{16FC8A99-5085-4056-AE58-17AFD947B8B2}"/>
  </w:font>
  <w:font w:name="仿宋">
    <w:panose1 w:val="02010609060101010101"/>
    <w:charset w:val="86"/>
    <w:family w:val="modern"/>
    <w:pitch w:val="default"/>
    <w:sig w:usb0="800002BF" w:usb1="38CF7CFA" w:usb2="00000016" w:usb3="00000000" w:csb0="00040001" w:csb1="00000000"/>
    <w:embedRegular r:id="rId9" w:fontKey="{31DFF74B-3D01-4929-B19C-D69EC1A277B2}"/>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3406">
    <w:pPr>
      <w:pStyle w:val="19"/>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BBCBB2">
                          <w:pPr>
                            <w:pStyle w:val="1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v1xsgBAACe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hb9cbIAQAAngMAAA4AAAAAAAAAAQAgAAAAHgEAAGRycy9lMm9Eb2Mu&#10;eG1sUEsFBgAAAAAGAAYAWQEAAFgFAAAAAA==&#10;">
              <v:fill on="f" focussize="0,0"/>
              <v:stroke on="f"/>
              <v:imagedata o:title=""/>
              <o:lock v:ext="edit" aspectratio="f"/>
              <v:textbox inset="0mm,0mm,0mm,0mm" style="mso-fit-shape-to-text:t;">
                <w:txbxContent>
                  <w:p w14:paraId="4ABBCBB2">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5FD9">
    <w:pPr>
      <w:pStyle w:val="19"/>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1B7509"/>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701B750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A154">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23BEB7">
                          <w:pPr>
                            <w:pStyle w:val="19"/>
                            <w:jc w:val="center"/>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8sLxZyQEAAJ4DAAAOAAAAAAAAAAEAIAAAAB4BAABkcnMvZTJvRG9j&#10;LnhtbFBLBQYAAAAABgAGAFkBAABZBQAAAAA=&#10;">
              <v:fill on="f" focussize="0,0"/>
              <v:stroke on="f"/>
              <v:imagedata o:title=""/>
              <o:lock v:ext="edit" aspectratio="f"/>
              <v:textbox inset="0mm,0mm,0mm,0mm" style="mso-fit-shape-to-text:t;">
                <w:txbxContent>
                  <w:p w14:paraId="5623BEB7">
                    <w:pPr>
                      <w:pStyle w:val="19"/>
                      <w:jc w:val="center"/>
                    </w:pPr>
                    <w:r>
                      <w:fldChar w:fldCharType="begin"/>
                    </w:r>
                    <w:r>
                      <w:instrText xml:space="preserve"> PAGE  \* MERGEFORMAT </w:instrText>
                    </w:r>
                    <w:r>
                      <w:fldChar w:fldCharType="separate"/>
                    </w:r>
                    <w:r>
                      <w:t>19</w:t>
                    </w:r>
                    <w:r>
                      <w:fldChar w:fldCharType="end"/>
                    </w:r>
                  </w:p>
                </w:txbxContent>
              </v:textbox>
            </v:shape>
          </w:pict>
        </mc:Fallback>
      </mc:AlternateContent>
    </w:r>
  </w:p>
  <w:p w14:paraId="34584D3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05A4">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CF7DA9">
                          <w:pPr>
                            <w:pStyle w:val="19"/>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q5Ri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arlGJyQEAAJ4DAAAOAAAAAAAAAAEAIAAAAB4BAABkcnMvZTJvRG9j&#10;LnhtbFBLBQYAAAAABgAGAFkBAABZBQAAAAA=&#10;">
              <v:fill on="f" focussize="0,0"/>
              <v:stroke on="f"/>
              <v:imagedata o:title=""/>
              <o:lock v:ext="edit" aspectratio="f"/>
              <v:textbox inset="0mm,0mm,0mm,0mm" style="mso-fit-shape-to-text:t;">
                <w:txbxContent>
                  <w:p w14:paraId="2ECF7DA9">
                    <w:pPr>
                      <w:pStyle w:val="1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D4E9">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0F86B">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F8D59"/>
    <w:multiLevelType w:val="singleLevel"/>
    <w:tmpl w:val="8E1F8D59"/>
    <w:lvl w:ilvl="0" w:tentative="0">
      <w:start w:val="1"/>
      <w:numFmt w:val="decimal"/>
      <w:suff w:val="nothing"/>
      <w:lvlText w:val="%1、"/>
      <w:lvlJc w:val="left"/>
      <w:rPr>
        <w:rFonts w:hint="default"/>
        <w:b/>
        <w:bCs/>
      </w:rPr>
    </w:lvl>
  </w:abstractNum>
  <w:abstractNum w:abstractNumId="1">
    <w:nsid w:val="B80EBFF9"/>
    <w:multiLevelType w:val="singleLevel"/>
    <w:tmpl w:val="B80EBFF9"/>
    <w:lvl w:ilvl="0" w:tentative="0">
      <w:start w:val="1"/>
      <w:numFmt w:val="chineseCounting"/>
      <w:suff w:val="nothing"/>
      <w:lvlText w:val="%1、"/>
      <w:lvlJc w:val="left"/>
      <w:rPr>
        <w:rFonts w:hint="eastAsia"/>
      </w:rPr>
    </w:lvl>
  </w:abstractNum>
  <w:abstractNum w:abstractNumId="2">
    <w:nsid w:val="CCB9D939"/>
    <w:multiLevelType w:val="singleLevel"/>
    <w:tmpl w:val="CCB9D939"/>
    <w:lvl w:ilvl="0" w:tentative="0">
      <w:start w:val="1"/>
      <w:numFmt w:val="decimal"/>
      <w:suff w:val="nothing"/>
      <w:lvlText w:val="%1、"/>
      <w:lvlJc w:val="left"/>
      <w:pPr>
        <w:ind w:left="-2"/>
      </w:pPr>
      <w:rPr>
        <w:rFonts w:hint="default"/>
        <w:b/>
        <w:bCs/>
      </w:rPr>
    </w:lvl>
  </w:abstractNum>
  <w:abstractNum w:abstractNumId="3">
    <w:nsid w:val="D5E08794"/>
    <w:multiLevelType w:val="singleLevel"/>
    <w:tmpl w:val="D5E08794"/>
    <w:lvl w:ilvl="0" w:tentative="0">
      <w:start w:val="1"/>
      <w:numFmt w:val="chineseCounting"/>
      <w:suff w:val="nothing"/>
      <w:lvlText w:val="第%1条　"/>
      <w:lvlJc w:val="left"/>
      <w:rPr>
        <w:rFonts w:hint="eastAsia"/>
      </w:rPr>
    </w:lvl>
  </w:abstractNum>
  <w:abstractNum w:abstractNumId="4">
    <w:nsid w:val="F2C3C535"/>
    <w:multiLevelType w:val="singleLevel"/>
    <w:tmpl w:val="F2C3C535"/>
    <w:lvl w:ilvl="0" w:tentative="0">
      <w:start w:val="2"/>
      <w:numFmt w:val="chineseCounting"/>
      <w:suff w:val="nothing"/>
      <w:lvlText w:val="%1、"/>
      <w:lvlJc w:val="left"/>
      <w:rPr>
        <w:rFonts w:hint="eastAsia"/>
      </w:rPr>
    </w:lvl>
  </w:abstractNum>
  <w:abstractNum w:abstractNumId="5">
    <w:nsid w:val="1C43D0CF"/>
    <w:multiLevelType w:val="singleLevel"/>
    <w:tmpl w:val="1C43D0CF"/>
    <w:lvl w:ilvl="0" w:tentative="0">
      <w:start w:val="1"/>
      <w:numFmt w:val="decimal"/>
      <w:suff w:val="nothing"/>
      <w:lvlText w:val="%1、"/>
      <w:lvlJc w:val="left"/>
      <w:rPr>
        <w:rFonts w:hint="default"/>
        <w:b/>
        <w:bCs/>
      </w:rPr>
    </w:lvl>
  </w:abstractNum>
  <w:abstractNum w:abstractNumId="6">
    <w:nsid w:val="4B63EC45"/>
    <w:multiLevelType w:val="singleLevel"/>
    <w:tmpl w:val="4B63EC45"/>
    <w:lvl w:ilvl="0" w:tentative="0">
      <w:start w:val="1"/>
      <w:numFmt w:val="decimal"/>
      <w:suff w:val="space"/>
      <w:lvlText w:val="%1."/>
      <w:lvlJc w:val="left"/>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ODgzNjJkNjNmYzUzYzg0ZTg5ODJmM2IxY2M4YWMifQ=="/>
  </w:docVars>
  <w:rsids>
    <w:rsidRoot w:val="00F34B14"/>
    <w:rsid w:val="000002E0"/>
    <w:rsid w:val="00000672"/>
    <w:rsid w:val="00000F29"/>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57ED8"/>
    <w:rsid w:val="00060DCE"/>
    <w:rsid w:val="000610E3"/>
    <w:rsid w:val="000614F3"/>
    <w:rsid w:val="000623B4"/>
    <w:rsid w:val="00062405"/>
    <w:rsid w:val="000634A7"/>
    <w:rsid w:val="00063B0B"/>
    <w:rsid w:val="00063F81"/>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862"/>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3C7E"/>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548"/>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E0AA7"/>
    <w:rsid w:val="001E129E"/>
    <w:rsid w:val="001E175C"/>
    <w:rsid w:val="001E1B0E"/>
    <w:rsid w:val="001E3B63"/>
    <w:rsid w:val="001E53FB"/>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1AEB"/>
    <w:rsid w:val="00212CD9"/>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6BC4"/>
    <w:rsid w:val="00247F3A"/>
    <w:rsid w:val="00250122"/>
    <w:rsid w:val="0025024D"/>
    <w:rsid w:val="00250755"/>
    <w:rsid w:val="002508B7"/>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67"/>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992"/>
    <w:rsid w:val="002C0C1C"/>
    <w:rsid w:val="002C41BF"/>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6F4E"/>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0D9"/>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7092"/>
    <w:rsid w:val="003A72A1"/>
    <w:rsid w:val="003A7611"/>
    <w:rsid w:val="003A7D1F"/>
    <w:rsid w:val="003B0B6A"/>
    <w:rsid w:val="003B22F7"/>
    <w:rsid w:val="003B29CF"/>
    <w:rsid w:val="003B3A90"/>
    <w:rsid w:val="003B3D01"/>
    <w:rsid w:val="003B534F"/>
    <w:rsid w:val="003B7A79"/>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5058"/>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0AE3"/>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1738"/>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2E"/>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5D6B"/>
    <w:rsid w:val="005B77D2"/>
    <w:rsid w:val="005C0195"/>
    <w:rsid w:val="005C019B"/>
    <w:rsid w:val="005C08D0"/>
    <w:rsid w:val="005C1AED"/>
    <w:rsid w:val="005C2136"/>
    <w:rsid w:val="005C30F5"/>
    <w:rsid w:val="005C3840"/>
    <w:rsid w:val="005C51A5"/>
    <w:rsid w:val="005C54BC"/>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6B3"/>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364"/>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703E"/>
    <w:rsid w:val="006A7BE3"/>
    <w:rsid w:val="006A7D32"/>
    <w:rsid w:val="006B01D1"/>
    <w:rsid w:val="006B0DF4"/>
    <w:rsid w:val="006B16EA"/>
    <w:rsid w:val="006B1780"/>
    <w:rsid w:val="006B1CA7"/>
    <w:rsid w:val="006B21DC"/>
    <w:rsid w:val="006B224E"/>
    <w:rsid w:val="006B376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5E2B"/>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56AC"/>
    <w:rsid w:val="0073792F"/>
    <w:rsid w:val="00737A15"/>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D7A3C"/>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5897"/>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2B44"/>
    <w:rsid w:val="008838AD"/>
    <w:rsid w:val="00885210"/>
    <w:rsid w:val="00885BC9"/>
    <w:rsid w:val="008864B3"/>
    <w:rsid w:val="008865E5"/>
    <w:rsid w:val="008871B0"/>
    <w:rsid w:val="00890B57"/>
    <w:rsid w:val="008916BA"/>
    <w:rsid w:val="00891795"/>
    <w:rsid w:val="0089217C"/>
    <w:rsid w:val="00892790"/>
    <w:rsid w:val="00893671"/>
    <w:rsid w:val="00895838"/>
    <w:rsid w:val="00895A1E"/>
    <w:rsid w:val="00895A72"/>
    <w:rsid w:val="00895CDF"/>
    <w:rsid w:val="00896679"/>
    <w:rsid w:val="008967E3"/>
    <w:rsid w:val="00896D8C"/>
    <w:rsid w:val="008A0FC9"/>
    <w:rsid w:val="008A1956"/>
    <w:rsid w:val="008A1A7C"/>
    <w:rsid w:val="008A2CE2"/>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788"/>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309"/>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5FB"/>
    <w:rsid w:val="00965954"/>
    <w:rsid w:val="00965A21"/>
    <w:rsid w:val="00965E55"/>
    <w:rsid w:val="0096608E"/>
    <w:rsid w:val="00966522"/>
    <w:rsid w:val="00966C33"/>
    <w:rsid w:val="009707CE"/>
    <w:rsid w:val="00970F18"/>
    <w:rsid w:val="00971565"/>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68CF"/>
    <w:rsid w:val="00987812"/>
    <w:rsid w:val="00990225"/>
    <w:rsid w:val="00991307"/>
    <w:rsid w:val="00991FAA"/>
    <w:rsid w:val="00992A13"/>
    <w:rsid w:val="00994AAD"/>
    <w:rsid w:val="00995150"/>
    <w:rsid w:val="00995D67"/>
    <w:rsid w:val="00997613"/>
    <w:rsid w:val="009A004F"/>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131"/>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2327"/>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3D0"/>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188"/>
    <w:rsid w:val="00A41537"/>
    <w:rsid w:val="00A41737"/>
    <w:rsid w:val="00A42B8F"/>
    <w:rsid w:val="00A42D8E"/>
    <w:rsid w:val="00A43254"/>
    <w:rsid w:val="00A432DD"/>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178D"/>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246D"/>
    <w:rsid w:val="00A92CCA"/>
    <w:rsid w:val="00A93BD0"/>
    <w:rsid w:val="00A93CC2"/>
    <w:rsid w:val="00A94D4B"/>
    <w:rsid w:val="00A974CC"/>
    <w:rsid w:val="00A97889"/>
    <w:rsid w:val="00AA05FB"/>
    <w:rsid w:val="00AA2001"/>
    <w:rsid w:val="00AA2B5C"/>
    <w:rsid w:val="00AA32D2"/>
    <w:rsid w:val="00AA3B8B"/>
    <w:rsid w:val="00AA4016"/>
    <w:rsid w:val="00AA4C1F"/>
    <w:rsid w:val="00AA5328"/>
    <w:rsid w:val="00AA5393"/>
    <w:rsid w:val="00AA63D4"/>
    <w:rsid w:val="00AA7A21"/>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34BD"/>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A74"/>
    <w:rsid w:val="00AF4DEC"/>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115A"/>
    <w:rsid w:val="00B3178B"/>
    <w:rsid w:val="00B31825"/>
    <w:rsid w:val="00B31A5C"/>
    <w:rsid w:val="00B32265"/>
    <w:rsid w:val="00B3276D"/>
    <w:rsid w:val="00B33B06"/>
    <w:rsid w:val="00B33C19"/>
    <w:rsid w:val="00B35A15"/>
    <w:rsid w:val="00B35B45"/>
    <w:rsid w:val="00B36165"/>
    <w:rsid w:val="00B36A99"/>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16"/>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4BC"/>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2479"/>
    <w:rsid w:val="00C5266E"/>
    <w:rsid w:val="00C52C59"/>
    <w:rsid w:val="00C5349E"/>
    <w:rsid w:val="00C539FF"/>
    <w:rsid w:val="00C544BD"/>
    <w:rsid w:val="00C54850"/>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F8A"/>
    <w:rsid w:val="00C85BA4"/>
    <w:rsid w:val="00C8618F"/>
    <w:rsid w:val="00C8625D"/>
    <w:rsid w:val="00C90372"/>
    <w:rsid w:val="00C9041F"/>
    <w:rsid w:val="00C90A64"/>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2FF7"/>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5E90"/>
    <w:rsid w:val="00DC67B1"/>
    <w:rsid w:val="00DC7FBC"/>
    <w:rsid w:val="00DD0019"/>
    <w:rsid w:val="00DD132B"/>
    <w:rsid w:val="00DD1725"/>
    <w:rsid w:val="00DD2159"/>
    <w:rsid w:val="00DD218B"/>
    <w:rsid w:val="00DD28BA"/>
    <w:rsid w:val="00DD2A18"/>
    <w:rsid w:val="00DD3044"/>
    <w:rsid w:val="00DD3985"/>
    <w:rsid w:val="00DD61E8"/>
    <w:rsid w:val="00DD62C0"/>
    <w:rsid w:val="00DD64DE"/>
    <w:rsid w:val="00DD66DE"/>
    <w:rsid w:val="00DD7859"/>
    <w:rsid w:val="00DD7B41"/>
    <w:rsid w:val="00DD7DB0"/>
    <w:rsid w:val="00DE0784"/>
    <w:rsid w:val="00DE0A1D"/>
    <w:rsid w:val="00DE15B2"/>
    <w:rsid w:val="00DE1A9A"/>
    <w:rsid w:val="00DE3D2C"/>
    <w:rsid w:val="00DE5E77"/>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06F1"/>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3B54"/>
    <w:rsid w:val="00E6402D"/>
    <w:rsid w:val="00E6680A"/>
    <w:rsid w:val="00E66F0D"/>
    <w:rsid w:val="00E70615"/>
    <w:rsid w:val="00E713D8"/>
    <w:rsid w:val="00E7161E"/>
    <w:rsid w:val="00E7207B"/>
    <w:rsid w:val="00E72DCE"/>
    <w:rsid w:val="00E7347A"/>
    <w:rsid w:val="00E75A47"/>
    <w:rsid w:val="00E75BB6"/>
    <w:rsid w:val="00E75D8C"/>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C5FD7"/>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E79"/>
    <w:rsid w:val="00EE2F09"/>
    <w:rsid w:val="00EE47C5"/>
    <w:rsid w:val="00EE490C"/>
    <w:rsid w:val="00EE4E57"/>
    <w:rsid w:val="00EE5738"/>
    <w:rsid w:val="00EE58BD"/>
    <w:rsid w:val="00EE5E59"/>
    <w:rsid w:val="00EE70F9"/>
    <w:rsid w:val="00EE73D0"/>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78E5"/>
    <w:rsid w:val="012C5FAF"/>
    <w:rsid w:val="01551C3E"/>
    <w:rsid w:val="01AF3D99"/>
    <w:rsid w:val="02186FF2"/>
    <w:rsid w:val="02511F9D"/>
    <w:rsid w:val="02897931"/>
    <w:rsid w:val="03A314B8"/>
    <w:rsid w:val="03D82B98"/>
    <w:rsid w:val="03F57F0D"/>
    <w:rsid w:val="03F83E8B"/>
    <w:rsid w:val="048C5D36"/>
    <w:rsid w:val="049C4157"/>
    <w:rsid w:val="05C56868"/>
    <w:rsid w:val="06013577"/>
    <w:rsid w:val="07A539BD"/>
    <w:rsid w:val="07B72767"/>
    <w:rsid w:val="08077E72"/>
    <w:rsid w:val="086D7248"/>
    <w:rsid w:val="08882DD0"/>
    <w:rsid w:val="08C818EE"/>
    <w:rsid w:val="09CC2AAC"/>
    <w:rsid w:val="09E16F33"/>
    <w:rsid w:val="0A652D3E"/>
    <w:rsid w:val="0B326F2A"/>
    <w:rsid w:val="0B882945"/>
    <w:rsid w:val="0C1E2888"/>
    <w:rsid w:val="0C92213C"/>
    <w:rsid w:val="0CC2027E"/>
    <w:rsid w:val="0D84032B"/>
    <w:rsid w:val="0F2A74C4"/>
    <w:rsid w:val="0FD91C66"/>
    <w:rsid w:val="10A27F31"/>
    <w:rsid w:val="11927058"/>
    <w:rsid w:val="120E171E"/>
    <w:rsid w:val="122F7A1A"/>
    <w:rsid w:val="13AF4F03"/>
    <w:rsid w:val="14736E66"/>
    <w:rsid w:val="147F458F"/>
    <w:rsid w:val="14AD5709"/>
    <w:rsid w:val="14EB7761"/>
    <w:rsid w:val="1534169A"/>
    <w:rsid w:val="15B14D7D"/>
    <w:rsid w:val="15C03E03"/>
    <w:rsid w:val="15F946AE"/>
    <w:rsid w:val="15FC59F9"/>
    <w:rsid w:val="162A25EB"/>
    <w:rsid w:val="16735895"/>
    <w:rsid w:val="16C537AB"/>
    <w:rsid w:val="16FD2A55"/>
    <w:rsid w:val="17067C1A"/>
    <w:rsid w:val="17366761"/>
    <w:rsid w:val="177C01F0"/>
    <w:rsid w:val="178C0204"/>
    <w:rsid w:val="179E3EFA"/>
    <w:rsid w:val="17CE6630"/>
    <w:rsid w:val="19A3312C"/>
    <w:rsid w:val="1AFF0AFE"/>
    <w:rsid w:val="1B4F19F8"/>
    <w:rsid w:val="1C995450"/>
    <w:rsid w:val="1ECC44FA"/>
    <w:rsid w:val="1F063325"/>
    <w:rsid w:val="1FBC5DF5"/>
    <w:rsid w:val="1FF90588"/>
    <w:rsid w:val="20C3623F"/>
    <w:rsid w:val="21781212"/>
    <w:rsid w:val="21B83F86"/>
    <w:rsid w:val="21C15B65"/>
    <w:rsid w:val="221178A8"/>
    <w:rsid w:val="221213CF"/>
    <w:rsid w:val="22327A92"/>
    <w:rsid w:val="22E9024C"/>
    <w:rsid w:val="231D53A2"/>
    <w:rsid w:val="236D5383"/>
    <w:rsid w:val="23A410E9"/>
    <w:rsid w:val="23B7504C"/>
    <w:rsid w:val="24571307"/>
    <w:rsid w:val="25110A2A"/>
    <w:rsid w:val="256C0944"/>
    <w:rsid w:val="25A33267"/>
    <w:rsid w:val="26446DE3"/>
    <w:rsid w:val="26877DFE"/>
    <w:rsid w:val="269669E7"/>
    <w:rsid w:val="26A270C1"/>
    <w:rsid w:val="26D7699F"/>
    <w:rsid w:val="276BB53D"/>
    <w:rsid w:val="27FC67EB"/>
    <w:rsid w:val="29D75F7F"/>
    <w:rsid w:val="2A7B7A11"/>
    <w:rsid w:val="2AB0319B"/>
    <w:rsid w:val="2B244813"/>
    <w:rsid w:val="2B774624"/>
    <w:rsid w:val="2BD64583"/>
    <w:rsid w:val="2C7A72BE"/>
    <w:rsid w:val="2C9A7D75"/>
    <w:rsid w:val="2CC17412"/>
    <w:rsid w:val="2D7C1E99"/>
    <w:rsid w:val="2E9976CE"/>
    <w:rsid w:val="2EF01DEE"/>
    <w:rsid w:val="2F401D3C"/>
    <w:rsid w:val="2F5B24E1"/>
    <w:rsid w:val="2FA95C88"/>
    <w:rsid w:val="2FF806F5"/>
    <w:rsid w:val="3041370F"/>
    <w:rsid w:val="30614D81"/>
    <w:rsid w:val="30B87FED"/>
    <w:rsid w:val="312B50A3"/>
    <w:rsid w:val="31894FD2"/>
    <w:rsid w:val="32453A27"/>
    <w:rsid w:val="3263064A"/>
    <w:rsid w:val="32A43132"/>
    <w:rsid w:val="32AC0C06"/>
    <w:rsid w:val="33344EF5"/>
    <w:rsid w:val="35026383"/>
    <w:rsid w:val="3537750C"/>
    <w:rsid w:val="3537798C"/>
    <w:rsid w:val="35C13FC9"/>
    <w:rsid w:val="36372B05"/>
    <w:rsid w:val="364257B6"/>
    <w:rsid w:val="37EA5922"/>
    <w:rsid w:val="38276B93"/>
    <w:rsid w:val="382E58B8"/>
    <w:rsid w:val="38AC3431"/>
    <w:rsid w:val="392F2E16"/>
    <w:rsid w:val="39E00529"/>
    <w:rsid w:val="3A005F5D"/>
    <w:rsid w:val="3A040DB7"/>
    <w:rsid w:val="3A0B64A7"/>
    <w:rsid w:val="3A5731EC"/>
    <w:rsid w:val="3A574DDA"/>
    <w:rsid w:val="3A727CBB"/>
    <w:rsid w:val="3AD3075A"/>
    <w:rsid w:val="3AF74C02"/>
    <w:rsid w:val="3C0059A5"/>
    <w:rsid w:val="3C134E78"/>
    <w:rsid w:val="3D4C66DF"/>
    <w:rsid w:val="3DF6345D"/>
    <w:rsid w:val="3E052EE6"/>
    <w:rsid w:val="3E2B5515"/>
    <w:rsid w:val="3E4D4F28"/>
    <w:rsid w:val="3ED92EC4"/>
    <w:rsid w:val="3EE13701"/>
    <w:rsid w:val="3F1A4BB3"/>
    <w:rsid w:val="40192BA6"/>
    <w:rsid w:val="403F22CB"/>
    <w:rsid w:val="41766EA9"/>
    <w:rsid w:val="42550A18"/>
    <w:rsid w:val="429D496A"/>
    <w:rsid w:val="42B10935"/>
    <w:rsid w:val="42F473A1"/>
    <w:rsid w:val="437217EA"/>
    <w:rsid w:val="43AB7156"/>
    <w:rsid w:val="441E62C0"/>
    <w:rsid w:val="442924FE"/>
    <w:rsid w:val="45325D14"/>
    <w:rsid w:val="45811C7C"/>
    <w:rsid w:val="45906116"/>
    <w:rsid w:val="45931B8C"/>
    <w:rsid w:val="45EF2552"/>
    <w:rsid w:val="4623283E"/>
    <w:rsid w:val="463C3E8F"/>
    <w:rsid w:val="468B3EFB"/>
    <w:rsid w:val="46CD04FA"/>
    <w:rsid w:val="470A6193"/>
    <w:rsid w:val="47385210"/>
    <w:rsid w:val="475510F8"/>
    <w:rsid w:val="47DC4F5C"/>
    <w:rsid w:val="48B40671"/>
    <w:rsid w:val="48E02A3D"/>
    <w:rsid w:val="499B5738"/>
    <w:rsid w:val="499F244D"/>
    <w:rsid w:val="4A1544BA"/>
    <w:rsid w:val="4A330F12"/>
    <w:rsid w:val="4A973F3F"/>
    <w:rsid w:val="4AF96BC7"/>
    <w:rsid w:val="4B862A85"/>
    <w:rsid w:val="4CEF36E2"/>
    <w:rsid w:val="4CEF4DC5"/>
    <w:rsid w:val="4E257655"/>
    <w:rsid w:val="4E7826C8"/>
    <w:rsid w:val="4F372380"/>
    <w:rsid w:val="4F372FFB"/>
    <w:rsid w:val="4F81606E"/>
    <w:rsid w:val="4FCE286B"/>
    <w:rsid w:val="5025116D"/>
    <w:rsid w:val="52395ECD"/>
    <w:rsid w:val="52C10D75"/>
    <w:rsid w:val="538434F5"/>
    <w:rsid w:val="53C27FF8"/>
    <w:rsid w:val="54806794"/>
    <w:rsid w:val="549E1A80"/>
    <w:rsid w:val="54A60329"/>
    <w:rsid w:val="54C658F4"/>
    <w:rsid w:val="550C4BD7"/>
    <w:rsid w:val="554C1D56"/>
    <w:rsid w:val="55572986"/>
    <w:rsid w:val="565340FA"/>
    <w:rsid w:val="56AD5F59"/>
    <w:rsid w:val="56C60774"/>
    <w:rsid w:val="56EA563C"/>
    <w:rsid w:val="57B12A52"/>
    <w:rsid w:val="58807091"/>
    <w:rsid w:val="58FB010F"/>
    <w:rsid w:val="594069F9"/>
    <w:rsid w:val="59AE53E8"/>
    <w:rsid w:val="5A2F2CC8"/>
    <w:rsid w:val="5B4E4C8F"/>
    <w:rsid w:val="5C10702D"/>
    <w:rsid w:val="5C152601"/>
    <w:rsid w:val="5C591F03"/>
    <w:rsid w:val="5C6471B6"/>
    <w:rsid w:val="5C8A1B2F"/>
    <w:rsid w:val="5D2B1EB1"/>
    <w:rsid w:val="5E587A85"/>
    <w:rsid w:val="5F561B72"/>
    <w:rsid w:val="5FC36C32"/>
    <w:rsid w:val="606007BB"/>
    <w:rsid w:val="60AC7F66"/>
    <w:rsid w:val="61BF10D9"/>
    <w:rsid w:val="61C40EDD"/>
    <w:rsid w:val="62AC22DC"/>
    <w:rsid w:val="638C0CD4"/>
    <w:rsid w:val="63A22BFD"/>
    <w:rsid w:val="64C22EB0"/>
    <w:rsid w:val="64E45EF7"/>
    <w:rsid w:val="6691014E"/>
    <w:rsid w:val="669A2362"/>
    <w:rsid w:val="66C87CCE"/>
    <w:rsid w:val="677435B2"/>
    <w:rsid w:val="67EF75F1"/>
    <w:rsid w:val="682D323D"/>
    <w:rsid w:val="684F4F11"/>
    <w:rsid w:val="69124F16"/>
    <w:rsid w:val="692E6308"/>
    <w:rsid w:val="69CD5C14"/>
    <w:rsid w:val="69CF0D33"/>
    <w:rsid w:val="6A9E67F3"/>
    <w:rsid w:val="6ACB27E3"/>
    <w:rsid w:val="6AFE6E8D"/>
    <w:rsid w:val="6B9946B3"/>
    <w:rsid w:val="6BE518DA"/>
    <w:rsid w:val="6C276F3A"/>
    <w:rsid w:val="6C7007C7"/>
    <w:rsid w:val="6D2F7198"/>
    <w:rsid w:val="6DAE47DB"/>
    <w:rsid w:val="6DBD028E"/>
    <w:rsid w:val="6DE76850"/>
    <w:rsid w:val="6E5777D1"/>
    <w:rsid w:val="6FAA400B"/>
    <w:rsid w:val="6FB20BD4"/>
    <w:rsid w:val="6FB27861"/>
    <w:rsid w:val="6FBA59BE"/>
    <w:rsid w:val="70296B3E"/>
    <w:rsid w:val="70611204"/>
    <w:rsid w:val="7165620F"/>
    <w:rsid w:val="717039F8"/>
    <w:rsid w:val="719C05EE"/>
    <w:rsid w:val="726B6263"/>
    <w:rsid w:val="73315426"/>
    <w:rsid w:val="74416E39"/>
    <w:rsid w:val="74D13AD5"/>
    <w:rsid w:val="74FA2C30"/>
    <w:rsid w:val="754D5C4B"/>
    <w:rsid w:val="76287800"/>
    <w:rsid w:val="767B19D2"/>
    <w:rsid w:val="76C240A7"/>
    <w:rsid w:val="76DA416A"/>
    <w:rsid w:val="775246B7"/>
    <w:rsid w:val="77A05416"/>
    <w:rsid w:val="781909C7"/>
    <w:rsid w:val="781E69D1"/>
    <w:rsid w:val="78C05422"/>
    <w:rsid w:val="7901747F"/>
    <w:rsid w:val="79C32FEF"/>
    <w:rsid w:val="7A263B6B"/>
    <w:rsid w:val="7A3A2CC5"/>
    <w:rsid w:val="7AF46346"/>
    <w:rsid w:val="7B0F5EBF"/>
    <w:rsid w:val="7B130FB9"/>
    <w:rsid w:val="7B182257"/>
    <w:rsid w:val="7BD71E38"/>
    <w:rsid w:val="7BDC35EE"/>
    <w:rsid w:val="7BF64EDE"/>
    <w:rsid w:val="7C400C1E"/>
    <w:rsid w:val="7DD11708"/>
    <w:rsid w:val="7DEE4A4F"/>
    <w:rsid w:val="7E84486C"/>
    <w:rsid w:val="7EAE6230"/>
    <w:rsid w:val="7EBD579E"/>
    <w:rsid w:val="7EC167BD"/>
    <w:rsid w:val="7F272D9E"/>
    <w:rsid w:val="9BF9E5D0"/>
    <w:rsid w:val="D03F0CC5"/>
    <w:rsid w:val="DF7B312A"/>
    <w:rsid w:val="FFAD5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qFormat="1" w:uiPriority="0"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6"/>
    <w:link w:val="35"/>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Calibri Light" w:hAnsi="Calibri Light"/>
      <w:b/>
      <w:bCs/>
      <w:sz w:val="24"/>
    </w:rPr>
  </w:style>
  <w:style w:type="paragraph" w:styleId="8">
    <w:name w:val="heading 8"/>
    <w:basedOn w:val="1"/>
    <w:next w:val="1"/>
    <w:link w:val="36"/>
    <w:qFormat/>
    <w:uiPriority w:val="9"/>
    <w:pPr>
      <w:keepNext/>
      <w:keepLines/>
      <w:spacing w:before="240" w:after="64" w:line="320" w:lineRule="auto"/>
      <w:outlineLvl w:val="7"/>
    </w:pPr>
    <w:rPr>
      <w:rFonts w:ascii="等线 Light" w:hAnsi="等线 Light" w:eastAsia="等线 Light"/>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table of authorities"/>
    <w:basedOn w:val="1"/>
    <w:next w:val="1"/>
    <w:unhideWhenUsed/>
    <w:qFormat/>
    <w:uiPriority w:val="0"/>
    <w:pPr>
      <w:spacing w:line="560" w:lineRule="exact"/>
      <w:ind w:left="420" w:leftChars="20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37"/>
    <w:qFormat/>
    <w:uiPriority w:val="0"/>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link w:val="39"/>
    <w:unhideWhenUsed/>
    <w:qFormat/>
    <w:uiPriority w:val="0"/>
    <w:pPr>
      <w:spacing w:after="120"/>
    </w:pPr>
  </w:style>
  <w:style w:type="paragraph" w:styleId="14">
    <w:name w:val="Body Text Indent"/>
    <w:basedOn w:val="1"/>
    <w:link w:val="40"/>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link w:val="41"/>
    <w:qFormat/>
    <w:uiPriority w:val="0"/>
    <w:rPr>
      <w:rFonts w:ascii="宋体" w:hAnsi="Courier New"/>
      <w:kern w:val="0"/>
      <w:sz w:val="20"/>
      <w:szCs w:val="21"/>
    </w:rPr>
  </w:style>
  <w:style w:type="paragraph" w:styleId="17">
    <w:name w:val="Date"/>
    <w:basedOn w:val="1"/>
    <w:next w:val="1"/>
    <w:link w:val="42"/>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43"/>
    <w:unhideWhenUsed/>
    <w:qFormat/>
    <w:uiPriority w:val="99"/>
    <w:pPr>
      <w:tabs>
        <w:tab w:val="center" w:pos="4153"/>
        <w:tab w:val="right" w:pos="8306"/>
      </w:tabs>
      <w:snapToGrid w:val="0"/>
      <w:jc w:val="left"/>
    </w:pPr>
    <w:rPr>
      <w:kern w:val="0"/>
      <w:sz w:val="18"/>
      <w:szCs w:val="18"/>
    </w:rPr>
  </w:style>
  <w:style w:type="paragraph" w:styleId="20">
    <w:name w:val="header"/>
    <w:basedOn w:val="1"/>
    <w:link w:val="4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99"/>
    <w:rPr>
      <w:rFonts w:ascii="Calibri" w:hAnsi="Calibri"/>
      <w:kern w:val="0"/>
      <w:sz w:val="24"/>
    </w:rPr>
  </w:style>
  <w:style w:type="paragraph" w:styleId="24">
    <w:name w:val="annotation subject"/>
    <w:basedOn w:val="11"/>
    <w:next w:val="11"/>
    <w:link w:val="45"/>
    <w:qFormat/>
    <w:uiPriority w:val="99"/>
    <w:rPr>
      <w:b/>
      <w:bCs/>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endnote reference"/>
    <w:unhideWhenUsed/>
    <w:qFormat/>
    <w:uiPriority w:val="99"/>
    <w:rPr>
      <w:vertAlign w:val="superscript"/>
    </w:rPr>
  </w:style>
  <w:style w:type="character" w:styleId="29">
    <w:name w:val="Hyperlink"/>
    <w:unhideWhenUsed/>
    <w:qFormat/>
    <w:uiPriority w:val="99"/>
    <w:rPr>
      <w:color w:val="0000FF"/>
      <w:u w:val="single"/>
    </w:rPr>
  </w:style>
  <w:style w:type="character" w:styleId="30">
    <w:name w:val="annotation reference"/>
    <w:qFormat/>
    <w:uiPriority w:val="0"/>
    <w:rPr>
      <w:sz w:val="21"/>
      <w:szCs w:val="21"/>
    </w:rPr>
  </w:style>
  <w:style w:type="paragraph" w:customStyle="1" w:styleId="31">
    <w:name w:val="首行缩进"/>
    <w:basedOn w:val="1"/>
    <w:qFormat/>
    <w:uiPriority w:val="99"/>
    <w:pPr>
      <w:ind w:firstLine="480" w:firstLineChars="200"/>
    </w:pPr>
    <w:rPr>
      <w:lang w:val="zh-CN"/>
    </w:rPr>
  </w:style>
  <w:style w:type="paragraph" w:customStyle="1" w:styleId="32">
    <w:name w:val="Default"/>
    <w:next w:val="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3">
    <w:name w:val="标题 1 Char"/>
    <w:link w:val="2"/>
    <w:qFormat/>
    <w:uiPriority w:val="9"/>
    <w:rPr>
      <w:b/>
      <w:bCs/>
      <w:kern w:val="44"/>
      <w:sz w:val="44"/>
      <w:szCs w:val="44"/>
    </w:rPr>
  </w:style>
  <w:style w:type="character" w:customStyle="1" w:styleId="34">
    <w:name w:val="标题 2 Char1"/>
    <w:link w:val="3"/>
    <w:qFormat/>
    <w:uiPriority w:val="9"/>
    <w:rPr>
      <w:rFonts w:ascii="Cambria" w:hAnsi="Cambria" w:eastAsia="宋体" w:cs="Times New Roman"/>
      <w:b/>
      <w:bCs/>
      <w:kern w:val="2"/>
      <w:sz w:val="32"/>
      <w:szCs w:val="32"/>
    </w:rPr>
  </w:style>
  <w:style w:type="character" w:customStyle="1" w:styleId="35">
    <w:name w:val="标题 5 Char"/>
    <w:link w:val="5"/>
    <w:semiHidden/>
    <w:qFormat/>
    <w:uiPriority w:val="9"/>
    <w:rPr>
      <w:rFonts w:ascii="Times New Roman" w:hAnsi="Times New Roman"/>
      <w:b/>
      <w:bCs/>
      <w:kern w:val="2"/>
      <w:sz w:val="28"/>
      <w:szCs w:val="28"/>
    </w:rPr>
  </w:style>
  <w:style w:type="character" w:customStyle="1" w:styleId="36">
    <w:name w:val="标题 8 Char1"/>
    <w:link w:val="8"/>
    <w:semiHidden/>
    <w:qFormat/>
    <w:uiPriority w:val="9"/>
    <w:rPr>
      <w:rFonts w:ascii="等线 Light" w:hAnsi="等线 Light" w:eastAsia="等线 Light" w:cs="Times New Roman"/>
      <w:kern w:val="2"/>
      <w:sz w:val="24"/>
      <w:szCs w:val="24"/>
    </w:rPr>
  </w:style>
  <w:style w:type="character" w:customStyle="1" w:styleId="37">
    <w:name w:val="批注文字 Char1"/>
    <w:link w:val="11"/>
    <w:qFormat/>
    <w:uiPriority w:val="0"/>
    <w:rPr>
      <w:rFonts w:ascii="Times New Roman" w:hAnsi="Times New Roman"/>
      <w:kern w:val="2"/>
      <w:sz w:val="21"/>
      <w:szCs w:val="24"/>
    </w:rPr>
  </w:style>
  <w:style w:type="character" w:customStyle="1" w:styleId="38">
    <w:name w:val="正文文本 3 Char"/>
    <w:link w:val="12"/>
    <w:semiHidden/>
    <w:qFormat/>
    <w:uiPriority w:val="99"/>
    <w:rPr>
      <w:kern w:val="2"/>
      <w:sz w:val="16"/>
      <w:szCs w:val="16"/>
    </w:rPr>
  </w:style>
  <w:style w:type="character" w:customStyle="1" w:styleId="39">
    <w:name w:val="正文文本 Char1"/>
    <w:link w:val="13"/>
    <w:qFormat/>
    <w:uiPriority w:val="0"/>
    <w:rPr>
      <w:rFonts w:ascii="Times New Roman" w:hAnsi="Times New Roman"/>
      <w:kern w:val="2"/>
      <w:sz w:val="21"/>
      <w:szCs w:val="24"/>
    </w:rPr>
  </w:style>
  <w:style w:type="character" w:customStyle="1" w:styleId="40">
    <w:name w:val="正文文本缩进 Char"/>
    <w:link w:val="14"/>
    <w:qFormat/>
    <w:uiPriority w:val="0"/>
    <w:rPr>
      <w:rFonts w:ascii="仿宋_GB2312" w:hAnsi="Times New Roman" w:eastAsia="仿宋_GB2312" w:cs="Times New Roman"/>
      <w:sz w:val="32"/>
      <w:szCs w:val="20"/>
    </w:rPr>
  </w:style>
  <w:style w:type="character" w:customStyle="1" w:styleId="41">
    <w:name w:val="纯文本 Char1"/>
    <w:link w:val="16"/>
    <w:qFormat/>
    <w:uiPriority w:val="0"/>
    <w:rPr>
      <w:rFonts w:ascii="宋体" w:hAnsi="Courier New" w:eastAsia="宋体" w:cs="Courier New"/>
      <w:szCs w:val="21"/>
    </w:rPr>
  </w:style>
  <w:style w:type="character" w:customStyle="1" w:styleId="42">
    <w:name w:val="日期 Char"/>
    <w:link w:val="17"/>
    <w:semiHidden/>
    <w:qFormat/>
    <w:uiPriority w:val="99"/>
    <w:rPr>
      <w:rFonts w:ascii="Times New Roman" w:hAnsi="Times New Roman"/>
      <w:kern w:val="2"/>
      <w:sz w:val="21"/>
      <w:szCs w:val="24"/>
    </w:rPr>
  </w:style>
  <w:style w:type="character" w:customStyle="1" w:styleId="43">
    <w:name w:val="页脚 Char"/>
    <w:link w:val="19"/>
    <w:qFormat/>
    <w:uiPriority w:val="99"/>
    <w:rPr>
      <w:sz w:val="18"/>
      <w:szCs w:val="18"/>
    </w:rPr>
  </w:style>
  <w:style w:type="character" w:customStyle="1" w:styleId="44">
    <w:name w:val="页眉 Char"/>
    <w:link w:val="20"/>
    <w:qFormat/>
    <w:uiPriority w:val="99"/>
    <w:rPr>
      <w:sz w:val="18"/>
      <w:szCs w:val="18"/>
    </w:rPr>
  </w:style>
  <w:style w:type="character" w:customStyle="1" w:styleId="45">
    <w:name w:val="批注主题 Char"/>
    <w:link w:val="24"/>
    <w:qFormat/>
    <w:uiPriority w:val="99"/>
    <w:rPr>
      <w:rFonts w:ascii="Times New Roman" w:hAnsi="Times New Roman"/>
      <w:b/>
      <w:bCs/>
      <w:kern w:val="2"/>
      <w:sz w:val="21"/>
      <w:szCs w:val="24"/>
    </w:rPr>
  </w:style>
  <w:style w:type="character" w:customStyle="1" w:styleId="46">
    <w:name w:val="标题 1 字符1"/>
    <w:qFormat/>
    <w:uiPriority w:val="0"/>
    <w:rPr>
      <w:b/>
      <w:bCs/>
      <w:kern w:val="44"/>
      <w:sz w:val="44"/>
      <w:szCs w:val="44"/>
    </w:rPr>
  </w:style>
  <w:style w:type="character" w:customStyle="1" w:styleId="47">
    <w:name w:val="textcontents"/>
    <w:qFormat/>
    <w:uiPriority w:val="0"/>
  </w:style>
  <w:style w:type="character" w:customStyle="1" w:styleId="48">
    <w:name w:val="批注文字 Char"/>
    <w:qFormat/>
    <w:uiPriority w:val="0"/>
    <w:rPr>
      <w:rFonts w:ascii="Times New Roman" w:hAnsi="Times New Roman"/>
      <w:kern w:val="2"/>
      <w:sz w:val="21"/>
      <w:szCs w:val="24"/>
    </w:rPr>
  </w:style>
  <w:style w:type="character" w:customStyle="1" w:styleId="49">
    <w:name w:val="纯文本 字符"/>
    <w:qFormat/>
    <w:uiPriority w:val="0"/>
    <w:rPr>
      <w:rFonts w:ascii="宋体" w:hAnsi="Courier New" w:eastAsia="宋体" w:cs="Courier New"/>
      <w:szCs w:val="21"/>
    </w:rPr>
  </w:style>
  <w:style w:type="character" w:customStyle="1" w:styleId="50">
    <w:name w:val="纯文本 Char"/>
    <w:qFormat/>
    <w:uiPriority w:val="0"/>
    <w:rPr>
      <w:rFonts w:ascii="宋体" w:hAnsi="Courier New" w:eastAsia="宋体" w:cs="Courier New"/>
      <w:szCs w:val="21"/>
    </w:rPr>
  </w:style>
  <w:style w:type="character" w:customStyle="1" w:styleId="51">
    <w:name w:val="纯文本 字符2"/>
    <w:qFormat/>
    <w:uiPriority w:val="0"/>
    <w:rPr>
      <w:rFonts w:ascii="宋体" w:hAnsi="Courier New" w:eastAsia="宋体" w:cs="Courier New"/>
      <w:szCs w:val="21"/>
    </w:rPr>
  </w:style>
  <w:style w:type="character" w:customStyle="1" w:styleId="52">
    <w:name w:val="批注文字 字符1"/>
    <w:qFormat/>
    <w:uiPriority w:val="0"/>
    <w:rPr>
      <w:rFonts w:ascii="Times New Roman" w:hAnsi="Times New Roman"/>
      <w:kern w:val="2"/>
      <w:sz w:val="21"/>
      <w:szCs w:val="24"/>
    </w:rPr>
  </w:style>
  <w:style w:type="character" w:customStyle="1" w:styleId="5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4">
    <w:name w:val="纯文本 字符1"/>
    <w:qFormat/>
    <w:uiPriority w:val="0"/>
    <w:rPr>
      <w:rFonts w:ascii="宋体" w:hAnsi="Courier New"/>
    </w:rPr>
  </w:style>
  <w:style w:type="character" w:customStyle="1" w:styleId="55">
    <w:name w:val="正文文本 Char"/>
    <w:qFormat/>
    <w:uiPriority w:val="99"/>
    <w:rPr>
      <w:rFonts w:ascii="Times New Roman" w:hAnsi="Times New Roman"/>
      <w:kern w:val="2"/>
      <w:sz w:val="21"/>
      <w:szCs w:val="24"/>
    </w:rPr>
  </w:style>
  <w:style w:type="character" w:customStyle="1" w:styleId="56">
    <w:name w:val="批注文字 字符"/>
    <w:qFormat/>
    <w:uiPriority w:val="0"/>
    <w:rPr>
      <w:rFonts w:ascii="Times New Roman" w:hAnsi="Times New Roman"/>
      <w:kern w:val="2"/>
      <w:sz w:val="21"/>
      <w:szCs w:val="24"/>
    </w:rPr>
  </w:style>
  <w:style w:type="character" w:customStyle="1" w:styleId="57">
    <w:name w:val="标题 2 Char"/>
    <w:qFormat/>
    <w:uiPriority w:val="9"/>
    <w:rPr>
      <w:rFonts w:ascii="Cambria" w:hAnsi="Cambria" w:eastAsia="宋体" w:cs="Times New Roman"/>
      <w:b/>
      <w:bCs/>
      <w:kern w:val="2"/>
      <w:sz w:val="32"/>
      <w:szCs w:val="32"/>
    </w:rPr>
  </w:style>
  <w:style w:type="character" w:customStyle="1" w:styleId="58">
    <w:name w:val="标题 8 Char"/>
    <w:qFormat/>
    <w:uiPriority w:val="0"/>
    <w:rPr>
      <w:rFonts w:ascii="Arial" w:hAnsi="Arial" w:eastAsia="黑体"/>
      <w:kern w:val="2"/>
      <w:sz w:val="24"/>
      <w:szCs w:val="24"/>
    </w:rPr>
  </w:style>
  <w:style w:type="character" w:customStyle="1" w:styleId="59">
    <w:name w:val="apple-style-span"/>
    <w:qFormat/>
    <w:uiPriority w:val="0"/>
  </w:style>
  <w:style w:type="paragraph" w:customStyle="1" w:styleId="60">
    <w:name w:val="默认段落字体 Para Char Char Char Char Char Char Char Char Char1 Char Char Char Char"/>
    <w:basedOn w:val="1"/>
    <w:qFormat/>
    <w:uiPriority w:val="0"/>
    <w:rPr>
      <w:rFonts w:ascii="Tahoma" w:hAnsi="Tahoma"/>
      <w:sz w:val="24"/>
      <w:szCs w:val="20"/>
    </w:rPr>
  </w:style>
  <w:style w:type="paragraph" w:customStyle="1" w:styleId="6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2">
    <w:name w:val="List Paragraph"/>
    <w:basedOn w:val="1"/>
    <w:qFormat/>
    <w:uiPriority w:val="34"/>
    <w:pPr>
      <w:ind w:firstLine="420" w:firstLineChars="200"/>
    </w:pPr>
  </w:style>
  <w:style w:type="paragraph" w:customStyle="1" w:styleId="63">
    <w:name w:val="Table Paragraph"/>
    <w:basedOn w:val="1"/>
    <w:qFormat/>
    <w:uiPriority w:val="1"/>
    <w:pPr>
      <w:jc w:val="left"/>
    </w:pPr>
    <w:rPr>
      <w:rFonts w:ascii="Calibri" w:hAnsi="Calibri"/>
      <w:kern w:val="0"/>
      <w:sz w:val="22"/>
      <w:szCs w:val="22"/>
      <w:lang w:eastAsia="en-US"/>
    </w:rPr>
  </w:style>
  <w:style w:type="character" w:customStyle="1" w:styleId="64">
    <w:name w:val="正文文本 字符"/>
    <w:qFormat/>
    <w:uiPriority w:val="0"/>
    <w:rPr>
      <w:rFonts w:ascii="Times New Roman" w:hAnsi="Times New Roman"/>
      <w:kern w:val="2"/>
      <w:sz w:val="21"/>
      <w:szCs w:val="24"/>
    </w:rPr>
  </w:style>
  <w:style w:type="character" w:customStyle="1" w:styleId="65">
    <w:name w:val="批注文字 Char2"/>
    <w:qFormat/>
    <w:uiPriority w:val="0"/>
    <w:rPr>
      <w:rFonts w:ascii="Times New Roman" w:hAnsi="Times New Roman"/>
      <w:kern w:val="2"/>
      <w:sz w:val="21"/>
      <w:szCs w:val="24"/>
    </w:rPr>
  </w:style>
  <w:style w:type="character" w:customStyle="1" w:styleId="66">
    <w:name w:val="正文2 Char Char"/>
    <w:link w:val="67"/>
    <w:qFormat/>
    <w:uiPriority w:val="0"/>
    <w:rPr>
      <w:kern w:val="2"/>
      <w:sz w:val="24"/>
    </w:rPr>
  </w:style>
  <w:style w:type="paragraph" w:customStyle="1" w:styleId="67">
    <w:name w:val="正文2"/>
    <w:basedOn w:val="1"/>
    <w:link w:val="66"/>
    <w:qFormat/>
    <w:uiPriority w:val="0"/>
    <w:pPr>
      <w:adjustRightInd w:val="0"/>
      <w:spacing w:before="156" w:line="360" w:lineRule="auto"/>
      <w:ind w:firstLine="510" w:firstLineChars="200"/>
    </w:pPr>
    <w:rPr>
      <w:sz w:val="24"/>
      <w:szCs w:val="20"/>
    </w:rPr>
  </w:style>
  <w:style w:type="paragraph" w:customStyle="1" w:styleId="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9">
    <w:name w:val="列出段落1"/>
    <w:basedOn w:val="1"/>
    <w:qFormat/>
    <w:uiPriority w:val="0"/>
    <w:pPr>
      <w:ind w:firstLine="420" w:firstLineChars="200"/>
    </w:pPr>
    <w:rPr>
      <w:szCs w:val="21"/>
    </w:rPr>
  </w:style>
  <w:style w:type="paragraph" w:customStyle="1" w:styleId="70">
    <w:name w:val="Char"/>
    <w:basedOn w:val="1"/>
    <w:qFormat/>
    <w:uiPriority w:val="0"/>
  </w:style>
  <w:style w:type="character" w:customStyle="1" w:styleId="71">
    <w:name w:val="0正文K Char"/>
    <w:link w:val="72"/>
    <w:qFormat/>
    <w:uiPriority w:val="0"/>
    <w:rPr>
      <w:rFonts w:asciiTheme="minorHAnsi" w:hAnsiTheme="minorHAnsi" w:eastAsiaTheme="minorEastAsia" w:cstheme="minorBidi"/>
      <w:color w:val="000000"/>
    </w:rPr>
  </w:style>
  <w:style w:type="paragraph" w:customStyle="1" w:styleId="72">
    <w:name w:val="0正文K"/>
    <w:basedOn w:val="1"/>
    <w:next w:val="73"/>
    <w:link w:val="71"/>
    <w:qFormat/>
    <w:uiPriority w:val="0"/>
    <w:rPr>
      <w:rFonts w:asciiTheme="minorHAnsi" w:hAnsiTheme="minorHAnsi" w:eastAsiaTheme="minorEastAsia" w:cstheme="minorBidi"/>
      <w:color w:val="000000"/>
    </w:rPr>
  </w:style>
  <w:style w:type="paragraph" w:customStyle="1" w:styleId="73">
    <w:name w:val="0正文"/>
    <w:basedOn w:val="1"/>
    <w:qFormat/>
    <w:uiPriority w:val="0"/>
    <w:rPr>
      <w:szCs w:val="28"/>
    </w:rPr>
  </w:style>
  <w:style w:type="paragraph" w:customStyle="1" w:styleId="7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5">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74</Pages>
  <Words>187</Words>
  <Characters>218</Characters>
  <Lines>362</Lines>
  <Paragraphs>102</Paragraphs>
  <TotalTime>110</TotalTime>
  <ScaleCrop>false</ScaleCrop>
  <LinksUpToDate>false</LinksUpToDate>
  <CharactersWithSpaces>229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2024-05-09T16:44:00Z</dcterms:created>
  <dc:creator>唐冰</dc:creator>
  <cp:lastModifiedBy>everyone</cp:lastModifiedBy>
  <cp:lastPrinted>2020-04-03T16:20:00Z</cp:lastPrinted>
  <dcterms:modified xsi:type="dcterms:W3CDTF">2025-12-10T09:04:47Z</dcterms:modified>
  <dc:title>竞争性谈判文件规范</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930E1B648EDE4A139C01BFCC9D2A400A_13</vt:lpwstr>
  </property>
  <property fmtid="{D5CDD505-2E9C-101B-9397-08002B2CF9AE}" pid="4" name="KSOTemplateDocerSaveRecord">
    <vt:lpwstr>eyJoZGlkIjoiOGRmMTUxZWEzZTE5NWRlNTE3MzlkMzc5ZWFkYWZjNTgiLCJ1c2VySWQiOiI2MTI4OTUwMDYifQ==</vt:lpwstr>
  </property>
</Properties>
</file>