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03D14">
      <w:pPr>
        <w:spacing w:line="360" w:lineRule="auto"/>
        <w:jc w:val="center"/>
        <w:rPr>
          <w:rFonts w:hint="eastAsia" w:ascii="方正小标宋简体" w:hAnsi="宋体" w:eastAsia="方正小标宋简体"/>
          <w:color w:val="auto"/>
          <w:sz w:val="52"/>
          <w:szCs w:val="52"/>
          <w:highlight w:val="none"/>
        </w:rPr>
      </w:pPr>
    </w:p>
    <w:p w14:paraId="691BE9BF">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18E03D82">
      <w:pPr>
        <w:spacing w:before="120" w:beforeLines="50" w:line="360" w:lineRule="auto"/>
        <w:jc w:val="center"/>
        <w:rPr>
          <w:rFonts w:ascii="宋体" w:hAnsi="宋体"/>
          <w:color w:val="auto"/>
          <w:sz w:val="52"/>
          <w:szCs w:val="52"/>
          <w:highlight w:val="none"/>
        </w:rPr>
      </w:pPr>
    </w:p>
    <w:p w14:paraId="78CD683A">
      <w:pPr>
        <w:spacing w:line="360" w:lineRule="auto"/>
        <w:rPr>
          <w:rFonts w:hint="eastAsia" w:ascii="仿宋_GB2312" w:hAnsi="宋体" w:eastAsia="仿宋_GB2312"/>
          <w:b/>
          <w:color w:val="auto"/>
          <w:sz w:val="48"/>
          <w:szCs w:val="48"/>
          <w:highlight w:val="none"/>
        </w:rPr>
      </w:pPr>
    </w:p>
    <w:p w14:paraId="276345EF">
      <w:pPr>
        <w:snapToGrid w:val="0"/>
        <w:spacing w:before="120"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050CB0A3">
      <w:pPr>
        <w:snapToGrid w:val="0"/>
        <w:spacing w:before="120" w:beforeLines="5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（全流程电子化采购-远程异地评标）</w:t>
      </w:r>
    </w:p>
    <w:p w14:paraId="1585C8B1">
      <w:pPr>
        <w:snapToGrid w:val="0"/>
        <w:spacing w:line="360" w:lineRule="auto"/>
        <w:rPr>
          <w:rFonts w:hint="eastAsia" w:ascii="仿宋_GB2312" w:hAnsi="宋体" w:eastAsia="仿宋_GB2312"/>
          <w:color w:val="auto"/>
          <w:sz w:val="30"/>
          <w:szCs w:val="72"/>
          <w:highlight w:val="none"/>
        </w:rPr>
      </w:pPr>
    </w:p>
    <w:p w14:paraId="1C36D535">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rPr>
        <w:t>项目名称：</w:t>
      </w:r>
      <w:r>
        <w:rPr>
          <w:rFonts w:hint="eastAsia" w:ascii="仿宋_GB2312" w:hAnsi="宋体" w:eastAsia="仿宋_GB2312" w:cs="Courier New"/>
          <w:b/>
          <w:bCs/>
          <w:color w:val="auto"/>
          <w:w w:val="95"/>
          <w:sz w:val="30"/>
          <w:szCs w:val="30"/>
          <w:highlight w:val="none"/>
          <w:lang w:eastAsia="zh-CN"/>
        </w:rPr>
        <w:t>梧州市心电诊断中心心电图机采购</w:t>
      </w:r>
    </w:p>
    <w:p w14:paraId="79017312">
      <w:pPr>
        <w:snapToGrid w:val="0"/>
        <w:spacing w:line="360" w:lineRule="auto"/>
        <w:ind w:firstLine="1145" w:firstLineChars="400"/>
        <w:rPr>
          <w:rFonts w:hint="eastAsia"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项目编号：</w:t>
      </w:r>
      <w:r>
        <w:rPr>
          <w:rFonts w:hint="eastAsia" w:ascii="仿宋_GB2312" w:hAnsi="宋体" w:eastAsia="仿宋_GB2312" w:cs="Courier New"/>
          <w:b/>
          <w:bCs/>
          <w:color w:val="auto"/>
          <w:w w:val="95"/>
          <w:sz w:val="30"/>
          <w:szCs w:val="30"/>
          <w:highlight w:val="none"/>
          <w:lang w:eastAsia="zh-CN"/>
        </w:rPr>
        <w:t>WZZC2025-G1-990313-YZLZ</w:t>
      </w:r>
      <w:r>
        <w:rPr>
          <w:rFonts w:hint="eastAsia" w:ascii="仿宋_GB2312" w:hAnsi="宋体" w:eastAsia="仿宋_GB2312"/>
          <w:b/>
          <w:color w:val="auto"/>
          <w:sz w:val="30"/>
          <w:szCs w:val="48"/>
          <w:highlight w:val="none"/>
        </w:rPr>
        <w:t xml:space="preserve"> </w:t>
      </w:r>
    </w:p>
    <w:p w14:paraId="1C0431FB">
      <w:pPr>
        <w:pStyle w:val="24"/>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梧州市卫生健康委员会</w:t>
      </w:r>
    </w:p>
    <w:p w14:paraId="6E175077">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50EE28C0">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p>
    <w:p w14:paraId="5EC7EAE1">
      <w:pPr>
        <w:pStyle w:val="24"/>
        <w:snapToGrid w:val="0"/>
        <w:spacing w:line="360" w:lineRule="auto"/>
        <w:ind w:firstLine="1125" w:firstLineChars="393"/>
        <w:rPr>
          <w:rFonts w:hint="eastAsia" w:ascii="仿宋_GB2312" w:hAnsi="宋体" w:eastAsia="仿宋_GB2312"/>
          <w:b/>
          <w:bCs/>
          <w:color w:val="auto"/>
          <w:w w:val="95"/>
          <w:sz w:val="30"/>
          <w:szCs w:val="30"/>
          <w:highlight w:val="none"/>
        </w:rPr>
      </w:pPr>
    </w:p>
    <w:p w14:paraId="00606223">
      <w:pPr>
        <w:pStyle w:val="24"/>
        <w:snapToGrid w:val="0"/>
        <w:spacing w:line="360" w:lineRule="auto"/>
        <w:ind w:firstLine="841" w:firstLineChars="294"/>
        <w:rPr>
          <w:rFonts w:hint="eastAsia"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12</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1</w:t>
      </w:r>
      <w:r>
        <w:rPr>
          <w:rFonts w:hint="eastAsia" w:ascii="仿宋_GB2312" w:hAnsi="宋体" w:eastAsia="仿宋_GB2312"/>
          <w:b/>
          <w:bCs/>
          <w:color w:val="auto"/>
          <w:w w:val="95"/>
          <w:sz w:val="30"/>
          <w:szCs w:val="30"/>
          <w:highlight w:val="none"/>
        </w:rPr>
        <w:t>日</w:t>
      </w:r>
    </w:p>
    <w:p w14:paraId="76F11638">
      <w:pPr>
        <w:pStyle w:val="15"/>
        <w:ind w:firstLine="803"/>
        <w:jc w:val="center"/>
        <w:rPr>
          <w:rFonts w:hint="eastAsia" w:ascii="仿宋_GB2312" w:hAnsi="宋体" w:eastAsia="仿宋_GB2312"/>
          <w:color w:val="auto"/>
          <w:highlight w:val="none"/>
        </w:rPr>
      </w:pPr>
      <w:r>
        <w:rPr>
          <w:rFonts w:ascii="Arial" w:hAnsi="Arial" w:eastAsia="黑体"/>
          <w:bCs/>
          <w:color w:val="auto"/>
          <w:kern w:val="0"/>
          <w:sz w:val="32"/>
          <w:szCs w:val="32"/>
          <w:highlight w:val="none"/>
        </w:rPr>
        <w:br w:type="page"/>
      </w:r>
    </w:p>
    <w:p w14:paraId="60628151">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29C9FEA">
      <w:pPr>
        <w:pStyle w:val="32"/>
        <w:rPr>
          <w:rFonts w:ascii="Calibri" w:hAnsi="Calibri"/>
          <w:b w:val="0"/>
          <w:bCs w:val="0"/>
          <w:caps w:val="0"/>
          <w:color w:val="auto"/>
          <w:sz w:val="21"/>
          <w:szCs w:val="22"/>
          <w:highlight w:val="none"/>
          <w:lang w:val="en-US" w:eastAsia="zh-CN"/>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rStyle w:val="52"/>
          <w:color w:val="auto"/>
          <w:highlight w:val="none"/>
        </w:rPr>
        <w:fldChar w:fldCharType="begin"/>
      </w:r>
      <w:r>
        <w:rPr>
          <w:rStyle w:val="52"/>
          <w:color w:val="auto"/>
          <w:highlight w:val="none"/>
        </w:rPr>
        <w:instrText xml:space="preserve"> </w:instrText>
      </w:r>
      <w:r>
        <w:rPr>
          <w:color w:val="auto"/>
          <w:highlight w:val="none"/>
        </w:rPr>
        <w:instrText xml:space="preserve">HYPERLINK \l "_Toc74320800"</w:instrText>
      </w:r>
      <w:r>
        <w:rPr>
          <w:rStyle w:val="52"/>
          <w:color w:val="auto"/>
          <w:highlight w:val="none"/>
        </w:rPr>
        <w:instrText xml:space="preserve"> </w:instrText>
      </w:r>
      <w:r>
        <w:rPr>
          <w:rStyle w:val="52"/>
          <w:color w:val="auto"/>
          <w:highlight w:val="none"/>
        </w:rPr>
        <w:fldChar w:fldCharType="separate"/>
      </w:r>
      <w:r>
        <w:rPr>
          <w:rStyle w:val="52"/>
          <w:rFonts w:hint="eastAsia"/>
          <w:color w:val="auto"/>
          <w:highlight w:val="none"/>
        </w:rPr>
        <w:t>第一章</w:t>
      </w:r>
      <w:r>
        <w:rPr>
          <w:rStyle w:val="52"/>
          <w:color w:val="auto"/>
          <w:highlight w:val="none"/>
        </w:rPr>
        <w:t xml:space="preserve"> </w:t>
      </w:r>
      <w:r>
        <w:rPr>
          <w:rStyle w:val="52"/>
          <w:rFonts w:hint="eastAsia"/>
          <w:color w:val="auto"/>
          <w:highlight w:val="none"/>
          <w:lang w:val="en-US" w:eastAsia="zh-CN"/>
        </w:rPr>
        <w:t xml:space="preserve"> </w:t>
      </w:r>
      <w:r>
        <w:rPr>
          <w:rStyle w:val="52"/>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_Toc74320800 \h </w:instrText>
      </w:r>
      <w:r>
        <w:rPr>
          <w:color w:val="auto"/>
          <w:highlight w:val="none"/>
        </w:rPr>
        <w:fldChar w:fldCharType="separate"/>
      </w:r>
      <w:r>
        <w:rPr>
          <w:color w:val="auto"/>
          <w:highlight w:val="none"/>
        </w:rPr>
        <w:t>3</w:t>
      </w:r>
      <w:r>
        <w:rPr>
          <w:color w:val="auto"/>
          <w:highlight w:val="none"/>
        </w:rPr>
        <w:fldChar w:fldCharType="end"/>
      </w:r>
      <w:r>
        <w:rPr>
          <w:rStyle w:val="52"/>
          <w:color w:val="auto"/>
          <w:highlight w:val="none"/>
        </w:rPr>
        <w:fldChar w:fldCharType="end"/>
      </w:r>
    </w:p>
    <w:p w14:paraId="6B6F92B5">
      <w:pPr>
        <w:pStyle w:val="32"/>
        <w:ind w:firstLine="241"/>
        <w:rPr>
          <w:rFonts w:ascii="Calibri" w:hAnsi="Calibri"/>
          <w:b w:val="0"/>
          <w:bCs w:val="0"/>
          <w:caps w:val="0"/>
          <w:color w:val="auto"/>
          <w:sz w:val="21"/>
          <w:szCs w:val="22"/>
          <w:highlight w:val="none"/>
          <w:lang w:val="en-US" w:eastAsia="zh-CN"/>
        </w:rPr>
      </w:pPr>
      <w:r>
        <w:rPr>
          <w:rStyle w:val="52"/>
          <w:color w:val="auto"/>
          <w:highlight w:val="none"/>
        </w:rPr>
        <w:fldChar w:fldCharType="begin"/>
      </w:r>
      <w:r>
        <w:rPr>
          <w:rStyle w:val="52"/>
          <w:color w:val="auto"/>
          <w:highlight w:val="none"/>
        </w:rPr>
        <w:instrText xml:space="preserve"> </w:instrText>
      </w:r>
      <w:r>
        <w:rPr>
          <w:color w:val="auto"/>
          <w:highlight w:val="none"/>
        </w:rPr>
        <w:instrText xml:space="preserve">HYPERLINK \l "_Toc74320801"</w:instrText>
      </w:r>
      <w:r>
        <w:rPr>
          <w:rStyle w:val="52"/>
          <w:color w:val="auto"/>
          <w:highlight w:val="none"/>
        </w:rPr>
        <w:instrText xml:space="preserve"> </w:instrText>
      </w:r>
      <w:r>
        <w:rPr>
          <w:rStyle w:val="52"/>
          <w:color w:val="auto"/>
          <w:highlight w:val="none"/>
        </w:rPr>
        <w:fldChar w:fldCharType="separate"/>
      </w:r>
      <w:r>
        <w:rPr>
          <w:rStyle w:val="52"/>
          <w:rFonts w:hint="eastAsia"/>
          <w:color w:val="auto"/>
          <w:highlight w:val="none"/>
        </w:rPr>
        <w:t>第二章</w:t>
      </w:r>
      <w:r>
        <w:rPr>
          <w:rStyle w:val="52"/>
          <w:color w:val="auto"/>
          <w:highlight w:val="none"/>
        </w:rPr>
        <w:t xml:space="preserve">  </w:t>
      </w:r>
      <w:r>
        <w:rPr>
          <w:rStyle w:val="52"/>
          <w:rFonts w:hint="eastAsia"/>
          <w:color w:val="auto"/>
          <w:highlight w:val="none"/>
        </w:rPr>
        <w:t>采购需求</w:t>
      </w:r>
      <w:bookmarkStart w:id="0" w:name="_Hlt167096761"/>
      <w:r>
        <w:rPr>
          <w:color w:val="auto"/>
          <w:highlight w:val="none"/>
        </w:rPr>
        <w:tab/>
      </w:r>
      <w:bookmarkEnd w:id="0"/>
      <w:r>
        <w:rPr>
          <w:color w:val="auto"/>
          <w:highlight w:val="none"/>
        </w:rPr>
        <w:fldChar w:fldCharType="begin"/>
      </w:r>
      <w:r>
        <w:rPr>
          <w:color w:val="auto"/>
          <w:highlight w:val="none"/>
        </w:rPr>
        <w:instrText xml:space="preserve"> PAGEREF _Toc74320801 \h </w:instrText>
      </w:r>
      <w:r>
        <w:rPr>
          <w:color w:val="auto"/>
          <w:highlight w:val="none"/>
        </w:rPr>
        <w:fldChar w:fldCharType="separate"/>
      </w:r>
      <w:r>
        <w:rPr>
          <w:color w:val="auto"/>
          <w:highlight w:val="none"/>
        </w:rPr>
        <w:t>6</w:t>
      </w:r>
      <w:r>
        <w:rPr>
          <w:color w:val="auto"/>
          <w:highlight w:val="none"/>
        </w:rPr>
        <w:fldChar w:fldCharType="end"/>
      </w:r>
      <w:r>
        <w:rPr>
          <w:rStyle w:val="52"/>
          <w:color w:val="auto"/>
          <w:highlight w:val="none"/>
        </w:rPr>
        <w:fldChar w:fldCharType="end"/>
      </w:r>
    </w:p>
    <w:p w14:paraId="6604078C">
      <w:pPr>
        <w:pStyle w:val="32"/>
        <w:ind w:firstLine="241"/>
        <w:rPr>
          <w:rFonts w:ascii="Calibri" w:hAnsi="Calibri"/>
          <w:b w:val="0"/>
          <w:bCs w:val="0"/>
          <w:caps w:val="0"/>
          <w:color w:val="auto"/>
          <w:sz w:val="21"/>
          <w:szCs w:val="22"/>
          <w:highlight w:val="none"/>
          <w:lang w:val="en-US" w:eastAsia="zh-CN"/>
        </w:rPr>
      </w:pPr>
      <w:r>
        <w:rPr>
          <w:rStyle w:val="52"/>
          <w:color w:val="auto"/>
          <w:highlight w:val="none"/>
        </w:rPr>
        <w:fldChar w:fldCharType="begin"/>
      </w:r>
      <w:r>
        <w:rPr>
          <w:rStyle w:val="52"/>
          <w:color w:val="auto"/>
          <w:highlight w:val="none"/>
        </w:rPr>
        <w:instrText xml:space="preserve"> </w:instrText>
      </w:r>
      <w:r>
        <w:rPr>
          <w:color w:val="auto"/>
          <w:highlight w:val="none"/>
        </w:rPr>
        <w:instrText xml:space="preserve">HYPERLINK \l "_Toc74320802"</w:instrText>
      </w:r>
      <w:r>
        <w:rPr>
          <w:rStyle w:val="52"/>
          <w:color w:val="auto"/>
          <w:highlight w:val="none"/>
        </w:rPr>
        <w:instrText xml:space="preserve"> </w:instrText>
      </w:r>
      <w:r>
        <w:rPr>
          <w:rStyle w:val="52"/>
          <w:color w:val="auto"/>
          <w:highlight w:val="none"/>
        </w:rPr>
        <w:fldChar w:fldCharType="separate"/>
      </w:r>
      <w:r>
        <w:rPr>
          <w:rStyle w:val="52"/>
          <w:rFonts w:hint="eastAsia"/>
          <w:color w:val="auto"/>
          <w:highlight w:val="none"/>
        </w:rPr>
        <w:t>第三章</w:t>
      </w:r>
      <w:r>
        <w:rPr>
          <w:rStyle w:val="52"/>
          <w:color w:val="auto"/>
          <w:highlight w:val="none"/>
        </w:rPr>
        <w:t xml:space="preserve">  </w:t>
      </w:r>
      <w:r>
        <w:rPr>
          <w:rStyle w:val="52"/>
          <w:rFonts w:hint="eastAsia"/>
          <w:color w:val="auto"/>
          <w:highlight w:val="none"/>
        </w:rPr>
        <w:t>投标人须</w:t>
      </w:r>
      <w:bookmarkStart w:id="1" w:name="_Hlt79572745"/>
      <w:bookmarkStart w:id="2" w:name="_Hlt79572744"/>
      <w:r>
        <w:rPr>
          <w:rStyle w:val="52"/>
          <w:rFonts w:hint="eastAsia"/>
          <w:color w:val="auto"/>
          <w:highlight w:val="none"/>
        </w:rPr>
        <w:t>知</w:t>
      </w:r>
      <w:bookmarkEnd w:id="1"/>
      <w:bookmarkEnd w:id="2"/>
      <w:r>
        <w:rPr>
          <w:color w:val="auto"/>
          <w:highlight w:val="none"/>
        </w:rPr>
        <w:tab/>
      </w:r>
      <w:r>
        <w:rPr>
          <w:color w:val="auto"/>
          <w:highlight w:val="none"/>
        </w:rPr>
        <w:fldChar w:fldCharType="begin"/>
      </w:r>
      <w:r>
        <w:rPr>
          <w:color w:val="auto"/>
          <w:highlight w:val="none"/>
        </w:rPr>
        <w:instrText xml:space="preserve"> PAGEREF _Toc74320802 \h </w:instrText>
      </w:r>
      <w:r>
        <w:rPr>
          <w:color w:val="auto"/>
          <w:highlight w:val="none"/>
        </w:rPr>
        <w:fldChar w:fldCharType="separate"/>
      </w:r>
      <w:r>
        <w:rPr>
          <w:color w:val="auto"/>
          <w:highlight w:val="none"/>
        </w:rPr>
        <w:t>20</w:t>
      </w:r>
      <w:r>
        <w:rPr>
          <w:color w:val="auto"/>
          <w:highlight w:val="none"/>
        </w:rPr>
        <w:fldChar w:fldCharType="end"/>
      </w:r>
      <w:r>
        <w:rPr>
          <w:rStyle w:val="52"/>
          <w:color w:val="auto"/>
          <w:highlight w:val="none"/>
        </w:rPr>
        <w:fldChar w:fldCharType="end"/>
      </w:r>
    </w:p>
    <w:p w14:paraId="38632383">
      <w:pPr>
        <w:pStyle w:val="32"/>
        <w:ind w:firstLine="241"/>
        <w:rPr>
          <w:rFonts w:ascii="Calibri" w:hAnsi="Calibri"/>
          <w:b w:val="0"/>
          <w:bCs w:val="0"/>
          <w:caps w:val="0"/>
          <w:color w:val="auto"/>
          <w:sz w:val="21"/>
          <w:szCs w:val="22"/>
          <w:highlight w:val="none"/>
          <w:lang w:val="en-US" w:eastAsia="zh-CN"/>
        </w:rPr>
      </w:pPr>
      <w:r>
        <w:rPr>
          <w:rStyle w:val="52"/>
          <w:color w:val="auto"/>
          <w:highlight w:val="none"/>
        </w:rPr>
        <w:fldChar w:fldCharType="begin"/>
      </w:r>
      <w:r>
        <w:rPr>
          <w:rStyle w:val="52"/>
          <w:color w:val="auto"/>
          <w:highlight w:val="none"/>
        </w:rPr>
        <w:instrText xml:space="preserve"> </w:instrText>
      </w:r>
      <w:r>
        <w:rPr>
          <w:color w:val="auto"/>
          <w:highlight w:val="none"/>
        </w:rPr>
        <w:instrText xml:space="preserve">HYPERLINK \l "_Toc74320803"</w:instrText>
      </w:r>
      <w:r>
        <w:rPr>
          <w:rStyle w:val="52"/>
          <w:color w:val="auto"/>
          <w:highlight w:val="none"/>
        </w:rPr>
        <w:instrText xml:space="preserve"> </w:instrText>
      </w:r>
      <w:r>
        <w:rPr>
          <w:rStyle w:val="52"/>
          <w:color w:val="auto"/>
          <w:highlight w:val="none"/>
        </w:rPr>
        <w:fldChar w:fldCharType="separate"/>
      </w:r>
      <w:r>
        <w:rPr>
          <w:rStyle w:val="52"/>
          <w:rFonts w:hint="eastAsia"/>
          <w:color w:val="auto"/>
          <w:highlight w:val="none"/>
        </w:rPr>
        <w:t>第四章</w:t>
      </w:r>
      <w:r>
        <w:rPr>
          <w:rStyle w:val="52"/>
          <w:color w:val="auto"/>
          <w:highlight w:val="none"/>
        </w:rPr>
        <w:t xml:space="preserve">  </w:t>
      </w:r>
      <w:r>
        <w:rPr>
          <w:rStyle w:val="52"/>
          <w:rFonts w:hint="eastAsia"/>
          <w:color w:val="auto"/>
          <w:highlight w:val="none"/>
        </w:rPr>
        <w:t>评标方</w:t>
      </w:r>
      <w:bookmarkStart w:id="3" w:name="_Hlt82186274"/>
      <w:bookmarkStart w:id="4" w:name="_Hlt82186273"/>
      <w:r>
        <w:rPr>
          <w:rStyle w:val="52"/>
          <w:rFonts w:hint="eastAsia"/>
          <w:color w:val="auto"/>
          <w:highlight w:val="none"/>
        </w:rPr>
        <w:t>法</w:t>
      </w:r>
      <w:bookmarkEnd w:id="3"/>
      <w:bookmarkEnd w:id="4"/>
      <w:r>
        <w:rPr>
          <w:rStyle w:val="52"/>
          <w:rFonts w:hint="eastAsia"/>
          <w:color w:val="auto"/>
          <w:highlight w:val="none"/>
        </w:rPr>
        <w:t>及</w:t>
      </w:r>
      <w:bookmarkStart w:id="5" w:name="_Hlt167097159"/>
      <w:bookmarkStart w:id="6" w:name="_Hlt167097184"/>
      <w:r>
        <w:rPr>
          <w:rStyle w:val="52"/>
          <w:rFonts w:hint="eastAsia"/>
          <w:color w:val="auto"/>
          <w:highlight w:val="none"/>
        </w:rPr>
        <w:t>评</w:t>
      </w:r>
      <w:bookmarkEnd w:id="5"/>
      <w:bookmarkEnd w:id="6"/>
      <w:bookmarkStart w:id="7" w:name="_Hlt167096376"/>
      <w:bookmarkStart w:id="8" w:name="_Hlt167096377"/>
      <w:r>
        <w:rPr>
          <w:rStyle w:val="52"/>
          <w:rFonts w:hint="eastAsia"/>
          <w:color w:val="auto"/>
          <w:highlight w:val="none"/>
        </w:rPr>
        <w:t>标</w:t>
      </w:r>
      <w:bookmarkEnd w:id="7"/>
      <w:bookmarkEnd w:id="8"/>
      <w:r>
        <w:rPr>
          <w:rStyle w:val="52"/>
          <w:rFonts w:hint="eastAsia"/>
          <w:color w:val="auto"/>
          <w:highlight w:val="none"/>
        </w:rPr>
        <w:t>标准</w:t>
      </w:r>
      <w:r>
        <w:rPr>
          <w:color w:val="auto"/>
          <w:highlight w:val="none"/>
        </w:rPr>
        <w:tab/>
      </w:r>
      <w:r>
        <w:rPr>
          <w:color w:val="auto"/>
          <w:highlight w:val="none"/>
        </w:rPr>
        <w:fldChar w:fldCharType="begin"/>
      </w:r>
      <w:r>
        <w:rPr>
          <w:color w:val="auto"/>
          <w:highlight w:val="none"/>
        </w:rPr>
        <w:instrText xml:space="preserve"> PAGEREF _Toc74320803 \h </w:instrText>
      </w:r>
      <w:r>
        <w:rPr>
          <w:color w:val="auto"/>
          <w:highlight w:val="none"/>
        </w:rPr>
        <w:fldChar w:fldCharType="separate"/>
      </w:r>
      <w:r>
        <w:rPr>
          <w:color w:val="auto"/>
          <w:highlight w:val="none"/>
        </w:rPr>
        <w:t>42</w:t>
      </w:r>
      <w:r>
        <w:rPr>
          <w:color w:val="auto"/>
          <w:highlight w:val="none"/>
        </w:rPr>
        <w:fldChar w:fldCharType="end"/>
      </w:r>
      <w:r>
        <w:rPr>
          <w:rStyle w:val="52"/>
          <w:color w:val="auto"/>
          <w:highlight w:val="none"/>
        </w:rPr>
        <w:fldChar w:fldCharType="end"/>
      </w:r>
    </w:p>
    <w:p w14:paraId="668676F5">
      <w:pPr>
        <w:pStyle w:val="32"/>
        <w:ind w:firstLine="241"/>
        <w:rPr>
          <w:rFonts w:ascii="Calibri" w:hAnsi="Calibri"/>
          <w:b w:val="0"/>
          <w:bCs w:val="0"/>
          <w:caps w:val="0"/>
          <w:color w:val="auto"/>
          <w:sz w:val="21"/>
          <w:szCs w:val="22"/>
          <w:highlight w:val="none"/>
          <w:lang w:val="en-US" w:eastAsia="zh-CN"/>
        </w:rPr>
      </w:pPr>
      <w:r>
        <w:rPr>
          <w:rStyle w:val="52"/>
          <w:color w:val="auto"/>
          <w:highlight w:val="none"/>
        </w:rPr>
        <w:fldChar w:fldCharType="begin"/>
      </w:r>
      <w:r>
        <w:rPr>
          <w:rStyle w:val="52"/>
          <w:color w:val="auto"/>
          <w:highlight w:val="none"/>
        </w:rPr>
        <w:instrText xml:space="preserve"> </w:instrText>
      </w:r>
      <w:r>
        <w:rPr>
          <w:color w:val="auto"/>
          <w:highlight w:val="none"/>
        </w:rPr>
        <w:instrText xml:space="preserve">HYPERLINK \l "_Toc74320804"</w:instrText>
      </w:r>
      <w:r>
        <w:rPr>
          <w:rStyle w:val="52"/>
          <w:color w:val="auto"/>
          <w:highlight w:val="none"/>
        </w:rPr>
        <w:instrText xml:space="preserve"> </w:instrText>
      </w:r>
      <w:r>
        <w:rPr>
          <w:rStyle w:val="52"/>
          <w:color w:val="auto"/>
          <w:highlight w:val="none"/>
        </w:rPr>
        <w:fldChar w:fldCharType="separate"/>
      </w:r>
      <w:r>
        <w:rPr>
          <w:rStyle w:val="52"/>
          <w:rFonts w:hint="eastAsia"/>
          <w:color w:val="auto"/>
          <w:highlight w:val="none"/>
        </w:rPr>
        <w:t>第五章</w:t>
      </w:r>
      <w:r>
        <w:rPr>
          <w:rStyle w:val="52"/>
          <w:color w:val="auto"/>
          <w:highlight w:val="none"/>
        </w:rPr>
        <w:t xml:space="preserve">  </w:t>
      </w:r>
      <w:r>
        <w:rPr>
          <w:rStyle w:val="52"/>
          <w:rFonts w:hint="eastAsia"/>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_Toc74320804 \h </w:instrText>
      </w:r>
      <w:r>
        <w:rPr>
          <w:color w:val="auto"/>
          <w:highlight w:val="none"/>
        </w:rPr>
        <w:fldChar w:fldCharType="separate"/>
      </w:r>
      <w:r>
        <w:rPr>
          <w:color w:val="auto"/>
          <w:highlight w:val="none"/>
        </w:rPr>
        <w:t>50</w:t>
      </w:r>
      <w:r>
        <w:rPr>
          <w:color w:val="auto"/>
          <w:highlight w:val="none"/>
        </w:rPr>
        <w:fldChar w:fldCharType="end"/>
      </w:r>
      <w:r>
        <w:rPr>
          <w:rStyle w:val="52"/>
          <w:color w:val="auto"/>
          <w:highlight w:val="none"/>
        </w:rPr>
        <w:fldChar w:fldCharType="end"/>
      </w:r>
    </w:p>
    <w:p w14:paraId="25D7D981">
      <w:pPr>
        <w:pStyle w:val="32"/>
        <w:ind w:firstLine="241"/>
        <w:rPr>
          <w:rFonts w:ascii="Calibri" w:hAnsi="Calibri"/>
          <w:b w:val="0"/>
          <w:bCs w:val="0"/>
          <w:caps w:val="0"/>
          <w:color w:val="auto"/>
          <w:sz w:val="21"/>
          <w:szCs w:val="22"/>
          <w:highlight w:val="none"/>
          <w:lang w:val="en-US" w:eastAsia="zh-CN"/>
        </w:rPr>
      </w:pPr>
      <w:r>
        <w:rPr>
          <w:rStyle w:val="52"/>
          <w:color w:val="auto"/>
          <w:highlight w:val="none"/>
        </w:rPr>
        <w:fldChar w:fldCharType="begin"/>
      </w:r>
      <w:r>
        <w:rPr>
          <w:rStyle w:val="52"/>
          <w:color w:val="auto"/>
          <w:highlight w:val="none"/>
        </w:rPr>
        <w:instrText xml:space="preserve"> </w:instrText>
      </w:r>
      <w:r>
        <w:rPr>
          <w:color w:val="auto"/>
          <w:highlight w:val="none"/>
        </w:rPr>
        <w:instrText xml:space="preserve">HYPERLINK \l "_Toc74320805"</w:instrText>
      </w:r>
      <w:r>
        <w:rPr>
          <w:rStyle w:val="52"/>
          <w:color w:val="auto"/>
          <w:highlight w:val="none"/>
        </w:rPr>
        <w:instrText xml:space="preserve"> </w:instrText>
      </w:r>
      <w:r>
        <w:rPr>
          <w:rStyle w:val="52"/>
          <w:color w:val="auto"/>
          <w:highlight w:val="none"/>
        </w:rPr>
        <w:fldChar w:fldCharType="separate"/>
      </w:r>
      <w:r>
        <w:rPr>
          <w:rStyle w:val="52"/>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_Toc74320805 \h </w:instrText>
      </w:r>
      <w:r>
        <w:rPr>
          <w:color w:val="auto"/>
          <w:highlight w:val="none"/>
        </w:rPr>
        <w:fldChar w:fldCharType="separate"/>
      </w:r>
      <w:r>
        <w:rPr>
          <w:color w:val="auto"/>
          <w:highlight w:val="none"/>
        </w:rPr>
        <w:t>58</w:t>
      </w:r>
      <w:r>
        <w:rPr>
          <w:color w:val="auto"/>
          <w:highlight w:val="none"/>
        </w:rPr>
        <w:fldChar w:fldCharType="end"/>
      </w:r>
      <w:r>
        <w:rPr>
          <w:rStyle w:val="52"/>
          <w:color w:val="auto"/>
          <w:highlight w:val="none"/>
        </w:rPr>
        <w:fldChar w:fldCharType="end"/>
      </w:r>
    </w:p>
    <w:p w14:paraId="65209415">
      <w:pPr>
        <w:spacing w:before="120" w:beforeLines="50" w:line="480" w:lineRule="exact"/>
        <w:rPr>
          <w:rFonts w:hint="eastAsia" w:ascii="仿宋_GB2312" w:hAnsi="宋体" w:eastAsia="仿宋_GB2312"/>
          <w:color w:val="auto"/>
          <w:sz w:val="24"/>
          <w:highlight w:val="none"/>
        </w:rPr>
      </w:pPr>
      <w:r>
        <w:rPr>
          <w:rFonts w:ascii="仿宋_GB2312" w:hAnsi="宋体" w:eastAsia="仿宋_GB2312"/>
          <w:b/>
          <w:color w:val="auto"/>
          <w:sz w:val="24"/>
          <w:highlight w:val="none"/>
        </w:rPr>
        <w:fldChar w:fldCharType="end"/>
      </w:r>
    </w:p>
    <w:p w14:paraId="6E36BD71">
      <w:pPr>
        <w:spacing w:before="120" w:beforeLines="50" w:line="480" w:lineRule="exact"/>
        <w:rPr>
          <w:rFonts w:hint="eastAsia" w:ascii="仿宋_GB2312" w:hAnsi="宋体" w:eastAsia="仿宋_GB2312"/>
          <w:color w:val="auto"/>
          <w:sz w:val="30"/>
          <w:highlight w:val="none"/>
        </w:rPr>
      </w:pPr>
    </w:p>
    <w:p w14:paraId="4BFFAD02">
      <w:pPr>
        <w:rPr>
          <w:rFonts w:hint="eastAsia"/>
          <w:color w:val="auto"/>
          <w:highlight w:val="none"/>
        </w:rPr>
      </w:pPr>
    </w:p>
    <w:p w14:paraId="334D6269">
      <w:pPr>
        <w:spacing w:before="120" w:beforeLines="50" w:line="480" w:lineRule="exact"/>
        <w:rPr>
          <w:rFonts w:hint="eastAsia" w:ascii="仿宋_GB2312" w:hAnsi="宋体" w:eastAsia="仿宋_GB2312"/>
          <w:color w:val="auto"/>
          <w:sz w:val="30"/>
          <w:highlight w:val="none"/>
        </w:rPr>
      </w:pPr>
    </w:p>
    <w:p w14:paraId="663360F1">
      <w:pPr>
        <w:spacing w:before="120" w:beforeLines="50" w:line="480" w:lineRule="exact"/>
        <w:rPr>
          <w:rFonts w:hint="eastAsia" w:ascii="仿宋_GB2312" w:hAnsi="宋体" w:eastAsia="仿宋_GB2312"/>
          <w:color w:val="auto"/>
          <w:sz w:val="30"/>
          <w:highlight w:val="none"/>
        </w:rPr>
      </w:pPr>
    </w:p>
    <w:p w14:paraId="204E4EAA">
      <w:pPr>
        <w:pStyle w:val="15"/>
        <w:rPr>
          <w:rFonts w:hint="eastAsia" w:ascii="宋体" w:hAnsi="宋体" w:cs="宋体"/>
          <w:b/>
          <w:bCs/>
          <w:color w:val="auto"/>
          <w:highlight w:val="none"/>
        </w:rPr>
      </w:pPr>
      <w:bookmarkStart w:id="9" w:name="_Toc254970489"/>
      <w:bookmarkStart w:id="10" w:name="_Toc254970630"/>
    </w:p>
    <w:p w14:paraId="7B49B62C">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r>
        <w:rPr>
          <w:rFonts w:ascii="宋体" w:hAnsi="宋体" w:cs="宋体"/>
          <w:b w:val="0"/>
          <w:bCs w:val="0"/>
          <w:color w:val="auto"/>
          <w:highlight w:val="none"/>
        </w:rPr>
        <w:br w:type="page"/>
      </w:r>
      <w:bookmarkStart w:id="11" w:name="_Toc74320800"/>
      <w:r>
        <w:rPr>
          <w:rFonts w:hint="eastAsia"/>
          <w:color w:val="auto"/>
          <w:highlight w:val="none"/>
        </w:rPr>
        <w:t>第一章</w:t>
      </w:r>
      <w:bookmarkEnd w:id="9"/>
      <w:bookmarkEnd w:id="10"/>
      <w:bookmarkStart w:id="12" w:name="_Toc35393789"/>
      <w:bookmarkStart w:id="13" w:name="_Toc28359001"/>
      <w:r>
        <w:rPr>
          <w:rFonts w:hint="eastAsia"/>
          <w:color w:val="auto"/>
          <w:highlight w:val="none"/>
        </w:rPr>
        <w:t xml:space="preserve"> 招标公告</w:t>
      </w:r>
      <w:bookmarkEnd w:id="11"/>
      <w:bookmarkEnd w:id="12"/>
      <w:bookmarkEnd w:id="13"/>
      <w:r>
        <w:rPr>
          <w:rFonts w:hint="eastAsia"/>
          <w:color w:val="auto"/>
          <w:highlight w:val="none"/>
        </w:rPr>
        <w:t>（远程异地评标）</w:t>
      </w:r>
    </w:p>
    <w:p w14:paraId="1F6EC37C">
      <w:pPr>
        <w:spacing w:line="360" w:lineRule="auto"/>
        <w:rPr>
          <w:rFonts w:ascii="宋体" w:hAnsi="宋体"/>
          <w:color w:val="auto"/>
          <w:szCs w:val="21"/>
          <w:highlight w:val="none"/>
        </w:rPr>
      </w:pPr>
    </w:p>
    <w:p w14:paraId="279BD5B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5DEFA46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梧州市心电诊断中心心电图机采购</w:t>
      </w:r>
      <w:r>
        <w:rPr>
          <w:rFonts w:hint="eastAsia" w:ascii="宋体" w:hAnsi="宋体"/>
          <w:color w:val="auto"/>
          <w:szCs w:val="21"/>
          <w:highlight w:val="none"/>
        </w:rPr>
        <w:t>招标项目的潜在投标人应在广西政府采购云平台（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lang w:eastAsia="zh-CN"/>
        </w:rPr>
        <w:t>2025年</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lang w:eastAsia="zh-CN"/>
        </w:rPr>
        <w:t>月</w:t>
      </w:r>
      <w:r>
        <w:rPr>
          <w:rFonts w:hint="eastAsia" w:ascii="宋体" w:hAnsi="宋体"/>
          <w:bCs/>
          <w:color w:val="auto"/>
          <w:szCs w:val="21"/>
          <w:highlight w:val="none"/>
          <w:u w:val="single"/>
          <w:lang w:val="en-US" w:eastAsia="zh-CN"/>
        </w:rPr>
        <w:t>22</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082EAC04">
      <w:pPr>
        <w:spacing w:line="360" w:lineRule="auto"/>
        <w:rPr>
          <w:rFonts w:ascii="宋体" w:hAnsi="宋体"/>
          <w:color w:val="auto"/>
          <w:szCs w:val="21"/>
          <w:highlight w:val="none"/>
        </w:rPr>
      </w:pPr>
    </w:p>
    <w:p w14:paraId="41B34F88">
      <w:pPr>
        <w:spacing w:line="360" w:lineRule="auto"/>
        <w:rPr>
          <w:rFonts w:ascii="黑体" w:hAnsi="黑体" w:eastAsia="黑体"/>
          <w:b/>
          <w:bCs/>
          <w:color w:val="auto"/>
          <w:sz w:val="24"/>
          <w:highlight w:val="none"/>
        </w:rPr>
      </w:pPr>
      <w:bookmarkStart w:id="14" w:name="_Toc35393621"/>
      <w:bookmarkStart w:id="15" w:name="_Toc35393790"/>
      <w:bookmarkStart w:id="16" w:name="_Toc28359079"/>
      <w:bookmarkStart w:id="17" w:name="_Toc28359002"/>
      <w:bookmarkStart w:id="18" w:name="_Hlk24379207"/>
      <w:r>
        <w:rPr>
          <w:rFonts w:hint="eastAsia" w:ascii="黑体" w:hAnsi="黑体" w:eastAsia="黑体"/>
          <w:b/>
          <w:bCs/>
          <w:color w:val="auto"/>
          <w:sz w:val="24"/>
          <w:highlight w:val="none"/>
        </w:rPr>
        <w:t>一、项目基本情况</w:t>
      </w:r>
      <w:bookmarkEnd w:id="14"/>
      <w:bookmarkEnd w:id="15"/>
      <w:bookmarkEnd w:id="16"/>
      <w:bookmarkEnd w:id="17"/>
    </w:p>
    <w:p w14:paraId="4CB526B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WZZC2025-G1-990313-YZLZ</w:t>
      </w:r>
    </w:p>
    <w:p w14:paraId="3CB7934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梧州市心电诊断中心心电图机采购</w:t>
      </w:r>
    </w:p>
    <w:bookmarkEnd w:id="18"/>
    <w:p w14:paraId="1DDCF917">
      <w:pPr>
        <w:spacing w:line="360" w:lineRule="auto"/>
        <w:ind w:firstLine="420" w:firstLineChars="200"/>
        <w:rPr>
          <w:rFonts w:hint="eastAsia" w:ascii="宋体" w:hAnsi="宋体" w:eastAsia="宋体"/>
          <w:color w:val="auto"/>
          <w:szCs w:val="21"/>
          <w:highlight w:val="none"/>
          <w:u w:val="single"/>
          <w:lang w:val="en-US" w:eastAsia="zh-CN"/>
        </w:rPr>
      </w:pPr>
      <w:r>
        <w:rPr>
          <w:rFonts w:hint="eastAsia"/>
          <w:color w:val="auto"/>
          <w:highlight w:val="none"/>
        </w:rPr>
        <w:t>预算总金额（元）</w:t>
      </w:r>
      <w:r>
        <w:rPr>
          <w:rFonts w:hint="eastAsia" w:ascii="宋体" w:hAnsi="宋体"/>
          <w:color w:val="auto"/>
          <w:szCs w:val="21"/>
          <w:highlight w:val="none"/>
        </w:rPr>
        <w:t>：</w:t>
      </w:r>
      <w:r>
        <w:rPr>
          <w:rFonts w:hint="eastAsia" w:ascii="宋体" w:hAnsi="宋体"/>
          <w:color w:val="auto"/>
          <w:szCs w:val="21"/>
          <w:highlight w:val="none"/>
          <w:lang w:eastAsia="zh-CN"/>
        </w:rPr>
        <w:t>4320000.00</w:t>
      </w:r>
    </w:p>
    <w:p w14:paraId="53E1EC6D">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color w:val="auto"/>
          <w:szCs w:val="21"/>
          <w:highlight w:val="none"/>
          <w:lang w:eastAsia="zh-CN"/>
        </w:rPr>
        <w:t>4320000.00</w:t>
      </w:r>
      <w:r>
        <w:rPr>
          <w:rFonts w:hint="eastAsia" w:ascii="宋体" w:hAnsi="宋体"/>
          <w:color w:val="auto"/>
          <w:szCs w:val="21"/>
          <w:highlight w:val="none"/>
          <w:lang w:val="en-US" w:eastAsia="zh-CN"/>
        </w:rPr>
        <w:t>元</w:t>
      </w:r>
    </w:p>
    <w:p w14:paraId="629B22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851"/>
        <w:gridCol w:w="5386"/>
      </w:tblGrid>
      <w:tr w14:paraId="038BA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7C6B152D">
            <w:pPr>
              <w:keepNext w:val="0"/>
              <w:keepLines w:val="0"/>
              <w:pageBreakBefore w:val="0"/>
              <w:widowControl w:val="0"/>
              <w:kinsoku/>
              <w:wordWrap/>
              <w:overflowPunct/>
              <w:topLinePunct w:val="0"/>
              <w:autoSpaceDE/>
              <w:autoSpaceDN/>
              <w:bidi w:val="0"/>
              <w:adjustRightInd/>
              <w:spacing w:line="360" w:lineRule="auto"/>
              <w:ind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u w:val="single"/>
              </w:rPr>
              <w:t xml:space="preserve">1 </w:t>
            </w:r>
            <w:r>
              <w:rPr>
                <w:rFonts w:hint="eastAsia" w:asciiTheme="minorEastAsia" w:hAnsiTheme="minorEastAsia" w:eastAsiaTheme="minorEastAsia" w:cstheme="minorEastAsia"/>
                <w:color w:val="auto"/>
                <w:sz w:val="21"/>
                <w:szCs w:val="21"/>
                <w:highlight w:val="none"/>
              </w:rPr>
              <w:t>分标；预算金额（元）：</w:t>
            </w:r>
            <w:r>
              <w:rPr>
                <w:rFonts w:hint="eastAsia" w:asciiTheme="minorEastAsia" w:hAnsiTheme="minorEastAsia" w:eastAsiaTheme="minorEastAsia" w:cstheme="minorEastAsia"/>
                <w:color w:val="auto"/>
                <w:sz w:val="21"/>
                <w:szCs w:val="21"/>
                <w:highlight w:val="none"/>
                <w:lang w:eastAsia="zh-CN"/>
              </w:rPr>
              <w:t>4320000.00</w:t>
            </w:r>
          </w:p>
        </w:tc>
      </w:tr>
      <w:tr w14:paraId="542A0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DA31420">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009019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标的的名称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9E5B9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数量及</w:t>
            </w:r>
          </w:p>
          <w:p w14:paraId="710AE27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w:t>
            </w:r>
          </w:p>
        </w:tc>
        <w:tc>
          <w:tcPr>
            <w:tcW w:w="5386" w:type="dxa"/>
            <w:tcBorders>
              <w:top w:val="single" w:color="auto" w:sz="4" w:space="0"/>
              <w:left w:val="single" w:color="auto" w:sz="4" w:space="0"/>
              <w:bottom w:val="single" w:color="auto" w:sz="4" w:space="0"/>
              <w:right w:val="single" w:color="auto" w:sz="4" w:space="0"/>
            </w:tcBorders>
            <w:noWrap w:val="0"/>
            <w:vAlign w:val="center"/>
          </w:tcPr>
          <w:p w14:paraId="6D9F559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简要技术需求或者服务要求</w:t>
            </w:r>
          </w:p>
        </w:tc>
      </w:tr>
      <w:tr w14:paraId="78878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7B9B75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E52F8E">
            <w:pPr>
              <w:widowControl/>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数字多道心电图机</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30E042C">
            <w:pPr>
              <w:spacing w:line="360" w:lineRule="auto"/>
              <w:jc w:val="center"/>
              <w:rPr>
                <w:rFonts w:hint="default" w:eastAsia="宋体" w:asciiTheme="minorEastAsia" w:hAnsiTheme="minorEastAsia" w:cstheme="minorEastAsia"/>
                <w:color w:val="auto"/>
                <w:sz w:val="21"/>
                <w:szCs w:val="21"/>
                <w:highlight w:val="none"/>
                <w:lang w:val="en-US" w:eastAsia="zh-CN"/>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00套</w:t>
            </w:r>
          </w:p>
        </w:tc>
        <w:tc>
          <w:tcPr>
            <w:tcW w:w="5386" w:type="dxa"/>
            <w:tcBorders>
              <w:top w:val="single" w:color="auto" w:sz="4" w:space="0"/>
              <w:left w:val="single" w:color="auto" w:sz="4" w:space="0"/>
              <w:bottom w:val="single" w:color="auto" w:sz="4" w:space="0"/>
              <w:right w:val="single" w:color="auto" w:sz="4" w:space="0"/>
            </w:tcBorders>
            <w:noWrap w:val="0"/>
            <w:vAlign w:val="center"/>
          </w:tcPr>
          <w:p w14:paraId="12A24454">
            <w:pPr>
              <w:numPr>
                <w:ilvl w:val="0"/>
                <w:numId w:val="0"/>
              </w:numPr>
              <w:spacing w:line="360" w:lineRule="auto"/>
              <w:jc w:val="both"/>
              <w:rPr>
                <w:rFonts w:hint="eastAsia" w:eastAsia="宋体" w:asciiTheme="minorEastAsia" w:hAnsiTheme="minorEastAsia" w:cstheme="minorEastAsia"/>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1.心电图机设备注册类型为数字心电图机，一体化平板设计，采集仪模块内置；主机全触控操作，无物理硬按键；</w:t>
            </w:r>
            <w:r>
              <w:rPr>
                <w:rFonts w:hint="eastAsia" w:ascii="宋体" w:hAnsi="宋体"/>
                <w:color w:val="auto"/>
                <w:szCs w:val="21"/>
                <w:highlight w:val="none"/>
                <w:lang w:eastAsia="zh-CN"/>
              </w:rPr>
              <w:t>具体</w:t>
            </w:r>
            <w:r>
              <w:rPr>
                <w:rFonts w:hint="eastAsia" w:ascii="宋体" w:hAnsi="宋体"/>
                <w:color w:val="auto"/>
                <w:szCs w:val="21"/>
                <w:highlight w:val="none"/>
              </w:rPr>
              <w:t>详见采购需求附件</w:t>
            </w:r>
            <w:r>
              <w:rPr>
                <w:rFonts w:hint="eastAsia" w:ascii="宋体" w:hAnsi="宋体"/>
                <w:color w:val="auto"/>
                <w:szCs w:val="21"/>
                <w:highlight w:val="none"/>
                <w:lang w:eastAsia="zh-CN"/>
              </w:rPr>
              <w:t>。</w:t>
            </w:r>
          </w:p>
        </w:tc>
      </w:tr>
    </w:tbl>
    <w:p w14:paraId="041E3A9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自签订合同之日起45天内安装调试完毕并交付使用。</w:t>
      </w:r>
    </w:p>
    <w:p w14:paraId="6DB2EA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本项目否接受联合体投标。</w:t>
      </w:r>
    </w:p>
    <w:p w14:paraId="11B8FCBA">
      <w:pPr>
        <w:spacing w:line="360" w:lineRule="auto"/>
        <w:rPr>
          <w:rFonts w:ascii="黑体" w:hAnsi="黑体" w:eastAsia="黑体"/>
          <w:b/>
          <w:bCs/>
          <w:color w:val="auto"/>
          <w:sz w:val="24"/>
          <w:highlight w:val="none"/>
        </w:rPr>
      </w:pPr>
      <w:bookmarkStart w:id="19" w:name="_Toc35393622"/>
      <w:bookmarkStart w:id="20" w:name="_Toc35393791"/>
      <w:bookmarkStart w:id="21" w:name="_Toc28359003"/>
      <w:bookmarkStart w:id="22" w:name="_Toc28359080"/>
      <w:r>
        <w:rPr>
          <w:rFonts w:hint="eastAsia" w:ascii="黑体" w:hAnsi="黑体" w:eastAsia="黑体"/>
          <w:b/>
          <w:bCs/>
          <w:color w:val="auto"/>
          <w:sz w:val="24"/>
          <w:highlight w:val="none"/>
        </w:rPr>
        <w:t>二、申请人的资格要求：</w:t>
      </w:r>
      <w:bookmarkEnd w:id="19"/>
      <w:bookmarkEnd w:id="20"/>
      <w:bookmarkEnd w:id="21"/>
      <w:bookmarkEnd w:id="22"/>
    </w:p>
    <w:p w14:paraId="4DA0C65E">
      <w:pPr>
        <w:spacing w:line="360" w:lineRule="auto"/>
        <w:ind w:firstLine="420" w:firstLineChars="200"/>
        <w:rPr>
          <w:rFonts w:ascii="宋体" w:hAnsi="宋体"/>
          <w:color w:val="auto"/>
          <w:szCs w:val="21"/>
          <w:highlight w:val="none"/>
        </w:rPr>
      </w:pPr>
      <w:bookmarkStart w:id="23" w:name="_Hlk51746371"/>
      <w:r>
        <w:rPr>
          <w:rFonts w:hint="eastAsia" w:ascii="宋体" w:hAnsi="宋体"/>
          <w:color w:val="auto"/>
          <w:szCs w:val="21"/>
          <w:highlight w:val="none"/>
        </w:rPr>
        <w:t>1.满足《中华人民共和国政府采购法》第二十二条规定；</w:t>
      </w:r>
    </w:p>
    <w:p w14:paraId="73A5DCB6">
      <w:pPr>
        <w:spacing w:line="360" w:lineRule="auto"/>
        <w:ind w:firstLine="420" w:firstLineChars="200"/>
        <w:rPr>
          <w:rFonts w:ascii="宋体" w:hAnsi="宋体"/>
          <w:color w:val="auto"/>
          <w:szCs w:val="21"/>
          <w:highlight w:val="none"/>
        </w:rPr>
      </w:pPr>
      <w:bookmarkStart w:id="24" w:name="_Toc28359081"/>
      <w:bookmarkStart w:id="25" w:name="_Toc28359004"/>
      <w:r>
        <w:rPr>
          <w:rFonts w:ascii="宋体" w:hAnsi="宋体"/>
          <w:color w:val="auto"/>
          <w:szCs w:val="21"/>
          <w:highlight w:val="none"/>
        </w:rPr>
        <w:t>2</w:t>
      </w:r>
      <w:r>
        <w:rPr>
          <w:rFonts w:hint="eastAsia" w:ascii="宋体" w:hAnsi="宋体"/>
          <w:color w:val="auto"/>
          <w:szCs w:val="21"/>
          <w:highlight w:val="none"/>
        </w:rPr>
        <w:t>.落实政府采购政策需满足的资格要求：本项目专门面向中</w:t>
      </w:r>
      <w:r>
        <w:rPr>
          <w:rFonts w:hint="eastAsia" w:ascii="宋体" w:hAnsi="宋体"/>
          <w:color w:val="auto"/>
          <w:szCs w:val="21"/>
          <w:highlight w:val="none"/>
          <w:lang w:val="en-US" w:eastAsia="zh-CN"/>
        </w:rPr>
        <w:t>小</w:t>
      </w:r>
      <w:r>
        <w:rPr>
          <w:rFonts w:hint="eastAsia" w:ascii="宋体" w:hAnsi="宋体"/>
          <w:color w:val="auto"/>
          <w:szCs w:val="21"/>
          <w:highlight w:val="none"/>
        </w:rPr>
        <w:t>企业采购，提供的货物须全部由符合政策要求的</w:t>
      </w:r>
      <w:r>
        <w:rPr>
          <w:rFonts w:hint="eastAsia" w:ascii="宋体" w:hAnsi="宋体"/>
          <w:color w:val="auto"/>
          <w:szCs w:val="21"/>
          <w:highlight w:val="none"/>
          <w:lang w:val="en-US" w:eastAsia="zh-CN"/>
        </w:rPr>
        <w:t>中型、小型或微型</w:t>
      </w:r>
      <w:r>
        <w:rPr>
          <w:rFonts w:hint="eastAsia" w:ascii="宋体" w:hAnsi="宋体"/>
          <w:color w:val="auto"/>
          <w:szCs w:val="21"/>
          <w:highlight w:val="none"/>
        </w:rPr>
        <w:t>企业（包括监狱企业及残疾人福利单位）制造，须提供中小企业声明函【属于残疾人福利性单位的提供残疾人福利性单位声明函，属于监狱企业的提供由省级以上监狱管理局、戒毒管理局（含新疆生产建设兵团）出具的属于监狱企业的证明文件】；</w:t>
      </w:r>
    </w:p>
    <w:p w14:paraId="26E147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bookmarkEnd w:id="23"/>
      <w:bookmarkStart w:id="26" w:name="_Toc35393623"/>
      <w:bookmarkStart w:id="27" w:name="_Toc35393792"/>
      <w:r>
        <w:rPr>
          <w:rFonts w:hint="eastAsia" w:ascii="宋体" w:hAnsi="宋体"/>
          <w:color w:val="auto"/>
          <w:szCs w:val="21"/>
          <w:highlight w:val="none"/>
          <w:lang w:val="en-US" w:eastAsia="zh-CN"/>
        </w:rPr>
        <w:t>投标人按《医疗器械监督管理条例》（国务院令第739号）医疗器械分类管理要求具备有效的医疗器械经营备案凭证或者经营许可证，且经营范围必须包含招标标的[符合《医疗器械监督管理条例》第四十一条第二款规定的除外]；或者投标人具有《医疗器械监督管理条例》第四十三条规定的注册凭证。</w:t>
      </w:r>
    </w:p>
    <w:p w14:paraId="7D49A688">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4"/>
      <w:bookmarkEnd w:id="25"/>
      <w:bookmarkEnd w:id="26"/>
      <w:bookmarkEnd w:id="27"/>
    </w:p>
    <w:p w14:paraId="44E760CD">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 xml:space="preserve"> </w:t>
      </w:r>
      <w:r>
        <w:rPr>
          <w:rFonts w:hint="eastAsia" w:ascii="宋体" w:hAnsi="宋体" w:cs="宋体"/>
          <w:bCs/>
          <w:color w:val="auto"/>
          <w:kern w:val="0"/>
          <w:szCs w:val="21"/>
          <w:highlight w:val="none"/>
          <w:u w:val="single"/>
        </w:rPr>
        <w:t>202</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eastAsia="zh-CN"/>
        </w:rPr>
        <w:t>2025年</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u w:val="single"/>
          <w:lang w:eastAsia="zh-CN"/>
        </w:rPr>
        <w:t>月</w:t>
      </w:r>
      <w:r>
        <w:rPr>
          <w:rFonts w:hint="eastAsia" w:ascii="宋体" w:hAnsi="宋体" w:cs="宋体"/>
          <w:bCs/>
          <w:color w:val="auto"/>
          <w:kern w:val="0"/>
          <w:szCs w:val="21"/>
          <w:highlight w:val="none"/>
          <w:u w:val="single"/>
          <w:lang w:val="en-US" w:eastAsia="zh-CN"/>
        </w:rPr>
        <w:t>8</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8：00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lang w:val="en-US" w:eastAsia="zh-CN"/>
        </w:rPr>
        <w:t>3</w:t>
      </w:r>
      <w:r>
        <w:rPr>
          <w:rFonts w:hint="eastAsia" w:ascii="宋体" w:hAnsi="宋体" w:cs="宋体"/>
          <w:bCs/>
          <w:color w:val="auto"/>
          <w:kern w:val="0"/>
          <w:szCs w:val="21"/>
          <w:highlight w:val="none"/>
          <w:u w:val="single"/>
        </w:rPr>
        <w:t>：00至</w:t>
      </w:r>
      <w:r>
        <w:rPr>
          <w:rFonts w:hint="eastAsia" w:ascii="宋体" w:hAnsi="宋体" w:cs="宋体"/>
          <w:bCs/>
          <w:color w:val="auto"/>
          <w:kern w:val="0"/>
          <w:szCs w:val="21"/>
          <w:highlight w:val="none"/>
          <w:u w:val="single"/>
          <w:lang w:val="en-US" w:eastAsia="zh-CN"/>
        </w:rPr>
        <w:t>6</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34731026">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CD8624C">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4429D5A">
      <w:pPr>
        <w:spacing w:line="360" w:lineRule="auto"/>
        <w:ind w:firstLine="54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3641F0F5">
      <w:pPr>
        <w:spacing w:line="360" w:lineRule="auto"/>
        <w:rPr>
          <w:rFonts w:ascii="黑体" w:hAnsi="黑体" w:eastAsia="黑体"/>
          <w:b/>
          <w:bCs/>
          <w:color w:val="auto"/>
          <w:sz w:val="24"/>
          <w:highlight w:val="none"/>
        </w:rPr>
      </w:pPr>
      <w:bookmarkStart w:id="28" w:name="_Toc28359005"/>
      <w:bookmarkStart w:id="29" w:name="_Toc28359082"/>
      <w:bookmarkStart w:id="30" w:name="_Toc35393793"/>
      <w:bookmarkStart w:id="31" w:name="_Toc35393624"/>
      <w:r>
        <w:rPr>
          <w:rFonts w:hint="eastAsia" w:ascii="黑体" w:hAnsi="黑体" w:eastAsia="黑体"/>
          <w:b/>
          <w:bCs/>
          <w:color w:val="auto"/>
          <w:sz w:val="24"/>
          <w:highlight w:val="none"/>
        </w:rPr>
        <w:t>四、提交投标文件</w:t>
      </w:r>
      <w:bookmarkEnd w:id="28"/>
      <w:bookmarkEnd w:id="29"/>
      <w:r>
        <w:rPr>
          <w:rFonts w:hint="eastAsia" w:ascii="黑体" w:hAnsi="黑体" w:eastAsia="黑体"/>
          <w:b/>
          <w:bCs/>
          <w:color w:val="auto"/>
          <w:sz w:val="24"/>
          <w:highlight w:val="none"/>
        </w:rPr>
        <w:t>截止时间、开标时间和地点</w:t>
      </w:r>
      <w:bookmarkEnd w:id="30"/>
      <w:bookmarkEnd w:id="31"/>
    </w:p>
    <w:p w14:paraId="64D23B69">
      <w:pPr>
        <w:spacing w:line="360" w:lineRule="auto"/>
        <w:ind w:firstLine="420" w:firstLineChars="200"/>
        <w:rPr>
          <w:rFonts w:hint="eastAsia" w:ascii="宋体" w:hAnsi="宋体"/>
          <w:bCs/>
          <w:color w:val="auto"/>
          <w:szCs w:val="21"/>
          <w:highlight w:val="none"/>
        </w:rPr>
      </w:pPr>
      <w:bookmarkStart w:id="32" w:name="_Toc28359084"/>
      <w:bookmarkStart w:id="33" w:name="_Toc35393794"/>
      <w:bookmarkStart w:id="34" w:name="_Toc35393625"/>
      <w:bookmarkStart w:id="35" w:name="_Toc28359007"/>
      <w:r>
        <w:rPr>
          <w:rFonts w:hint="eastAsia" w:ascii="宋体" w:hAnsi="宋体"/>
          <w:bCs/>
          <w:color w:val="auto"/>
          <w:szCs w:val="21"/>
          <w:highlight w:val="none"/>
          <w:u w:val="single"/>
          <w:lang w:eastAsia="zh-CN"/>
        </w:rPr>
        <w:t>2025年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lang w:eastAsia="zh-CN"/>
        </w:rPr>
        <w:t>月</w:t>
      </w:r>
      <w:r>
        <w:rPr>
          <w:rFonts w:hint="eastAsia" w:ascii="宋体" w:hAnsi="宋体"/>
          <w:bCs/>
          <w:color w:val="auto"/>
          <w:szCs w:val="21"/>
          <w:highlight w:val="none"/>
          <w:u w:val="single"/>
          <w:lang w:val="en-US" w:eastAsia="zh-CN"/>
        </w:rPr>
        <w:t>22</w:t>
      </w:r>
      <w:r>
        <w:rPr>
          <w:rFonts w:hint="eastAsia" w:ascii="宋体" w:hAnsi="宋体"/>
          <w:bCs/>
          <w:color w:val="auto"/>
          <w:szCs w:val="21"/>
          <w:highlight w:val="none"/>
          <w:u w:val="single"/>
          <w:lang w:eastAsia="zh-CN"/>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14:paraId="4917B7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w:t>
      </w:r>
    </w:p>
    <w:p w14:paraId="2680EE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投标地点：广西政府采购云平台（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F15F554">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32"/>
      <w:bookmarkEnd w:id="33"/>
      <w:bookmarkEnd w:id="34"/>
      <w:bookmarkEnd w:id="35"/>
    </w:p>
    <w:p w14:paraId="1A226F6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7DFBA82">
      <w:pPr>
        <w:spacing w:line="360" w:lineRule="auto"/>
        <w:rPr>
          <w:rFonts w:ascii="黑体" w:hAnsi="黑体" w:eastAsia="黑体"/>
          <w:b/>
          <w:bCs/>
          <w:color w:val="auto"/>
          <w:sz w:val="24"/>
          <w:highlight w:val="none"/>
        </w:rPr>
      </w:pPr>
      <w:bookmarkStart w:id="36" w:name="_Toc35393795"/>
      <w:bookmarkStart w:id="37" w:name="_Toc35393626"/>
      <w:r>
        <w:rPr>
          <w:rFonts w:hint="eastAsia" w:ascii="黑体" w:hAnsi="黑体" w:eastAsia="黑体"/>
          <w:b/>
          <w:bCs/>
          <w:color w:val="auto"/>
          <w:sz w:val="24"/>
          <w:highlight w:val="none"/>
        </w:rPr>
        <w:t>六、其他补充事宜</w:t>
      </w:r>
      <w:bookmarkEnd w:id="36"/>
      <w:bookmarkEnd w:id="37"/>
    </w:p>
    <w:p w14:paraId="46323F99">
      <w:pPr>
        <w:spacing w:line="360" w:lineRule="auto"/>
        <w:ind w:firstLine="420" w:firstLineChars="200"/>
        <w:rPr>
          <w:rFonts w:hint="eastAsia" w:ascii="宋体" w:hAnsi="宋体" w:cs="宋体"/>
          <w:color w:val="auto"/>
          <w:kern w:val="0"/>
          <w:szCs w:val="21"/>
          <w:highlight w:val="none"/>
        </w:rPr>
      </w:pPr>
      <w:bookmarkStart w:id="38" w:name="_Hlk37429595"/>
      <w:bookmarkStart w:id="39" w:name="_Hlk37429585"/>
      <w:r>
        <w:rPr>
          <w:rFonts w:hint="eastAsia" w:ascii="宋体" w:hAnsi="宋体" w:cs="宋体"/>
          <w:color w:val="auto"/>
          <w:kern w:val="0"/>
          <w:szCs w:val="21"/>
          <w:highlight w:val="none"/>
        </w:rPr>
        <w:t>1.网上查询地址</w:t>
      </w:r>
    </w:p>
    <w:bookmarkEnd w:id="38"/>
    <w:bookmarkEnd w:id="39"/>
    <w:p w14:paraId="376CF011">
      <w:pPr>
        <w:spacing w:line="360" w:lineRule="auto"/>
        <w:ind w:left="210" w:leftChars="100" w:firstLine="424" w:firstLineChars="202"/>
        <w:rPr>
          <w:rFonts w:ascii="宋体" w:hAnsi="宋体" w:cs="宋体"/>
          <w:iCs/>
          <w:color w:val="auto"/>
          <w:kern w:val="0"/>
          <w:szCs w:val="21"/>
          <w:highlight w:val="none"/>
        </w:rPr>
      </w:pPr>
      <w:bookmarkStart w:id="40" w:name="_Hlk37429674"/>
      <w:r>
        <w:rPr>
          <w:rFonts w:ascii="宋体" w:hAnsi="宋体" w:cs="宋体"/>
          <w:iCs/>
          <w:color w:val="auto"/>
          <w:kern w:val="0"/>
          <w:szCs w:val="21"/>
          <w:highlight w:val="none"/>
        </w:rPr>
        <w:t>http：</w:t>
      </w:r>
      <w:r>
        <w:rPr>
          <w:rFonts w:hint="eastAsia" w:ascii="宋体" w:hAnsi="宋体" w:cs="宋体"/>
          <w:iCs/>
          <w:color w:val="auto"/>
          <w:kern w:val="0"/>
          <w:szCs w:val="21"/>
          <w:highlight w:val="none"/>
        </w:rPr>
        <w:t>//www.ccgp.gov.cn（中国政府采购网）、</w:t>
      </w:r>
      <w:r>
        <w:rPr>
          <w:rFonts w:ascii="宋体" w:hAnsi="宋体" w:cs="宋体"/>
          <w:iCs/>
          <w:color w:val="auto"/>
          <w:kern w:val="0"/>
          <w:szCs w:val="21"/>
          <w:highlight w:val="none"/>
        </w:rPr>
        <w:t>http：</w:t>
      </w:r>
      <w:r>
        <w:rPr>
          <w:rFonts w:hint="eastAsia" w:ascii="宋体" w:hAnsi="宋体" w:cs="宋体"/>
          <w:iCs/>
          <w:color w:val="auto"/>
          <w:kern w:val="0"/>
          <w:szCs w:val="21"/>
          <w:highlight w:val="none"/>
        </w:rPr>
        <w:t>//zfcg.gxzf.gov.cn（广西壮族自治区政府采购网）、http://117.141.250.58:10030/web/cgw/index.ptl（梧州市政府采购网）、http://ggzy.jgswj.gxzf.gov.cn/wzggzy/（全国公共资源交易平台·梧州）</w:t>
      </w:r>
    </w:p>
    <w:p w14:paraId="3A7BB825">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619128DE">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4217B7B">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4247DA0">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73E518D">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0D6609DB">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48A9189C">
      <w:pPr>
        <w:widowControl/>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3.</w:t>
      </w:r>
      <w:bookmarkEnd w:id="40"/>
      <w:bookmarkStart w:id="41" w:name="_Toc35393627"/>
      <w:bookmarkStart w:id="42" w:name="_Toc28359008"/>
      <w:bookmarkStart w:id="43" w:name="_Toc28359085"/>
      <w:bookmarkStart w:id="44" w:name="_Toc35393796"/>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096DCB7D">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”查看电子投标具体操作流程。</w:t>
      </w:r>
    </w:p>
    <w:p w14:paraId="745EA460">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
          <w:bCs w:val="0"/>
          <w:color w:val="auto"/>
          <w:kern w:val="0"/>
          <w:szCs w:val="21"/>
          <w:highlight w:val="none"/>
        </w:rPr>
        <w:t>如在操作过程中遇到问题或者需要技术支持，请致电客服热线：95763</w:t>
      </w:r>
      <w:r>
        <w:rPr>
          <w:rFonts w:hint="eastAsia" w:ascii="宋体" w:hAnsi="宋体" w:cs="宋体"/>
          <w:b/>
          <w:bCs w:val="0"/>
          <w:color w:val="auto"/>
          <w:kern w:val="0"/>
          <w:szCs w:val="21"/>
          <w:highlight w:val="none"/>
          <w:lang w:val="en-US" w:eastAsia="zh-CN"/>
        </w:rPr>
        <w:t>/0771-3381253</w:t>
      </w:r>
      <w:r>
        <w:rPr>
          <w:rFonts w:hint="eastAsia" w:ascii="宋体" w:hAnsi="宋体"/>
          <w:b/>
          <w:bCs w:val="0"/>
          <w:color w:val="auto"/>
          <w:szCs w:val="21"/>
          <w:highlight w:val="none"/>
        </w:rPr>
        <w:t>）</w:t>
      </w:r>
      <w:r>
        <w:rPr>
          <w:rFonts w:hint="eastAsia" w:ascii="宋体" w:hAnsi="宋体"/>
          <w:color w:val="auto"/>
          <w:szCs w:val="21"/>
          <w:highlight w:val="none"/>
        </w:rPr>
        <w:t>。</w:t>
      </w:r>
    </w:p>
    <w:p w14:paraId="0B6BFCB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6D5740C1">
      <w:pPr>
        <w:spacing w:line="360" w:lineRule="auto"/>
        <w:ind w:firstLine="424" w:firstLineChars="202"/>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0636D950">
      <w:pPr>
        <w:spacing w:line="360" w:lineRule="auto"/>
        <w:ind w:firstLine="426" w:firstLineChars="202"/>
        <w:rPr>
          <w:rFonts w:hint="eastAsia" w:ascii="宋体" w:hAnsi="宋体" w:eastAsia="宋体" w:cs="宋体"/>
          <w:b/>
          <w:bCs/>
          <w:iCs/>
          <w:color w:val="auto"/>
          <w:kern w:val="0"/>
          <w:szCs w:val="21"/>
          <w:highlight w:val="none"/>
          <w:lang w:eastAsia="zh-CN"/>
        </w:rPr>
      </w:pPr>
      <w:r>
        <w:rPr>
          <w:rFonts w:hint="eastAsia" w:ascii="宋体" w:hAnsi="宋体" w:cs="宋体"/>
          <w:b/>
          <w:bCs/>
          <w:iCs/>
          <w:color w:val="auto"/>
          <w:kern w:val="0"/>
          <w:szCs w:val="21"/>
          <w:highlight w:val="none"/>
          <w:lang w:val="en-US" w:eastAsia="zh-CN"/>
        </w:rPr>
        <w:t>4.</w:t>
      </w:r>
      <w:r>
        <w:rPr>
          <w:rFonts w:hint="eastAsia" w:ascii="宋体" w:hAnsi="宋体" w:cs="宋体"/>
          <w:b/>
          <w:bCs/>
          <w:iCs/>
          <w:color w:val="auto"/>
          <w:kern w:val="0"/>
          <w:szCs w:val="21"/>
          <w:highlight w:val="none"/>
        </w:rPr>
        <w:t>本项目为远程异地全流程电子评标</w:t>
      </w:r>
      <w:r>
        <w:rPr>
          <w:rFonts w:hint="eastAsia" w:ascii="宋体" w:hAnsi="宋体" w:cs="宋体"/>
          <w:b/>
          <w:bCs/>
          <w:iCs/>
          <w:color w:val="auto"/>
          <w:kern w:val="0"/>
          <w:szCs w:val="21"/>
          <w:highlight w:val="none"/>
          <w:lang w:eastAsia="zh-CN"/>
        </w:rPr>
        <w:t>。</w:t>
      </w:r>
    </w:p>
    <w:p w14:paraId="003FBF92">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41"/>
      <w:bookmarkEnd w:id="42"/>
      <w:bookmarkEnd w:id="43"/>
      <w:bookmarkEnd w:id="44"/>
    </w:p>
    <w:p w14:paraId="364DD915">
      <w:pPr>
        <w:spacing w:line="360" w:lineRule="auto"/>
        <w:ind w:firstLine="420" w:firstLineChars="200"/>
        <w:rPr>
          <w:rFonts w:ascii="宋体" w:hAnsi="宋体" w:cs="宋体"/>
          <w:color w:val="auto"/>
          <w:kern w:val="0"/>
          <w:szCs w:val="21"/>
          <w:highlight w:val="none"/>
        </w:rPr>
      </w:pPr>
      <w:bookmarkStart w:id="45" w:name="_Toc35393637"/>
      <w:bookmarkStart w:id="46" w:name="_Toc28359019"/>
      <w:bookmarkStart w:id="47" w:name="_Toc28359096"/>
      <w:bookmarkStart w:id="48" w:name="_Toc35393806"/>
      <w:r>
        <w:rPr>
          <w:rFonts w:hint="eastAsia" w:ascii="宋体" w:hAnsi="宋体" w:cs="宋体"/>
          <w:color w:val="auto"/>
          <w:kern w:val="0"/>
          <w:szCs w:val="21"/>
          <w:highlight w:val="none"/>
        </w:rPr>
        <w:t>1.采购人信息</w:t>
      </w:r>
      <w:bookmarkEnd w:id="45"/>
      <w:bookmarkEnd w:id="46"/>
      <w:bookmarkEnd w:id="47"/>
      <w:bookmarkEnd w:id="48"/>
    </w:p>
    <w:p w14:paraId="566895DE">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s="宋体"/>
          <w:color w:val="auto"/>
          <w:szCs w:val="21"/>
          <w:highlight w:val="none"/>
          <w:u w:val="single"/>
          <w:lang w:eastAsia="zh-CN"/>
        </w:rPr>
        <w:t>梧州市卫生健康委员会</w:t>
      </w:r>
    </w:p>
    <w:p w14:paraId="6B53871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梧州市西环路中段116号</w:t>
      </w:r>
    </w:p>
    <w:p w14:paraId="223357B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u w:val="single"/>
          <w:lang w:val="en-US" w:eastAsia="zh-CN"/>
        </w:rPr>
        <w:t>钟华，</w:t>
      </w:r>
      <w:r>
        <w:rPr>
          <w:rFonts w:hint="eastAsia" w:ascii="宋体" w:hAnsi="宋体"/>
          <w:color w:val="auto"/>
          <w:szCs w:val="21"/>
          <w:highlight w:val="none"/>
          <w:u w:val="single"/>
        </w:rPr>
        <w:t>0774-3888</w:t>
      </w:r>
      <w:r>
        <w:rPr>
          <w:rFonts w:hint="eastAsia" w:ascii="宋体" w:hAnsi="宋体"/>
          <w:color w:val="auto"/>
          <w:szCs w:val="21"/>
          <w:highlight w:val="none"/>
          <w:u w:val="single"/>
          <w:lang w:val="en-US" w:eastAsia="zh-CN"/>
        </w:rPr>
        <w:t>329</w:t>
      </w:r>
    </w:p>
    <w:p w14:paraId="15773E1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 </w:t>
      </w:r>
    </w:p>
    <w:p w14:paraId="47EA5CB8">
      <w:pPr>
        <w:spacing w:line="360" w:lineRule="auto"/>
        <w:ind w:firstLine="420" w:firstLineChars="200"/>
        <w:rPr>
          <w:rFonts w:ascii="宋体" w:hAnsi="宋体" w:cs="宋体"/>
          <w:color w:val="auto"/>
          <w:kern w:val="0"/>
          <w:szCs w:val="21"/>
          <w:highlight w:val="none"/>
        </w:rPr>
      </w:pPr>
      <w:bookmarkStart w:id="49" w:name="_Toc28359020"/>
      <w:bookmarkStart w:id="50" w:name="_Toc35393638"/>
      <w:bookmarkStart w:id="51" w:name="_Toc28359097"/>
      <w:bookmarkStart w:id="52" w:name="_Toc35393807"/>
      <w:r>
        <w:rPr>
          <w:rFonts w:hint="eastAsia" w:ascii="宋体" w:hAnsi="宋体" w:cs="宋体"/>
          <w:color w:val="auto"/>
          <w:kern w:val="0"/>
          <w:szCs w:val="21"/>
          <w:highlight w:val="none"/>
        </w:rPr>
        <w:t>2.采购代理机构信息</w:t>
      </w:r>
      <w:bookmarkEnd w:id="49"/>
      <w:bookmarkEnd w:id="50"/>
      <w:bookmarkEnd w:id="51"/>
      <w:bookmarkEnd w:id="52"/>
    </w:p>
    <w:p w14:paraId="3D79C67B">
      <w:pPr>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rPr>
        <w:t>名    称：</w:t>
      </w:r>
      <w:r>
        <w:rPr>
          <w:rFonts w:hint="eastAsia" w:ascii="宋体" w:hAnsi="宋体" w:cs="宋体"/>
          <w:color w:val="auto"/>
          <w:szCs w:val="21"/>
          <w:highlight w:val="none"/>
          <w:u w:val="single"/>
        </w:rPr>
        <w:t>云之龙咨询集团有限公司</w:t>
      </w:r>
    </w:p>
    <w:p w14:paraId="41AC1503">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地　　址：</w:t>
      </w:r>
      <w:r>
        <w:rPr>
          <w:rFonts w:hint="eastAsia" w:ascii="宋体" w:hAnsi="宋体"/>
          <w:color w:val="auto"/>
          <w:szCs w:val="21"/>
          <w:highlight w:val="none"/>
          <w:u w:val="single"/>
          <w:lang w:eastAsia="zh-CN"/>
        </w:rPr>
        <w:t>梧州市新兴三路30号神冠豪都B栋1单元1008号房</w:t>
      </w:r>
    </w:p>
    <w:p w14:paraId="5ADA5C26">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olor w:val="auto"/>
          <w:szCs w:val="21"/>
          <w:highlight w:val="none"/>
          <w:u w:val="single"/>
          <w:lang w:val="en-US" w:eastAsia="zh-CN"/>
        </w:rPr>
        <w:t>周子然、陈丽莹</w:t>
      </w:r>
      <w:r>
        <w:rPr>
          <w:rFonts w:hint="eastAsia" w:ascii="宋体" w:hAnsi="宋体"/>
          <w:color w:val="auto"/>
          <w:szCs w:val="21"/>
          <w:highlight w:val="none"/>
          <w:u w:val="single"/>
        </w:rPr>
        <w:t xml:space="preserve">  0774-3859935</w:t>
      </w:r>
    </w:p>
    <w:p w14:paraId="4589F0B9">
      <w:pPr>
        <w:spacing w:line="360" w:lineRule="auto"/>
        <w:ind w:firstLine="420" w:firstLineChars="200"/>
        <w:rPr>
          <w:rFonts w:ascii="宋体" w:hAnsi="宋体" w:cs="宋体"/>
          <w:color w:val="auto"/>
          <w:kern w:val="0"/>
          <w:szCs w:val="21"/>
          <w:highlight w:val="none"/>
        </w:rPr>
      </w:pPr>
      <w:bookmarkStart w:id="53" w:name="_Toc35393639"/>
      <w:bookmarkStart w:id="54" w:name="_Toc28359021"/>
      <w:bookmarkStart w:id="55" w:name="_Toc35393808"/>
      <w:bookmarkStart w:id="56" w:name="_Toc28359098"/>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3"/>
      <w:bookmarkEnd w:id="54"/>
      <w:bookmarkEnd w:id="55"/>
      <w:bookmarkEnd w:id="56"/>
    </w:p>
    <w:p w14:paraId="5820DCE3">
      <w:pPr>
        <w:pStyle w:val="24"/>
        <w:spacing w:line="360" w:lineRule="auto"/>
        <w:ind w:firstLine="420" w:firstLineChars="200"/>
        <w:rPr>
          <w:rFonts w:hint="eastAsia" w:hAnsi="宋体" w:eastAsia="宋体"/>
          <w:color w:val="auto"/>
          <w:sz w:val="21"/>
          <w:highlight w:val="none"/>
          <w:u w:val="single"/>
          <w:lang w:eastAsia="zh-CN"/>
        </w:rPr>
      </w:pPr>
      <w:r>
        <w:rPr>
          <w:rFonts w:hint="eastAsia" w:hAnsi="宋体"/>
          <w:color w:val="auto"/>
          <w:sz w:val="21"/>
          <w:highlight w:val="none"/>
        </w:rPr>
        <w:t>项目联系人：</w:t>
      </w:r>
      <w:r>
        <w:rPr>
          <w:rFonts w:hint="eastAsia" w:hAnsi="宋体"/>
          <w:color w:val="auto"/>
          <w:sz w:val="21"/>
          <w:highlight w:val="none"/>
          <w:u w:val="single"/>
          <w:lang w:val="en-US" w:eastAsia="zh-CN"/>
        </w:rPr>
        <w:t>周子然、陈丽莹</w:t>
      </w:r>
    </w:p>
    <w:p w14:paraId="03CF0C62">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0774-3859935</w:t>
      </w:r>
    </w:p>
    <w:p w14:paraId="7C5D41E5">
      <w:pPr>
        <w:spacing w:line="360" w:lineRule="auto"/>
        <w:ind w:firstLine="420" w:firstLineChars="200"/>
        <w:rPr>
          <w:rFonts w:hint="eastAsia" w:ascii="宋体" w:hAnsi="宋体"/>
          <w:color w:val="auto"/>
          <w:szCs w:val="21"/>
          <w:highlight w:val="none"/>
        </w:rPr>
      </w:pPr>
    </w:p>
    <w:p w14:paraId="4157CA4C">
      <w:pPr>
        <w:spacing w:line="360" w:lineRule="auto"/>
        <w:ind w:firstLine="420" w:firstLineChars="200"/>
        <w:rPr>
          <w:rFonts w:hint="eastAsia" w:ascii="仿宋_GB2312" w:hAnsi="宋体" w:eastAsia="仿宋_GB2312"/>
          <w:color w:val="auto"/>
          <w:sz w:val="24"/>
          <w:szCs w:val="20"/>
          <w:highlight w:val="none"/>
        </w:rPr>
      </w:pPr>
      <w:r>
        <w:rPr>
          <w:rFonts w:hint="eastAsia" w:ascii="宋体" w:hAnsi="宋体"/>
          <w:color w:val="auto"/>
          <w:szCs w:val="21"/>
          <w:highlight w:val="none"/>
        </w:rPr>
        <w:t>附件</w:t>
      </w:r>
      <w:r>
        <w:rPr>
          <w:rFonts w:hint="eastAsia" w:ascii="宋体" w:hAnsi="宋体"/>
          <w:color w:val="auto"/>
          <w:szCs w:val="21"/>
          <w:highlight w:val="none"/>
          <w:lang w:eastAsia="zh-CN"/>
        </w:rPr>
        <w:t>：</w:t>
      </w:r>
      <w:r>
        <w:rPr>
          <w:rFonts w:hint="eastAsia" w:ascii="宋体" w:hAnsi="宋体"/>
          <w:color w:val="auto"/>
          <w:szCs w:val="21"/>
          <w:highlight w:val="none"/>
        </w:rPr>
        <w:t>采购需求</w:t>
      </w:r>
    </w:p>
    <w:p w14:paraId="5F720897">
      <w:pPr>
        <w:rPr>
          <w:rFonts w:hint="eastAsia"/>
          <w:color w:val="auto"/>
          <w:highlight w:val="none"/>
        </w:rPr>
      </w:pPr>
      <w:bookmarkStart w:id="57" w:name="_Toc74320801"/>
      <w:r>
        <w:rPr>
          <w:rFonts w:hint="eastAsia"/>
          <w:color w:val="auto"/>
          <w:highlight w:val="none"/>
        </w:rPr>
        <w:br w:type="page"/>
      </w:r>
    </w:p>
    <w:p w14:paraId="0E977475">
      <w:pPr>
        <w:pStyle w:val="2"/>
        <w:jc w:val="center"/>
        <w:rPr>
          <w:rFonts w:hint="eastAsia"/>
          <w:color w:val="auto"/>
          <w:highlight w:val="none"/>
        </w:rPr>
      </w:pPr>
      <w:r>
        <w:rPr>
          <w:rFonts w:hint="eastAsia"/>
          <w:color w:val="auto"/>
          <w:highlight w:val="none"/>
        </w:rPr>
        <w:t>第二章  采购需求</w:t>
      </w:r>
      <w:bookmarkEnd w:id="57"/>
    </w:p>
    <w:p w14:paraId="0E65BD8B">
      <w:pPr>
        <w:spacing w:line="360" w:lineRule="auto"/>
        <w:jc w:val="left"/>
        <w:rPr>
          <w:rFonts w:ascii="宋体" w:hAnsi="宋体" w:cs="宋体"/>
          <w:color w:val="auto"/>
          <w:szCs w:val="21"/>
          <w:highlight w:val="none"/>
        </w:rPr>
      </w:pPr>
      <w:bookmarkStart w:id="58" w:name="_Hlk65055179"/>
      <w:bookmarkStart w:id="59" w:name="_Toc254970490"/>
      <w:bookmarkStart w:id="60" w:name="_Toc254970631"/>
      <w:r>
        <w:rPr>
          <w:rFonts w:hint="eastAsia" w:ascii="宋体" w:hAnsi="宋体" w:cs="宋体"/>
          <w:color w:val="auto"/>
          <w:szCs w:val="21"/>
          <w:highlight w:val="none"/>
        </w:rPr>
        <w:t>说明：</w:t>
      </w:r>
    </w:p>
    <w:p w14:paraId="6FCF1990">
      <w:pPr>
        <w:numPr>
          <w:ilvl w:val="0"/>
          <w:numId w:val="3"/>
        </w:numPr>
        <w:spacing w:line="360" w:lineRule="auto"/>
        <w:ind w:firstLine="420" w:firstLineChars="200"/>
        <w:jc w:val="left"/>
        <w:rPr>
          <w:color w:val="auto"/>
          <w:highlight w:val="none"/>
        </w:rPr>
      </w:pPr>
      <w:r>
        <w:rPr>
          <w:rFonts w:hint="eastAsia"/>
          <w:color w:val="auto"/>
          <w:highlight w:val="none"/>
        </w:rPr>
        <w:t>为落实政府采购政策需满足的要求</w:t>
      </w:r>
    </w:p>
    <w:p w14:paraId="19540AD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12B91710">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419339A4">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w:t>
      </w:r>
      <w:r>
        <w:rPr>
          <w:color w:val="auto"/>
          <w:highlight w:val="none"/>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highlight w:val="none"/>
        </w:rPr>
        <w:t>不在《网络关键设备和网络安全专用产品安全认证和安全检测结果》中或不在有效期内或未提供有效的《计算机信息系统安全专用产品销售许可证》的，</w:t>
      </w:r>
      <w:r>
        <w:rPr>
          <w:rFonts w:hint="eastAsia"/>
          <w:b/>
          <w:color w:val="auto"/>
          <w:highlight w:val="none"/>
        </w:rPr>
        <w:t>按无效投标处理</w:t>
      </w:r>
      <w:r>
        <w:rPr>
          <w:color w:val="auto"/>
          <w:highlight w:val="none"/>
        </w:rPr>
        <w:t>。如属于《网络关键设备和网络安全专用产品目录》中“二、网络安全专用产品”内“产品类别”中的所描述的产品，但不属于所列“产品描述”情形的，应提供相应的说明及证明材料。</w:t>
      </w:r>
    </w:p>
    <w:p w14:paraId="0A435149">
      <w:pPr>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37746548">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3.标记“●”的条款（如有）是指采购需求中的重要指标，作为评分标准依据。</w:t>
      </w:r>
    </w:p>
    <w:p w14:paraId="19014122">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6A83553A">
      <w:pPr>
        <w:spacing w:line="360" w:lineRule="auto"/>
        <w:ind w:firstLine="424" w:firstLineChars="202"/>
        <w:jc w:val="left"/>
        <w:rPr>
          <w:color w:val="auto"/>
          <w:highlight w:val="none"/>
        </w:rPr>
      </w:pPr>
      <w:r>
        <w:rPr>
          <w:rFonts w:hint="eastAsia" w:ascii="宋体" w:hAnsi="宋体" w:cs="宋体"/>
          <w:color w:val="auto"/>
          <w:szCs w:val="21"/>
          <w:highlight w:val="none"/>
        </w:rPr>
        <w:t>5.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color w:val="auto"/>
          <w:szCs w:val="21"/>
          <w:highlight w:val="none"/>
        </w:rPr>
        <w:t>，</w:t>
      </w:r>
      <w:r>
        <w:rPr>
          <w:rFonts w:hint="eastAsia" w:ascii="宋体" w:hAnsi="宋体"/>
          <w:b/>
          <w:bCs/>
          <w:color w:val="auto"/>
          <w:szCs w:val="21"/>
          <w:highlight w:val="none"/>
        </w:rPr>
        <w:t>否则该技术参数视为负偏离</w:t>
      </w:r>
      <w:r>
        <w:rPr>
          <w:rFonts w:hint="eastAsia" w:ascii="宋体" w:hAnsi="宋体"/>
          <w:color w:val="auto"/>
          <w:szCs w:val="21"/>
          <w:highlight w:val="none"/>
        </w:rPr>
        <w:t>。</w:t>
      </w:r>
      <w:r>
        <w:rPr>
          <w:rFonts w:hint="eastAsia"/>
          <w:color w:val="auto"/>
          <w:highlight w:val="none"/>
        </w:rPr>
        <w:t>对于重要技术条款或技术参数应当在投标文件中提供技术支持资料，技术支持资料以招标文件中规定的形式为准，</w:t>
      </w:r>
      <w:r>
        <w:rPr>
          <w:rFonts w:hint="eastAsia"/>
          <w:b/>
          <w:bCs/>
          <w:color w:val="auto"/>
          <w:highlight w:val="none"/>
        </w:rPr>
        <w:t>否则将视为无效技术支持资料</w:t>
      </w:r>
      <w:r>
        <w:rPr>
          <w:rFonts w:hint="eastAsia"/>
          <w:color w:val="auto"/>
          <w:highlight w:val="none"/>
        </w:rPr>
        <w:t>。</w:t>
      </w:r>
    </w:p>
    <w:p w14:paraId="043C0125">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6.投标人必须自行为其投标产品侵犯他人的知识产权或者专利成果的行为承担相应法律责任。</w:t>
      </w:r>
    </w:p>
    <w:p w14:paraId="5B21ACF3">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7.所属行业依照《中小企业划型标准规定》（工信部联企业〔2011〕300号）及《国民经济行业分类》（</w:t>
      </w:r>
      <w:r>
        <w:rPr>
          <w:color w:val="auto"/>
          <w:highlight w:val="none"/>
        </w:rPr>
        <w:t xml:space="preserve"> </w:t>
      </w:r>
      <w:r>
        <w:rPr>
          <w:rFonts w:ascii="宋体" w:hAnsi="宋体" w:cs="宋体"/>
          <w:color w:val="auto"/>
          <w:szCs w:val="21"/>
          <w:highlight w:val="none"/>
        </w:rPr>
        <w:t>GB/T 4754—2017</w:t>
      </w:r>
      <w:r>
        <w:rPr>
          <w:rFonts w:hint="eastAsia" w:ascii="宋体" w:hAnsi="宋体" w:cs="宋体"/>
          <w:color w:val="auto"/>
          <w:szCs w:val="21"/>
          <w:highlight w:val="none"/>
        </w:rPr>
        <w:t>）的有关规定执行，</w:t>
      </w:r>
      <w:r>
        <w:rPr>
          <w:rFonts w:hint="eastAsia" w:ascii="宋体" w:hAnsi="宋体" w:cs="宋体"/>
          <w:b/>
          <w:bCs/>
          <w:color w:val="auto"/>
          <w:szCs w:val="21"/>
          <w:highlight w:val="none"/>
        </w:rPr>
        <w:t>本项目</w:t>
      </w:r>
      <w:r>
        <w:rPr>
          <w:rFonts w:hint="eastAsia" w:ascii="宋体" w:hAnsi="宋体" w:cs="宋体"/>
          <w:b/>
          <w:bCs/>
          <w:color w:val="auto"/>
          <w:szCs w:val="21"/>
          <w:highlight w:val="none"/>
          <w:lang w:val="en-US" w:eastAsia="zh-CN"/>
        </w:rPr>
        <w:t>采购标的的</w:t>
      </w:r>
      <w:r>
        <w:rPr>
          <w:rFonts w:hint="eastAsia" w:ascii="宋体" w:hAnsi="宋体" w:cs="宋体"/>
          <w:b/>
          <w:bCs/>
          <w:color w:val="auto"/>
          <w:szCs w:val="21"/>
          <w:highlight w:val="none"/>
        </w:rPr>
        <w:t>所属行业为“</w:t>
      </w:r>
      <w:r>
        <w:rPr>
          <w:rFonts w:hint="eastAsia" w:ascii="Helvetica" w:hAnsi="Helvetica" w:cs="Helvetica"/>
          <w:b/>
          <w:bCs/>
          <w:color w:val="auto"/>
          <w:szCs w:val="21"/>
          <w:highlight w:val="none"/>
          <w:shd w:val="clear" w:color="auto" w:fill="FFFFFF"/>
        </w:rPr>
        <w:t>工</w:t>
      </w:r>
      <w:r>
        <w:rPr>
          <w:rFonts w:ascii="Helvetica" w:hAnsi="Helvetica" w:eastAsia="Helvetica" w:cs="Helvetica"/>
          <w:b/>
          <w:bCs/>
          <w:color w:val="auto"/>
          <w:szCs w:val="21"/>
          <w:highlight w:val="none"/>
          <w:shd w:val="clear" w:color="auto" w:fill="FFFFFF"/>
        </w:rPr>
        <w:t>业</w:t>
      </w:r>
      <w:r>
        <w:rPr>
          <w:rFonts w:hint="eastAsia" w:ascii="宋体" w:hAnsi="宋体" w:cs="宋体"/>
          <w:b/>
          <w:bCs/>
          <w:color w:val="auto"/>
          <w:szCs w:val="21"/>
          <w:highlight w:val="none"/>
        </w:rPr>
        <w:t>”</w:t>
      </w:r>
      <w:r>
        <w:rPr>
          <w:rFonts w:hint="eastAsia" w:ascii="宋体" w:hAnsi="宋体" w:cs="宋体"/>
          <w:color w:val="auto"/>
          <w:szCs w:val="21"/>
          <w:highlight w:val="none"/>
        </w:rPr>
        <w:t>。</w:t>
      </w:r>
    </w:p>
    <w:p w14:paraId="627C6773">
      <w:pPr>
        <w:spacing w:line="360" w:lineRule="auto"/>
        <w:ind w:firstLine="424" w:firstLineChars="202"/>
        <w:jc w:val="left"/>
        <w:rPr>
          <w:rFonts w:hint="eastAsia" w:ascii="宋体" w:hAnsi="宋体"/>
          <w:color w:val="auto"/>
          <w:szCs w:val="21"/>
          <w:highlight w:val="none"/>
        </w:rPr>
      </w:pPr>
    </w:p>
    <w:bookmarkEnd w:id="58"/>
    <w:p w14:paraId="2066B38B">
      <w:pPr>
        <w:spacing w:line="360" w:lineRule="auto"/>
        <w:ind w:firstLine="308" w:firstLineChars="147"/>
        <w:jc w:val="left"/>
        <w:rPr>
          <w:rFonts w:hint="eastAsia" w:ascii="宋体" w:hAnsi="宋体" w:cs="Arial"/>
          <w:bCs/>
          <w:color w:val="auto"/>
          <w:szCs w:val="21"/>
          <w:highlight w:val="none"/>
          <w:u w:val="single"/>
        </w:rPr>
      </w:pPr>
      <w:r>
        <w:rPr>
          <w:rFonts w:hint="eastAsia" w:ascii="宋体" w:hAnsi="宋体" w:cs="Arial"/>
          <w:bCs/>
          <w:color w:val="auto"/>
          <w:szCs w:val="21"/>
          <w:highlight w:val="none"/>
          <w:u w:val="single"/>
        </w:rPr>
        <w:t xml:space="preserve"> 1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lang w:val="en-US" w:eastAsia="zh-CN"/>
        </w:rPr>
        <w:t>4320000.00</w:t>
      </w:r>
      <w:r>
        <w:rPr>
          <w:rFonts w:hint="eastAsia" w:ascii="宋体" w:hAnsi="宋体" w:cs="Arial"/>
          <w:bCs/>
          <w:color w:val="auto"/>
          <w:szCs w:val="21"/>
          <w:highlight w:val="none"/>
          <w:u w:val="single"/>
        </w:rPr>
        <w:t>元</w:t>
      </w:r>
    </w:p>
    <w:p w14:paraId="60977547">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本分标的核心产品为下表的第</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1</w:t>
      </w:r>
      <w:r>
        <w:rPr>
          <w:rFonts w:hint="eastAsia" w:ascii="宋体" w:hAnsi="宋体"/>
          <w:b/>
          <w:color w:val="auto"/>
          <w:szCs w:val="21"/>
          <w:highlight w:val="none"/>
          <w:u w:val="single"/>
        </w:rPr>
        <w:t xml:space="preserve"> </w:t>
      </w:r>
      <w:r>
        <w:rPr>
          <w:rFonts w:hint="eastAsia" w:ascii="宋体" w:hAnsi="宋体"/>
          <w:b/>
          <w:color w:val="auto"/>
          <w:szCs w:val="21"/>
          <w:highlight w:val="none"/>
        </w:rPr>
        <w:t>项产品。</w:t>
      </w:r>
    </w:p>
    <w:bookmarkEnd w:id="59"/>
    <w:bookmarkEnd w:id="60"/>
    <w:tbl>
      <w:tblPr>
        <w:tblStyle w:val="46"/>
        <w:tblW w:w="9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267"/>
        <w:gridCol w:w="64"/>
        <w:gridCol w:w="933"/>
        <w:gridCol w:w="6685"/>
      </w:tblGrid>
      <w:tr w14:paraId="2562D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noWrap w:val="0"/>
            <w:vAlign w:val="center"/>
          </w:tcPr>
          <w:p w14:paraId="0744397D">
            <w:pPr>
              <w:keepNext w:val="0"/>
              <w:keepLines w:val="0"/>
              <w:pageBreakBefore w:val="0"/>
              <w:tabs>
                <w:tab w:val="left" w:pos="180"/>
                <w:tab w:val="left" w:pos="1620"/>
              </w:tabs>
              <w:kinsoku/>
              <w:wordWrap/>
              <w:overflowPunct/>
              <w:topLinePunct w:val="0"/>
              <w:autoSpaceDE/>
              <w:autoSpaceDN/>
              <w:bidi w:val="0"/>
              <w:adjustRightIn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67" w:type="dxa"/>
            <w:noWrap w:val="0"/>
            <w:vAlign w:val="center"/>
          </w:tcPr>
          <w:p w14:paraId="18B6F6AE">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标的的</w:t>
            </w:r>
            <w:r>
              <w:rPr>
                <w:rFonts w:hint="eastAsia" w:ascii="宋体" w:hAnsi="宋体" w:eastAsia="宋体" w:cs="宋体"/>
                <w:b/>
                <w:color w:val="auto"/>
                <w:sz w:val="21"/>
                <w:szCs w:val="21"/>
                <w:highlight w:val="none"/>
              </w:rPr>
              <w:t>名称</w:t>
            </w:r>
          </w:p>
        </w:tc>
        <w:tc>
          <w:tcPr>
            <w:tcW w:w="997" w:type="dxa"/>
            <w:gridSpan w:val="2"/>
            <w:tcBorders>
              <w:right w:val="single" w:color="auto" w:sz="4" w:space="0"/>
            </w:tcBorders>
            <w:noWrap w:val="0"/>
            <w:vAlign w:val="center"/>
          </w:tcPr>
          <w:p w14:paraId="2B912165">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数量及单位</w:t>
            </w:r>
          </w:p>
        </w:tc>
        <w:tc>
          <w:tcPr>
            <w:tcW w:w="6685" w:type="dxa"/>
            <w:tcBorders>
              <w:left w:val="single" w:color="auto" w:sz="4" w:space="0"/>
            </w:tcBorders>
            <w:noWrap w:val="0"/>
            <w:vAlign w:val="center"/>
          </w:tcPr>
          <w:p w14:paraId="224B584F">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技术要求</w:t>
            </w:r>
          </w:p>
        </w:tc>
      </w:tr>
      <w:tr w14:paraId="3FEEF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noWrap w:val="0"/>
            <w:vAlign w:val="center"/>
          </w:tcPr>
          <w:p w14:paraId="07FFA223">
            <w:pPr>
              <w:keepNext w:val="0"/>
              <w:keepLines w:val="0"/>
              <w:pageBreakBefore w:val="0"/>
              <w:numPr>
                <w:ilvl w:val="0"/>
                <w:numId w:val="4"/>
              </w:numPr>
              <w:kinsoku/>
              <w:wordWrap/>
              <w:overflowPunct/>
              <w:topLinePunct w:val="0"/>
              <w:autoSpaceDE/>
              <w:autoSpaceDN/>
              <w:bidi w:val="0"/>
              <w:adjustRightInd/>
              <w:snapToGrid w:val="0"/>
              <w:spacing w:line="360" w:lineRule="auto"/>
              <w:ind w:left="0" w:leftChars="0" w:firstLine="0" w:firstLineChars="0"/>
              <w:jc w:val="center"/>
              <w:rPr>
                <w:rFonts w:hint="eastAsia" w:ascii="宋体" w:hAnsi="宋体" w:eastAsia="宋体" w:cs="宋体"/>
                <w:b w:val="0"/>
                <w:bCs w:val="0"/>
                <w:color w:val="auto"/>
                <w:sz w:val="21"/>
                <w:szCs w:val="21"/>
                <w:highlight w:val="none"/>
              </w:rPr>
            </w:pPr>
          </w:p>
        </w:tc>
        <w:tc>
          <w:tcPr>
            <w:tcW w:w="1267" w:type="dxa"/>
            <w:noWrap w:val="0"/>
            <w:vAlign w:val="center"/>
          </w:tcPr>
          <w:p w14:paraId="1CE17C10">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数字多道心电图机</w:t>
            </w:r>
          </w:p>
        </w:tc>
        <w:tc>
          <w:tcPr>
            <w:tcW w:w="997" w:type="dxa"/>
            <w:gridSpan w:val="2"/>
            <w:tcBorders>
              <w:right w:val="single" w:color="auto" w:sz="4" w:space="0"/>
            </w:tcBorders>
            <w:noWrap w:val="0"/>
            <w:vAlign w:val="center"/>
          </w:tcPr>
          <w:p w14:paraId="4D6451CC">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100套</w:t>
            </w:r>
          </w:p>
        </w:tc>
        <w:tc>
          <w:tcPr>
            <w:tcW w:w="6685" w:type="dxa"/>
            <w:tcBorders>
              <w:left w:val="single" w:color="auto" w:sz="4" w:space="0"/>
            </w:tcBorders>
            <w:shd w:val="clear" w:color="auto" w:fill="auto"/>
            <w:noWrap w:val="0"/>
            <w:vAlign w:val="center"/>
          </w:tcPr>
          <w:p w14:paraId="26FBDB75">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1.心电图机设备注册类型为数字心电图机，一体化平板设计，采集仪模块内置；主机全触控操作，无物理硬按键。</w:t>
            </w:r>
          </w:p>
          <w:p w14:paraId="65480C78">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2.设备本身具备＞10英寸的显示屏，不接受心电采集盒模式。</w:t>
            </w:r>
          </w:p>
          <w:p w14:paraId="4E52D3D4">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▲3.≥12导数字式心电图机，支持≥12导心电图同步采集。 </w:t>
            </w:r>
          </w:p>
          <w:p w14:paraId="63CA253A">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4.配置检查模式，具备常规十二导、常规十五导、常规十八导、心向量、心率变异、QT离散度、频谱心电、阿托品等。</w:t>
            </w:r>
          </w:p>
          <w:p w14:paraId="5BBBB404">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●5.耐极化电压：≥±980mV</w:t>
            </w:r>
          </w:p>
          <w:p w14:paraId="01004D52">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6.输入阻抗：≥100MΩ</w:t>
            </w:r>
          </w:p>
          <w:p w14:paraId="6B837581">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7.交流滤波关闭情况下，共模抑制比：＞125dB</w:t>
            </w:r>
          </w:p>
          <w:p w14:paraId="6D4F9B1B">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8.定标电压：各档位灵敏度最大允许误差为±1%</w:t>
            </w:r>
          </w:p>
          <w:p w14:paraId="7E89F9F0">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9.噪声电平：≤10μVP-P</w:t>
            </w:r>
          </w:p>
          <w:p w14:paraId="4595B32F">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●10.频响范围：0.01Hz~300Hz（-30%～+10%）</w:t>
            </w:r>
            <w:r>
              <w:rPr>
                <w:rFonts w:hint="eastAsia" w:ascii="宋体" w:hAnsi="宋体" w:eastAsia="宋体" w:cs="宋体"/>
                <w:b/>
                <w:bCs/>
                <w:color w:val="auto"/>
                <w:sz w:val="21"/>
                <w:szCs w:val="21"/>
                <w:highlight w:val="none"/>
                <w:lang w:val="en-US" w:eastAsia="zh-CN"/>
              </w:rPr>
              <w:t>投标文件中提供相关证明材料并加盖投标人公章（证明材料包括但不限于产品彩页、功能界面截图、技术白皮书等）</w:t>
            </w:r>
          </w:p>
          <w:p w14:paraId="1744042D">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11.时间常数：＞5s</w:t>
            </w:r>
          </w:p>
          <w:p w14:paraId="7CD9AF4F">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12.心率测量范围：30bpm~300bpm</w:t>
            </w:r>
          </w:p>
          <w:p w14:paraId="0161743C">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13.增益要求：支持2.5mm/mV、5mm/mV、10mm/mV、20mm/mV，增益准确度±1%。</w:t>
            </w:r>
          </w:p>
          <w:p w14:paraId="39D7642E">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14.支持V5R、V3R、V1、V3、V5、V7儿童模式心电图采集</w:t>
            </w:r>
          </w:p>
          <w:p w14:paraId="133D0A9F">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15.记录速度：至少支持50mm/s、25mm/s和12.5mm/s三种记录速度，时间速度的精度应在±1%范围内。</w:t>
            </w:r>
          </w:p>
          <w:p w14:paraId="04198D9F">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16.心电图主机支持内置4G功能，不接受外置模块。</w:t>
            </w:r>
          </w:p>
          <w:p w14:paraId="51061710">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17.心电图主机支持2.4GHz/5GHz双频段无线Wi-Fi。</w:t>
            </w:r>
          </w:p>
          <w:p w14:paraId="4ACE0F54">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18.具有在有起搏器脉冲的情况下显示心电图的能力，具备全导联起搏检测，准确识别起搏信号。</w:t>
            </w:r>
          </w:p>
          <w:p w14:paraId="06178D0C">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19.心电图机支持批量下载预约记录功能，支持从心电网络系统获取受检查者信息读入心电图机的功能。支持待检查列表显示，列表应包含检查姓名、性别、年龄等信息。</w:t>
            </w:r>
          </w:p>
          <w:p w14:paraId="5C01611C">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20.检查管理：具有加采新报告、上传数据、加急、加采图谱、重采图谱、同步、批量上传心电图功能。</w:t>
            </w:r>
          </w:p>
          <w:p w14:paraId="4EEC4F52">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21.心电图机支持导联脱落、伪差、左右手接反、无法识别、心律失常波形的自动检测和提示功能。</w:t>
            </w:r>
          </w:p>
          <w:p w14:paraId="7DB50717">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22.支持消息实时提醒功能，如危急报告提醒、诊断退回提醒、导联纠错提醒、诊断完成提醒。</w:t>
            </w:r>
          </w:p>
          <w:p w14:paraId="3348F3C2">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●23.QTc参数测量：内置5种以上测量算法，QTc计算方法可通过系统设置调阅并设置。</w:t>
            </w:r>
            <w:r>
              <w:rPr>
                <w:rFonts w:hint="eastAsia" w:ascii="宋体" w:hAnsi="宋体" w:eastAsia="宋体" w:cs="宋体"/>
                <w:b/>
                <w:bCs/>
                <w:color w:val="auto"/>
                <w:sz w:val="21"/>
                <w:szCs w:val="21"/>
                <w:highlight w:val="none"/>
                <w:lang w:val="en-US" w:eastAsia="zh-CN"/>
              </w:rPr>
              <w:t>投标文件中提供相关证明材料并加盖投标人公章（证明材料包括但不限于产品彩页、功能界面截图、技术白皮书等）</w:t>
            </w:r>
          </w:p>
          <w:p w14:paraId="6A0279D4">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24.图谱采集具备自动记录功能，设置菜单中可设置图谱最小采集时长为10秒、20秒、30秒、1分钟、5分钟、10分钟、20分钟、30分钟或者10-1800秒中的任意时长。</w:t>
            </w:r>
          </w:p>
          <w:p w14:paraId="75ABBE74">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▲25.具有急性心肌梗塞等异常心电图的自动识别，并以弹窗或语音等提醒方式提醒医患人员优先诊断。</w:t>
            </w:r>
            <w:r>
              <w:rPr>
                <w:rFonts w:hint="eastAsia" w:ascii="宋体" w:hAnsi="宋体" w:eastAsia="宋体" w:cs="宋体"/>
                <w:b/>
                <w:bCs/>
                <w:color w:val="auto"/>
                <w:sz w:val="21"/>
                <w:szCs w:val="21"/>
                <w:highlight w:val="none"/>
                <w:lang w:val="en-US" w:eastAsia="zh-CN"/>
              </w:rPr>
              <w:t>投标文件中提供相关证明材料并加盖投标人公章（证明材料包括但不限于产品彩页、功能界面截图、技术白皮书等）</w:t>
            </w:r>
          </w:p>
          <w:p w14:paraId="00E08E84">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26.记录测值包括：心率、电轴、P波时限、QRS时限、Q-T间期、P-R间期、QTc、T波、Rv5、Sv1等。</w:t>
            </w:r>
          </w:p>
          <w:p w14:paraId="77B4A3EF">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具备二维码导出图谱功能，支持在采集端将心电图原始数据生成二维码，并通过手机端微信分享形式将心电图原始波形从内网传输至外网，物理隔离保障网络安全，可应对因网络异常、系统异常导致心电图无法上传至心电诊断中心等情况。</w:t>
            </w:r>
            <w:r>
              <w:rPr>
                <w:rFonts w:hint="eastAsia" w:ascii="宋体" w:hAnsi="宋体" w:eastAsia="宋体" w:cs="宋体"/>
                <w:b/>
                <w:bCs/>
                <w:color w:val="auto"/>
                <w:sz w:val="21"/>
                <w:szCs w:val="21"/>
                <w:highlight w:val="none"/>
                <w:lang w:val="en-US" w:eastAsia="zh-CN"/>
              </w:rPr>
              <w:t>投标文件中提供相关证明材料并加盖投标人公章（证明材料包括但不限于产品彩页、功能界面截图、技术白皮书等）</w:t>
            </w:r>
          </w:p>
          <w:p w14:paraId="1EDBF087">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28.心电图机支持本地报告进行同屏对比，具备报告分享功能。</w:t>
            </w:r>
          </w:p>
          <w:p w14:paraId="0D67E97B">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●29.设备属于CF型防除颤类型，提供设备铭牌图片证明，具有CF型防除颤图标。</w:t>
            </w:r>
          </w:p>
          <w:p w14:paraId="75569E66">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▲30.锂电池额定容量≥5000mAh，连续工作时间≥8小时</w:t>
            </w:r>
          </w:p>
          <w:p w14:paraId="5A3206B4">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31.存储量：≥10000份心电数据存储</w:t>
            </w:r>
          </w:p>
          <w:p w14:paraId="792805EE">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▲32.具备心电数据的采集、传输、诊断和数据归档的全流程跟踪管理，</w:t>
            </w:r>
            <w:r>
              <w:rPr>
                <w:rFonts w:hint="eastAsia" w:ascii="宋体" w:hAnsi="宋体" w:eastAsia="宋体" w:cs="宋体"/>
                <w:strike w:val="0"/>
                <w:dstrike w:val="0"/>
                <w:color w:val="auto"/>
                <w:sz w:val="21"/>
                <w:szCs w:val="21"/>
                <w:highlight w:val="none"/>
                <w:lang w:val="en-US" w:eastAsia="zh-CN"/>
              </w:rPr>
              <w:t>可</w:t>
            </w:r>
            <w:r>
              <w:rPr>
                <w:rFonts w:hint="eastAsia" w:ascii="宋体" w:hAnsi="宋体" w:eastAsia="宋体" w:cs="宋体"/>
                <w:color w:val="auto"/>
                <w:sz w:val="21"/>
                <w:szCs w:val="21"/>
                <w:highlight w:val="none"/>
                <w:lang w:val="en-US" w:eastAsia="zh-CN"/>
              </w:rPr>
              <w:t>跟踪记录每一份心电报告的生成过程。</w:t>
            </w:r>
          </w:p>
          <w:p w14:paraId="2A4E58A1">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●33.设备内置NFC通讯技术，支持读取NFC卡信息。</w:t>
            </w:r>
            <w:r>
              <w:rPr>
                <w:rFonts w:hint="eastAsia" w:ascii="宋体" w:hAnsi="宋体" w:eastAsia="宋体" w:cs="宋体"/>
                <w:b/>
                <w:bCs/>
                <w:color w:val="auto"/>
                <w:sz w:val="21"/>
                <w:szCs w:val="21"/>
                <w:highlight w:val="none"/>
                <w:lang w:val="en-US" w:eastAsia="zh-CN"/>
              </w:rPr>
              <w:t>投标文件中提供相关证明材料并加盖投标人公章（证明材料包括但不限于产品彩页、功能界面截图、技术白皮书等）</w:t>
            </w:r>
          </w:p>
          <w:p w14:paraId="4C831D9C">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34.支持外接激光打印机、身份证读卡器、社保卡读卡器。</w:t>
            </w:r>
          </w:p>
          <w:p w14:paraId="0953BA29">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35.支持GPS定位功能，配合梧州市心电诊断中心心电诊断系统</w:t>
            </w:r>
            <w:r>
              <w:rPr>
                <w:rFonts w:hint="eastAsia" w:ascii="宋体" w:hAnsi="宋体" w:eastAsia="宋体" w:cs="宋体"/>
                <w:strike w:val="0"/>
                <w:dstrike w:val="0"/>
                <w:color w:val="auto"/>
                <w:sz w:val="21"/>
                <w:szCs w:val="21"/>
                <w:highlight w:val="none"/>
                <w:lang w:val="en-US" w:eastAsia="zh-CN"/>
              </w:rPr>
              <w:t>显示心电设备所在的医疗机构，展示区域内的医疗资源。将当前区域接入的医疗机构按照机构的类型在地图上进行展示，能更直观的展示当前区域的医疗机构分布的情况和各类型医疗机构的接入数量</w:t>
            </w:r>
            <w:r>
              <w:rPr>
                <w:rFonts w:hint="eastAsia" w:ascii="宋体" w:hAnsi="宋体" w:eastAsia="宋体" w:cs="宋体"/>
                <w:color w:val="auto"/>
                <w:sz w:val="21"/>
                <w:szCs w:val="21"/>
                <w:highlight w:val="none"/>
                <w:lang w:val="en-US" w:eastAsia="zh-CN"/>
              </w:rPr>
              <w:t>。</w:t>
            </w:r>
          </w:p>
          <w:p w14:paraId="66DE2F6C">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▲36.支持通过心电人工智能进行辅助质控分析，评估诊断医生和诊断组的诊断质量，进一步明确后续的培训方向和提高培训效果。</w:t>
            </w:r>
            <w:r>
              <w:rPr>
                <w:rFonts w:hint="eastAsia" w:ascii="宋体" w:hAnsi="宋体" w:eastAsia="宋体" w:cs="宋体"/>
                <w:b/>
                <w:bCs/>
                <w:color w:val="auto"/>
                <w:sz w:val="21"/>
                <w:szCs w:val="21"/>
                <w:highlight w:val="none"/>
                <w:lang w:val="en-US" w:eastAsia="zh-CN"/>
              </w:rPr>
              <w:t>投标文件中提供相关证明材料并加盖投标人公章（证明材料包括但不限于产品彩页、功能界面截图、技术白皮书等）</w:t>
            </w:r>
          </w:p>
          <w:p w14:paraId="50BAEA41">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●37.每台设备配套医生心电工作站系统，医生工作站须提供静息心电、动态心电、动态血压等综合分析功能,可以进行静息心电、动态心电、动态血压的分析会诊工作</w:t>
            </w:r>
            <w:r>
              <w:rPr>
                <w:rFonts w:hint="eastAsia" w:ascii="宋体" w:hAnsi="宋体" w:eastAsia="宋体" w:cs="宋体"/>
                <w:strike w:val="0"/>
                <w:dstrike w:val="0"/>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报告统计数据。</w:t>
            </w:r>
            <w:r>
              <w:rPr>
                <w:rFonts w:hint="eastAsia" w:ascii="宋体" w:hAnsi="宋体" w:eastAsia="宋体" w:cs="宋体"/>
                <w:b/>
                <w:bCs/>
                <w:color w:val="auto"/>
                <w:sz w:val="21"/>
                <w:szCs w:val="21"/>
                <w:highlight w:val="none"/>
                <w:lang w:val="en-US" w:eastAsia="zh-CN"/>
              </w:rPr>
              <w:t>投标文件中提供相关证明材料并加盖投标人公章（证明材料包括但不限于产品彩页、功能界面截图、技术白皮书等）</w:t>
            </w:r>
          </w:p>
          <w:p w14:paraId="6A3C2B3D">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▲38.设备必须实现与梧州市心电诊断中心心电诊断系统所有数据、信息互联互通双向传输，</w:t>
            </w:r>
            <w:r>
              <w:rPr>
                <w:rFonts w:hint="eastAsia" w:ascii="宋体" w:hAnsi="宋体" w:eastAsia="宋体" w:cs="宋体"/>
                <w:strike w:val="0"/>
                <w:dstrike w:val="0"/>
                <w:color w:val="auto"/>
                <w:sz w:val="21"/>
                <w:szCs w:val="21"/>
                <w:highlight w:val="none"/>
                <w:lang w:val="en-US" w:eastAsia="zh-CN"/>
              </w:rPr>
              <w:t>配合心电诊断中心医院/心电质控中心，完成心电数据与临床数据、尤其是与随访等临床结果相结合，回溯既往的心电现象并进行梳理探索，建立全市区域心电大数据</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梧州市心电诊断中心心电诊断系统无条件提供标准数据接入规范、中标供应商设备根据接入规范实现标准化接入。）</w:t>
            </w:r>
          </w:p>
          <w:p w14:paraId="043B46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●39.支持智能操作系统，可远程更新升级。</w:t>
            </w:r>
          </w:p>
          <w:p w14:paraId="4B6394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40.基本配置清单</w:t>
            </w:r>
          </w:p>
          <w:tbl>
            <w:tblPr>
              <w:tblStyle w:val="46"/>
              <w:tblW w:w="5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41"/>
              <w:gridCol w:w="2230"/>
              <w:gridCol w:w="988"/>
              <w:gridCol w:w="860"/>
            </w:tblGrid>
            <w:tr w14:paraId="4770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19" w:type="dxa"/>
                  <w:vAlign w:val="center"/>
                </w:tcPr>
                <w:p w14:paraId="5EAA24D9">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41" w:type="dxa"/>
                  <w:vAlign w:val="center"/>
                </w:tcPr>
                <w:p w14:paraId="0CC486CA">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2230" w:type="dxa"/>
                  <w:vAlign w:val="center"/>
                </w:tcPr>
                <w:p w14:paraId="1769E5E8">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模块描述</w:t>
                  </w:r>
                </w:p>
              </w:tc>
              <w:tc>
                <w:tcPr>
                  <w:tcW w:w="988" w:type="dxa"/>
                  <w:vAlign w:val="center"/>
                </w:tcPr>
                <w:p w14:paraId="01221C78">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860" w:type="dxa"/>
                  <w:vAlign w:val="center"/>
                </w:tcPr>
                <w:p w14:paraId="662DA9D9">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r>
            <w:tr w14:paraId="2CFD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519" w:type="dxa"/>
                  <w:vAlign w:val="center"/>
                </w:tcPr>
                <w:p w14:paraId="026D7C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41" w:type="dxa"/>
                  <w:vMerge w:val="restart"/>
                  <w:vAlign w:val="center"/>
                </w:tcPr>
                <w:p w14:paraId="141F9B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硬件配套</w:t>
                  </w:r>
                </w:p>
              </w:tc>
              <w:tc>
                <w:tcPr>
                  <w:tcW w:w="2230" w:type="dxa"/>
                  <w:vAlign w:val="center"/>
                </w:tcPr>
                <w:p w14:paraId="5A4CCE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Hans"/>
                    </w:rPr>
                    <w:t>数字式心电图机</w:t>
                  </w:r>
                  <w:r>
                    <w:rPr>
                      <w:rFonts w:hint="eastAsia" w:ascii="宋体" w:hAnsi="宋体" w:eastAsia="宋体" w:cs="宋体"/>
                      <w:color w:val="auto"/>
                      <w:sz w:val="21"/>
                      <w:szCs w:val="21"/>
                      <w:highlight w:val="none"/>
                    </w:rPr>
                    <w:t>（含配件：导联线、吸球、夹子）</w:t>
                  </w:r>
                </w:p>
              </w:tc>
              <w:tc>
                <w:tcPr>
                  <w:tcW w:w="988" w:type="dxa"/>
                  <w:vAlign w:val="center"/>
                </w:tcPr>
                <w:p w14:paraId="48A022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860" w:type="dxa"/>
                  <w:vAlign w:val="center"/>
                </w:tcPr>
                <w:p w14:paraId="72BCD259">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r w14:paraId="186B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519" w:type="dxa"/>
                  <w:vAlign w:val="center"/>
                </w:tcPr>
                <w:p w14:paraId="3E3079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41" w:type="dxa"/>
                  <w:vMerge w:val="continue"/>
                  <w:vAlign w:val="center"/>
                </w:tcPr>
                <w:p w14:paraId="5C5577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230" w:type="dxa"/>
                  <w:vAlign w:val="center"/>
                </w:tcPr>
                <w:p w14:paraId="2CEA4C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设备配套推车</w:t>
                  </w:r>
                </w:p>
              </w:tc>
              <w:tc>
                <w:tcPr>
                  <w:tcW w:w="988" w:type="dxa"/>
                  <w:vAlign w:val="center"/>
                </w:tcPr>
                <w:p w14:paraId="73A8A7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860" w:type="dxa"/>
                  <w:vAlign w:val="center"/>
                </w:tcPr>
                <w:p w14:paraId="00A9A441">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r>
          </w:tbl>
          <w:p w14:paraId="652B7260">
            <w:pPr>
              <w:pStyle w:val="55"/>
              <w:keepNext w:val="0"/>
              <w:keepLines w:val="0"/>
              <w:pageBreakBefore w:val="0"/>
              <w:kinsoku/>
              <w:wordWrap/>
              <w:overflowPunct/>
              <w:topLinePunct w:val="0"/>
              <w:autoSpaceDE/>
              <w:autoSpaceDN/>
              <w:bidi w:val="0"/>
              <w:adjustRightInd/>
              <w:spacing w:line="360" w:lineRule="auto"/>
              <w:ind w:left="0" w:leftChars="0" w:firstLine="0" w:firstLineChars="0"/>
              <w:rPr>
                <w:rFonts w:hint="eastAsia" w:ascii="宋体" w:hAnsi="宋体" w:eastAsia="宋体" w:cs="宋体"/>
                <w:color w:val="auto"/>
                <w:sz w:val="21"/>
                <w:szCs w:val="21"/>
                <w:highlight w:val="none"/>
                <w:lang w:val="en-US" w:eastAsia="zh-CN"/>
              </w:rPr>
            </w:pPr>
          </w:p>
        </w:tc>
      </w:tr>
      <w:tr w14:paraId="1E04F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5"/>
            <w:tcBorders>
              <w:top w:val="single" w:color="auto" w:sz="4" w:space="0"/>
              <w:left w:val="single" w:color="auto" w:sz="4" w:space="0"/>
              <w:bottom w:val="single" w:color="auto" w:sz="4" w:space="0"/>
              <w:right w:val="single" w:color="auto" w:sz="4" w:space="0"/>
            </w:tcBorders>
            <w:noWrap w:val="0"/>
            <w:vAlign w:val="top"/>
          </w:tcPr>
          <w:p w14:paraId="785BF6A4">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▲一、商务要求</w:t>
            </w:r>
          </w:p>
        </w:tc>
      </w:tr>
      <w:tr w14:paraId="76A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98" w:type="dxa"/>
            <w:gridSpan w:val="3"/>
            <w:tcBorders>
              <w:top w:val="single" w:color="auto" w:sz="4" w:space="0"/>
              <w:left w:val="single" w:color="auto" w:sz="4" w:space="0"/>
              <w:bottom w:val="single" w:color="auto" w:sz="4" w:space="0"/>
              <w:right w:val="single" w:color="auto" w:sz="4" w:space="0"/>
            </w:tcBorders>
            <w:noWrap w:val="0"/>
            <w:vAlign w:val="center"/>
          </w:tcPr>
          <w:p w14:paraId="5B0AF2F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bidi="ar"/>
              </w:rPr>
              <w:t>交付的时间和地点</w:t>
            </w:r>
          </w:p>
        </w:tc>
        <w:tc>
          <w:tcPr>
            <w:tcW w:w="7618" w:type="dxa"/>
            <w:gridSpan w:val="2"/>
            <w:tcBorders>
              <w:top w:val="single" w:color="auto" w:sz="4" w:space="0"/>
              <w:left w:val="single" w:color="auto" w:sz="4" w:space="0"/>
              <w:bottom w:val="single" w:color="auto" w:sz="4" w:space="0"/>
              <w:right w:val="single" w:color="auto" w:sz="4" w:space="0"/>
            </w:tcBorders>
            <w:noWrap w:val="0"/>
            <w:vAlign w:val="center"/>
          </w:tcPr>
          <w:p w14:paraId="14FC2C0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 交付的时间：</w:t>
            </w:r>
            <w:r>
              <w:rPr>
                <w:rFonts w:hint="eastAsia" w:ascii="宋体" w:hAnsi="宋体" w:eastAsia="宋体" w:cs="宋体"/>
                <w:color w:val="auto"/>
                <w:kern w:val="0"/>
                <w:sz w:val="21"/>
                <w:szCs w:val="21"/>
                <w:highlight w:val="none"/>
                <w:lang w:eastAsia="zh-CN" w:bidi="ar"/>
              </w:rPr>
              <w:t>自签订合同之日起</w:t>
            </w:r>
            <w:r>
              <w:rPr>
                <w:rFonts w:hint="eastAsia" w:ascii="宋体" w:hAnsi="宋体" w:eastAsia="宋体" w:cs="宋体"/>
                <w:strike w:val="0"/>
                <w:dstrike w:val="0"/>
                <w:color w:val="auto"/>
                <w:kern w:val="0"/>
                <w:sz w:val="21"/>
                <w:szCs w:val="21"/>
                <w:highlight w:val="none"/>
                <w:lang w:val="en-US" w:eastAsia="zh-CN" w:bidi="ar"/>
              </w:rPr>
              <w:t>45</w:t>
            </w:r>
            <w:r>
              <w:rPr>
                <w:rFonts w:hint="eastAsia" w:ascii="宋体" w:hAnsi="宋体" w:eastAsia="宋体" w:cs="宋体"/>
                <w:color w:val="auto"/>
                <w:kern w:val="0"/>
                <w:sz w:val="21"/>
                <w:szCs w:val="21"/>
                <w:highlight w:val="none"/>
                <w:lang w:eastAsia="zh-CN" w:bidi="ar"/>
              </w:rPr>
              <w:t>天内安装调试完毕并交付使用</w:t>
            </w:r>
            <w:r>
              <w:rPr>
                <w:rFonts w:hint="eastAsia" w:ascii="宋体" w:hAnsi="宋体" w:eastAsia="宋体" w:cs="宋体"/>
                <w:color w:val="auto"/>
                <w:kern w:val="0"/>
                <w:sz w:val="21"/>
                <w:szCs w:val="21"/>
                <w:highlight w:val="none"/>
                <w:lang w:bidi="ar"/>
              </w:rPr>
              <w:t>。</w:t>
            </w:r>
          </w:p>
          <w:p w14:paraId="7856BF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bidi="ar"/>
              </w:rPr>
              <w:t>2. 地点：广西梧州市采购人指定地点，梧州市范围内的64个乡镇卫生院及36个村卫生室。</w:t>
            </w:r>
          </w:p>
        </w:tc>
      </w:tr>
      <w:tr w14:paraId="35827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98" w:type="dxa"/>
            <w:gridSpan w:val="3"/>
            <w:tcBorders>
              <w:top w:val="single" w:color="auto" w:sz="4" w:space="0"/>
              <w:left w:val="single" w:color="auto" w:sz="4" w:space="0"/>
              <w:bottom w:val="single" w:color="auto" w:sz="4" w:space="0"/>
              <w:right w:val="single" w:color="auto" w:sz="4" w:space="0"/>
            </w:tcBorders>
            <w:noWrap w:val="0"/>
            <w:vAlign w:val="center"/>
          </w:tcPr>
          <w:p w14:paraId="283AE5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bidi="ar"/>
              </w:rPr>
              <w:t>合同签订时间</w:t>
            </w:r>
          </w:p>
        </w:tc>
        <w:tc>
          <w:tcPr>
            <w:tcW w:w="7618" w:type="dxa"/>
            <w:gridSpan w:val="2"/>
            <w:tcBorders>
              <w:top w:val="single" w:color="auto" w:sz="4" w:space="0"/>
              <w:left w:val="single" w:color="auto" w:sz="4" w:space="0"/>
              <w:bottom w:val="single" w:color="auto" w:sz="4" w:space="0"/>
              <w:right w:val="single" w:color="auto" w:sz="4" w:space="0"/>
            </w:tcBorders>
            <w:noWrap w:val="0"/>
            <w:vAlign w:val="center"/>
          </w:tcPr>
          <w:p w14:paraId="0F8EC7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发出中标通知书之日起15日内</w:t>
            </w:r>
            <w:r>
              <w:rPr>
                <w:rFonts w:hint="eastAsia" w:ascii="宋体" w:hAnsi="宋体" w:eastAsia="宋体" w:cs="宋体"/>
                <w:b w:val="0"/>
                <w:bCs w:val="0"/>
                <w:color w:val="auto"/>
                <w:sz w:val="21"/>
                <w:szCs w:val="21"/>
                <w:highlight w:val="none"/>
                <w:lang w:eastAsia="zh-CN"/>
              </w:rPr>
              <w:t>。</w:t>
            </w:r>
          </w:p>
        </w:tc>
      </w:tr>
      <w:tr w14:paraId="1B389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98" w:type="dxa"/>
            <w:gridSpan w:val="3"/>
            <w:tcBorders>
              <w:top w:val="single" w:color="auto" w:sz="4" w:space="0"/>
              <w:left w:val="single" w:color="auto" w:sz="4" w:space="0"/>
              <w:bottom w:val="single" w:color="auto" w:sz="4" w:space="0"/>
              <w:right w:val="single" w:color="auto" w:sz="4" w:space="0"/>
            </w:tcBorders>
            <w:noWrap w:val="0"/>
            <w:vAlign w:val="center"/>
          </w:tcPr>
          <w:p w14:paraId="311CB2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bidi="ar"/>
              </w:rPr>
              <w:t>付款条件</w:t>
            </w:r>
          </w:p>
        </w:tc>
        <w:tc>
          <w:tcPr>
            <w:tcW w:w="7618" w:type="dxa"/>
            <w:gridSpan w:val="2"/>
            <w:tcBorders>
              <w:top w:val="single" w:color="auto" w:sz="4" w:space="0"/>
              <w:left w:val="single" w:color="auto" w:sz="4" w:space="0"/>
              <w:bottom w:val="single" w:color="auto" w:sz="4" w:space="0"/>
              <w:right w:val="single" w:color="auto" w:sz="4" w:space="0"/>
            </w:tcBorders>
            <w:noWrap w:val="0"/>
            <w:vAlign w:val="center"/>
          </w:tcPr>
          <w:p w14:paraId="1778460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合同</w:t>
            </w:r>
            <w:r>
              <w:rPr>
                <w:rFonts w:hint="eastAsia" w:ascii="宋体" w:hAnsi="宋体" w:eastAsia="宋体" w:cs="宋体"/>
                <w:b w:val="0"/>
                <w:bCs w:val="0"/>
                <w:color w:val="auto"/>
                <w:sz w:val="21"/>
                <w:szCs w:val="21"/>
                <w:highlight w:val="none"/>
                <w:lang w:val="en-US" w:eastAsia="zh-CN"/>
              </w:rPr>
              <w:t>签订</w:t>
            </w:r>
            <w:r>
              <w:rPr>
                <w:rFonts w:hint="eastAsia" w:ascii="宋体" w:hAnsi="宋体" w:eastAsia="宋体" w:cs="宋体"/>
                <w:b w:val="0"/>
                <w:bCs w:val="0"/>
                <w:color w:val="auto"/>
                <w:sz w:val="21"/>
                <w:szCs w:val="21"/>
                <w:highlight w:val="none"/>
              </w:rPr>
              <w:t>后10个工作日内</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中标人向采购人提交与预付款等额的预付款保函（保函有效期至采购人提取全部货物并完成验收合格后），采购人收到保函后向中标人支付50%合同总额的预付款，余下50%款项在项目</w:t>
            </w:r>
            <w:r>
              <w:rPr>
                <w:rFonts w:hint="eastAsia" w:ascii="宋体" w:hAnsi="宋体" w:eastAsia="宋体" w:cs="宋体"/>
                <w:bCs/>
                <w:color w:val="auto"/>
                <w:sz w:val="21"/>
                <w:szCs w:val="21"/>
                <w:highlight w:val="none"/>
              </w:rPr>
              <w:t>安装调试</w:t>
            </w:r>
            <w:r>
              <w:rPr>
                <w:rFonts w:hint="eastAsia" w:ascii="宋体" w:hAnsi="宋体" w:eastAsia="宋体" w:cs="宋体"/>
                <w:b w:val="0"/>
                <w:bCs w:val="0"/>
                <w:color w:val="auto"/>
                <w:sz w:val="21"/>
                <w:szCs w:val="21"/>
                <w:highlight w:val="none"/>
              </w:rPr>
              <w:t>验收合格</w:t>
            </w:r>
            <w:r>
              <w:rPr>
                <w:rFonts w:hint="eastAsia" w:ascii="宋体" w:hAnsi="宋体" w:eastAsia="宋体" w:cs="宋体"/>
                <w:b w:val="0"/>
                <w:bCs w:val="0"/>
                <w:color w:val="auto"/>
                <w:sz w:val="21"/>
                <w:szCs w:val="21"/>
                <w:highlight w:val="none"/>
                <w:lang w:val="en-US" w:eastAsia="zh-CN"/>
              </w:rPr>
              <w:t>后10个工作日内</w:t>
            </w:r>
            <w:r>
              <w:rPr>
                <w:rFonts w:hint="eastAsia" w:ascii="宋体" w:hAnsi="宋体" w:eastAsia="宋体" w:cs="宋体"/>
                <w:b w:val="0"/>
                <w:bCs w:val="0"/>
                <w:color w:val="auto"/>
                <w:sz w:val="21"/>
                <w:szCs w:val="21"/>
                <w:highlight w:val="none"/>
              </w:rPr>
              <w:t>一次性付清。</w:t>
            </w:r>
          </w:p>
        </w:tc>
      </w:tr>
      <w:tr w14:paraId="77304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98" w:type="dxa"/>
            <w:gridSpan w:val="3"/>
            <w:tcBorders>
              <w:top w:val="single" w:color="auto" w:sz="4" w:space="0"/>
              <w:left w:val="single" w:color="auto" w:sz="4" w:space="0"/>
              <w:bottom w:val="single" w:color="auto" w:sz="4" w:space="0"/>
              <w:right w:val="single" w:color="auto" w:sz="4" w:space="0"/>
            </w:tcBorders>
            <w:noWrap w:val="0"/>
            <w:vAlign w:val="center"/>
          </w:tcPr>
          <w:p w14:paraId="620D70F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产品要求</w:t>
            </w:r>
          </w:p>
        </w:tc>
        <w:tc>
          <w:tcPr>
            <w:tcW w:w="7618" w:type="dxa"/>
            <w:gridSpan w:val="2"/>
            <w:tcBorders>
              <w:top w:val="single" w:color="auto" w:sz="4" w:space="0"/>
              <w:left w:val="single" w:color="auto" w:sz="4" w:space="0"/>
              <w:bottom w:val="single" w:color="auto" w:sz="4" w:space="0"/>
              <w:right w:val="single" w:color="auto" w:sz="4" w:space="0"/>
            </w:tcBorders>
            <w:noWrap w:val="0"/>
            <w:vAlign w:val="center"/>
          </w:tcPr>
          <w:p w14:paraId="7300009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以上产品必须是具备合法资质的制造商生产的全新正品（</w:t>
            </w:r>
            <w:r>
              <w:rPr>
                <w:rFonts w:hint="eastAsia" w:ascii="宋体" w:hAnsi="宋体" w:eastAsia="宋体" w:cs="宋体"/>
                <w:b w:val="0"/>
                <w:bCs w:val="0"/>
                <w:color w:val="auto"/>
                <w:sz w:val="21"/>
                <w:szCs w:val="21"/>
                <w:highlight w:val="none"/>
                <w:lang w:eastAsia="zh-CN"/>
              </w:rPr>
              <w:t>合同签订之日前</w:t>
            </w:r>
            <w:r>
              <w:rPr>
                <w:rFonts w:hint="eastAsia" w:ascii="宋体" w:hAnsi="宋体" w:eastAsia="宋体" w:cs="宋体"/>
                <w:b w:val="0"/>
                <w:bCs w:val="0"/>
                <w:color w:val="auto"/>
                <w:sz w:val="21"/>
                <w:szCs w:val="21"/>
                <w:highlight w:val="none"/>
              </w:rPr>
              <w:t>一年内生产），并满足采购文件的要求，若产品在运输或安装过程中损坏或擦伤须</w:t>
            </w:r>
            <w:r>
              <w:rPr>
                <w:rFonts w:hint="eastAsia" w:ascii="宋体" w:hAnsi="宋体" w:eastAsia="宋体" w:cs="宋体"/>
                <w:b w:val="0"/>
                <w:bCs w:val="0"/>
                <w:color w:val="auto"/>
                <w:sz w:val="21"/>
                <w:szCs w:val="21"/>
                <w:highlight w:val="none"/>
                <w:lang w:val="en-US" w:eastAsia="zh-CN"/>
              </w:rPr>
              <w:t>无条件</w:t>
            </w:r>
            <w:r>
              <w:rPr>
                <w:rFonts w:hint="eastAsia" w:ascii="宋体" w:hAnsi="宋体" w:eastAsia="宋体" w:cs="宋体"/>
                <w:b w:val="0"/>
                <w:bCs w:val="0"/>
                <w:color w:val="auto"/>
                <w:sz w:val="21"/>
                <w:szCs w:val="21"/>
                <w:highlight w:val="none"/>
              </w:rPr>
              <w:t>调换相同产品。</w:t>
            </w:r>
          </w:p>
          <w:p w14:paraId="1E34E3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rPr>
              <w:t>供应商所投产品、辅材及生产工艺符合国家相关规范。</w:t>
            </w:r>
          </w:p>
          <w:p w14:paraId="6E074E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rPr>
              <w:t>供应商应保证所提供的货物或其任何一部分均不会侵犯任何第三方的专利权、商标权等，如在使用过程中出现的一切经济和法律责任均由供应商负责。</w:t>
            </w:r>
          </w:p>
          <w:p w14:paraId="666FC16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4.供应商所投产品必须提供产品“三包”服务；定期安排相关人员回访进行质量跟踪；保证提供临床应用和售后技术服务支持方式；保修期后提供终身维修服务及配件供应；其他售后服务按厂家承诺实行。</w:t>
            </w:r>
          </w:p>
          <w:p w14:paraId="52340C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5.投标文件中提供产品《医疗器械注册证》复印件并加盖投标人公章。</w:t>
            </w:r>
          </w:p>
        </w:tc>
      </w:tr>
      <w:tr w14:paraId="70F33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98" w:type="dxa"/>
            <w:gridSpan w:val="3"/>
            <w:tcBorders>
              <w:top w:val="single" w:color="auto" w:sz="4" w:space="0"/>
              <w:left w:val="single" w:color="auto" w:sz="4" w:space="0"/>
              <w:bottom w:val="single" w:color="auto" w:sz="4" w:space="0"/>
              <w:right w:val="single" w:color="auto" w:sz="4" w:space="0"/>
            </w:tcBorders>
            <w:noWrap w:val="0"/>
            <w:vAlign w:val="center"/>
          </w:tcPr>
          <w:p w14:paraId="57AD53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bidi="ar"/>
              </w:rPr>
              <w:t>售后服务</w:t>
            </w:r>
            <w:r>
              <w:rPr>
                <w:rFonts w:hint="eastAsia" w:ascii="宋体" w:hAnsi="宋体" w:eastAsia="宋体" w:cs="宋体"/>
                <w:color w:val="auto"/>
                <w:kern w:val="0"/>
                <w:sz w:val="21"/>
                <w:szCs w:val="21"/>
                <w:highlight w:val="none"/>
                <w:lang w:val="en-US" w:eastAsia="zh-CN" w:bidi="ar"/>
              </w:rPr>
              <w:t>及培训</w:t>
            </w:r>
            <w:r>
              <w:rPr>
                <w:rFonts w:hint="eastAsia" w:ascii="宋体" w:hAnsi="宋体" w:eastAsia="宋体" w:cs="宋体"/>
                <w:color w:val="auto"/>
                <w:kern w:val="0"/>
                <w:sz w:val="21"/>
                <w:szCs w:val="21"/>
                <w:highlight w:val="none"/>
                <w:lang w:eastAsia="zh-CN" w:bidi="ar"/>
              </w:rPr>
              <w:t>要求</w:t>
            </w:r>
          </w:p>
        </w:tc>
        <w:tc>
          <w:tcPr>
            <w:tcW w:w="7618" w:type="dxa"/>
            <w:gridSpan w:val="2"/>
            <w:tcBorders>
              <w:top w:val="single" w:color="auto" w:sz="4" w:space="0"/>
              <w:left w:val="single" w:color="auto" w:sz="4" w:space="0"/>
              <w:bottom w:val="single" w:color="auto" w:sz="4" w:space="0"/>
              <w:right w:val="single" w:color="auto" w:sz="4" w:space="0"/>
            </w:tcBorders>
            <w:noWrap w:val="0"/>
            <w:vAlign w:val="center"/>
          </w:tcPr>
          <w:p w14:paraId="260D9194">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 xml:space="preserve">中标供应商负责送货上门，安装调试。从通过验收即日起质保期内所有由于质量问题导致的软、硬件产品故障负责保修、人工及更换备件标准上门服务，并提供终身维护。 </w:t>
            </w:r>
          </w:p>
          <w:p w14:paraId="1C1D9A8A">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中标供应商或制造商须提供针对不同岗位人员的系统培训和上岗人员的操作培训，确保使用设备的所有工作人员熟练掌握，保证使用人员正常操作设备的各种功能。此项所产生的费用已包含在中标价中，不另行支付。培训内容须包括设备日常操作、工作原理、注意事项、简单故障排除、维护保养等。</w:t>
            </w:r>
          </w:p>
          <w:p w14:paraId="620F86C7">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.技术及维修服务：中标供应商</w:t>
            </w:r>
            <w:r>
              <w:rPr>
                <w:rFonts w:hint="eastAsia" w:ascii="宋体" w:hAnsi="宋体" w:eastAsia="宋体" w:cs="宋体"/>
                <w:bCs/>
                <w:color w:val="auto"/>
                <w:sz w:val="21"/>
                <w:szCs w:val="21"/>
                <w:highlight w:val="none"/>
                <w:lang w:val="en-US" w:eastAsia="zh-CN"/>
              </w:rPr>
              <w:t>或制造商</w:t>
            </w:r>
            <w:r>
              <w:rPr>
                <w:rFonts w:hint="eastAsia" w:ascii="宋体" w:hAnsi="宋体" w:eastAsia="宋体" w:cs="宋体"/>
                <w:bCs/>
                <w:color w:val="auto"/>
                <w:sz w:val="21"/>
                <w:szCs w:val="21"/>
                <w:highlight w:val="none"/>
              </w:rPr>
              <w:t>应配置技术人员，随时提供开箱验货、安装、调试或维修</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系统平台接入、维护</w:t>
            </w:r>
            <w:r>
              <w:rPr>
                <w:rFonts w:hint="eastAsia" w:ascii="宋体" w:hAnsi="宋体" w:eastAsia="宋体" w:cs="宋体"/>
                <w:bCs/>
                <w:color w:val="auto"/>
                <w:sz w:val="21"/>
                <w:szCs w:val="21"/>
                <w:highlight w:val="none"/>
              </w:rPr>
              <w:t xml:space="preserve">等服务。 </w:t>
            </w:r>
          </w:p>
          <w:p w14:paraId="175BD90E">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.质保期：设备</w:t>
            </w:r>
            <w:r>
              <w:rPr>
                <w:rFonts w:hint="eastAsia" w:ascii="宋体" w:hAnsi="宋体" w:eastAsia="宋体" w:cs="宋体"/>
                <w:bCs/>
                <w:color w:val="auto"/>
                <w:sz w:val="21"/>
                <w:szCs w:val="21"/>
                <w:highlight w:val="none"/>
                <w:lang w:val="en-US" w:eastAsia="zh-CN"/>
              </w:rPr>
              <w:t>及</w:t>
            </w:r>
            <w:r>
              <w:rPr>
                <w:rFonts w:hint="eastAsia" w:ascii="宋体" w:hAnsi="宋体" w:eastAsia="宋体" w:cs="宋体"/>
                <w:color w:val="auto"/>
                <w:sz w:val="21"/>
                <w:szCs w:val="21"/>
                <w:highlight w:val="none"/>
              </w:rPr>
              <w:t>心电图机配套软件系统</w:t>
            </w:r>
            <w:r>
              <w:rPr>
                <w:rFonts w:hint="eastAsia" w:ascii="宋体" w:hAnsi="宋体" w:eastAsia="宋体" w:cs="宋体"/>
                <w:bCs/>
                <w:color w:val="auto"/>
                <w:sz w:val="21"/>
                <w:szCs w:val="21"/>
                <w:highlight w:val="none"/>
              </w:rPr>
              <w:t>安装完毕通过验收投入使用之日起不少于3年。</w:t>
            </w:r>
          </w:p>
          <w:p w14:paraId="3EB7C529">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故障处理：厂家须设有24小时服务电话，质保期内，在使用过程中发现质量问题或故障时，接到维修通知后，2小时内响应，24小时内实施维修服务。一般问题应在48小时内解决，重大问题或其它无法迅速解决的问题应在一周内解决，所发生的一切费用由中标供应商负责。</w:t>
            </w:r>
          </w:p>
          <w:p w14:paraId="2EC8D721">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.维修备件必须是原厂备件。</w:t>
            </w:r>
          </w:p>
          <w:p w14:paraId="1AAC2CD8">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.其余按厂家承诺。</w:t>
            </w:r>
          </w:p>
        </w:tc>
      </w:tr>
      <w:tr w14:paraId="38803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98" w:type="dxa"/>
            <w:gridSpan w:val="3"/>
            <w:tcBorders>
              <w:top w:val="single" w:color="auto" w:sz="4" w:space="0"/>
              <w:left w:val="single" w:color="auto" w:sz="4" w:space="0"/>
              <w:bottom w:val="single" w:color="auto" w:sz="4" w:space="0"/>
              <w:right w:val="single" w:color="auto" w:sz="4" w:space="0"/>
            </w:tcBorders>
            <w:noWrap w:val="0"/>
            <w:vAlign w:val="center"/>
          </w:tcPr>
          <w:p w14:paraId="7F24CB0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bidi="ar"/>
              </w:rPr>
              <w:t>投标报价要求</w:t>
            </w:r>
          </w:p>
        </w:tc>
        <w:tc>
          <w:tcPr>
            <w:tcW w:w="7618" w:type="dxa"/>
            <w:gridSpan w:val="2"/>
            <w:tcBorders>
              <w:top w:val="single" w:color="auto" w:sz="4" w:space="0"/>
              <w:left w:val="single" w:color="auto" w:sz="4" w:space="0"/>
              <w:bottom w:val="single" w:color="auto" w:sz="4" w:space="0"/>
              <w:right w:val="single" w:color="auto" w:sz="4" w:space="0"/>
            </w:tcBorders>
            <w:noWrap w:val="0"/>
            <w:vAlign w:val="center"/>
          </w:tcPr>
          <w:p w14:paraId="15C47445">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rPr>
              <w:t>本次报价须为人民币报价，包括但不限于</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标货物及其配件（附件）价款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系统平台、</w:t>
            </w:r>
            <w:r>
              <w:rPr>
                <w:rFonts w:hint="eastAsia" w:ascii="宋体" w:hAnsi="宋体" w:eastAsia="宋体" w:cs="宋体"/>
                <w:color w:val="auto"/>
                <w:sz w:val="21"/>
                <w:szCs w:val="21"/>
                <w:highlight w:val="none"/>
              </w:rPr>
              <w:t>包装费、运费、装卸费、保险费、搬运费、安装费、调试费、检验及检定验收费、计量检测费、售后服务费、培训费（如有）、税金等招标文件和</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规定及合同包含的所有风险、责任等应有的全部费用。</w:t>
            </w:r>
          </w:p>
        </w:tc>
      </w:tr>
      <w:tr w14:paraId="08DA8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98" w:type="dxa"/>
            <w:gridSpan w:val="3"/>
            <w:tcBorders>
              <w:top w:val="single" w:color="auto" w:sz="4" w:space="0"/>
              <w:left w:val="single" w:color="auto" w:sz="4" w:space="0"/>
              <w:bottom w:val="single" w:color="auto" w:sz="4" w:space="0"/>
              <w:right w:val="single" w:color="auto" w:sz="4" w:space="0"/>
            </w:tcBorders>
            <w:noWrap w:val="0"/>
            <w:vAlign w:val="center"/>
          </w:tcPr>
          <w:p w14:paraId="36C2D4C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验收标准</w:t>
            </w:r>
          </w:p>
        </w:tc>
        <w:tc>
          <w:tcPr>
            <w:tcW w:w="7618" w:type="dxa"/>
            <w:gridSpan w:val="2"/>
            <w:tcBorders>
              <w:top w:val="single" w:color="auto" w:sz="4" w:space="0"/>
              <w:left w:val="single" w:color="auto" w:sz="4" w:space="0"/>
              <w:bottom w:val="single" w:color="auto" w:sz="4" w:space="0"/>
              <w:right w:val="single" w:color="auto" w:sz="4" w:space="0"/>
            </w:tcBorders>
            <w:noWrap w:val="0"/>
            <w:vAlign w:val="center"/>
          </w:tcPr>
          <w:p w14:paraId="5C8ACDAB">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验收标准</w:t>
            </w:r>
          </w:p>
          <w:p w14:paraId="106EDFEB">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验收标准：符合现行国家相关标准、行业标准、地方标准或者其他标准、规范。</w:t>
            </w:r>
            <w:r>
              <w:rPr>
                <w:rFonts w:hint="eastAsia" w:ascii="宋体" w:hAnsi="宋体" w:cs="宋体"/>
                <w:color w:val="auto"/>
                <w:sz w:val="21"/>
                <w:szCs w:val="21"/>
                <w:highlight w:val="none"/>
                <w:lang w:val="en-US" w:eastAsia="zh-CN"/>
              </w:rPr>
              <w:t>标准适用按照“就高不就低”原则执行，有强制性标准的必须优先适用强制性标准。</w:t>
            </w:r>
          </w:p>
          <w:p w14:paraId="55231A50">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中标人在</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交付验收时，由</w:t>
            </w:r>
            <w:r>
              <w:rPr>
                <w:rFonts w:hint="eastAsia" w:ascii="宋体" w:hAnsi="宋体" w:eastAsia="宋体" w:cs="宋体"/>
                <w:color w:val="auto"/>
                <w:sz w:val="21"/>
                <w:szCs w:val="21"/>
                <w:highlight w:val="none"/>
                <w:lang w:val="en-US" w:eastAsia="zh-CN"/>
              </w:rPr>
              <w:t>验收小组</w:t>
            </w:r>
            <w:r>
              <w:rPr>
                <w:rFonts w:hint="eastAsia" w:ascii="宋体" w:hAnsi="宋体" w:eastAsia="宋体" w:cs="宋体"/>
                <w:color w:val="auto"/>
                <w:sz w:val="21"/>
                <w:szCs w:val="21"/>
                <w:highlight w:val="none"/>
              </w:rPr>
              <w:t>对照招标文件的项目要求及技术需求，全面核对检验。如不符合招标文件的技术需求及要求以及提供虚假承诺的，按相关规定做违约处理，中标人承担所有责任和费用，采购人保留进一步追究责任的权利。</w:t>
            </w:r>
          </w:p>
          <w:p w14:paraId="2D5D3EEB">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验收时间: 采购人收到中标人验收申请之日起5个工作日进行验收（如有特殊情况，按采购人指定的时间，另行验收）。</w:t>
            </w:r>
          </w:p>
          <w:p w14:paraId="06455244">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验收地点：广西</w:t>
            </w:r>
            <w:r>
              <w:rPr>
                <w:rFonts w:hint="eastAsia" w:ascii="宋体" w:hAnsi="宋体" w:eastAsia="宋体" w:cs="宋体"/>
                <w:color w:val="auto"/>
                <w:sz w:val="21"/>
                <w:szCs w:val="21"/>
                <w:highlight w:val="none"/>
                <w:lang w:val="en-US" w:eastAsia="zh-CN"/>
              </w:rPr>
              <w:t>梧州市</w:t>
            </w:r>
            <w:r>
              <w:rPr>
                <w:rFonts w:hint="eastAsia" w:ascii="宋体" w:hAnsi="宋体" w:eastAsia="宋体" w:cs="宋体"/>
                <w:color w:val="auto"/>
                <w:sz w:val="21"/>
                <w:szCs w:val="21"/>
                <w:highlight w:val="none"/>
              </w:rPr>
              <w:t>采购人指定交货地点。</w:t>
            </w:r>
          </w:p>
          <w:p w14:paraId="2A5A7299">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验收方式：</w:t>
            </w:r>
          </w:p>
          <w:p w14:paraId="633AB77C">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1）中标人完成</w:t>
            </w:r>
            <w:r>
              <w:rPr>
                <w:rFonts w:hint="eastAsia" w:ascii="宋体" w:hAnsi="宋体" w:eastAsia="宋体" w:cs="宋体"/>
                <w:color w:val="auto"/>
                <w:sz w:val="21"/>
                <w:szCs w:val="21"/>
                <w:highlight w:val="none"/>
                <w:lang w:val="en-US" w:eastAsia="zh-CN"/>
              </w:rPr>
              <w:t>货物及系统</w:t>
            </w:r>
            <w:r>
              <w:rPr>
                <w:rFonts w:hint="eastAsia" w:ascii="宋体" w:hAnsi="宋体" w:eastAsia="宋体" w:cs="宋体"/>
                <w:color w:val="auto"/>
                <w:sz w:val="21"/>
                <w:szCs w:val="21"/>
                <w:highlight w:val="none"/>
              </w:rPr>
              <w:t>安装调试和培训后，书面向采购人提交验收申请。</w:t>
            </w:r>
          </w:p>
          <w:p w14:paraId="0187C6D4">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）本项目验收由验收小组按照采购合同约定对每一项技术和商务要求的履约情况进行确认，作为验收依据；</w:t>
            </w:r>
          </w:p>
          <w:p w14:paraId="35D8DD89">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）验收结束后，验收小组出具采购验收书，验收书应当包括每一项技术和商务要求的履约情况，并列明项目总体评价，由验收小组、采购人和中标人共同签署。</w:t>
            </w:r>
          </w:p>
          <w:p w14:paraId="5C40E624">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）验收过程中所产生的一切费用均由中标人承担。</w:t>
            </w:r>
          </w:p>
          <w:p w14:paraId="7D98A819">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）验收书一式肆份，双方各执两份。 </w:t>
            </w:r>
          </w:p>
          <w:p w14:paraId="4537FB8F">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）验收结论不合格的，中标人应自收到验收书后5日内及时予以解决。经中标人对验收结论不合格的货物进行整改后，仍然达不到要求的，经双方协商，可按以下办法处理：</w:t>
            </w:r>
          </w:p>
          <w:p w14:paraId="63108A1C">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（1）更换：由中标人承担所发生的全部费用；</w:t>
            </w:r>
          </w:p>
          <w:p w14:paraId="695A08DC">
            <w:pPr>
              <w:keepNext w:val="0"/>
              <w:keepLines w:val="0"/>
              <w:pageBreakBefore w:val="0"/>
              <w:kinsoku/>
              <w:wordWrap/>
              <w:overflowPunct/>
              <w:topLinePunct w:val="0"/>
              <w:autoSpaceDE/>
              <w:autoSpaceDN/>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（2）退货处理：中标人应退还采购人支付的合同款，同时应承担与该货物相关的直接费用（运输、保险、检验、合同款利息及银行手续费等）。</w:t>
            </w:r>
          </w:p>
          <w:p w14:paraId="64D92213">
            <w:pPr>
              <w:pStyle w:val="55"/>
              <w:ind w:left="0" w:leftChars="0" w:firstLine="0" w:firstLineChars="0"/>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履约验收其他事项</w:t>
            </w:r>
          </w:p>
          <w:p w14:paraId="4B08565E">
            <w:pPr>
              <w:keepNext w:val="0"/>
              <w:keepLines w:val="0"/>
              <w:pageBreakBefore w:val="0"/>
              <w:widowControl/>
              <w:kinsoku/>
              <w:wordWrap/>
              <w:overflowPunct/>
              <w:topLinePunct w:val="0"/>
              <w:autoSpaceDE/>
              <w:autoSpaceDN/>
              <w:bidi w:val="0"/>
              <w:adjustRightInd/>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验收过程中所产生的一切费用均由中标人承担。报价时应考虑相关费用。</w:t>
            </w:r>
          </w:p>
          <w:p w14:paraId="64BB158C">
            <w:pPr>
              <w:pStyle w:val="55"/>
              <w:ind w:left="0" w:leftChars="0"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中标人在货物交付验收时，由采购人对照采购文件的项目要求及技术需求，全面核对检验。如不符合采购文件的技术需求及要求以及提供虚假承诺的，按相关规定做违约处理，中标人承担所有责任和费用，采购人保留进一步追究责任的权利。</w:t>
            </w:r>
          </w:p>
        </w:tc>
      </w:tr>
      <w:tr w14:paraId="757E5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5"/>
            <w:tcBorders>
              <w:top w:val="single" w:color="auto" w:sz="4" w:space="0"/>
              <w:left w:val="single" w:color="auto" w:sz="4" w:space="0"/>
              <w:bottom w:val="single" w:color="auto" w:sz="4" w:space="0"/>
              <w:right w:val="single" w:color="auto" w:sz="4" w:space="0"/>
            </w:tcBorders>
            <w:noWrap w:val="0"/>
            <w:vAlign w:val="center"/>
          </w:tcPr>
          <w:p w14:paraId="1DD6D7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二、与实现项目目标相关的其他要求</w:t>
            </w:r>
          </w:p>
        </w:tc>
      </w:tr>
      <w:tr w14:paraId="4841B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5"/>
            <w:tcBorders>
              <w:top w:val="single" w:color="auto" w:sz="4" w:space="0"/>
              <w:left w:val="single" w:color="auto" w:sz="4" w:space="0"/>
              <w:bottom w:val="single" w:color="auto" w:sz="4" w:space="0"/>
              <w:right w:val="single" w:color="auto" w:sz="4" w:space="0"/>
            </w:tcBorders>
            <w:noWrap w:val="0"/>
            <w:vAlign w:val="top"/>
          </w:tcPr>
          <w:p w14:paraId="7710A00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一</w:t>
            </w:r>
            <w:r>
              <w:rPr>
                <w:rFonts w:hint="eastAsia" w:ascii="宋体" w:hAnsi="宋体" w:eastAsia="宋体" w:cs="宋体"/>
                <w:b/>
                <w:bCs/>
                <w:color w:val="auto"/>
                <w:kern w:val="0"/>
                <w:sz w:val="21"/>
                <w:szCs w:val="21"/>
                <w:highlight w:val="none"/>
                <w:lang w:bidi="ar"/>
              </w:rPr>
              <w:t>）政策性加分条件</w:t>
            </w:r>
          </w:p>
        </w:tc>
      </w:tr>
      <w:tr w14:paraId="12A63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5"/>
            <w:tcBorders>
              <w:top w:val="single" w:color="auto" w:sz="4" w:space="0"/>
              <w:left w:val="single" w:color="auto" w:sz="4" w:space="0"/>
              <w:bottom w:val="single" w:color="auto" w:sz="4" w:space="0"/>
              <w:right w:val="single" w:color="auto" w:sz="4" w:space="0"/>
            </w:tcBorders>
            <w:noWrap w:val="0"/>
            <w:vAlign w:val="center"/>
          </w:tcPr>
          <w:p w14:paraId="3771A3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bidi="ar"/>
              </w:rPr>
              <w:t>符合节能环保等国家政策要求</w:t>
            </w:r>
          </w:p>
        </w:tc>
      </w:tr>
      <w:tr w14:paraId="6CF4C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5"/>
            <w:tcBorders>
              <w:top w:val="single" w:color="auto" w:sz="4" w:space="0"/>
              <w:left w:val="single" w:color="auto" w:sz="4" w:space="0"/>
              <w:bottom w:val="single" w:color="auto" w:sz="4" w:space="0"/>
              <w:right w:val="single" w:color="auto" w:sz="4" w:space="0"/>
            </w:tcBorders>
            <w:noWrap w:val="0"/>
            <w:vAlign w:val="center"/>
          </w:tcPr>
          <w:p w14:paraId="15BB75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二</w:t>
            </w:r>
            <w:r>
              <w:rPr>
                <w:rFonts w:hint="eastAsia" w:ascii="宋体" w:hAnsi="宋体" w:eastAsia="宋体" w:cs="宋体"/>
                <w:b/>
                <w:bCs/>
                <w:color w:val="auto"/>
                <w:kern w:val="0"/>
                <w:sz w:val="21"/>
                <w:szCs w:val="21"/>
                <w:highlight w:val="none"/>
                <w:lang w:bidi="ar"/>
              </w:rPr>
              <w:t>）进口产品说明</w:t>
            </w:r>
          </w:p>
        </w:tc>
      </w:tr>
      <w:tr w14:paraId="05F86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98" w:type="dxa"/>
            <w:gridSpan w:val="3"/>
            <w:tcBorders>
              <w:top w:val="single" w:color="auto" w:sz="4" w:space="0"/>
              <w:left w:val="single" w:color="auto" w:sz="4" w:space="0"/>
              <w:bottom w:val="single" w:color="auto" w:sz="4" w:space="0"/>
              <w:right w:val="single" w:color="auto" w:sz="4" w:space="0"/>
            </w:tcBorders>
            <w:noWrap w:val="0"/>
            <w:vAlign w:val="center"/>
          </w:tcPr>
          <w:p w14:paraId="4BBEC08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bidi="ar"/>
              </w:rPr>
              <w:t>进口产品说明</w:t>
            </w:r>
          </w:p>
        </w:tc>
        <w:tc>
          <w:tcPr>
            <w:tcW w:w="7618" w:type="dxa"/>
            <w:gridSpan w:val="2"/>
            <w:tcBorders>
              <w:top w:val="single" w:color="auto" w:sz="4" w:space="0"/>
              <w:left w:val="single" w:color="auto" w:sz="4" w:space="0"/>
              <w:bottom w:val="single" w:color="auto" w:sz="4" w:space="0"/>
              <w:right w:val="single" w:color="auto" w:sz="4" w:space="0"/>
            </w:tcBorders>
            <w:noWrap w:val="0"/>
            <w:vAlign w:val="center"/>
          </w:tcPr>
          <w:p w14:paraId="562FEB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本项目货物不接受进口产品（即通过中国海关报关验放进入中国境内且产自关境外的产品）参与</w:t>
            </w:r>
            <w:r>
              <w:rPr>
                <w:rFonts w:hint="eastAsia" w:ascii="宋体" w:hAnsi="宋体" w:eastAsia="宋体" w:cs="宋体"/>
                <w:color w:val="auto"/>
                <w:kern w:val="0"/>
                <w:sz w:val="21"/>
                <w:szCs w:val="21"/>
                <w:highlight w:val="none"/>
                <w:lang w:val="en-US" w:eastAsia="zh-CN" w:bidi="ar"/>
              </w:rPr>
              <w:t>投</w:t>
            </w:r>
            <w:r>
              <w:rPr>
                <w:rFonts w:hint="eastAsia" w:ascii="宋体" w:hAnsi="宋体" w:eastAsia="宋体" w:cs="宋体"/>
                <w:color w:val="auto"/>
                <w:kern w:val="0"/>
                <w:sz w:val="21"/>
                <w:szCs w:val="21"/>
                <w:highlight w:val="none"/>
                <w:lang w:bidi="ar"/>
              </w:rPr>
              <w:t>标，如有进口产品参与</w:t>
            </w:r>
            <w:r>
              <w:rPr>
                <w:rFonts w:hint="eastAsia" w:ascii="宋体" w:hAnsi="宋体" w:eastAsia="宋体" w:cs="宋体"/>
                <w:color w:val="auto"/>
                <w:kern w:val="0"/>
                <w:sz w:val="21"/>
                <w:szCs w:val="21"/>
                <w:highlight w:val="none"/>
                <w:lang w:val="en-US" w:eastAsia="zh-CN" w:bidi="ar"/>
              </w:rPr>
              <w:t>投</w:t>
            </w:r>
            <w:r>
              <w:rPr>
                <w:rFonts w:hint="eastAsia" w:ascii="宋体" w:hAnsi="宋体" w:eastAsia="宋体" w:cs="宋体"/>
                <w:color w:val="auto"/>
                <w:kern w:val="0"/>
                <w:sz w:val="21"/>
                <w:szCs w:val="21"/>
                <w:highlight w:val="none"/>
                <w:lang w:bidi="ar"/>
              </w:rPr>
              <w:t>标的，其投标文件按无效投标处理。</w:t>
            </w:r>
          </w:p>
        </w:tc>
      </w:tr>
      <w:tr w14:paraId="11E01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5"/>
            <w:tcBorders>
              <w:top w:val="single" w:color="auto" w:sz="4" w:space="0"/>
              <w:left w:val="single" w:color="auto" w:sz="4" w:space="0"/>
              <w:bottom w:val="single" w:color="auto" w:sz="4" w:space="0"/>
              <w:right w:val="single" w:color="auto" w:sz="4" w:space="0"/>
            </w:tcBorders>
            <w:noWrap w:val="0"/>
            <w:vAlign w:val="center"/>
          </w:tcPr>
          <w:p w14:paraId="5542AF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三</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其他</w:t>
            </w:r>
          </w:p>
        </w:tc>
      </w:tr>
      <w:tr w14:paraId="7474D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5"/>
            <w:tcBorders>
              <w:top w:val="single" w:color="auto" w:sz="4" w:space="0"/>
              <w:left w:val="single" w:color="auto" w:sz="4" w:space="0"/>
              <w:bottom w:val="single" w:color="auto" w:sz="4" w:space="0"/>
              <w:right w:val="single" w:color="auto" w:sz="4" w:space="0"/>
            </w:tcBorders>
            <w:noWrap w:val="0"/>
            <w:vAlign w:val="center"/>
          </w:tcPr>
          <w:p w14:paraId="37899C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可根据本项目需求编制本项目的技术方案，包含但不限于以下方案内容，以作为评审依据：</w:t>
            </w:r>
          </w:p>
          <w:p w14:paraId="3B8190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实施方案</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可结合本项目采购需求及服务质量要求，结合自身实际情况编制针对本项目的项目实施方案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包括</w:t>
            </w:r>
            <w:r>
              <w:rPr>
                <w:rFonts w:hint="eastAsia" w:ascii="宋体" w:hAnsi="宋体" w:eastAsia="宋体" w:cs="宋体"/>
                <w:color w:val="auto"/>
                <w:kern w:val="2"/>
                <w:sz w:val="21"/>
                <w:szCs w:val="21"/>
                <w:highlight w:val="none"/>
                <w:lang w:val="en-US" w:eastAsia="zh-CN" w:bidi="ar-SA"/>
              </w:rPr>
              <w:t>管理措施、质量保证措施、风险防范等措施等</w:t>
            </w:r>
            <w:r>
              <w:rPr>
                <w:rFonts w:hint="eastAsia" w:ascii="宋体" w:hAnsi="宋体" w:eastAsia="宋体" w:cs="宋体"/>
                <w:bCs/>
                <w:color w:val="auto"/>
                <w:sz w:val="21"/>
                <w:szCs w:val="21"/>
                <w:highlight w:val="none"/>
              </w:rPr>
              <w:t>。</w:t>
            </w:r>
          </w:p>
          <w:p w14:paraId="3F1108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售后服务方案</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可结合本项目采购需求及服务质量要求，结合自身实际情况编制针对本项目的</w:t>
            </w:r>
            <w:r>
              <w:rPr>
                <w:rFonts w:hint="eastAsia" w:ascii="宋体" w:hAnsi="宋体" w:eastAsia="宋体" w:cs="宋体"/>
                <w:bCs/>
                <w:color w:val="auto"/>
                <w:sz w:val="21"/>
                <w:szCs w:val="21"/>
                <w:highlight w:val="none"/>
                <w:lang w:eastAsia="zh-CN"/>
              </w:rPr>
              <w:t>售后服务方案，</w:t>
            </w:r>
            <w:r>
              <w:rPr>
                <w:rFonts w:hint="eastAsia" w:ascii="宋体" w:hAnsi="宋体" w:eastAsia="宋体" w:cs="宋体"/>
                <w:bCs/>
                <w:color w:val="auto"/>
                <w:sz w:val="21"/>
                <w:szCs w:val="21"/>
                <w:highlight w:val="none"/>
                <w:lang w:val="en-US" w:eastAsia="zh-CN"/>
              </w:rPr>
              <w:t>包括</w:t>
            </w:r>
            <w:r>
              <w:rPr>
                <w:rFonts w:hint="eastAsia" w:ascii="宋体" w:hAnsi="宋体" w:eastAsia="宋体" w:cs="宋体"/>
                <w:color w:val="auto"/>
                <w:sz w:val="21"/>
                <w:szCs w:val="21"/>
                <w:highlight w:val="none"/>
                <w:lang w:val="en-US" w:eastAsia="zh-CN" w:bidi="ar-SA"/>
              </w:rPr>
              <w:t>设备的维护保养方案及质保期外的含零配件的优惠供应等</w:t>
            </w:r>
            <w:r>
              <w:rPr>
                <w:rFonts w:hint="eastAsia" w:ascii="宋体" w:hAnsi="宋体" w:eastAsia="宋体" w:cs="宋体"/>
                <w:bCs/>
                <w:color w:val="auto"/>
                <w:sz w:val="21"/>
                <w:szCs w:val="21"/>
                <w:highlight w:val="none"/>
                <w:lang w:eastAsia="zh-CN"/>
              </w:rPr>
              <w:t>。</w:t>
            </w:r>
          </w:p>
          <w:p w14:paraId="44350B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lang w:val="en-US" w:eastAsia="zh-CN"/>
              </w:rPr>
              <w:t>技术培训方案</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可结合本项目采购需求的相关要求以及服务质量要求，结合自身实际情况编制针对本项目的</w:t>
            </w:r>
            <w:r>
              <w:rPr>
                <w:rFonts w:hint="eastAsia" w:ascii="宋体" w:hAnsi="宋体" w:eastAsia="宋体" w:cs="宋体"/>
                <w:color w:val="auto"/>
                <w:sz w:val="21"/>
                <w:szCs w:val="21"/>
                <w:highlight w:val="none"/>
                <w:lang w:val="en-US" w:eastAsia="zh-CN"/>
              </w:rPr>
              <w:t>技术培训方案，包括</w:t>
            </w:r>
            <w:r>
              <w:rPr>
                <w:rFonts w:hint="eastAsia" w:ascii="宋体" w:hAnsi="宋体" w:eastAsia="宋体" w:cs="宋体"/>
                <w:color w:val="auto"/>
                <w:sz w:val="21"/>
                <w:szCs w:val="21"/>
                <w:highlight w:val="none"/>
                <w:lang w:val="en-US" w:eastAsia="zh-CN" w:bidi="ar-SA"/>
              </w:rPr>
              <w:t>培训计划及流程安排、培训课程及内容等</w:t>
            </w:r>
            <w:r>
              <w:rPr>
                <w:rFonts w:hint="eastAsia" w:ascii="宋体" w:hAnsi="宋体" w:eastAsia="宋体" w:cs="宋体"/>
                <w:bCs/>
                <w:color w:val="auto"/>
                <w:sz w:val="21"/>
                <w:szCs w:val="21"/>
                <w:highlight w:val="none"/>
              </w:rPr>
              <w:t>。</w:t>
            </w:r>
          </w:p>
          <w:p w14:paraId="1CAEE04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具体见本</w:t>
            </w:r>
            <w:r>
              <w:rPr>
                <w:rFonts w:hint="eastAsia" w:ascii="宋体" w:hAnsi="宋体" w:eastAsia="宋体" w:cs="宋体"/>
                <w:bCs/>
                <w:color w:val="auto"/>
                <w:sz w:val="21"/>
                <w:szCs w:val="21"/>
                <w:highlight w:val="none"/>
                <w:lang w:val="en-US" w:eastAsia="zh-CN"/>
              </w:rPr>
              <w:t>招标</w:t>
            </w:r>
            <w:r>
              <w:rPr>
                <w:rFonts w:hint="eastAsia" w:ascii="宋体" w:hAnsi="宋体" w:eastAsia="宋体" w:cs="宋体"/>
                <w:bCs/>
                <w:color w:val="auto"/>
                <w:sz w:val="21"/>
                <w:szCs w:val="21"/>
                <w:highlight w:val="none"/>
              </w:rPr>
              <w:t>文件第四章“评标方法及评标标准”。</w:t>
            </w:r>
          </w:p>
        </w:tc>
      </w:tr>
    </w:tbl>
    <w:p w14:paraId="41F51C9B">
      <w:pPr>
        <w:pStyle w:val="17"/>
        <w:rPr>
          <w:color w:val="auto"/>
          <w:highlight w:val="none"/>
        </w:rPr>
      </w:pPr>
    </w:p>
    <w:p w14:paraId="3BA2D6A8">
      <w:pPr>
        <w:rPr>
          <w:rFonts w:ascii="黑体" w:hAnsi="黑体" w:eastAsia="黑体" w:cs="黑体"/>
          <w:color w:val="auto"/>
          <w:sz w:val="32"/>
          <w:szCs w:val="32"/>
          <w:highlight w:val="none"/>
        </w:rPr>
      </w:pPr>
      <w:r>
        <w:rPr>
          <w:color w:val="auto"/>
          <w:highlight w:val="none"/>
        </w:rPr>
        <w:br w:type="page"/>
      </w:r>
    </w:p>
    <w:p w14:paraId="553922FC">
      <w:pPr>
        <w:pStyle w:val="17"/>
        <w:rPr>
          <w:rFonts w:ascii="Arial Unicode MS" w:hAnsi="Arial Unicode MS" w:eastAsia="Arial Unicode MS" w:cs="Arial Unicode MS"/>
          <w:color w:val="auto"/>
          <w:highlight w:val="none"/>
        </w:rPr>
      </w:pPr>
      <w:r>
        <w:rPr>
          <w:rFonts w:hint="eastAsia"/>
          <w:color w:val="auto"/>
          <w:highlight w:val="none"/>
        </w:rPr>
        <w:t>附件1：</w:t>
      </w:r>
    </w:p>
    <w:p w14:paraId="00EDCDCA">
      <w:pPr>
        <w:spacing w:before="7"/>
        <w:rPr>
          <w:rFonts w:hint="eastAsia" w:ascii="Arial Unicode MS" w:hAnsi="Arial Unicode MS" w:eastAsia="Arial Unicode MS" w:cs="Arial Unicode MS"/>
          <w:color w:val="auto"/>
          <w:sz w:val="17"/>
          <w:szCs w:val="17"/>
          <w:highlight w:val="none"/>
        </w:rPr>
      </w:pPr>
    </w:p>
    <w:p w14:paraId="11366D41">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218E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2D20A66">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70346FF3">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652F641B">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72B3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D9BAE">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77603882">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F5C15A0">
            <w:pPr>
              <w:pStyle w:val="104"/>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74A0F3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06C00B2">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0954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36EA9E">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8B9642">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A43822B">
            <w:pPr>
              <w:pStyle w:val="104"/>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F1F047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78BDDEC">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B69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CD1F0B">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1CB4E5">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F191B9C">
            <w:pPr>
              <w:pStyle w:val="104"/>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7D180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AA772CC">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C77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F8BACD">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9CF2987">
            <w:pPr>
              <w:pStyle w:val="104"/>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1957DF">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FED337C">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D1AEAB9">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C27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28F2D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2D553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E1BA5C">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8A40FE4">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91BD27C">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D91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3A3CB3">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86C67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039930">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F2FCAC">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1D6669C">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0F9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3E6BD2">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9A698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70719E">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03C042D">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3F95B09">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83C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1AA4AE">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98809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5C38D5">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0FB76F4">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FBF0838">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0FB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1DF8A9">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F9927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854CFE">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34A3C6">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4EF7CA3">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9A2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94052D">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9CC45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29D6652">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17C815">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9CEAE60">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441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5D81E3">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BE661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E6E3E1">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9EA2AE8">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4274195">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491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366A28">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2B6F2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4A2709">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A2317F3">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47F6892">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0A6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D0FA02">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CF319F">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134571D">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11A4326">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62F65F05">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1CBE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A89635">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AEB71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0577EE">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205CCB">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1B0A3FB">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3E58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326A0CD">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D7649C5">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BC63894">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F7332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4EB4D5B3">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5036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74B7C52">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28C9344">
            <w:pPr>
              <w:pStyle w:val="104"/>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BAA15DF">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DDF518D">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04411FF9">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70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9D67ABE">
            <w:pPr>
              <w:pStyle w:val="104"/>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D86726D">
            <w:pPr>
              <w:pStyle w:val="104"/>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C8D1A95">
            <w:pPr>
              <w:pStyle w:val="104"/>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CCAAC9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FD64770">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0C91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8B18B6">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F5362F">
            <w:pPr>
              <w:pStyle w:val="104"/>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AB74C">
            <w:pPr>
              <w:pStyle w:val="104"/>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2AACFE">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A4B6E11">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33A0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477E72">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0AD7C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2D799F">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3007751">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0C280EAA">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5BDADA7F">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4D1C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6FE9F8">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4293B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2EEF282">
            <w:pPr>
              <w:pStyle w:val="104"/>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CA19073">
            <w:pPr>
              <w:pStyle w:val="104"/>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B7653AC">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261D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7C877C">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03166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3D0C80">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A954C76">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CDE6CCC">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3130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A7EF82">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26892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EDE94A9">
            <w:pPr>
              <w:pStyle w:val="104"/>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ED23B79">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1FC0CD1">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0C37E7C9">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3875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537A0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05B5B7">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886479E">
            <w:pPr>
              <w:pStyle w:val="104"/>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1CC4F0DD">
            <w:pPr>
              <w:pStyle w:val="104"/>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F46C7CC">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2D0EACE">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199A1A43">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7441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F974DF5">
            <w:pPr>
              <w:pStyle w:val="104"/>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5C667FB">
            <w:pPr>
              <w:pStyle w:val="104"/>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4BD2DE">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0E55A7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4187B2C">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67DF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FFC5B84">
            <w:pPr>
              <w:pStyle w:val="104"/>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4CF6B1A">
            <w:pPr>
              <w:pStyle w:val="104"/>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6E87713">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6830E2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3F538AF">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2D1D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6E47B2D">
            <w:pPr>
              <w:pStyle w:val="104"/>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D7284F4">
            <w:pPr>
              <w:pStyle w:val="104"/>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D3F9BB8">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188582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8FEBA5E">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77C4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037C03">
            <w:pPr>
              <w:pStyle w:val="104"/>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B3313">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F5D18EC">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AC94E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3C8DDA3">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1D2E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BC659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94FA14">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C3A1F7C">
            <w:pPr>
              <w:pStyle w:val="104"/>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D4F1D05">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CB6D605">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367A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98553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53E02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4980ED">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6C2212">
            <w:pPr>
              <w:pStyle w:val="104"/>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5826C67">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1345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1790F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D8EC6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E81E05">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272E3E8">
            <w:pPr>
              <w:pStyle w:val="104"/>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76EE0E5">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7ED1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9C063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F64B6E">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45ABD7">
            <w:pPr>
              <w:pStyle w:val="104"/>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A24309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2732485">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3D07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79C95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72CC94">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CF87BB">
            <w:pPr>
              <w:pStyle w:val="104"/>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4770E2">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ACFBB20">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596A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F330F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82D0A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4C34C6">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706C3CE">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CE146C3">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6A0A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6D18A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09BF5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D0CA47">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284D20A">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C95B983">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6DC3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8A1B2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1FE4B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C2D7E1">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B3F8DC3">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1DC751E">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075C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642AE5">
            <w:pPr>
              <w:pStyle w:val="104"/>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80672D">
            <w:pPr>
              <w:pStyle w:val="104"/>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5A9A0C">
            <w:pPr>
              <w:pStyle w:val="104"/>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F83BED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E497BD9">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43DB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3B2B5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95CF6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0DC24B4">
            <w:pPr>
              <w:pStyle w:val="104"/>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FCD48A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2EE6EAC">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r>
              <w:rPr>
                <w:rFonts w:ascii="宋体" w:hAnsi="宋体" w:cs="宋体"/>
                <w:color w:val="auto"/>
                <w:spacing w:val="10"/>
                <w:kern w:val="2"/>
                <w:sz w:val="21"/>
                <w:szCs w:val="21"/>
                <w:highlight w:val="none"/>
                <w:lang w:eastAsia="zh-CN"/>
              </w:rPr>
              <w:t>）</w:t>
            </w:r>
          </w:p>
        </w:tc>
      </w:tr>
      <w:tr w14:paraId="4A67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DCDA3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DDDEC2">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5522E78">
            <w:pPr>
              <w:pStyle w:val="10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5F41F8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048F9E2">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71E5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24C49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1360C2">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8491ED">
            <w:pPr>
              <w:pStyle w:val="104"/>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79223A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331B8F8">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36EA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FC21FF8">
            <w:pPr>
              <w:pStyle w:val="104"/>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3EFB6E3">
            <w:pPr>
              <w:pStyle w:val="104"/>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388A49F">
            <w:pPr>
              <w:pStyle w:val="104"/>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B2EFC1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99DA5E7">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1D47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1CA98F8">
            <w:pPr>
              <w:pStyle w:val="104"/>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095D90C">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F361352">
            <w:pPr>
              <w:pStyle w:val="104"/>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A9F18EC">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1716153">
            <w:pPr>
              <w:pStyle w:val="104"/>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11A2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6BC615C">
            <w:pPr>
              <w:pStyle w:val="104"/>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BFCEF6C">
            <w:pPr>
              <w:pStyle w:val="104"/>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0424081">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09E8C4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19049E7">
            <w:pPr>
              <w:pStyle w:val="104"/>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5DD8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294A5D">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335B61">
            <w:pPr>
              <w:pStyle w:val="104"/>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CD95627">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90D6CC4">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869D9F0">
            <w:pPr>
              <w:pStyle w:val="104"/>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6A1CC300">
            <w:pPr>
              <w:pStyle w:val="104"/>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5079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70ECC4">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8A13AC">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0F1F46B">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8865FC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61CA5FB">
            <w:pPr>
              <w:pStyle w:val="104"/>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333E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B75619">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5E8460">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A212B5">
            <w:pPr>
              <w:pStyle w:val="10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C57578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1254EBC">
            <w:pPr>
              <w:pStyle w:val="104"/>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5CD8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3ECB2A4">
            <w:pPr>
              <w:pStyle w:val="104"/>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3936B35">
            <w:pPr>
              <w:pStyle w:val="104"/>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8643AA8">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C66FF6A">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BCF2ACB">
            <w:pPr>
              <w:pStyle w:val="104"/>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1F7B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4F0DD52">
            <w:pPr>
              <w:pStyle w:val="104"/>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0DC871E">
            <w:pPr>
              <w:pStyle w:val="104"/>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1382AEC">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3148A21">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5C047BC">
            <w:pPr>
              <w:pStyle w:val="104"/>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6C6F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729ACBC">
            <w:pPr>
              <w:pStyle w:val="104"/>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0C6AE85">
            <w:pPr>
              <w:pStyle w:val="104"/>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2B770BB">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BE746F2">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F8426C8">
            <w:pPr>
              <w:pStyle w:val="104"/>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3C7B3C4A">
      <w:pPr>
        <w:pStyle w:val="17"/>
        <w:spacing w:line="360" w:lineRule="auto"/>
        <w:rPr>
          <w:rFonts w:hint="eastAsia" w:ascii="宋体" w:hAnsi="宋体"/>
          <w:color w:val="auto"/>
          <w:kern w:val="2"/>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65930B96">
      <w:pPr>
        <w:pStyle w:val="17"/>
        <w:spacing w:line="360" w:lineRule="auto"/>
        <w:ind w:firstLine="465"/>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7EE0BCAC">
      <w:pPr>
        <w:pStyle w:val="17"/>
        <w:spacing w:line="360" w:lineRule="auto"/>
        <w:ind w:firstLine="465"/>
        <w:rPr>
          <w:rFonts w:hint="eastAsia"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74FE943C">
      <w:pPr>
        <w:widowControl/>
        <w:jc w:val="left"/>
        <w:rPr>
          <w:rFonts w:ascii="宋体" w:hAnsi="宋体" w:cs="宋体"/>
          <w:color w:val="auto"/>
          <w:sz w:val="20"/>
          <w:szCs w:val="20"/>
          <w:highlight w:val="none"/>
        </w:rPr>
      </w:pPr>
    </w:p>
    <w:p w14:paraId="5262F4CE">
      <w:pPr>
        <w:widowControl/>
        <w:jc w:val="left"/>
        <w:rPr>
          <w:rFonts w:ascii="宋体" w:hAnsi="宋体" w:cs="宋体"/>
          <w:color w:val="auto"/>
          <w:sz w:val="20"/>
          <w:szCs w:val="20"/>
          <w:highlight w:val="none"/>
        </w:rPr>
      </w:pPr>
    </w:p>
    <w:p w14:paraId="7E6DE18F">
      <w:pPr>
        <w:widowControl/>
        <w:jc w:val="left"/>
        <w:rPr>
          <w:rFonts w:hint="eastAsia" w:ascii="黑体" w:hAnsi="黑体" w:eastAsia="黑体" w:cs="黑体"/>
          <w:color w:val="auto"/>
          <w:sz w:val="32"/>
          <w:szCs w:val="32"/>
          <w:highlight w:val="none"/>
        </w:rPr>
      </w:pPr>
      <w:r>
        <w:rPr>
          <w:rFonts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162166EF">
      <w:pPr>
        <w:pStyle w:val="17"/>
        <w:jc w:val="center"/>
        <w:rPr>
          <w:rFonts w:hint="eastAsia"/>
          <w:b/>
          <w:color w:val="auto"/>
          <w:sz w:val="28"/>
          <w:szCs w:val="28"/>
          <w:highlight w:val="none"/>
        </w:rPr>
      </w:pPr>
      <w:r>
        <w:rPr>
          <w:rFonts w:hint="eastAsia"/>
          <w:b/>
          <w:color w:val="auto"/>
          <w:sz w:val="28"/>
          <w:szCs w:val="28"/>
          <w:highlight w:val="none"/>
        </w:rPr>
        <w:t>中小企业划型标准规定</w:t>
      </w:r>
    </w:p>
    <w:p w14:paraId="6F604AB6">
      <w:pPr>
        <w:pStyle w:val="17"/>
        <w:jc w:val="center"/>
        <w:rPr>
          <w:rFonts w:hint="eastAsia" w:ascii="宋体" w:hAnsi="宋体"/>
          <w:color w:val="auto"/>
          <w:sz w:val="21"/>
          <w:szCs w:val="21"/>
          <w:highlight w:val="none"/>
        </w:rPr>
      </w:pPr>
      <w:r>
        <w:rPr>
          <w:rFonts w:hint="eastAsia" w:ascii="宋体" w:hAnsi="宋体"/>
          <w:color w:val="auto"/>
          <w:sz w:val="21"/>
          <w:szCs w:val="21"/>
          <w:highlight w:val="none"/>
        </w:rPr>
        <w:t>工信部联企业[2011]300号</w:t>
      </w:r>
    </w:p>
    <w:p w14:paraId="74857826">
      <w:pPr>
        <w:pStyle w:val="17"/>
        <w:rPr>
          <w:color w:val="auto"/>
          <w:sz w:val="21"/>
          <w:szCs w:val="21"/>
          <w:highlight w:val="none"/>
        </w:rPr>
      </w:pPr>
    </w:p>
    <w:p w14:paraId="6EDD8A5B">
      <w:pPr>
        <w:pStyle w:val="17"/>
        <w:rPr>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一、根据《中华人民共和国中小企业促进法》和《国务院关于进一步促进中小企业发展的若干意见》(国发[2009]36号)，制定本规定。</w:t>
      </w:r>
    </w:p>
    <w:p w14:paraId="729556AC">
      <w:pPr>
        <w:pStyle w:val="17"/>
        <w:rPr>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14:paraId="2B79A1D1">
      <w:pPr>
        <w:pStyle w:val="17"/>
        <w:rPr>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97A7241">
      <w:pPr>
        <w:pStyle w:val="17"/>
        <w:rPr>
          <w:color w:val="auto"/>
          <w:sz w:val="21"/>
          <w:szCs w:val="21"/>
          <w:highlight w:val="none"/>
        </w:rPr>
      </w:pPr>
      <w:r>
        <w:rPr>
          <w:rFonts w:hint="eastAsia"/>
          <w:color w:val="auto"/>
          <w:sz w:val="21"/>
          <w:szCs w:val="21"/>
          <w:highlight w:val="none"/>
        </w:rPr>
        <w:t>　　四、各行业划型标准为：</w:t>
      </w:r>
    </w:p>
    <w:p w14:paraId="1C879ECF">
      <w:pPr>
        <w:pStyle w:val="17"/>
        <w:rPr>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5E17315B">
      <w:pPr>
        <w:pStyle w:val="17"/>
        <w:rPr>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319F10">
      <w:pPr>
        <w:pStyle w:val="17"/>
        <w:rPr>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42E8427">
      <w:pPr>
        <w:pStyle w:val="17"/>
        <w:rPr>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533C61">
      <w:pPr>
        <w:pStyle w:val="17"/>
        <w:rPr>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060511">
      <w:pPr>
        <w:pStyle w:val="17"/>
        <w:rPr>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BE948FF">
      <w:pPr>
        <w:pStyle w:val="17"/>
        <w:rPr>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ABBCC37">
      <w:pPr>
        <w:pStyle w:val="17"/>
        <w:rPr>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5DA10A">
      <w:pPr>
        <w:pStyle w:val="17"/>
        <w:rPr>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04DC6C">
      <w:pPr>
        <w:pStyle w:val="17"/>
        <w:rPr>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357C78">
      <w:pPr>
        <w:pStyle w:val="17"/>
        <w:rPr>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D51155">
      <w:pPr>
        <w:pStyle w:val="17"/>
        <w:rPr>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8884FB">
      <w:pPr>
        <w:pStyle w:val="17"/>
        <w:rPr>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5155E16">
      <w:pPr>
        <w:pStyle w:val="17"/>
        <w:rPr>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12B8A2C">
      <w:pPr>
        <w:pStyle w:val="17"/>
        <w:rPr>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5D2637D">
      <w:pPr>
        <w:pStyle w:val="17"/>
        <w:rPr>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4754BC60">
      <w:pPr>
        <w:pStyle w:val="17"/>
        <w:rPr>
          <w:color w:val="auto"/>
          <w:sz w:val="21"/>
          <w:szCs w:val="21"/>
          <w:highlight w:val="none"/>
        </w:rPr>
      </w:pPr>
      <w:r>
        <w:rPr>
          <w:rFonts w:hint="eastAsia"/>
          <w:color w:val="auto"/>
          <w:sz w:val="21"/>
          <w:szCs w:val="21"/>
          <w:highlight w:val="none"/>
        </w:rPr>
        <w:t>　　五、企业类型的划分以统计部门的统计数据为依据。</w:t>
      </w:r>
    </w:p>
    <w:p w14:paraId="229E2083">
      <w:pPr>
        <w:pStyle w:val="17"/>
        <w:rPr>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14:paraId="624E851C">
      <w:pPr>
        <w:pStyle w:val="17"/>
        <w:rPr>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DF6D61A">
      <w:pPr>
        <w:pStyle w:val="17"/>
        <w:rPr>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14:paraId="5C59B26E">
      <w:pPr>
        <w:pStyle w:val="17"/>
        <w:rPr>
          <w:color w:val="auto"/>
          <w:sz w:val="21"/>
          <w:szCs w:val="21"/>
          <w:highlight w:val="none"/>
        </w:rPr>
      </w:pPr>
      <w:r>
        <w:rPr>
          <w:rFonts w:hint="eastAsia"/>
          <w:color w:val="auto"/>
          <w:sz w:val="21"/>
          <w:szCs w:val="21"/>
          <w:highlight w:val="none"/>
        </w:rPr>
        <w:t>　　九、本规定由工业和信息化部、国家统计局会同有关部门负责解释。</w:t>
      </w:r>
    </w:p>
    <w:p w14:paraId="2B3CB1AF">
      <w:pPr>
        <w:pStyle w:val="17"/>
        <w:ind w:firstLine="420"/>
        <w:rPr>
          <w:rFonts w:hint="eastAsia"/>
          <w:color w:val="auto"/>
          <w:sz w:val="21"/>
          <w:szCs w:val="21"/>
          <w:highlight w:val="none"/>
        </w:rPr>
      </w:pPr>
      <w:r>
        <w:rPr>
          <w:rFonts w:hint="eastAsia"/>
          <w:color w:val="auto"/>
          <w:sz w:val="21"/>
          <w:szCs w:val="21"/>
          <w:highlight w:val="none"/>
        </w:rPr>
        <w:t>十、本规定自发布之日起执行，原国家经贸委、原国家计委、财政部和国家统计局2003年颁布的《中小企业标准暂行规定》同时废止。</w:t>
      </w:r>
    </w:p>
    <w:p w14:paraId="60730EB0">
      <w:pPr>
        <w:pStyle w:val="17"/>
        <w:ind w:firstLine="420"/>
        <w:rPr>
          <w:rFonts w:hint="eastAsia"/>
          <w:color w:val="auto"/>
          <w:sz w:val="21"/>
          <w:szCs w:val="21"/>
          <w:highlight w:val="none"/>
        </w:rPr>
      </w:pPr>
    </w:p>
    <w:p w14:paraId="60A234F3">
      <w:pPr>
        <w:pStyle w:val="2"/>
        <w:spacing w:before="0" w:after="0" w:line="360" w:lineRule="auto"/>
        <w:jc w:val="center"/>
        <w:rPr>
          <w:rFonts w:hint="eastAsia"/>
          <w:color w:val="auto"/>
          <w:highlight w:val="none"/>
        </w:rPr>
      </w:pPr>
      <w:bookmarkStart w:id="61" w:name="_Toc74320802"/>
      <w:r>
        <w:rPr>
          <w:color w:val="auto"/>
          <w:highlight w:val="none"/>
        </w:rPr>
        <w:br w:type="page"/>
      </w:r>
      <w:r>
        <w:rPr>
          <w:rFonts w:hint="eastAsia"/>
          <w:color w:val="auto"/>
          <w:highlight w:val="none"/>
        </w:rPr>
        <w:t>第三章  投标人须知</w:t>
      </w:r>
      <w:bookmarkEnd w:id="61"/>
    </w:p>
    <w:p w14:paraId="3DAE255E">
      <w:pPr>
        <w:jc w:val="center"/>
        <w:rPr>
          <w:rFonts w:hint="eastAsia"/>
          <w:color w:val="auto"/>
          <w:sz w:val="36"/>
          <w:szCs w:val="36"/>
          <w:highlight w:val="none"/>
        </w:rPr>
      </w:pPr>
      <w:bookmarkStart w:id="62" w:name="_Toc254970667"/>
      <w:bookmarkStart w:id="63" w:name="_Toc254970526"/>
      <w:r>
        <w:rPr>
          <w:rFonts w:hint="eastAsia"/>
          <w:color w:val="auto"/>
          <w:sz w:val="36"/>
          <w:szCs w:val="36"/>
          <w:highlight w:val="none"/>
        </w:rPr>
        <w:t>投标人须知前附表</w:t>
      </w:r>
      <w:bookmarkEnd w:id="62"/>
      <w:bookmarkEnd w:id="63"/>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20EB5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3ABC9A1">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0B4649E9">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26AA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C94B0F5">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EE8A749">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25BCE5C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0AA5A4C4">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4A50F4">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B6D3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024B0E2">
            <w:pPr>
              <w:spacing w:line="360" w:lineRule="auto"/>
              <w:jc w:val="center"/>
              <w:rPr>
                <w:rFonts w:ascii="宋体" w:hAnsi="宋体"/>
                <w:color w:val="auto"/>
                <w:szCs w:val="21"/>
                <w:highlight w:val="none"/>
              </w:rPr>
            </w:pPr>
            <w:bookmarkStart w:id="64" w:name="_5"/>
            <w:bookmarkEnd w:id="64"/>
            <w:bookmarkStart w:id="65" w:name="_8.1"/>
            <w:bookmarkEnd w:id="65"/>
            <w:bookmarkStart w:id="66" w:name="_9.2"/>
            <w:bookmarkEnd w:id="66"/>
            <w:r>
              <w:rPr>
                <w:rFonts w:hint="eastAsia" w:ascii="宋体" w:hAnsi="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01C7EC6">
            <w:pPr>
              <w:pStyle w:val="15"/>
              <w:spacing w:line="360" w:lineRule="auto"/>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5251C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A14ED23">
            <w:pPr>
              <w:spacing w:line="360" w:lineRule="auto"/>
              <w:jc w:val="center"/>
              <w:rPr>
                <w:rFonts w:hint="eastAsia" w:ascii="宋体" w:hAnsi="宋体"/>
                <w:color w:val="auto"/>
                <w:szCs w:val="21"/>
                <w:highlight w:val="none"/>
              </w:rPr>
            </w:pPr>
            <w:r>
              <w:rPr>
                <w:rFonts w:ascii="宋体" w:hAnsi="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7F944201">
            <w:pPr>
              <w:pStyle w:val="15"/>
              <w:spacing w:line="360" w:lineRule="auto"/>
              <w:rPr>
                <w:rFonts w:hint="eastAsia" w:ascii="宋体" w:hAnsi="宋体"/>
                <w:color w:val="auto"/>
                <w:szCs w:val="21"/>
                <w:highlight w:val="none"/>
              </w:rPr>
            </w:pPr>
            <w:bookmarkStart w:id="67" w:name="_Hlk54105293"/>
            <w:r>
              <w:rPr>
                <w:rFonts w:hint="eastAsia" w:ascii="宋体" w:hAnsi="宋体"/>
                <w:color w:val="auto"/>
                <w:szCs w:val="21"/>
                <w:highlight w:val="none"/>
              </w:rPr>
              <w:t>如接受联合体投标，</w:t>
            </w:r>
            <w:bookmarkEnd w:id="67"/>
            <w:r>
              <w:rPr>
                <w:rFonts w:hint="eastAsia" w:ascii="宋体" w:hAnsi="宋体"/>
                <w:color w:val="auto"/>
                <w:szCs w:val="21"/>
                <w:highlight w:val="none"/>
              </w:rPr>
              <w:t>联合体投标要求如下：/</w:t>
            </w:r>
          </w:p>
        </w:tc>
      </w:tr>
      <w:tr w14:paraId="1EB39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AF412E1">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3C0CC678">
            <w:pPr>
              <w:pStyle w:val="15"/>
              <w:spacing w:line="360" w:lineRule="auto"/>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不允许分包</w:t>
            </w:r>
          </w:p>
          <w:p w14:paraId="1F51FF17">
            <w:pPr>
              <w:pStyle w:val="15"/>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14:paraId="476C735E">
            <w:pPr>
              <w:pStyle w:val="15"/>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p w14:paraId="4C68DBE5">
            <w:pPr>
              <w:pStyle w:val="15"/>
              <w:spacing w:line="360" w:lineRule="auto"/>
              <w:jc w:val="both"/>
              <w:rPr>
                <w:rFonts w:hint="eastAsia"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w:t>
            </w:r>
          </w:p>
        </w:tc>
      </w:tr>
      <w:tr w14:paraId="39CB8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C2FAB7B">
            <w:pPr>
              <w:spacing w:line="360" w:lineRule="auto"/>
              <w:jc w:val="center"/>
              <w:rPr>
                <w:rFonts w:hint="eastAsia" w:ascii="宋体" w:hAnsi="宋体"/>
                <w:color w:val="auto"/>
                <w:szCs w:val="21"/>
                <w:highlight w:val="none"/>
              </w:rPr>
            </w:pPr>
            <w:r>
              <w:rPr>
                <w:rFonts w:hint="eastAsia" w:ascii="宋体" w:hAnsi="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E3B393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提供相同品牌产品（非单一产品采购项目的，指核心产品）的不同投标人评审得分相同时，按照下列方式确定一个投标人获得中标人推荐资格：</w:t>
            </w:r>
          </w:p>
          <w:p w14:paraId="60C95DC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依次按投标报价低的优先、政策分得分高的优先、技术评分高的优先、商务评分高的优先、质保期长优先、交货期短优先、故障响应时间短优先的顺序推荐；</w:t>
            </w:r>
          </w:p>
          <w:p w14:paraId="5D49FD5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6B6E4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noWrap w:val="0"/>
            <w:vAlign w:val="center"/>
          </w:tcPr>
          <w:p w14:paraId="21E51CC3">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F16487E">
            <w:pPr>
              <w:snapToGrid w:val="0"/>
              <w:spacing w:line="360"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不组织现场考察</w:t>
            </w:r>
          </w:p>
          <w:p w14:paraId="4DD15DF4">
            <w:pPr>
              <w:snapToGrid w:val="0"/>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6779AFBC">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D48726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2EDCD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noWrap w:val="0"/>
            <w:vAlign w:val="center"/>
          </w:tcPr>
          <w:p w14:paraId="527BB618">
            <w:pPr>
              <w:spacing w:line="360" w:lineRule="auto"/>
              <w:jc w:val="center"/>
              <w:rPr>
                <w:rFonts w:hint="eastAsia"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noWrap w:val="0"/>
            <w:vAlign w:val="center"/>
          </w:tcPr>
          <w:p w14:paraId="7C60091A">
            <w:pPr>
              <w:snapToGrid w:val="0"/>
              <w:spacing w:line="360" w:lineRule="auto"/>
              <w:rPr>
                <w:rFonts w:ascii="宋体" w:hAnsi="宋体"/>
                <w:color w:val="auto"/>
                <w:szCs w:val="21"/>
                <w:highlight w:val="none"/>
              </w:rPr>
            </w:pPr>
            <w:r>
              <w:rPr>
                <w:rFonts w:hint="eastAsia" w:ascii="宋体" w:hAnsi="宋体" w:cs="宋体"/>
                <w:color w:val="auto"/>
                <w:szCs w:val="21"/>
                <w:highlight w:val="none"/>
              </w:rPr>
              <w:sym w:font="Wingdings" w:char="00FE"/>
            </w:r>
            <w:r>
              <w:rPr>
                <w:rFonts w:hint="eastAsia" w:ascii="宋体" w:hAnsi="宋体"/>
                <w:color w:val="auto"/>
                <w:szCs w:val="21"/>
                <w:highlight w:val="none"/>
              </w:rPr>
              <w:t>不组织召开开标前答疑会</w:t>
            </w:r>
          </w:p>
          <w:p w14:paraId="507B3B6E">
            <w:pPr>
              <w:snapToGrid w:val="0"/>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0934874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46190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noWrap w:val="0"/>
            <w:vAlign w:val="center"/>
          </w:tcPr>
          <w:p w14:paraId="071F7525">
            <w:pPr>
              <w:spacing w:line="360" w:lineRule="auto"/>
              <w:jc w:val="center"/>
              <w:rPr>
                <w:rFonts w:hint="eastAsia" w:ascii="宋体" w:hAnsi="宋体"/>
                <w:color w:val="auto"/>
                <w:szCs w:val="21"/>
                <w:highlight w:val="none"/>
              </w:rPr>
            </w:pPr>
            <w:bookmarkStart w:id="68" w:name="_13.1"/>
            <w:bookmarkEnd w:id="68"/>
            <w:r>
              <w:rPr>
                <w:rFonts w:hint="eastAsia" w:ascii="宋体" w:hAnsi="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73ACD39">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04196B89">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8B9C5D1">
            <w:pPr>
              <w:tabs>
                <w:tab w:val="left" w:pos="459"/>
              </w:tabs>
              <w:snapToGrid w:val="0"/>
              <w:spacing w:line="360" w:lineRule="auto"/>
              <w:ind w:left="420"/>
              <w:jc w:val="left"/>
              <w:rPr>
                <w:rFonts w:hint="eastAsia" w:ascii="宋体" w:hAnsi="宋体"/>
                <w:color w:val="auto"/>
                <w:szCs w:val="21"/>
                <w:highlight w:val="none"/>
              </w:rPr>
            </w:pPr>
            <w:bookmarkStart w:id="69" w:name="_Hlk71299233"/>
            <w:r>
              <w:rPr>
                <w:rFonts w:hint="eastAsia" w:ascii="宋体" w:hAnsi="宋体"/>
                <w:color w:val="auto"/>
                <w:szCs w:val="21"/>
                <w:highlight w:val="none"/>
              </w:rPr>
              <w:t>2.开标一览表</w:t>
            </w:r>
            <w:bookmarkEnd w:id="69"/>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DDF94BD">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308DA2F5">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cs="宋体"/>
                <w:b/>
                <w:color w:val="auto"/>
                <w:szCs w:val="21"/>
                <w:highlight w:val="none"/>
              </w:rPr>
              <w:t xml:space="preserve"> </w:t>
            </w:r>
          </w:p>
        </w:tc>
      </w:tr>
      <w:tr w14:paraId="00AE0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noWrap w:val="0"/>
            <w:vAlign w:val="center"/>
          </w:tcPr>
          <w:p w14:paraId="3B1135B5">
            <w:pPr>
              <w:spacing w:line="360" w:lineRule="auto"/>
              <w:rPr>
                <w:rFonts w:hint="eastAsia" w:ascii="宋体" w:hAnsi="宋体"/>
                <w:color w:val="auto"/>
                <w:szCs w:val="21"/>
                <w:highlight w:val="none"/>
              </w:rPr>
            </w:pPr>
            <w:bookmarkStart w:id="70" w:name="_13.2"/>
            <w:bookmarkEnd w:id="70"/>
          </w:p>
        </w:tc>
        <w:tc>
          <w:tcPr>
            <w:tcW w:w="8670" w:type="dxa"/>
            <w:tcBorders>
              <w:top w:val="single" w:color="auto" w:sz="4" w:space="0"/>
              <w:left w:val="single" w:color="auto" w:sz="4" w:space="0"/>
              <w:bottom w:val="single" w:color="auto" w:sz="4" w:space="0"/>
              <w:right w:val="single" w:color="auto" w:sz="4" w:space="0"/>
            </w:tcBorders>
            <w:noWrap w:val="0"/>
            <w:vAlign w:val="center"/>
          </w:tcPr>
          <w:p w14:paraId="5A69D4AA">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46B68838">
            <w:pPr>
              <w:snapToGrid w:val="0"/>
              <w:spacing w:line="360" w:lineRule="auto"/>
              <w:ind w:firstLine="420" w:firstLineChars="200"/>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96"/>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33793B5">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月至</w:t>
            </w:r>
            <w:r>
              <w:rPr>
                <w:rFonts w:hint="eastAsia" w:ascii="宋体" w:hAnsi="宋体" w:cs="宋体"/>
                <w:color w:val="auto"/>
                <w:szCs w:val="21"/>
                <w:highlight w:val="none"/>
                <w:u w:val="single"/>
              </w:rPr>
              <w:t>投标文件提交截止之日</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C36D7B4">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月至</w:t>
            </w:r>
            <w:r>
              <w:rPr>
                <w:rFonts w:hint="eastAsia" w:ascii="宋体" w:hAnsi="宋体" w:cs="宋体"/>
                <w:color w:val="auto"/>
                <w:szCs w:val="21"/>
                <w:highlight w:val="none"/>
                <w:u w:val="single"/>
              </w:rPr>
              <w:t>投标文件提交截止之日</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w:t>
            </w:r>
            <w:r>
              <w:rPr>
                <w:rFonts w:hint="eastAsia" w:ascii="宋体" w:hAnsi="宋体" w:cs="宋体"/>
                <w:color w:val="auto"/>
                <w:szCs w:val="21"/>
                <w:highlight w:val="none"/>
                <w:lang w:eastAsia="zh-CN"/>
              </w:rPr>
              <w:t>等</w:t>
            </w:r>
            <w:r>
              <w:rPr>
                <w:rFonts w:hint="eastAsia" w:ascii="宋体" w:hAnsi="宋体" w:cs="宋体"/>
                <w:color w:val="auto"/>
                <w:szCs w:val="21"/>
                <w:highlight w:val="none"/>
              </w:rPr>
              <w:t>）复印件；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AE54788">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ascii="宋体" w:hAnsi="宋体"/>
                <w:color w:val="auto"/>
                <w:szCs w:val="21"/>
                <w:highlight w:val="none"/>
              </w:rPr>
              <w:t>[</w:t>
            </w:r>
            <w:r>
              <w:rPr>
                <w:rFonts w:hint="eastAsia" w:ascii="宋体" w:hAnsi="宋体"/>
                <w:color w:val="auto"/>
                <w:szCs w:val="21"/>
                <w:highlight w:val="none"/>
                <w:u w:val="single"/>
                <w:lang w:val="en-US" w:eastAsia="zh-CN"/>
              </w:rPr>
              <w:t>2024</w:t>
            </w:r>
            <w:r>
              <w:rPr>
                <w:rFonts w:hint="eastAsia" w:ascii="宋体" w:hAnsi="宋体"/>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ascii="宋体" w:hAnsi="宋体"/>
                <w:color w:val="auto"/>
                <w:highlight w:val="none"/>
              </w:rPr>
              <w:t>，投标人</w:t>
            </w:r>
            <w:r>
              <w:rPr>
                <w:rFonts w:ascii="宋体" w:hAnsi="宋体"/>
                <w:color w:val="auto"/>
                <w:highlight w:val="none"/>
              </w:rPr>
              <w:t>属于成立时间在规定年度之后的法人或其他组织</w:t>
            </w:r>
            <w:r>
              <w:rPr>
                <w:rFonts w:hint="eastAsia" w:ascii="宋体" w:hAnsi="宋体"/>
                <w:color w:val="auto"/>
                <w:highlight w:val="none"/>
              </w:rPr>
              <w:t>，需提供成立之日起至投标截止时间前的月报表</w:t>
            </w:r>
            <w:r>
              <w:rPr>
                <w:rFonts w:hint="eastAsia" w:ascii="宋体" w:hAnsi="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514028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5.投标人直接控股股东信息表（格式后附）；（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E6ED05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6D6A82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F868F9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8.《中小企业声明函》（格式后附）；</w:t>
            </w:r>
            <w:r>
              <w:rPr>
                <w:rFonts w:hint="eastAsia"/>
                <w:color w:val="auto"/>
                <w:highlight w:val="none"/>
              </w:rPr>
              <w:t>【如属于残疾人福利性单位的提供残疾人福利性单位声明函，属于监狱企业的提供由省级以上监狱管理局、戒毒管理局（含新疆生产建设兵团）出具的属于监狱企业的证明文件】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94D3D41">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.本项目特定资格：</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2D82B6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标的属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44FC349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标的属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714C3E4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.除招标文件规定必须提供以外，投标人认为需要提供的其他证明材料。</w:t>
            </w:r>
          </w:p>
          <w:p w14:paraId="18CAAA56">
            <w:pPr>
              <w:snapToGrid w:val="0"/>
              <w:spacing w:line="360" w:lineRule="auto"/>
              <w:jc w:val="left"/>
              <w:rPr>
                <w:rFonts w:ascii="宋体" w:hAnsi="宋体"/>
                <w:b/>
                <w:bCs/>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1F484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noWrap w:val="0"/>
            <w:vAlign w:val="center"/>
          </w:tcPr>
          <w:p w14:paraId="0E26DE53">
            <w:pPr>
              <w:spacing w:line="360" w:lineRule="auto"/>
              <w:rPr>
                <w:rFonts w:hint="eastAsia" w:ascii="宋体" w:hAnsi="宋体"/>
                <w:color w:val="auto"/>
                <w:szCs w:val="21"/>
                <w:highlight w:val="none"/>
              </w:rPr>
            </w:pPr>
            <w:bookmarkStart w:id="71" w:name="_13.3"/>
            <w:bookmarkEnd w:id="71"/>
          </w:p>
        </w:tc>
        <w:tc>
          <w:tcPr>
            <w:tcW w:w="8670" w:type="dxa"/>
            <w:tcBorders>
              <w:top w:val="single" w:color="auto" w:sz="4" w:space="0"/>
              <w:left w:val="single" w:color="auto" w:sz="4" w:space="0"/>
              <w:bottom w:val="single" w:color="auto" w:sz="4" w:space="0"/>
              <w:right w:val="single" w:color="auto" w:sz="4" w:space="0"/>
            </w:tcBorders>
            <w:noWrap w:val="0"/>
            <w:vAlign w:val="center"/>
          </w:tcPr>
          <w:p w14:paraId="18596FCF">
            <w:pPr>
              <w:snapToGrid w:val="0"/>
              <w:spacing w:line="360" w:lineRule="auto"/>
              <w:jc w:val="left"/>
              <w:rPr>
                <w:rFonts w:hint="eastAsia" w:ascii="宋体" w:hAnsi="宋体" w:cs="Courier New"/>
                <w:b/>
                <w:color w:val="auto"/>
                <w:szCs w:val="21"/>
                <w:highlight w:val="none"/>
              </w:rPr>
            </w:pPr>
            <w:r>
              <w:rPr>
                <w:rFonts w:hint="eastAsia"/>
                <w:b/>
                <w:color w:val="auto"/>
                <w:kern w:val="0"/>
                <w:highlight w:val="none"/>
                <w:u w:val="single"/>
              </w:rPr>
              <w:t>商务及技术文件</w:t>
            </w:r>
            <w:r>
              <w:rPr>
                <w:rFonts w:hint="eastAsia" w:ascii="宋体" w:hAnsi="宋体" w:cs="Courier New"/>
                <w:b/>
                <w:color w:val="auto"/>
                <w:szCs w:val="21"/>
                <w:highlight w:val="none"/>
              </w:rPr>
              <w:t>：</w:t>
            </w:r>
          </w:p>
          <w:p w14:paraId="308CC39D">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E10E1DD">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6314BCF2">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231BF2D">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3462270A">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6D889FD">
            <w:pPr>
              <w:snapToGrid w:val="0"/>
              <w:spacing w:line="360" w:lineRule="auto"/>
              <w:ind w:left="413"/>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0563B27">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.设备性能配置清单（格式后附）；（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6632CC9">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1CAE2BA">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9.项目实施方案</w:t>
            </w:r>
            <w:r>
              <w:rPr>
                <w:rFonts w:hint="eastAsia" w:ascii="宋体" w:hAnsi="宋体"/>
                <w:color w:val="auto"/>
                <w:szCs w:val="21"/>
                <w:highlight w:val="none"/>
              </w:rPr>
              <w:t>（格式自拟）；</w:t>
            </w:r>
          </w:p>
          <w:p w14:paraId="2357E014">
            <w:pPr>
              <w:snapToGrid w:val="0"/>
              <w:spacing w:line="360" w:lineRule="auto"/>
              <w:ind w:left="42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w:t>
            </w:r>
            <w:r>
              <w:rPr>
                <w:rFonts w:hint="eastAsia" w:ascii="宋体" w:hAnsi="宋体"/>
                <w:color w:val="auto"/>
                <w:szCs w:val="21"/>
                <w:highlight w:val="none"/>
              </w:rPr>
              <w:t>.售后服务方案（格式自拟）；</w:t>
            </w:r>
          </w:p>
          <w:p w14:paraId="08EB3FAF">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11.技术培训方案</w:t>
            </w:r>
            <w:r>
              <w:rPr>
                <w:rFonts w:hint="eastAsia" w:ascii="宋体" w:hAnsi="宋体"/>
                <w:color w:val="auto"/>
                <w:szCs w:val="21"/>
                <w:highlight w:val="none"/>
              </w:rPr>
              <w:t>（格式自拟）；</w:t>
            </w:r>
          </w:p>
          <w:p w14:paraId="45C669F5">
            <w:pPr>
              <w:snapToGrid w:val="0"/>
              <w:spacing w:line="360" w:lineRule="auto"/>
              <w:ind w:left="420"/>
              <w:jc w:val="left"/>
              <w:rPr>
                <w:rFonts w:hint="eastAsia" w:ascii="宋体" w:hAnsi="宋体"/>
                <w:bCs/>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除招标文件规定必须提供以外，投标人认为需要提供的其他证明材料（格式自拟）。</w:t>
            </w:r>
          </w:p>
          <w:p w14:paraId="2F4928B9">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（投标人根据“第二章 采购需求”及“第四章 评标方法及评标标准”提供有关证明材料）。</w:t>
            </w:r>
          </w:p>
          <w:p w14:paraId="74C233BC">
            <w:pPr>
              <w:snapToGrid w:val="0"/>
              <w:spacing w:line="360" w:lineRule="auto"/>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04221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607C4D6">
            <w:pPr>
              <w:spacing w:line="360" w:lineRule="auto"/>
              <w:jc w:val="center"/>
              <w:rPr>
                <w:rFonts w:hint="eastAsia" w:ascii="宋体" w:hAnsi="宋体"/>
                <w:color w:val="auto"/>
                <w:szCs w:val="21"/>
                <w:highlight w:val="none"/>
              </w:rPr>
            </w:pPr>
            <w:bookmarkStart w:id="72" w:name="_13.4"/>
            <w:bookmarkEnd w:id="72"/>
            <w:bookmarkStart w:id="73" w:name="_16.2"/>
            <w:bookmarkEnd w:id="73"/>
            <w:bookmarkStart w:id="74" w:name="_13.5"/>
            <w:bookmarkEnd w:id="74"/>
            <w:r>
              <w:rPr>
                <w:rFonts w:hint="eastAsia" w:ascii="宋体" w:hAnsi="宋体"/>
                <w:color w:val="auto"/>
                <w:szCs w:val="21"/>
                <w:highlight w:val="none"/>
              </w:rPr>
              <w:t>16</w:t>
            </w:r>
            <w:bookmarkStart w:id="75" w:name="_Hlt19693759"/>
            <w:bookmarkStart w:id="76" w:name="_Hlt19693758"/>
            <w:bookmarkStart w:id="77" w:name="_Hlt19194066"/>
            <w:bookmarkStart w:id="78" w:name="_Hlt19194067"/>
            <w:r>
              <w:rPr>
                <w:rFonts w:hint="eastAsia" w:ascii="宋体" w:hAnsi="宋体"/>
                <w:color w:val="auto"/>
                <w:szCs w:val="21"/>
                <w:highlight w:val="none"/>
              </w:rPr>
              <w:t>.</w:t>
            </w:r>
            <w:bookmarkEnd w:id="75"/>
            <w:bookmarkEnd w:id="76"/>
            <w:bookmarkEnd w:id="77"/>
            <w:bookmarkEnd w:id="78"/>
            <w:r>
              <w:rPr>
                <w:rFonts w:hint="eastAsia"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F43EA3C">
            <w:pPr>
              <w:snapToGrid w:val="0"/>
              <w:spacing w:line="360" w:lineRule="auto"/>
              <w:rPr>
                <w:rFonts w:hint="eastAsia" w:ascii="宋体" w:hAnsi="宋体"/>
                <w:b/>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报价须为人民币报价，包括但不限于竞标货物及其配件（附件）价款</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系统平台、</w:t>
            </w:r>
            <w:r>
              <w:rPr>
                <w:rFonts w:hint="eastAsia" w:ascii="宋体" w:hAnsi="宋体" w:cs="宋体"/>
                <w:color w:val="auto"/>
                <w:szCs w:val="21"/>
                <w:highlight w:val="none"/>
              </w:rPr>
              <w:t>包装费、运费、装卸费、保险费、搬运费、安装费、调试费、检验及检定验收费、</w:t>
            </w:r>
            <w:r>
              <w:rPr>
                <w:rFonts w:hint="eastAsia" w:ascii="宋体" w:hAnsi="宋体" w:cs="宋体"/>
                <w:color w:val="auto"/>
                <w:szCs w:val="21"/>
                <w:highlight w:val="none"/>
                <w:lang w:val="en-US" w:eastAsia="zh-CN"/>
              </w:rPr>
              <w:t>计量检测费、</w:t>
            </w:r>
            <w:r>
              <w:rPr>
                <w:rFonts w:hint="eastAsia" w:ascii="宋体" w:hAnsi="宋体" w:cs="宋体"/>
                <w:color w:val="auto"/>
                <w:szCs w:val="21"/>
                <w:highlight w:val="none"/>
              </w:rPr>
              <w:t>售后服务费、培训费（如有）、税金等招标文件和</w:t>
            </w:r>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rPr>
              <w:t>规定及合同包含的所有风险、责任等应有的全部费用</w:t>
            </w:r>
            <w:r>
              <w:rPr>
                <w:rFonts w:hint="eastAsia" w:ascii="宋体" w:hAnsi="宋体"/>
                <w:b/>
                <w:color w:val="auto"/>
                <w:szCs w:val="21"/>
                <w:highlight w:val="none"/>
              </w:rPr>
              <w:t>（采购需求另有约定的，从其约定。）</w:t>
            </w:r>
          </w:p>
        </w:tc>
      </w:tr>
      <w:tr w14:paraId="52577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7DC9CFB">
            <w:pPr>
              <w:spacing w:line="360" w:lineRule="auto"/>
              <w:jc w:val="center"/>
              <w:rPr>
                <w:rFonts w:hint="eastAsia" w:ascii="宋体" w:hAnsi="宋体"/>
                <w:color w:val="auto"/>
                <w:szCs w:val="21"/>
                <w:highlight w:val="none"/>
              </w:rPr>
            </w:pPr>
            <w:bookmarkStart w:id="79" w:name="_17.1"/>
            <w:bookmarkEnd w:id="79"/>
            <w:r>
              <w:rPr>
                <w:rFonts w:hint="eastAsia" w:ascii="宋体" w:hAnsi="宋体"/>
                <w:color w:val="auto"/>
                <w:szCs w:val="21"/>
                <w:highlight w:val="none"/>
              </w:rPr>
              <w:t>17.</w:t>
            </w:r>
            <w:r>
              <w:rPr>
                <w:rFonts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38A26D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120</w:t>
            </w:r>
            <w:r>
              <w:rPr>
                <w:rFonts w:hint="eastAsia" w:ascii="宋体" w:hAnsi="宋体"/>
                <w:color w:val="auto"/>
                <w:szCs w:val="21"/>
                <w:highlight w:val="none"/>
              </w:rPr>
              <w:t>日。</w:t>
            </w:r>
          </w:p>
        </w:tc>
      </w:tr>
      <w:tr w14:paraId="26F3E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4C690CE">
            <w:pPr>
              <w:spacing w:line="360" w:lineRule="auto"/>
              <w:jc w:val="center"/>
              <w:rPr>
                <w:rFonts w:hint="eastAsia" w:ascii="宋体" w:hAnsi="宋体"/>
                <w:color w:val="auto"/>
                <w:szCs w:val="21"/>
                <w:highlight w:val="none"/>
              </w:rPr>
            </w:pPr>
            <w:bookmarkStart w:id="80" w:name="_18"/>
            <w:bookmarkEnd w:id="80"/>
            <w:r>
              <w:rPr>
                <w:rFonts w:hint="eastAsia" w:ascii="宋体" w:hAnsi="宋体"/>
                <w:color w:val="auto"/>
                <w:szCs w:val="21"/>
                <w:highlight w:val="none"/>
              </w:rPr>
              <w:t>18</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00DB90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34340C4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☑本项目收取投标保证金，具体规定如下：</w:t>
            </w:r>
          </w:p>
          <w:p w14:paraId="3BABFFBF">
            <w:pPr>
              <w:snapToGrid w:val="0"/>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投标保证金人民币</w:t>
            </w:r>
            <w:r>
              <w:rPr>
                <w:rFonts w:hint="eastAsia" w:ascii="宋体" w:hAnsi="宋体" w:cs="宋体"/>
                <w:color w:val="auto"/>
                <w:kern w:val="0"/>
                <w:szCs w:val="21"/>
                <w:highlight w:val="none"/>
                <w:u w:val="single"/>
                <w:lang w:val="en-US" w:eastAsia="zh-CN"/>
              </w:rPr>
              <w:t>43000</w:t>
            </w:r>
            <w:r>
              <w:rPr>
                <w:rFonts w:hint="eastAsia" w:ascii="宋体" w:hAnsi="宋体" w:cs="宋体"/>
                <w:color w:val="auto"/>
                <w:kern w:val="0"/>
                <w:szCs w:val="21"/>
                <w:highlight w:val="none"/>
              </w:rPr>
              <w:t>元。</w:t>
            </w:r>
          </w:p>
          <w:p w14:paraId="759DA982">
            <w:pPr>
              <w:snapToGrid w:val="0"/>
              <w:spacing w:line="360" w:lineRule="auto"/>
              <w:ind w:firstLine="420"/>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w:t>
            </w:r>
            <w:r>
              <w:rPr>
                <w:rFonts w:hint="eastAsia"/>
                <w:color w:val="auto"/>
                <w:highlight w:val="none"/>
              </w:rPr>
              <w:t>（包含电子保函</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，禁止采用现钞方式。采用银行转账方式的，在投标截止时间前</w:t>
            </w:r>
            <w:r>
              <w:rPr>
                <w:rFonts w:hint="eastAsia" w:ascii="宋体" w:hAnsi="宋体" w:eastAsia="宋体" w:cs="宋体"/>
                <w:color w:val="auto"/>
                <w:sz w:val="21"/>
                <w:szCs w:val="21"/>
                <w:highlight w:val="none"/>
              </w:rPr>
              <w:t>从投标人账户</w:t>
            </w:r>
            <w:r>
              <w:rPr>
                <w:rFonts w:hint="eastAsia" w:ascii="宋体" w:hAnsi="宋体" w:eastAsia="宋体" w:cs="宋体"/>
                <w:color w:val="auto"/>
                <w:kern w:val="0"/>
                <w:sz w:val="21"/>
                <w:szCs w:val="21"/>
                <w:highlight w:val="none"/>
              </w:rPr>
              <w:t>交至指定账户并且到账（</w:t>
            </w:r>
            <w:r>
              <w:rPr>
                <w:rFonts w:hint="eastAsia" w:ascii="宋体" w:hAnsi="宋体" w:cs="宋体"/>
                <w:b/>
                <w:bCs/>
                <w:color w:val="auto"/>
                <w:kern w:val="0"/>
                <w:szCs w:val="21"/>
                <w:highlight w:val="none"/>
              </w:rPr>
              <w:t>开户名称：云之龙咨询集团有限公司梧州分公司，开户银行：中信银行南宁东葛支行，银行账号：8113001013700074625</w:t>
            </w:r>
            <w:r>
              <w:rPr>
                <w:rFonts w:hint="eastAsia" w:ascii="宋体" w:hAnsi="宋体" w:eastAsia="宋体" w:cs="宋体"/>
                <w:color w:val="auto"/>
                <w:kern w:val="0"/>
                <w:sz w:val="21"/>
                <w:szCs w:val="21"/>
                <w:highlight w:val="none"/>
              </w:rPr>
              <w:t>）；采用支票、汇票、本票或者保函等方式的，在投标截止时间前，投标人必须递交单独密封的支票、汇票、本</w:t>
            </w:r>
            <w:r>
              <w:rPr>
                <w:rFonts w:hint="eastAsia" w:ascii="宋体" w:hAnsi="宋体" w:cs="宋体"/>
                <w:color w:val="auto"/>
                <w:kern w:val="0"/>
                <w:szCs w:val="21"/>
                <w:highlight w:val="none"/>
              </w:rPr>
              <w:t>票或者保函原件</w:t>
            </w:r>
            <w:r>
              <w:rPr>
                <w:rFonts w:hint="eastAsia" w:ascii="宋体" w:hAnsi="宋体" w:cs="宋体"/>
                <w:color w:val="auto"/>
                <w:kern w:val="0"/>
                <w:szCs w:val="21"/>
                <w:highlight w:val="none"/>
                <w:lang w:eastAsia="zh-CN"/>
              </w:rPr>
              <w:t>（电子保函复印件加公章）</w:t>
            </w: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否则视为无效投标保证金。</w:t>
            </w:r>
          </w:p>
          <w:p w14:paraId="127B787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相关要求：</w:t>
            </w:r>
          </w:p>
          <w:p w14:paraId="3DDBC7A7">
            <w:pPr>
              <w:pStyle w:val="15"/>
              <w:spacing w:line="360" w:lineRule="auto"/>
              <w:rPr>
                <w:rFonts w:hint="eastAsia" w:ascii="宋体" w:hAnsi="宋体"/>
                <w:color w:val="auto"/>
                <w:szCs w:val="21"/>
                <w:highlight w:val="none"/>
              </w:rPr>
            </w:pPr>
            <w:r>
              <w:rPr>
                <w:rFonts w:hint="eastAsia" w:ascii="宋体" w:hAnsi="宋体"/>
                <w:color w:val="auto"/>
                <w:szCs w:val="21"/>
                <w:highlight w:val="none"/>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2156546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交纳方式的，投标人应将支票、汇票、本票或者银行、保险机构出具的保函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ascii="宋体" w:hAnsi="宋体"/>
                <w:color w:val="auto"/>
                <w:szCs w:val="21"/>
                <w:highlight w:val="none"/>
                <w:u w:val="single"/>
              </w:rPr>
              <w:t>云之龙咨询集团有限公司（梧州市新兴三路30号神冠豪都B栋1单元1008号房）</w:t>
            </w:r>
            <w:r>
              <w:rPr>
                <w:rFonts w:hint="eastAsia"/>
                <w:color w:val="auto"/>
                <w:highlight w:val="none"/>
              </w:rPr>
              <w:t>；邮寄地址：</w:t>
            </w:r>
            <w:r>
              <w:rPr>
                <w:rFonts w:hint="eastAsia" w:ascii="宋体" w:hAnsi="宋体"/>
                <w:color w:val="auto"/>
                <w:szCs w:val="21"/>
                <w:highlight w:val="none"/>
                <w:u w:val="single"/>
              </w:rPr>
              <w:t>云之龙咨询集团有限公司（梧州市新兴三路30号神冠豪都B栋1单元1008号房）</w:t>
            </w:r>
            <w:r>
              <w:rPr>
                <w:rFonts w:hint="eastAsia"/>
                <w:color w:val="auto"/>
                <w:highlight w:val="none"/>
              </w:rPr>
              <w:t>，收件人：</w:t>
            </w:r>
            <w:r>
              <w:rPr>
                <w:rFonts w:hint="eastAsia"/>
                <w:color w:val="auto"/>
                <w:highlight w:val="none"/>
                <w:u w:val="single"/>
                <w:lang w:val="en-US" w:eastAsia="zh-CN"/>
              </w:rPr>
              <w:t>周子然</w:t>
            </w:r>
            <w:r>
              <w:rPr>
                <w:rFonts w:hint="eastAsia"/>
                <w:color w:val="auto"/>
                <w:highlight w:val="none"/>
              </w:rPr>
              <w:t>，联系方式：</w:t>
            </w:r>
            <w:r>
              <w:rPr>
                <w:rFonts w:hint="eastAsia"/>
                <w:color w:val="auto"/>
                <w:highlight w:val="none"/>
                <w:u w:val="single"/>
              </w:rPr>
              <w:t>0774-3859935</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支票、汇票、本票或者银行、保险机构出具的保函原件（电子保函复印件加公章)提交给采购人或者采购代理机构，未按时提交的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w:t>
            </w:r>
          </w:p>
          <w:p w14:paraId="4192E0D4">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4D6AA40E">
            <w:pPr>
              <w:snapToGrid w:val="0"/>
              <w:spacing w:line="360" w:lineRule="auto"/>
              <w:rPr>
                <w:rFonts w:hint="eastAsia" w:ascii="宋体" w:hAnsi="宋体"/>
                <w:color w:val="auto"/>
                <w:szCs w:val="21"/>
                <w:highlight w:val="none"/>
              </w:rPr>
            </w:pPr>
          </w:p>
          <w:p w14:paraId="23733C95">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172F8C01">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02AFA7D7">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3A83B6F8">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0B6F4559">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21980252">
            <w:pPr>
              <w:snapToGrid w:val="0"/>
              <w:spacing w:line="360" w:lineRule="auto"/>
              <w:rPr>
                <w:rFonts w:hint="eastAsia"/>
                <w:color w:val="auto"/>
                <w:highlight w:val="none"/>
              </w:rPr>
            </w:pPr>
            <w:r>
              <w:rPr>
                <w:rFonts w:hint="eastAsia" w:ascii="宋体" w:hAnsi="宋体"/>
                <w:b/>
                <w:color w:val="auto"/>
                <w:szCs w:val="21"/>
                <w:highlight w:val="none"/>
              </w:rPr>
              <w:t>5.采用银行、保险机构出具保函的，必须为无条件保函，否则视为无效投标保证金。</w:t>
            </w:r>
          </w:p>
        </w:tc>
      </w:tr>
      <w:tr w14:paraId="3712A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C9C374C">
            <w:pPr>
              <w:spacing w:line="360" w:lineRule="auto"/>
              <w:jc w:val="center"/>
              <w:rPr>
                <w:rFonts w:hint="eastAsia" w:ascii="宋体" w:hAnsi="宋体"/>
                <w:color w:val="auto"/>
                <w:szCs w:val="21"/>
                <w:highlight w:val="none"/>
              </w:rPr>
            </w:pPr>
            <w:bookmarkStart w:id="81" w:name="_19.2"/>
            <w:bookmarkEnd w:id="81"/>
            <w:r>
              <w:rPr>
                <w:rFonts w:hint="eastAsia" w:ascii="宋体" w:hAnsi="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5E62B819">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3D3BF5C9">
            <w:pPr>
              <w:autoSpaceDE w:val="0"/>
              <w:autoSpaceDN w:val="0"/>
              <w:adjustRightInd w:val="0"/>
              <w:spacing w:line="360" w:lineRule="auto"/>
              <w:textAlignment w:val="bottom"/>
              <w:rPr>
                <w:rFonts w:hint="eastAsia"/>
                <w:color w:val="auto"/>
                <w:highlight w:val="none"/>
              </w:rPr>
            </w:pPr>
            <w:r>
              <w:rPr>
                <w:rFonts w:hint="eastAsia" w:ascii="宋体" w:hAnsi="宋体"/>
                <w:color w:val="auto"/>
                <w:szCs w:val="21"/>
                <w:highlight w:val="none"/>
              </w:rPr>
              <w:t>□</w:t>
            </w:r>
            <w:r>
              <w:rPr>
                <w:rFonts w:hint="eastAsia"/>
                <w:color w:val="auto"/>
                <w:highlight w:val="none"/>
              </w:rPr>
              <w:t>本项目接受电子备份投标文件。</w:t>
            </w:r>
          </w:p>
          <w:p w14:paraId="29CC94E2">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备份投标文件</w:t>
            </w:r>
            <w:r>
              <w:rPr>
                <w:rFonts w:hint="eastAsia"/>
                <w:color w:val="auto"/>
                <w:highlight w:val="none"/>
              </w:rPr>
              <w:t>提交方式：投标人可以在投标截止时间前采用以下</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种方式向采购代理机构提交电子备份投标文件：</w:t>
            </w:r>
          </w:p>
          <w:p w14:paraId="2A171FA4">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hint="eastAsia"/>
                <w:color w:val="auto"/>
                <w:highlight w:val="none"/>
              </w:rPr>
              <w:t>；外包装上注明投标人名称、项目名称及项目编号（外包装不作密封要求）。</w:t>
            </w:r>
          </w:p>
          <w:p w14:paraId="560BA9D8">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）电子邮件方式，接收电子备份投标文件的电子邮箱为：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03C8D47A">
            <w:pPr>
              <w:pStyle w:val="15"/>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color w:val="auto"/>
                <w:highlight w:val="none"/>
              </w:rPr>
              <w:t>U</w:t>
            </w:r>
            <w:r>
              <w:rPr>
                <w:rFonts w:hint="eastAsia"/>
                <w:color w:val="auto"/>
                <w:highlight w:val="none"/>
              </w:rPr>
              <w:t>盘进行存储，邮寄地址：</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，截止接收时间：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22BED856">
            <w:pPr>
              <w:autoSpaceDE w:val="0"/>
              <w:autoSpaceDN w:val="0"/>
              <w:adjustRightInd w:val="0"/>
              <w:spacing w:line="360" w:lineRule="auto"/>
              <w:textAlignment w:val="bottom"/>
              <w:rPr>
                <w:color w:val="auto"/>
                <w:highlight w:val="none"/>
              </w:rPr>
            </w:pPr>
            <w:r>
              <w:rPr>
                <w:rFonts w:hint="eastAsia"/>
                <w:color w:val="auto"/>
                <w:highlight w:val="none"/>
              </w:rPr>
              <w:t>收件人：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，联系方式：</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；外包装上注明投标人名称、项目名称及项目编号（外包装不作密封要求）。</w:t>
            </w:r>
            <w:r>
              <w:rPr>
                <w:color w:val="auto"/>
                <w:highlight w:val="none"/>
              </w:rPr>
              <w:t xml:space="preserve"> </w:t>
            </w:r>
          </w:p>
          <w:p w14:paraId="37A1AC9C">
            <w:pPr>
              <w:autoSpaceDE w:val="0"/>
              <w:autoSpaceDN w:val="0"/>
              <w:snapToGrid w:val="0"/>
              <w:spacing w:line="360" w:lineRule="auto"/>
              <w:ind w:firstLine="420" w:firstLineChars="200"/>
              <w:textAlignment w:val="bottom"/>
              <w:rPr>
                <w:rFonts w:hint="eastAsia" w:ascii="宋体" w:hAnsi="宋体"/>
                <w:color w:val="auto"/>
                <w:szCs w:val="21"/>
                <w:highlight w:val="none"/>
              </w:rPr>
            </w:pPr>
            <w:r>
              <w:rPr>
                <w:rFonts w:hint="eastAsia"/>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highlight w:val="none"/>
              </w:rPr>
              <w:t>投标人的投标文件作无效处理</w:t>
            </w:r>
            <w:r>
              <w:rPr>
                <w:rFonts w:hint="eastAsia"/>
                <w:color w:val="auto"/>
                <w:highlight w:val="none"/>
              </w:rPr>
              <w:t>。</w:t>
            </w:r>
          </w:p>
        </w:tc>
      </w:tr>
      <w:tr w14:paraId="0A83B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69517BCA">
            <w:pPr>
              <w:spacing w:line="360" w:lineRule="auto"/>
              <w:jc w:val="center"/>
              <w:rPr>
                <w:rFonts w:hint="eastAsia" w:ascii="宋体" w:hAnsi="宋体"/>
                <w:color w:val="auto"/>
                <w:szCs w:val="21"/>
                <w:highlight w:val="none"/>
              </w:rPr>
            </w:pPr>
            <w:bookmarkStart w:id="82" w:name="_21.1"/>
            <w:bookmarkEnd w:id="82"/>
            <w:r>
              <w:rPr>
                <w:rFonts w:hint="eastAsia" w:ascii="宋体" w:hAnsi="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97254D5">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1. 提交投标文件截止时间：详见招标公告</w:t>
            </w:r>
          </w:p>
          <w:p w14:paraId="6E40AFD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1A3FA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FB59EB4">
            <w:pPr>
              <w:spacing w:line="360" w:lineRule="auto"/>
              <w:jc w:val="center"/>
              <w:rPr>
                <w:rFonts w:hint="eastAsia" w:ascii="宋体" w:hAnsi="宋体"/>
                <w:color w:val="auto"/>
                <w:szCs w:val="21"/>
                <w:highlight w:val="none"/>
              </w:rPr>
            </w:pPr>
            <w:bookmarkStart w:id="83" w:name="_23"/>
            <w:bookmarkEnd w:id="83"/>
            <w:r>
              <w:rPr>
                <w:rFonts w:hint="eastAsia" w:ascii="宋体" w:hAnsi="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AFC00A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13DCC84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70A57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B0F75F7">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A51D287">
            <w:pPr>
              <w:snapToGrid w:val="0"/>
              <w:spacing w:line="360" w:lineRule="auto"/>
              <w:rPr>
                <w:rFonts w:hint="eastAsia" w:hAnsi="宋体"/>
                <w:color w:val="auto"/>
                <w:highlight w:val="none"/>
                <w:u w:val="singl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5BDEB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838D384">
            <w:pPr>
              <w:spacing w:line="360" w:lineRule="auto"/>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5CBFCFBB">
            <w:pPr>
              <w:snapToGrid w:val="0"/>
              <w:spacing w:line="360" w:lineRule="auto"/>
              <w:rPr>
                <w:rFonts w:ascii="宋体" w:hAnsi="宋体"/>
                <w:color w:val="auto"/>
                <w:szCs w:val="21"/>
                <w:highlight w:val="none"/>
              </w:rPr>
            </w:pPr>
            <w:r>
              <w:rPr>
                <w:rFonts w:hint="eastAsia"/>
                <w:color w:val="auto"/>
                <w:highlight w:val="none"/>
              </w:rPr>
              <w:t>宣布的内容</w:t>
            </w:r>
            <w:r>
              <w:rPr>
                <w:rFonts w:hint="eastAsia" w:hAnsi="宋体"/>
                <w:color w:val="auto"/>
                <w:highlight w:val="none"/>
              </w:rPr>
              <w:t>：投标人名称、投标价格</w:t>
            </w:r>
          </w:p>
        </w:tc>
      </w:tr>
      <w:tr w14:paraId="7DAE2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11F8CE2">
            <w:pPr>
              <w:spacing w:line="360" w:lineRule="auto"/>
              <w:jc w:val="center"/>
              <w:rPr>
                <w:rFonts w:hint="eastAsia" w:ascii="宋体" w:hAnsi="宋体"/>
                <w:color w:val="auto"/>
                <w:szCs w:val="21"/>
                <w:highlight w:val="none"/>
              </w:rPr>
            </w:pPr>
            <w:bookmarkStart w:id="84" w:name="_25.3"/>
            <w:bookmarkEnd w:id="84"/>
            <w:r>
              <w:rPr>
                <w:rFonts w:hint="eastAsia" w:ascii="宋体" w:hAnsi="宋体"/>
                <w:color w:val="auto"/>
                <w:szCs w:val="21"/>
                <w:highlight w:val="none"/>
              </w:rPr>
              <w:t>25.3（</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5C3C2C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6DD3900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27D42F8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7C72A3E1">
            <w:pPr>
              <w:snapToGrid w:val="0"/>
              <w:spacing w:line="360" w:lineRule="auto"/>
              <w:rPr>
                <w:rFonts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5B6C023E">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247FF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B57DCB9">
            <w:pPr>
              <w:spacing w:line="360" w:lineRule="auto"/>
              <w:jc w:val="center"/>
              <w:rPr>
                <w:rFonts w:hint="eastAsia" w:ascii="宋体" w:hAnsi="宋体"/>
                <w:color w:val="auto"/>
                <w:szCs w:val="21"/>
                <w:highlight w:val="none"/>
              </w:rPr>
            </w:pPr>
            <w:bookmarkStart w:id="85" w:name="_26"/>
            <w:bookmarkEnd w:id="85"/>
            <w:r>
              <w:rPr>
                <w:rFonts w:hint="eastAsia" w:ascii="宋体" w:hAnsi="宋体"/>
                <w:color w:val="auto"/>
                <w:szCs w:val="21"/>
                <w:highlight w:val="none"/>
              </w:rPr>
              <w:t>26</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BB0DB1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人</w:t>
            </w:r>
          </w:p>
        </w:tc>
      </w:tr>
      <w:tr w14:paraId="20BDE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D0868D4">
            <w:pPr>
              <w:spacing w:line="360" w:lineRule="auto"/>
              <w:jc w:val="center"/>
              <w:rPr>
                <w:rFonts w:hint="eastAsia" w:ascii="宋体" w:hAnsi="宋体"/>
                <w:color w:val="auto"/>
                <w:szCs w:val="21"/>
                <w:highlight w:val="none"/>
              </w:rPr>
            </w:pPr>
            <w:bookmarkStart w:id="86" w:name="_28.3"/>
            <w:bookmarkEnd w:id="86"/>
            <w:r>
              <w:rPr>
                <w:rFonts w:ascii="宋体" w:hAnsi="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16E70E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w:t>
            </w:r>
          </w:p>
          <w:p w14:paraId="5F49736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☑综合评分法</w:t>
            </w:r>
          </w:p>
          <w:p w14:paraId="0AF9617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26603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6C081535">
            <w:pPr>
              <w:spacing w:line="360" w:lineRule="auto"/>
              <w:jc w:val="center"/>
              <w:rPr>
                <w:rFonts w:hint="eastAsia" w:ascii="宋体" w:hAnsi="宋体"/>
                <w:color w:val="auto"/>
                <w:szCs w:val="21"/>
                <w:highlight w:val="none"/>
              </w:rPr>
            </w:pPr>
            <w:bookmarkStart w:id="87" w:name="_29.2.2（2）"/>
            <w:bookmarkEnd w:id="87"/>
            <w:r>
              <w:rPr>
                <w:rFonts w:hint="eastAsia" w:ascii="宋体" w:hAnsi="宋体"/>
                <w:color w:val="auto"/>
                <w:szCs w:val="21"/>
                <w:highlight w:val="none"/>
              </w:rPr>
              <w:t>2</w:t>
            </w:r>
            <w:r>
              <w:rPr>
                <w:rFonts w:ascii="宋体" w:hAnsi="宋体"/>
                <w:color w:val="auto"/>
                <w:szCs w:val="21"/>
                <w:highlight w:val="none"/>
              </w:rPr>
              <w:t>9.2</w:t>
            </w:r>
          </w:p>
        </w:tc>
        <w:tc>
          <w:tcPr>
            <w:tcW w:w="8670" w:type="dxa"/>
            <w:tcBorders>
              <w:top w:val="single" w:color="auto" w:sz="4" w:space="0"/>
              <w:left w:val="single" w:color="auto" w:sz="4" w:space="0"/>
              <w:right w:val="single" w:color="auto" w:sz="4" w:space="0"/>
            </w:tcBorders>
            <w:noWrap w:val="0"/>
            <w:vAlign w:val="center"/>
          </w:tcPr>
          <w:p w14:paraId="44DB3B0E">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w:t>
            </w:r>
            <w:r>
              <w:rPr>
                <w:rFonts w:hint="eastAsia" w:ascii="宋体" w:hAnsi="宋体"/>
                <w:color w:val="auto"/>
                <w:szCs w:val="21"/>
                <w:highlight w:val="none"/>
              </w:rPr>
              <w:t>项。</w:t>
            </w:r>
          </w:p>
          <w:p w14:paraId="0DB178D4">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项</w:t>
            </w:r>
            <w:r>
              <w:rPr>
                <w:rFonts w:hint="eastAsia" w:ascii="宋体" w:hAnsi="宋体"/>
                <w:color w:val="auto"/>
                <w:szCs w:val="21"/>
                <w:highlight w:val="none"/>
              </w:rPr>
              <w:t>。</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非标</w:t>
            </w:r>
            <w:r>
              <w:rPr>
                <w:rFonts w:hint="eastAsia" w:ascii="宋体" w:hAnsi="宋体" w:cs="宋体"/>
                <w:b/>
                <w:bCs/>
                <w:color w:val="auto"/>
                <w:szCs w:val="21"/>
                <w:highlight w:val="none"/>
              </w:rPr>
              <w:t>“▲”的</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条款</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负偏离6项或以上按无效投标处理</w:t>
            </w:r>
            <w:r>
              <w:rPr>
                <w:rFonts w:hint="eastAsia" w:ascii="宋体" w:hAnsi="宋体"/>
                <w:b/>
                <w:bCs/>
                <w:color w:val="auto"/>
                <w:szCs w:val="21"/>
                <w:highlight w:val="none"/>
                <w:lang w:eastAsia="zh-CN"/>
              </w:rPr>
              <w:t>）</w:t>
            </w:r>
          </w:p>
        </w:tc>
      </w:tr>
      <w:tr w14:paraId="2D061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3C3E1BC7">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670" w:type="dxa"/>
            <w:tcBorders>
              <w:top w:val="single" w:color="auto" w:sz="4" w:space="0"/>
              <w:left w:val="single" w:color="auto" w:sz="4" w:space="0"/>
              <w:right w:val="single" w:color="auto" w:sz="4" w:space="0"/>
            </w:tcBorders>
            <w:noWrap w:val="0"/>
            <w:vAlign w:val="center"/>
          </w:tcPr>
          <w:p w14:paraId="79C1634E">
            <w:pPr>
              <w:snapToGrid w:val="0"/>
              <w:spacing w:line="360" w:lineRule="auto"/>
              <w:rPr>
                <w:rFonts w:hAnsi="宋体"/>
                <w:color w:val="auto"/>
                <w:highlight w:val="none"/>
              </w:rPr>
            </w:pPr>
            <w:r>
              <w:rPr>
                <w:rFonts w:hAnsi="宋体"/>
                <w:color w:val="auto"/>
                <w:highlight w:val="none"/>
              </w:rPr>
              <w:t>中标候选人推荐数量</w:t>
            </w:r>
            <w:r>
              <w:rPr>
                <w:rFonts w:hint="eastAsia" w:hAnsi="宋体"/>
                <w:color w:val="auto"/>
                <w:highlight w:val="none"/>
              </w:rPr>
              <w:t>：</w:t>
            </w:r>
          </w:p>
          <w:p w14:paraId="29F8BC26">
            <w:pPr>
              <w:snapToGrid w:val="0"/>
              <w:spacing w:line="360" w:lineRule="auto"/>
              <w:rPr>
                <w:rFonts w:hAnsi="宋体"/>
                <w:color w:val="auto"/>
                <w:highlight w:val="none"/>
              </w:rPr>
            </w:pPr>
            <w:r>
              <w:rPr>
                <w:rFonts w:hint="eastAsia" w:ascii="宋体" w:hAnsi="宋体"/>
                <w:color w:val="auto"/>
                <w:szCs w:val="21"/>
                <w:highlight w:val="none"/>
              </w:rPr>
              <w:t>☑</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 xml:space="preserve"> </w:t>
            </w:r>
            <w:r>
              <w:rPr>
                <w:rFonts w:hAnsi="宋体"/>
                <w:color w:val="auto"/>
                <w:highlight w:val="none"/>
              </w:rPr>
              <w:t>名</w:t>
            </w:r>
          </w:p>
          <w:p w14:paraId="36266443">
            <w:pPr>
              <w:snapToGrid w:val="0"/>
              <w:spacing w:line="360" w:lineRule="auto"/>
              <w:rPr>
                <w:rFonts w:hint="eastAsia" w:ascii="宋体" w:hAnsi="宋体" w:cs="宋体"/>
                <w:color w:val="auto"/>
                <w:szCs w:val="21"/>
                <w:highlight w:val="none"/>
                <w:u w:val="single"/>
              </w:rPr>
            </w:pPr>
            <w:r>
              <w:rPr>
                <w:rFonts w:hint="eastAsia" w:ascii="宋体" w:hAnsi="宋体"/>
                <w:color w:val="auto"/>
                <w:szCs w:val="21"/>
                <w:highlight w:val="none"/>
              </w:rPr>
              <w:t>□</w:t>
            </w:r>
            <w:r>
              <w:rPr>
                <w:rFonts w:hint="eastAsia" w:hAnsi="宋体"/>
                <w:color w:val="auto"/>
                <w:highlight w:val="none"/>
              </w:rPr>
              <w:t>根据[总得分由高到低（综合评分法）/评标报价从低到高（最低评标价法）</w:t>
            </w:r>
            <w:r>
              <w:rPr>
                <w:rFonts w:hAnsi="宋体"/>
                <w:color w:val="auto"/>
                <w:highlight w:val="none"/>
              </w:rPr>
              <w:t>]</w:t>
            </w:r>
            <w:r>
              <w:rPr>
                <w:rFonts w:hint="eastAsia" w:hAnsi="宋体"/>
                <w:color w:val="auto"/>
                <w:highlight w:val="none"/>
              </w:rPr>
              <w:t>排列次序并全部推荐为中标候选人</w:t>
            </w:r>
          </w:p>
        </w:tc>
      </w:tr>
      <w:tr w14:paraId="0B48C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6B646D9">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F53E0A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采购人确定中标人时，出现中标候选人并列的情形，采购人按以下的方式确定中标人：</w:t>
            </w:r>
          </w:p>
          <w:p w14:paraId="2BFD118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☑依次按投标报价低的优先、政策分得分高的优先、技术评分高的优先、商务评分高的优先、质保期长优先、交货期短优先、故障响应时间短优先的顺序确定；</w:t>
            </w:r>
          </w:p>
          <w:p w14:paraId="3C31A1D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5D88C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3E02EEDC">
            <w:pPr>
              <w:spacing w:line="360" w:lineRule="auto"/>
              <w:jc w:val="center"/>
              <w:rPr>
                <w:rFonts w:hint="eastAsia" w:ascii="宋体" w:hAnsi="宋体"/>
                <w:color w:val="auto"/>
                <w:szCs w:val="21"/>
                <w:highlight w:val="none"/>
              </w:rPr>
            </w:pPr>
            <w:bookmarkStart w:id="88" w:name="_39.1"/>
            <w:bookmarkEnd w:id="88"/>
            <w:r>
              <w:rPr>
                <w:rFonts w:hint="eastAsia" w:ascii="宋体" w:hAnsi="宋体"/>
                <w:color w:val="auto"/>
                <w:szCs w:val="21"/>
                <w:highlight w:val="none"/>
              </w:rPr>
              <w:t>35</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5B41D40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不收取履约保证金。</w:t>
            </w:r>
          </w:p>
          <w:p w14:paraId="5833EC74">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收取履约保证金</w:t>
            </w:r>
            <w:r>
              <w:rPr>
                <w:rFonts w:hint="eastAsia" w:ascii="宋体" w:hAnsi="宋体"/>
                <w:color w:val="auto"/>
                <w:szCs w:val="21"/>
                <w:highlight w:val="none"/>
                <w:lang w:val="en-US" w:eastAsia="zh-CN"/>
              </w:rPr>
              <w:t>，收取履约保证金的</w:t>
            </w:r>
            <w:r>
              <w:rPr>
                <w:rFonts w:hint="eastAsia" w:ascii="宋体" w:hAnsi="宋体"/>
                <w:color w:val="auto"/>
                <w:szCs w:val="21"/>
                <w:highlight w:val="none"/>
              </w:rPr>
              <w:t>具体规定如下：</w:t>
            </w:r>
          </w:p>
          <w:p w14:paraId="46141643">
            <w:pPr>
              <w:pStyle w:val="15"/>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履约保证金金额：</w:t>
            </w:r>
            <w:r>
              <w:rPr>
                <w:rFonts w:hint="eastAsia" w:ascii="宋体" w:hAnsi="宋体"/>
                <w:color w:val="auto"/>
                <w:szCs w:val="21"/>
                <w:highlight w:val="none"/>
                <w:lang w:val="en-US" w:eastAsia="zh-CN"/>
              </w:rPr>
              <w:t>0</w:t>
            </w:r>
            <w:r>
              <w:rPr>
                <w:rFonts w:hint="eastAsia" w:ascii="宋体" w:hAnsi="宋体"/>
                <w:color w:val="auto"/>
                <w:szCs w:val="21"/>
                <w:highlight w:val="none"/>
              </w:rPr>
              <w:t>。</w:t>
            </w:r>
          </w:p>
          <w:p w14:paraId="16D6FC0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履约保证金递交方式：银行转账、支票、汇票、本票或者银行、保险机构出具的保函等非现金方式（参照投标保证金）</w:t>
            </w:r>
          </w:p>
          <w:p w14:paraId="3E6ACD16">
            <w:pPr>
              <w:autoSpaceDE w:val="0"/>
              <w:autoSpaceDN w:val="0"/>
              <w:snapToGrid w:val="0"/>
              <w:spacing w:line="360" w:lineRule="auto"/>
              <w:textAlignment w:val="bottom"/>
              <w:rPr>
                <w:rFonts w:hint="eastAsia" w:ascii="宋体" w:hAnsi="宋体"/>
                <w:color w:val="auto"/>
                <w:szCs w:val="21"/>
                <w:highlight w:val="none"/>
              </w:rPr>
            </w:pPr>
            <w:r>
              <w:rPr>
                <w:rFonts w:ascii="宋体" w:hAnsi="宋体"/>
                <w:color w:val="auto"/>
                <w:szCs w:val="21"/>
                <w:highlight w:val="none"/>
              </w:rPr>
              <w:t>履约保证金缴纳期限</w:t>
            </w:r>
            <w:r>
              <w:rPr>
                <w:rFonts w:hint="eastAsia" w:ascii="宋体" w:hAnsi="宋体"/>
                <w:color w:val="auto"/>
                <w:szCs w:val="21"/>
                <w:highlight w:val="none"/>
              </w:rPr>
              <w:t>:</w:t>
            </w:r>
            <w:r>
              <w:rPr>
                <w:rFonts w:hint="eastAsia"/>
                <w:color w:val="auto"/>
                <w:highlight w:val="none"/>
              </w:rPr>
              <w:t xml:space="preserve"> </w:t>
            </w:r>
            <w:r>
              <w:rPr>
                <w:rFonts w:hint="eastAsia" w:ascii="宋体" w:hAnsi="宋体"/>
                <w:color w:val="auto"/>
                <w:szCs w:val="21"/>
                <w:highlight w:val="none"/>
                <w:u w:val="single"/>
              </w:rPr>
              <w:t>自中标通知书发出之日起</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日内</w:t>
            </w:r>
            <w:r>
              <w:rPr>
                <w:rFonts w:hint="eastAsia" w:ascii="宋体" w:hAnsi="宋体"/>
                <w:color w:val="auto"/>
                <w:szCs w:val="21"/>
                <w:highlight w:val="none"/>
              </w:rPr>
              <w:t>。</w:t>
            </w:r>
          </w:p>
          <w:p w14:paraId="37E314A4">
            <w:pPr>
              <w:autoSpaceDE w:val="0"/>
              <w:autoSpaceDN w:val="0"/>
              <w:snapToGrid w:val="0"/>
              <w:spacing w:line="360" w:lineRule="auto"/>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由</w:t>
            </w:r>
            <w:r>
              <w:rPr>
                <w:rFonts w:hint="eastAsia" w:ascii="宋体" w:hAnsi="宋体"/>
                <w:color w:val="auto"/>
                <w:szCs w:val="21"/>
                <w:highlight w:val="none"/>
                <w:u w:val="single"/>
                <w:lang w:val="en-US" w:eastAsia="zh-CN"/>
              </w:rPr>
              <w:t>中标人</w:t>
            </w:r>
            <w:r>
              <w:rPr>
                <w:rFonts w:hint="eastAsia" w:ascii="宋体" w:hAnsi="宋体"/>
                <w:color w:val="auto"/>
                <w:szCs w:val="21"/>
                <w:highlight w:val="none"/>
                <w:u w:val="single"/>
              </w:rPr>
              <w:t>向</w:t>
            </w:r>
            <w:r>
              <w:rPr>
                <w:rFonts w:hint="eastAsia" w:ascii="宋体" w:hAnsi="宋体"/>
                <w:color w:val="auto"/>
                <w:szCs w:val="21"/>
                <w:highlight w:val="none"/>
                <w:u w:val="single"/>
                <w:lang w:val="en-US" w:eastAsia="zh-CN"/>
              </w:rPr>
              <w:t>采购人</w:t>
            </w:r>
            <w:r>
              <w:rPr>
                <w:rFonts w:hint="eastAsia" w:ascii="宋体" w:hAnsi="宋体"/>
                <w:color w:val="auto"/>
                <w:szCs w:val="21"/>
                <w:highlight w:val="none"/>
                <w:u w:val="single"/>
              </w:rPr>
              <w:t>提供《广西壮族自治区政府采购项目合同验收书》（详见桂财采〔2015〕22号），保证金收取单位在收到合格材料后5个工作日内办理退还手续（不计利息）。</w:t>
            </w:r>
          </w:p>
          <w:p w14:paraId="7D4CA37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5963F97E">
            <w:pPr>
              <w:spacing w:line="360" w:lineRule="auto"/>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rPr>
              <w:t>开户银行</w:t>
            </w:r>
            <w:r>
              <w:rPr>
                <w:rFonts w:hint="eastAsia" w:ascii="宋体" w:hAnsi="宋体" w:cs="Courier New"/>
                <w:color w:val="auto"/>
                <w:szCs w:val="21"/>
                <w:highlight w:val="none"/>
                <w:lang w:eastAsia="zh-CN"/>
              </w:rPr>
              <w:t>：</w:t>
            </w:r>
          </w:p>
          <w:p w14:paraId="51199F9B">
            <w:pPr>
              <w:spacing w:line="360" w:lineRule="auto"/>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rPr>
              <w:t>开户名称：</w:t>
            </w:r>
          </w:p>
          <w:p w14:paraId="7D29F28A">
            <w:pPr>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银行账号：</w:t>
            </w:r>
          </w:p>
          <w:p w14:paraId="7021788B">
            <w:pPr>
              <w:spacing w:line="360" w:lineRule="auto"/>
              <w:jc w:val="left"/>
              <w:rPr>
                <w:rFonts w:ascii="宋体" w:hAnsi="宋体" w:cs="Courier New"/>
                <w:color w:val="auto"/>
                <w:szCs w:val="21"/>
                <w:highlight w:val="none"/>
              </w:rPr>
            </w:pPr>
            <w:r>
              <w:rPr>
                <w:rFonts w:ascii="宋体" w:hAnsi="宋体" w:cs="Courier New"/>
                <w:color w:val="auto"/>
                <w:szCs w:val="21"/>
                <w:highlight w:val="none"/>
              </w:rPr>
              <w:t>备注：</w:t>
            </w:r>
          </w:p>
          <w:p w14:paraId="5F036471">
            <w:pPr>
              <w:spacing w:line="360" w:lineRule="auto"/>
              <w:jc w:val="left"/>
              <w:rPr>
                <w:rFonts w:hint="eastAsia" w:ascii="宋体" w:hAnsi="宋体"/>
                <w:b/>
                <w:color w:val="auto"/>
                <w:szCs w:val="21"/>
                <w:highlight w:val="none"/>
              </w:rPr>
            </w:pPr>
            <w:bookmarkStart w:id="89" w:name="_Hlk54170335"/>
            <w:r>
              <w:rPr>
                <w:rFonts w:hint="eastAsia" w:ascii="宋体" w:hAnsi="宋体"/>
                <w:b/>
                <w:color w:val="auto"/>
                <w:szCs w:val="21"/>
                <w:highlight w:val="none"/>
              </w:rPr>
              <w:t>1.根据</w:t>
            </w:r>
            <w:bookmarkEnd w:id="89"/>
            <w:r>
              <w:rPr>
                <w:rFonts w:hint="eastAsia" w:ascii="宋体" w:hAnsi="宋体"/>
                <w:b/>
                <w:color w:val="auto"/>
                <w:szCs w:val="21"/>
                <w:highlight w:val="none"/>
              </w:rPr>
              <w:t>《广西壮族自治区财政厅关于持续优化政府采购营商环境推动高质量发展的通知》（桂财采（2024）55号）规定，履约保证金数额不得超过政府采购合同金额的5%，对中小企业收取的履约保证金数额不得超过政府采购合同金额的2%。预算单位（采购人）可根据供应商的资信等情况减免履约保证金。</w:t>
            </w:r>
          </w:p>
          <w:p w14:paraId="3D990148">
            <w:pPr>
              <w:spacing w:line="360" w:lineRule="auto"/>
              <w:jc w:val="left"/>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8B12446">
            <w:pPr>
              <w:spacing w:line="360" w:lineRule="auto"/>
              <w:jc w:val="left"/>
              <w:rPr>
                <w:rFonts w:hint="eastAsia" w:ascii="宋体" w:hAnsi="宋体"/>
                <w:b/>
                <w:color w:val="auto"/>
                <w:szCs w:val="21"/>
                <w:highlight w:val="none"/>
              </w:rPr>
            </w:pPr>
            <w:r>
              <w:rPr>
                <w:rFonts w:ascii="宋体" w:hAnsi="宋体"/>
                <w:b/>
                <w:color w:val="auto"/>
                <w:szCs w:val="21"/>
                <w:highlight w:val="none"/>
              </w:rPr>
              <w:t>3.采用银行、保险机构出具的保函的，必须为无条件保函，否则不予签订合同。</w:t>
            </w:r>
          </w:p>
          <w:p w14:paraId="2F9540ED">
            <w:pPr>
              <w:spacing w:line="360" w:lineRule="auto"/>
              <w:jc w:val="left"/>
              <w:rPr>
                <w:rFonts w:hint="eastAsia"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6A83F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6E264DD">
            <w:pPr>
              <w:spacing w:line="360" w:lineRule="auto"/>
              <w:jc w:val="center"/>
              <w:rPr>
                <w:rFonts w:hint="eastAsia" w:ascii="宋体" w:hAnsi="宋体"/>
                <w:color w:val="auto"/>
                <w:szCs w:val="21"/>
                <w:highlight w:val="none"/>
              </w:rPr>
            </w:pPr>
            <w:bookmarkStart w:id="90" w:name="_40.1"/>
            <w:bookmarkEnd w:id="90"/>
            <w:r>
              <w:rPr>
                <w:rFonts w:hint="eastAsia" w:ascii="宋体" w:hAnsi="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591BC2E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40871F4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7A1E086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0D209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C711743">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9DBD31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4CD2D71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质疑联系部门及联系方式：云之龙咨询集团有限公司，联系电话：0774-3859935，通讯地址：（梧州市新兴三路30号神冠豪都B栋1单元1008号房）</w:t>
            </w:r>
          </w:p>
          <w:p w14:paraId="779D599C">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2678B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719CB18">
            <w:pPr>
              <w:spacing w:line="360" w:lineRule="auto"/>
              <w:jc w:val="center"/>
              <w:rPr>
                <w:rFonts w:hint="eastAsia" w:ascii="宋体" w:hAnsi="宋体"/>
                <w:color w:val="auto"/>
                <w:szCs w:val="21"/>
                <w:highlight w:val="none"/>
              </w:rPr>
            </w:pPr>
            <w:bookmarkStart w:id="91" w:name="_42"/>
            <w:bookmarkEnd w:id="91"/>
            <w:bookmarkStart w:id="92" w:name="_41"/>
            <w:bookmarkEnd w:id="92"/>
            <w:bookmarkStart w:id="93" w:name="_Hlt17709148"/>
            <w:r>
              <w:rPr>
                <w:rFonts w:hint="eastAsia" w:ascii="宋体" w:hAnsi="宋体"/>
                <w:color w:val="auto"/>
                <w:szCs w:val="21"/>
                <w:highlight w:val="none"/>
              </w:rPr>
              <w:t>3</w:t>
            </w:r>
            <w:bookmarkEnd w:id="93"/>
            <w:r>
              <w:rPr>
                <w:rFonts w:ascii="宋体" w:hAnsi="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0508D717">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76C5C2AC">
            <w:pPr>
              <w:pStyle w:val="24"/>
              <w:snapToGrid w:val="0"/>
              <w:spacing w:line="360" w:lineRule="auto"/>
              <w:rPr>
                <w:rFonts w:hint="eastAsia" w:hAnsi="宋体" w:cs="宋体"/>
                <w:color w:val="auto"/>
                <w:sz w:val="21"/>
                <w:highlight w:val="none"/>
              </w:rPr>
            </w:pPr>
            <w:r>
              <w:rPr>
                <w:rFonts w:hint="eastAsia" w:hAnsi="宋体"/>
                <w:color w:val="auto"/>
                <w:highlight w:val="none"/>
              </w:rPr>
              <w:t xml:space="preserve">☑ </w:t>
            </w:r>
            <w:r>
              <w:rPr>
                <w:rFonts w:hint="eastAsia" w:hAnsi="宋体" w:cs="宋体"/>
                <w:color w:val="auto"/>
                <w:sz w:val="21"/>
                <w:highlight w:val="none"/>
                <w:shd w:val="clear" w:color="auto" w:fill="auto"/>
              </w:rPr>
              <w:t>本项目代理服务费在发布中标结果公告后5日内，由中标供应商一次性向采购代理机构支付</w:t>
            </w:r>
            <w:r>
              <w:rPr>
                <w:rFonts w:hint="eastAsia" w:hAnsi="宋体" w:cs="宋体"/>
                <w:color w:val="auto"/>
                <w:sz w:val="21"/>
                <w:highlight w:val="none"/>
              </w:rPr>
              <w:t>。</w:t>
            </w:r>
          </w:p>
          <w:p w14:paraId="3D706E8A">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755AEB87">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1E3CD8E5">
            <w:pPr>
              <w:pStyle w:val="24"/>
              <w:snapToGrid w:val="0"/>
              <w:spacing w:line="360" w:lineRule="auto"/>
              <w:rPr>
                <w:rFonts w:hint="eastAsia" w:hAnsi="宋体" w:cs="宋体"/>
                <w:color w:val="auto"/>
                <w:sz w:val="21"/>
                <w:highlight w:val="none"/>
              </w:rPr>
            </w:pPr>
            <w:r>
              <w:rPr>
                <w:rFonts w:hint="eastAsia" w:hAnsi="宋体"/>
                <w:color w:val="auto"/>
                <w:highlight w:val="none"/>
                <w:lang w:eastAsia="zh-CN"/>
              </w:rPr>
              <w:t>☑</w:t>
            </w:r>
            <w:r>
              <w:rPr>
                <w:rFonts w:hint="eastAsia" w:hAnsi="宋体" w:cs="宋体"/>
                <w:color w:val="auto"/>
                <w:sz w:val="21"/>
                <w:highlight w:val="none"/>
              </w:rPr>
              <w:t>以分标中标金额为计费额，按本须知正文第</w:t>
            </w:r>
            <w:r>
              <w:rPr>
                <w:rFonts w:hAnsi="宋体" w:cs="宋体"/>
                <w:color w:val="auto"/>
                <w:sz w:val="21"/>
                <w:highlight w:val="none"/>
              </w:rPr>
              <w:t>39</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条规定的收费计算标准货物招标采用差额定率累进法计算出收费基准价格，采购代理收费以收费基准价格收取。</w:t>
            </w:r>
          </w:p>
          <w:p w14:paraId="3CB2F37D">
            <w:pPr>
              <w:pStyle w:val="24"/>
              <w:snapToGrid w:val="0"/>
              <w:spacing w:line="360" w:lineRule="auto"/>
              <w:rPr>
                <w:rFonts w:hAnsi="宋体" w:cs="宋体"/>
                <w:color w:val="auto"/>
                <w:sz w:val="21"/>
                <w:highlight w:val="none"/>
                <w:u w:val="single"/>
              </w:rPr>
            </w:pPr>
            <w:r>
              <w:rPr>
                <w:rFonts w:hint="eastAsia" w:hAnsi="宋体" w:cs="宋体"/>
                <w:color w:val="auto"/>
                <w:sz w:val="21"/>
                <w:highlight w:val="none"/>
                <w:lang w:eastAsia="zh-CN"/>
              </w:rPr>
              <w:t>□</w:t>
            </w:r>
            <w:r>
              <w:rPr>
                <w:rFonts w:hint="eastAsia" w:hAnsi="宋体" w:cs="宋体"/>
                <w:color w:val="auto"/>
                <w:sz w:val="21"/>
                <w:highlight w:val="none"/>
              </w:rPr>
              <w:t>固定采购代理收费</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w:t>
            </w:r>
          </w:p>
          <w:p w14:paraId="5D045BEB">
            <w:pPr>
              <w:pStyle w:val="24"/>
              <w:snapToGrid w:val="0"/>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0DCBCF86">
            <w:pPr>
              <w:pStyle w:val="24"/>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户名：云之龙咨询集团有限公司梧州分公司</w:t>
            </w:r>
          </w:p>
          <w:p w14:paraId="2FDAD174">
            <w:pPr>
              <w:pStyle w:val="24"/>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账号：8113001014500158361</w:t>
            </w:r>
          </w:p>
          <w:p w14:paraId="21176DC1">
            <w:pPr>
              <w:pStyle w:val="24"/>
              <w:snapToGrid w:val="0"/>
              <w:spacing w:line="360" w:lineRule="auto"/>
              <w:rPr>
                <w:rFonts w:hint="eastAsia" w:hAnsi="宋体" w:cs="宋体"/>
                <w:color w:val="auto"/>
                <w:sz w:val="21"/>
                <w:highlight w:val="none"/>
              </w:rPr>
            </w:pPr>
            <w:r>
              <w:rPr>
                <w:rFonts w:hint="eastAsia" w:hAnsi="宋体" w:cs="宋体"/>
                <w:color w:val="auto"/>
                <w:sz w:val="21"/>
                <w:highlight w:val="none"/>
                <w:lang w:val="en-US" w:eastAsia="zh-CN"/>
              </w:rPr>
              <w:t>开户行：中信银行南宁东葛支行</w:t>
            </w:r>
          </w:p>
        </w:tc>
      </w:tr>
      <w:tr w14:paraId="21CC4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763584F">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358A56E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09DFE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1AA9D5E">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3ACB088">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2DE5209">
            <w:pPr>
              <w:pStyle w:val="24"/>
              <w:snapToGrid w:val="0"/>
              <w:spacing w:line="360" w:lineRule="auto"/>
              <w:rPr>
                <w:rFonts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7BBBFBED">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F2D13A3">
            <w:pPr>
              <w:pStyle w:val="24"/>
              <w:snapToGrid w:val="0"/>
              <w:spacing w:line="360" w:lineRule="auto"/>
              <w:rPr>
                <w:rFonts w:hint="eastAsia"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7044DCB4">
            <w:pPr>
              <w:pStyle w:val="24"/>
              <w:snapToGrid w:val="0"/>
              <w:spacing w:line="360" w:lineRule="auto"/>
              <w:rPr>
                <w:rFonts w:hint="eastAsia"/>
                <w:color w:val="auto"/>
                <w:sz w:val="21"/>
                <w:highlight w:val="none"/>
              </w:rPr>
            </w:pPr>
            <w:r>
              <w:rPr>
                <w:rFonts w:hint="eastAsia" w:hAnsi="宋体" w:cs="宋体"/>
                <w:bCs/>
                <w:color w:val="auto"/>
                <w:sz w:val="21"/>
                <w:highlight w:val="none"/>
              </w:rPr>
              <w:t>5.本招标文件所称的“以上”“以下”“以内”“届满”，包括本数；所称的“不满”“超过”“以外”，不包括本数。</w:t>
            </w:r>
          </w:p>
        </w:tc>
      </w:tr>
    </w:tbl>
    <w:p w14:paraId="7AAD2F71">
      <w:pPr>
        <w:snapToGrid w:val="0"/>
        <w:rPr>
          <w:rFonts w:hint="eastAsia" w:ascii="宋体" w:hAnsi="宋体"/>
          <w:color w:val="auto"/>
          <w:sz w:val="24"/>
          <w:szCs w:val="20"/>
          <w:highlight w:val="none"/>
        </w:rPr>
      </w:pPr>
    </w:p>
    <w:p w14:paraId="08A8F591">
      <w:pPr>
        <w:snapToGrid w:val="0"/>
        <w:rPr>
          <w:rFonts w:hint="eastAsia" w:ascii="宋体" w:hAnsi="宋体"/>
          <w:color w:val="auto"/>
          <w:sz w:val="24"/>
          <w:szCs w:val="20"/>
          <w:highlight w:val="none"/>
        </w:rPr>
      </w:pPr>
    </w:p>
    <w:p w14:paraId="49F600C0">
      <w:pPr>
        <w:pStyle w:val="4"/>
        <w:keepNext w:val="0"/>
        <w:keepLines w:val="0"/>
        <w:jc w:val="center"/>
        <w:rPr>
          <w:rFonts w:hint="eastAsia"/>
          <w:color w:val="auto"/>
          <w:highlight w:val="none"/>
        </w:rPr>
      </w:pPr>
      <w:r>
        <w:rPr>
          <w:color w:val="auto"/>
          <w:highlight w:val="none"/>
        </w:rPr>
        <w:br w:type="page"/>
      </w:r>
      <w:r>
        <w:rPr>
          <w:rFonts w:hint="eastAsia"/>
          <w:color w:val="auto"/>
          <w:highlight w:val="none"/>
        </w:rPr>
        <w:t>投标人须知正文</w:t>
      </w:r>
    </w:p>
    <w:p w14:paraId="1618330A">
      <w:pPr>
        <w:pStyle w:val="4"/>
        <w:keepNext w:val="0"/>
        <w:keepLines w:val="0"/>
        <w:jc w:val="center"/>
        <w:rPr>
          <w:rFonts w:hint="eastAsia"/>
          <w:color w:val="auto"/>
          <w:highlight w:val="none"/>
        </w:rPr>
      </w:pPr>
      <w:r>
        <w:rPr>
          <w:rFonts w:hint="eastAsia"/>
          <w:color w:val="auto"/>
          <w:highlight w:val="none"/>
        </w:rPr>
        <w:t>一、总  则</w:t>
      </w:r>
    </w:p>
    <w:p w14:paraId="7486651D">
      <w:pPr>
        <w:pStyle w:val="5"/>
        <w:keepNext w:val="0"/>
        <w:keepLines w:val="0"/>
        <w:spacing w:before="0" w:after="0" w:line="360" w:lineRule="auto"/>
        <w:ind w:left="420" w:leftChars="200"/>
        <w:rPr>
          <w:rFonts w:hint="eastAsia" w:ascii="黑体" w:hAnsi="黑体" w:eastAsia="黑体"/>
          <w:color w:val="auto"/>
          <w:sz w:val="24"/>
          <w:highlight w:val="none"/>
        </w:rPr>
      </w:pPr>
      <w:bookmarkStart w:id="94" w:name="_Toc254970668"/>
      <w:bookmarkStart w:id="95" w:name="_Toc254970527"/>
      <w:r>
        <w:rPr>
          <w:rFonts w:hint="eastAsia" w:ascii="黑体" w:hAnsi="黑体" w:eastAsia="黑体"/>
          <w:color w:val="auto"/>
          <w:sz w:val="24"/>
          <w:highlight w:val="none"/>
        </w:rPr>
        <w:t>1.适用范围</w:t>
      </w:r>
      <w:bookmarkEnd w:id="94"/>
      <w:bookmarkEnd w:id="95"/>
    </w:p>
    <w:p w14:paraId="288BA1A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616EE53">
      <w:pPr>
        <w:snapToGrid w:val="0"/>
        <w:spacing w:line="360" w:lineRule="auto"/>
        <w:ind w:firstLine="420" w:firstLineChars="200"/>
        <w:jc w:val="left"/>
        <w:rPr>
          <w:rFonts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1CF063B">
      <w:pPr>
        <w:pStyle w:val="5"/>
        <w:keepNext w:val="0"/>
        <w:keepLines w:val="0"/>
        <w:spacing w:before="0" w:after="0" w:line="360" w:lineRule="auto"/>
        <w:ind w:left="420" w:leftChars="200"/>
        <w:rPr>
          <w:rFonts w:hint="eastAsia" w:ascii="黑体" w:hAnsi="黑体" w:eastAsia="黑体"/>
          <w:color w:val="auto"/>
          <w:sz w:val="24"/>
          <w:highlight w:val="none"/>
        </w:rPr>
      </w:pPr>
      <w:bookmarkStart w:id="96" w:name="_Toc254970528"/>
      <w:bookmarkStart w:id="97" w:name="_Toc254970669"/>
      <w:r>
        <w:rPr>
          <w:rFonts w:hint="eastAsia" w:ascii="黑体" w:hAnsi="黑体" w:eastAsia="黑体"/>
          <w:color w:val="auto"/>
          <w:sz w:val="24"/>
          <w:highlight w:val="none"/>
        </w:rPr>
        <w:t>2.定义</w:t>
      </w:r>
      <w:bookmarkEnd w:id="96"/>
      <w:bookmarkEnd w:id="97"/>
    </w:p>
    <w:p w14:paraId="15B529CC">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5089C8F2">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51960625">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6075D250">
      <w:pPr>
        <w:pStyle w:val="6"/>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45BA9992">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1FEF7FDE">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7ED5F575">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5AF2AD8B">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7A655FAE">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350C3FEF">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1D1B56F">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98" w:name="_Toc254970529"/>
      <w:bookmarkStart w:id="99" w:name="_Toc254970670"/>
    </w:p>
    <w:p w14:paraId="0260C6F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98"/>
      <w:bookmarkEnd w:id="99"/>
      <w:r>
        <w:rPr>
          <w:rFonts w:hint="eastAsia" w:ascii="黑体" w:hAnsi="黑体" w:eastAsia="黑体"/>
          <w:color w:val="auto"/>
          <w:sz w:val="24"/>
          <w:highlight w:val="none"/>
        </w:rPr>
        <w:t>投标人的资格要求</w:t>
      </w:r>
    </w:p>
    <w:p w14:paraId="5A5FBA0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46CAEE26">
      <w:pPr>
        <w:pStyle w:val="5"/>
        <w:keepNext w:val="0"/>
        <w:keepLines w:val="0"/>
        <w:spacing w:before="0" w:after="0" w:line="360" w:lineRule="auto"/>
        <w:ind w:left="420" w:leftChars="200"/>
        <w:rPr>
          <w:rFonts w:hint="eastAsia" w:ascii="黑体" w:hAnsi="黑体" w:eastAsia="黑体"/>
          <w:color w:val="auto"/>
          <w:sz w:val="24"/>
          <w:highlight w:val="none"/>
        </w:rPr>
      </w:pPr>
      <w:bookmarkStart w:id="100" w:name="_Toc254970530"/>
      <w:bookmarkStart w:id="101" w:name="_Toc254970671"/>
      <w:r>
        <w:rPr>
          <w:rFonts w:hint="eastAsia" w:ascii="黑体" w:hAnsi="黑体" w:eastAsia="黑体"/>
          <w:color w:val="auto"/>
          <w:sz w:val="24"/>
          <w:highlight w:val="none"/>
        </w:rPr>
        <w:t>4.投标委托</w:t>
      </w:r>
      <w:bookmarkEnd w:id="100"/>
      <w:bookmarkEnd w:id="101"/>
    </w:p>
    <w:p w14:paraId="495896B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2D006592">
      <w:pPr>
        <w:pStyle w:val="5"/>
        <w:keepNext w:val="0"/>
        <w:keepLines w:val="0"/>
        <w:spacing w:before="0" w:after="0" w:line="360" w:lineRule="auto"/>
        <w:ind w:left="420" w:leftChars="200"/>
        <w:rPr>
          <w:rFonts w:hint="eastAsia" w:ascii="黑体" w:hAnsi="黑体" w:eastAsia="黑体"/>
          <w:color w:val="auto"/>
          <w:sz w:val="24"/>
          <w:highlight w:val="none"/>
        </w:rPr>
      </w:pPr>
      <w:bookmarkStart w:id="102" w:name="_5.投标费用"/>
      <w:bookmarkEnd w:id="102"/>
      <w:bookmarkStart w:id="103" w:name="_Toc254970531"/>
      <w:bookmarkStart w:id="104" w:name="_Toc254970672"/>
      <w:r>
        <w:rPr>
          <w:rFonts w:hint="eastAsia" w:ascii="黑体" w:hAnsi="黑体" w:eastAsia="黑体"/>
          <w:color w:val="auto"/>
          <w:sz w:val="24"/>
          <w:highlight w:val="none"/>
        </w:rPr>
        <w:t>5.投标费用</w:t>
      </w:r>
      <w:bookmarkEnd w:id="103"/>
      <w:bookmarkEnd w:id="104"/>
    </w:p>
    <w:p w14:paraId="38B766AE">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7E3D8DDE">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467770E0">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21F73FA4">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5987A82E">
      <w:pPr>
        <w:pStyle w:val="5"/>
        <w:keepNext w:val="0"/>
        <w:keepLines w:val="0"/>
        <w:spacing w:before="0" w:after="0" w:line="360" w:lineRule="auto"/>
        <w:ind w:firstLine="424" w:firstLineChars="202"/>
        <w:rPr>
          <w:rFonts w:hint="eastAsia" w:ascii="黑体" w:hAnsi="黑体" w:eastAsia="黑体"/>
          <w:color w:val="auto"/>
          <w:sz w:val="24"/>
          <w:highlight w:val="none"/>
        </w:rPr>
      </w:pPr>
      <w:r>
        <w:rPr>
          <w:rFonts w:hint="eastAsia" w:ascii="宋体" w:hAnsi="宋体"/>
          <w:b w:val="0"/>
          <w:bCs/>
          <w:color w:val="auto"/>
          <w:sz w:val="21"/>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459E6B2">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94AEBF0">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73449AEB">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7C57743">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48FA5194">
      <w:pPr>
        <w:pStyle w:val="5"/>
        <w:keepNext w:val="0"/>
        <w:keepLines w:val="0"/>
        <w:spacing w:before="0" w:after="0" w:line="360" w:lineRule="auto"/>
        <w:ind w:left="420" w:leftChars="200"/>
        <w:rPr>
          <w:rFonts w:hint="eastAsia" w:ascii="黑体" w:hAnsi="黑体" w:eastAsia="黑体"/>
          <w:color w:val="auto"/>
          <w:sz w:val="24"/>
          <w:highlight w:val="none"/>
        </w:rPr>
      </w:pPr>
      <w:bookmarkStart w:id="105" w:name="_Toc254970532"/>
      <w:bookmarkStart w:id="106" w:name="_Toc254970673"/>
      <w:r>
        <w:rPr>
          <w:rFonts w:hint="eastAsia" w:ascii="黑体" w:hAnsi="黑体" w:eastAsia="黑体"/>
          <w:color w:val="auto"/>
          <w:sz w:val="24"/>
          <w:highlight w:val="none"/>
        </w:rPr>
        <w:t>8.特别说明</w:t>
      </w:r>
      <w:bookmarkEnd w:id="105"/>
      <w:bookmarkEnd w:id="106"/>
    </w:p>
    <w:p w14:paraId="4367DC7C">
      <w:pPr>
        <w:pStyle w:val="5"/>
        <w:keepNext w:val="0"/>
        <w:keepLines w:val="0"/>
        <w:spacing w:before="0" w:after="0" w:line="360" w:lineRule="auto"/>
        <w:ind w:firstLine="420" w:firstLineChars="200"/>
        <w:rPr>
          <w:rFonts w:hint="eastAsia" w:ascii="宋体" w:hAnsi="宋体"/>
          <w:b w:val="0"/>
          <w:color w:val="auto"/>
          <w:sz w:val="21"/>
          <w:szCs w:val="21"/>
          <w:highlight w:val="none"/>
        </w:rPr>
      </w:pPr>
      <w:bookmarkStart w:id="107" w:name="_8.1提供相同品牌产品且通过资格审查、符合性审查的不同投标人参加同一合"/>
      <w:bookmarkEnd w:id="107"/>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0B93A16C">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F2C406D">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kern w:val="2"/>
          <w:sz w:val="21"/>
          <w:highlight w:val="none"/>
        </w:rPr>
        <w:t>。</w:t>
      </w:r>
    </w:p>
    <w:p w14:paraId="498DF0B7">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4F26D07D">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38FD70EB">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69BFA26F">
      <w:pPr>
        <w:pStyle w:val="5"/>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22125CE5">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3F2B94CC">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52F087C9">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72AE665B">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4CCFF37B">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6A736876">
      <w:pPr>
        <w:pStyle w:val="24"/>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253A187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F7C3035">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72B6BA8B">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1F4400B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397E53C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3325B016">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519FBDA9">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655CC749">
      <w:pPr>
        <w:pStyle w:val="24"/>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08DD9BE0">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1F959F61">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16608DA6">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77462993">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26F90D32">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1E29718D">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3D2E6182">
      <w:pPr>
        <w:pStyle w:val="24"/>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6F13D291">
      <w:pPr>
        <w:pStyle w:val="24"/>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5289DE62">
      <w:pPr>
        <w:pStyle w:val="24"/>
        <w:snapToGrid w:val="0"/>
        <w:spacing w:line="360" w:lineRule="auto"/>
        <w:ind w:left="2" w:leftChars="1" w:firstLine="422" w:firstLineChars="200"/>
        <w:rPr>
          <w:rFonts w:hint="eastAsia" w:hAnsi="宋体"/>
          <w:b/>
          <w:color w:val="auto"/>
          <w:kern w:val="2"/>
          <w:sz w:val="21"/>
          <w:highlight w:val="none"/>
        </w:rPr>
      </w:pPr>
    </w:p>
    <w:p w14:paraId="58D514AA">
      <w:pPr>
        <w:pStyle w:val="4"/>
        <w:keepNext w:val="0"/>
        <w:keepLines w:val="0"/>
        <w:jc w:val="center"/>
        <w:rPr>
          <w:rFonts w:hint="eastAsia"/>
          <w:color w:val="auto"/>
          <w:highlight w:val="none"/>
        </w:rPr>
      </w:pPr>
      <w:bookmarkStart w:id="108" w:name="_Toc254970534"/>
      <w:bookmarkStart w:id="109" w:name="_Toc254970675"/>
      <w:r>
        <w:rPr>
          <w:rFonts w:hint="eastAsia"/>
          <w:color w:val="auto"/>
          <w:highlight w:val="none"/>
        </w:rPr>
        <w:t>二、招标文件</w:t>
      </w:r>
      <w:bookmarkEnd w:id="108"/>
      <w:bookmarkEnd w:id="109"/>
    </w:p>
    <w:p w14:paraId="7991DCC8">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4EF11C2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53D2B6E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4927E16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18BBBF7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38D030C6">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6973E349">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01DF5F7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6BFDB773">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F03E898">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AF67B81">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10"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10"/>
    <w:p w14:paraId="26D8075B">
      <w:pPr>
        <w:pStyle w:val="4"/>
        <w:keepNext w:val="0"/>
        <w:keepLines w:val="0"/>
        <w:jc w:val="center"/>
        <w:rPr>
          <w:rFonts w:hint="eastAsia"/>
          <w:color w:val="auto"/>
          <w:highlight w:val="none"/>
        </w:rPr>
      </w:pPr>
      <w:bookmarkStart w:id="111" w:name="_Toc254970535"/>
      <w:bookmarkStart w:id="112" w:name="_Toc254970676"/>
      <w:r>
        <w:rPr>
          <w:rFonts w:hint="eastAsia"/>
          <w:color w:val="auto"/>
          <w:highlight w:val="none"/>
        </w:rPr>
        <w:t>三、投标文件的编制</w:t>
      </w:r>
      <w:bookmarkEnd w:id="111"/>
      <w:bookmarkEnd w:id="112"/>
    </w:p>
    <w:p w14:paraId="172EBCD8">
      <w:pPr>
        <w:pStyle w:val="5"/>
        <w:keepNext w:val="0"/>
        <w:keepLines w:val="0"/>
        <w:spacing w:before="0" w:after="0" w:line="360" w:lineRule="auto"/>
        <w:ind w:left="420" w:leftChars="200"/>
        <w:rPr>
          <w:rFonts w:hint="eastAsia" w:ascii="黑体" w:hAnsi="黑体" w:eastAsia="黑体"/>
          <w:color w:val="auto"/>
          <w:sz w:val="24"/>
          <w:highlight w:val="none"/>
        </w:rPr>
      </w:pPr>
      <w:bookmarkStart w:id="113" w:name="_Toc254970677"/>
      <w:bookmarkStart w:id="114" w:name="_Toc254970536"/>
      <w:r>
        <w:rPr>
          <w:rFonts w:hint="eastAsia" w:ascii="黑体" w:hAnsi="黑体" w:eastAsia="黑体"/>
          <w:color w:val="auto"/>
          <w:sz w:val="24"/>
          <w:highlight w:val="none"/>
        </w:rPr>
        <w:t>12.投标文件的编制原则</w:t>
      </w:r>
    </w:p>
    <w:p w14:paraId="6DEA4A0B">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651DBC0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13"/>
      <w:bookmarkEnd w:id="114"/>
    </w:p>
    <w:p w14:paraId="33EC624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400E7FE4">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15" w:name="_13.1报价文件:_具体材料见“投标人须知前附表”。"/>
      <w:bookmarkEnd w:id="115"/>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A99FBA1">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16" w:name="_13.2资格证明文件：具体材料见“投标人须知前附表”。"/>
      <w:bookmarkEnd w:id="116"/>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55619FF8">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17" w:name="_13.3商务文件:_具体材料见“投标人须知前附表”。"/>
      <w:bookmarkEnd w:id="117"/>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4F81602E">
      <w:pPr>
        <w:pStyle w:val="5"/>
        <w:keepNext w:val="0"/>
        <w:keepLines w:val="0"/>
        <w:spacing w:before="0" w:after="0" w:line="360" w:lineRule="auto"/>
        <w:ind w:left="420" w:leftChars="200"/>
        <w:rPr>
          <w:rFonts w:hint="eastAsia" w:ascii="黑体" w:hAnsi="黑体" w:eastAsia="黑体"/>
          <w:color w:val="auto"/>
          <w:sz w:val="24"/>
          <w:highlight w:val="none"/>
        </w:rPr>
      </w:pPr>
      <w:bookmarkStart w:id="118" w:name="_13.5投标文件电子版：具体材料见“投标人须知前附表”。"/>
      <w:bookmarkEnd w:id="118"/>
      <w:bookmarkStart w:id="119" w:name="_13.4技术文件：具体材料见“投标人须知前附表”。"/>
      <w:bookmarkEnd w:id="119"/>
      <w:bookmarkStart w:id="120" w:name="_Toc254970537"/>
      <w:bookmarkStart w:id="121" w:name="_Toc254970678"/>
      <w:r>
        <w:rPr>
          <w:rFonts w:hint="eastAsia" w:ascii="黑体" w:hAnsi="黑体" w:eastAsia="黑体"/>
          <w:color w:val="auto"/>
          <w:sz w:val="24"/>
          <w:highlight w:val="none"/>
        </w:rPr>
        <w:t>14.投标文件的语言及计量</w:t>
      </w:r>
      <w:bookmarkEnd w:id="120"/>
      <w:bookmarkEnd w:id="121"/>
    </w:p>
    <w:p w14:paraId="4F9E0658">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1449B001">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18E09F0">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5D4A726B">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6B9376B1">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681EA7E9">
      <w:pPr>
        <w:pStyle w:val="24"/>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A805DB9">
      <w:pPr>
        <w:pStyle w:val="5"/>
        <w:keepNext w:val="0"/>
        <w:keepLines w:val="0"/>
        <w:spacing w:before="0" w:after="0" w:line="360" w:lineRule="auto"/>
        <w:ind w:left="420" w:leftChars="200"/>
        <w:rPr>
          <w:rFonts w:hint="eastAsia" w:ascii="黑体" w:hAnsi="黑体" w:eastAsia="黑体"/>
          <w:color w:val="auto"/>
          <w:sz w:val="24"/>
          <w:highlight w:val="none"/>
        </w:rPr>
      </w:pPr>
      <w:bookmarkStart w:id="122" w:name="_Toc254970679"/>
      <w:bookmarkStart w:id="123" w:name="_Toc254970538"/>
      <w:r>
        <w:rPr>
          <w:rFonts w:hint="eastAsia" w:ascii="黑体" w:hAnsi="黑体" w:eastAsia="黑体"/>
          <w:color w:val="auto"/>
          <w:sz w:val="24"/>
          <w:highlight w:val="none"/>
        </w:rPr>
        <w:t>16.投标报价</w:t>
      </w:r>
      <w:bookmarkEnd w:id="122"/>
      <w:bookmarkEnd w:id="123"/>
    </w:p>
    <w:p w14:paraId="6B3A0976">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163757DA">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124" w:name="_16.2投标报价具体定义见投标人须知前附表。"/>
      <w:bookmarkEnd w:id="124"/>
      <w:r>
        <w:rPr>
          <w:rFonts w:hint="eastAsia" w:ascii="宋体" w:hAnsi="宋体"/>
          <w:b w:val="0"/>
          <w:color w:val="auto"/>
          <w:sz w:val="21"/>
          <w:szCs w:val="21"/>
          <w:highlight w:val="none"/>
        </w:rPr>
        <w:t>16.2投标报价具体包括内容详见“投标人须知前附表”。</w:t>
      </w:r>
    </w:p>
    <w:p w14:paraId="2AF8B7E1">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2B3E4F1D">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6857C481">
      <w:pPr>
        <w:pStyle w:val="5"/>
        <w:keepNext w:val="0"/>
        <w:keepLines w:val="0"/>
        <w:spacing w:before="0" w:after="0" w:line="360" w:lineRule="auto"/>
        <w:ind w:firstLine="420" w:firstLineChars="200"/>
        <w:rPr>
          <w:rFonts w:hint="eastAsia" w:ascii="宋体" w:hAnsi="宋体"/>
          <w:b w:val="0"/>
          <w:color w:val="auto"/>
          <w:sz w:val="21"/>
          <w:szCs w:val="21"/>
          <w:highlight w:val="none"/>
        </w:rPr>
      </w:pPr>
      <w:bookmarkStart w:id="125" w:name="_17.1投标有效期应按“投标人须知中的前附表”规定的期限。"/>
      <w:bookmarkEnd w:id="125"/>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3A89E958">
      <w:pPr>
        <w:pStyle w:val="5"/>
        <w:keepNext w:val="0"/>
        <w:keepLines w:val="0"/>
        <w:spacing w:before="0" w:after="0" w:line="360" w:lineRule="auto"/>
        <w:ind w:firstLine="424" w:firstLineChars="202"/>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26" w:name="_Toc254970540"/>
      <w:bookmarkStart w:id="127"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r>
        <w:rPr>
          <w:rFonts w:hint="eastAsia" w:ascii="宋体" w:hAnsi="宋体"/>
          <w:b w:val="0"/>
          <w:color w:val="auto"/>
          <w:sz w:val="21"/>
          <w:szCs w:val="21"/>
          <w:highlight w:val="none"/>
        </w:rPr>
        <w:t>。</w:t>
      </w:r>
    </w:p>
    <w:p w14:paraId="633ECC63">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26"/>
      <w:bookmarkEnd w:id="127"/>
    </w:p>
    <w:p w14:paraId="4F895BBC">
      <w:pPr>
        <w:pStyle w:val="5"/>
        <w:keepNext w:val="0"/>
        <w:keepLines w:val="0"/>
        <w:spacing w:before="0" w:after="0" w:line="360" w:lineRule="auto"/>
        <w:ind w:left="420" w:leftChars="200"/>
        <w:rPr>
          <w:rFonts w:hint="eastAsia" w:ascii="宋体" w:hAnsi="宋体"/>
          <w:b w:val="0"/>
          <w:color w:val="auto"/>
          <w:sz w:val="21"/>
          <w:szCs w:val="21"/>
          <w:highlight w:val="none"/>
        </w:rPr>
      </w:pPr>
    </w:p>
    <w:p w14:paraId="4CC0EC3F">
      <w:pPr>
        <w:pStyle w:val="5"/>
        <w:keepNext w:val="0"/>
        <w:keepLines w:val="0"/>
        <w:spacing w:before="0" w:after="0" w:line="360" w:lineRule="auto"/>
        <w:ind w:left="420" w:leftChars="200"/>
        <w:rPr>
          <w:rFonts w:hint="eastAsia" w:ascii="黑体" w:hAnsi="黑体" w:eastAsia="黑体"/>
          <w:color w:val="auto"/>
          <w:sz w:val="24"/>
          <w:highlight w:val="none"/>
        </w:rPr>
      </w:pPr>
      <w:bookmarkStart w:id="128" w:name="_18.投标保证金"/>
      <w:bookmarkEnd w:id="128"/>
      <w:bookmarkStart w:id="129" w:name="_Toc254970541"/>
      <w:bookmarkStart w:id="130" w:name="_Toc254970682"/>
      <w:r>
        <w:rPr>
          <w:rFonts w:hint="eastAsia" w:ascii="黑体" w:hAnsi="黑体" w:eastAsia="黑体"/>
          <w:color w:val="auto"/>
          <w:sz w:val="24"/>
          <w:highlight w:val="none"/>
        </w:rPr>
        <w:t>18.投标保证金</w:t>
      </w:r>
      <w:bookmarkEnd w:id="129"/>
      <w:bookmarkEnd w:id="130"/>
    </w:p>
    <w:p w14:paraId="3E9A8186">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41097769">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307438A6">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0AB3ADF9">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497793A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428C881D">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7D90DA7A">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5A9757BF">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40A15990">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5A28539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0AF7B46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6F46DFC2">
      <w:pPr>
        <w:pStyle w:val="5"/>
        <w:keepNext w:val="0"/>
        <w:keepLines w:val="0"/>
        <w:spacing w:before="0" w:after="0" w:line="360" w:lineRule="auto"/>
        <w:ind w:left="420" w:leftChars="200"/>
        <w:rPr>
          <w:rFonts w:hint="eastAsia" w:ascii="黑体" w:hAnsi="黑体" w:eastAsia="黑体"/>
          <w:color w:val="auto"/>
          <w:sz w:val="24"/>
          <w:highlight w:val="none"/>
        </w:rPr>
      </w:pPr>
      <w:bookmarkStart w:id="131" w:name="_Toc254970542"/>
      <w:bookmarkStart w:id="132" w:name="_Toc254970683"/>
      <w:r>
        <w:rPr>
          <w:rFonts w:hint="eastAsia" w:ascii="黑体" w:hAnsi="黑体" w:eastAsia="黑体"/>
          <w:color w:val="auto"/>
          <w:sz w:val="24"/>
          <w:highlight w:val="none"/>
        </w:rPr>
        <w:t>19.投标文件的</w:t>
      </w:r>
      <w:bookmarkEnd w:id="131"/>
      <w:bookmarkEnd w:id="132"/>
      <w:r>
        <w:rPr>
          <w:rFonts w:hint="eastAsia" w:ascii="黑体" w:hAnsi="黑体" w:eastAsia="黑体"/>
          <w:color w:val="auto"/>
          <w:sz w:val="24"/>
          <w:highlight w:val="none"/>
        </w:rPr>
        <w:t>编制</w:t>
      </w:r>
    </w:p>
    <w:p w14:paraId="14DFE2FE">
      <w:pPr>
        <w:pStyle w:val="5"/>
        <w:keepNext w:val="0"/>
        <w:keepLines w:val="0"/>
        <w:numPr>
          <w:ilvl w:val="4"/>
          <w:numId w:val="5"/>
        </w:numPr>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w:t>
      </w:r>
      <w:bookmarkStart w:id="133" w:name="_Toc254970685"/>
      <w:bookmarkStart w:id="134" w:name="_Toc254970544"/>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08C49CFF">
      <w:pPr>
        <w:pStyle w:val="5"/>
        <w:keepNext w:val="0"/>
        <w:keepLines w:val="0"/>
        <w:numPr>
          <w:ilvl w:val="4"/>
          <w:numId w:val="5"/>
        </w:numPr>
        <w:spacing w:before="0" w:after="0" w:line="360" w:lineRule="auto"/>
        <w:ind w:firstLine="315" w:firstLineChars="150"/>
        <w:rPr>
          <w:rFonts w:hint="eastAsia" w:ascii="宋体" w:hAnsi="宋体"/>
          <w:b w:val="0"/>
          <w:color w:val="auto"/>
          <w:sz w:val="21"/>
          <w:szCs w:val="21"/>
          <w:highlight w:val="none"/>
        </w:rPr>
      </w:pPr>
      <w:bookmarkStart w:id="135" w:name="_19.2投标文件应按报价文件、资格证明文件、商务文件、技术文件分别编制"/>
      <w:bookmarkEnd w:id="135"/>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6C683BA">
      <w:pPr>
        <w:pStyle w:val="5"/>
        <w:keepNext w:val="0"/>
        <w:keepLines w:val="0"/>
        <w:numPr>
          <w:ilvl w:val="4"/>
          <w:numId w:val="5"/>
        </w:numPr>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139981B2">
      <w:pPr>
        <w:pStyle w:val="5"/>
        <w:keepNext w:val="0"/>
        <w:keepLines w:val="0"/>
        <w:numPr>
          <w:ilvl w:val="4"/>
          <w:numId w:val="5"/>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44994258">
      <w:pPr>
        <w:pStyle w:val="5"/>
        <w:keepNext w:val="0"/>
        <w:keepLines w:val="0"/>
        <w:numPr>
          <w:ilvl w:val="4"/>
          <w:numId w:val="5"/>
        </w:numPr>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AF7F949">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6E883DB5">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详见在“投标人须知前附表”。</w:t>
      </w:r>
    </w:p>
    <w:p w14:paraId="312C861A">
      <w:pPr>
        <w:pStyle w:val="5"/>
        <w:keepNext w:val="0"/>
        <w:keepLines w:val="0"/>
        <w:numPr>
          <w:ilvl w:val="4"/>
          <w:numId w:val="5"/>
        </w:numPr>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494D653E">
      <w:pPr>
        <w:spacing w:line="360" w:lineRule="auto"/>
        <w:ind w:firstLine="420" w:firstLineChars="200"/>
        <w:rPr>
          <w:rFonts w:hint="eastAsia" w:hAnsi="宋体"/>
          <w:b/>
          <w:color w:val="auto"/>
          <w:highlight w:val="none"/>
        </w:rPr>
      </w:pPr>
      <w:bookmarkStart w:id="136" w:name="_21.1投标人必须在“投标人须知中的前附表”规定的投标文件接收时间和投"/>
      <w:bookmarkEnd w:id="136"/>
      <w:r>
        <w:rPr>
          <w:rFonts w:hAnsi="宋体"/>
          <w:bCs/>
          <w:color w:val="auto"/>
          <w:szCs w:val="21"/>
          <w:highlight w:val="none"/>
        </w:rPr>
        <w:t>21.1</w:t>
      </w:r>
      <w:r>
        <w:rPr>
          <w:rFonts w:hint="eastAsia" w:hAnsi="宋体"/>
          <w:bCs/>
          <w:color w:val="auto"/>
          <w:szCs w:val="21"/>
          <w:highlight w:val="none"/>
        </w:rPr>
        <w:t>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7897B6BE">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21.2未在规定时间内提交或者未按照招标文件要求加密的电子投标文件，广西政府采购云平台将拒收。</w:t>
      </w:r>
    </w:p>
    <w:p w14:paraId="4EA9A4A7">
      <w:pPr>
        <w:pStyle w:val="5"/>
        <w:keepNext w:val="0"/>
        <w:keepLines w:val="0"/>
        <w:numPr>
          <w:ilvl w:val="4"/>
          <w:numId w:val="5"/>
        </w:numPr>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5296BD9B">
      <w:pPr>
        <w:snapToGrid w:val="0"/>
        <w:spacing w:line="360" w:lineRule="auto"/>
        <w:ind w:firstLine="420"/>
        <w:jc w:val="left"/>
        <w:rPr>
          <w:rFonts w:hint="eastAsia" w:ascii="宋体" w:hAnsi="宋体"/>
          <w:color w:val="auto"/>
          <w:szCs w:val="21"/>
          <w:highlight w:val="none"/>
        </w:rPr>
      </w:pPr>
      <w:bookmarkStart w:id="137" w:name="_Toc254970543"/>
      <w:bookmarkStart w:id="138" w:name="_Toc254970684"/>
      <w:r>
        <w:rPr>
          <w:rFonts w:hint="eastAsia" w:ascii="宋体" w:hAnsi="宋体" w:cs="宋体"/>
          <w:color w:val="auto"/>
          <w:szCs w:val="21"/>
          <w:highlight w:val="none"/>
        </w:rPr>
        <w:t>22.1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37"/>
    <w:bookmarkEnd w:id="138"/>
    <w:p w14:paraId="6E3BE6F4">
      <w:pPr>
        <w:pStyle w:val="115"/>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F256C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026397AE">
      <w:pPr>
        <w:pStyle w:val="4"/>
        <w:keepNext w:val="0"/>
        <w:keepLines w:val="0"/>
        <w:jc w:val="center"/>
        <w:rPr>
          <w:rFonts w:hint="eastAsia"/>
          <w:color w:val="auto"/>
          <w:highlight w:val="none"/>
        </w:rPr>
      </w:pPr>
      <w:r>
        <w:rPr>
          <w:rFonts w:hint="eastAsia"/>
          <w:color w:val="auto"/>
          <w:highlight w:val="none"/>
        </w:rPr>
        <w:t>四、开    标</w:t>
      </w:r>
      <w:bookmarkEnd w:id="133"/>
      <w:bookmarkEnd w:id="134"/>
    </w:p>
    <w:p w14:paraId="49C26070">
      <w:pPr>
        <w:pStyle w:val="5"/>
        <w:keepNext w:val="0"/>
        <w:keepLines w:val="0"/>
        <w:spacing w:before="0" w:after="0" w:line="360" w:lineRule="auto"/>
        <w:ind w:left="420" w:leftChars="200"/>
        <w:rPr>
          <w:rFonts w:hint="eastAsia" w:ascii="黑体" w:hAnsi="黑体" w:eastAsia="黑体"/>
          <w:color w:val="auto"/>
          <w:sz w:val="24"/>
          <w:highlight w:val="none"/>
        </w:rPr>
      </w:pPr>
      <w:bookmarkStart w:id="139" w:name="_23.开标时间和地点"/>
      <w:bookmarkEnd w:id="139"/>
      <w:r>
        <w:rPr>
          <w:rFonts w:hint="eastAsia" w:ascii="黑体" w:hAnsi="黑体" w:eastAsia="黑体"/>
          <w:color w:val="auto"/>
          <w:sz w:val="24"/>
          <w:highlight w:val="none"/>
        </w:rPr>
        <w:t>23.开标时间和地点</w:t>
      </w:r>
    </w:p>
    <w:p w14:paraId="5B0B9AD7">
      <w:pPr>
        <w:spacing w:line="360" w:lineRule="auto"/>
        <w:ind w:firstLine="420" w:firstLineChars="200"/>
        <w:rPr>
          <w:rFonts w:hint="eastAsia" w:hAnsi="宋体"/>
          <w:bCs/>
          <w:color w:val="auto"/>
          <w:highlight w:val="none"/>
        </w:rPr>
      </w:pPr>
      <w:r>
        <w:rPr>
          <w:rFonts w:hint="eastAsia" w:hAnsi="宋体"/>
          <w:bCs/>
          <w:color w:val="auto"/>
          <w:highlight w:val="none"/>
        </w:rPr>
        <w:t>开标时间及地点详见“投标人须知前附表”</w:t>
      </w:r>
    </w:p>
    <w:p w14:paraId="511498AC">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20750E78">
      <w:pPr>
        <w:pStyle w:val="6"/>
        <w:spacing w:line="360" w:lineRule="auto"/>
        <w:rPr>
          <w:color w:val="auto"/>
          <w:highlight w:val="none"/>
        </w:rPr>
      </w:pPr>
      <w:r>
        <w:rPr>
          <w:color w:val="auto"/>
          <w:highlight w:val="none"/>
        </w:rPr>
        <w:t>24.1</w:t>
      </w:r>
      <w:r>
        <w:rPr>
          <w:rFonts w:hint="eastAsia"/>
          <w:color w:val="auto"/>
          <w:highlight w:val="none"/>
        </w:rPr>
        <w:t>提交投标文件截止时间止，投标人不足</w:t>
      </w:r>
      <w:r>
        <w:rPr>
          <w:color w:val="auto"/>
          <w:highlight w:val="none"/>
        </w:rPr>
        <w:t>3</w:t>
      </w:r>
      <w:r>
        <w:rPr>
          <w:rFonts w:hint="eastAsia"/>
          <w:color w:val="auto"/>
          <w:highlight w:val="none"/>
        </w:rPr>
        <w:t>家的，不得开标。</w:t>
      </w:r>
    </w:p>
    <w:p w14:paraId="0EF85D34">
      <w:pPr>
        <w:pStyle w:val="6"/>
        <w:spacing w:line="360" w:lineRule="auto"/>
        <w:rPr>
          <w:color w:val="auto"/>
          <w:highlight w:val="none"/>
        </w:rPr>
      </w:pPr>
      <w:r>
        <w:rPr>
          <w:color w:val="auto"/>
          <w:highlight w:val="none"/>
        </w:rPr>
        <w:t>24.2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234DABF5">
      <w:pPr>
        <w:pStyle w:val="6"/>
        <w:spacing w:line="360" w:lineRule="auto"/>
        <w:rPr>
          <w:color w:val="auto"/>
          <w:highlight w:val="none"/>
        </w:rPr>
      </w:pPr>
      <w:r>
        <w:rPr>
          <w:color w:val="auto"/>
          <w:highlight w:val="none"/>
        </w:rPr>
        <w:t>24.3</w:t>
      </w:r>
      <w:r>
        <w:rPr>
          <w:rFonts w:hint="eastAsia"/>
          <w:color w:val="auto"/>
          <w:highlight w:val="none"/>
        </w:rPr>
        <w:t>开标程序</w:t>
      </w:r>
    </w:p>
    <w:p w14:paraId="11E79217">
      <w:pPr>
        <w:pStyle w:val="6"/>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w:t>
      </w:r>
      <w:r>
        <w:rPr>
          <w:color w:val="auto"/>
          <w:highlight w:val="none"/>
        </w:rPr>
        <w:t>CA</w:t>
      </w:r>
      <w:r>
        <w:rPr>
          <w:rFonts w:hint="eastAsia"/>
          <w:color w:val="auto"/>
          <w:highlight w:val="none"/>
        </w:rPr>
        <w:t>锁准时登录到广西政府采购云平台电子开标大厅签到并对电子投标文件解密。</w:t>
      </w:r>
      <w:r>
        <w:rPr>
          <w:rFonts w:hint="eastAsia"/>
          <w:b/>
          <w:color w:val="auto"/>
          <w:highlight w:val="none"/>
        </w:rPr>
        <w:t>投标人未在规定的时间内解密投标文件或者解密失败的，</w:t>
      </w:r>
      <w:r>
        <w:rPr>
          <w:rFonts w:hint="eastAsia" w:ascii="宋体" w:hAnsi="宋体"/>
          <w:b/>
          <w:color w:val="auto"/>
          <w:szCs w:val="21"/>
          <w:highlight w:val="none"/>
        </w:rPr>
        <w:t>投标人的投标文件作无效处理</w:t>
      </w:r>
      <w:r>
        <w:rPr>
          <w:rFonts w:hint="eastAsia"/>
          <w:b/>
          <w:color w:val="auto"/>
          <w:highlight w:val="none"/>
        </w:rPr>
        <w:t>。</w:t>
      </w:r>
    </w:p>
    <w:p w14:paraId="76682C10">
      <w:pPr>
        <w:pStyle w:val="6"/>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3FE4D667">
      <w:pPr>
        <w:pStyle w:val="6"/>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）开标过程由采购代理机构如实记录，并电子留痕，由参加电子开标的各投标人代表对电子开标记录在开标记录公布后</w:t>
      </w:r>
      <w:r>
        <w:rPr>
          <w:color w:val="auto"/>
          <w:highlight w:val="none"/>
        </w:rPr>
        <w:t>15</w:t>
      </w:r>
      <w:r>
        <w:rPr>
          <w:rFonts w:hint="eastAsia"/>
          <w:color w:val="auto"/>
          <w:highlight w:val="none"/>
        </w:rPr>
        <w:t>分钟内进行当场校核及勘误，并线上确认是否有异议，未确认的视同认可开标结果。</w:t>
      </w:r>
    </w:p>
    <w:p w14:paraId="26F7F73C">
      <w:pPr>
        <w:pStyle w:val="6"/>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A44557D">
      <w:pPr>
        <w:pStyle w:val="6"/>
        <w:spacing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）开标结束。</w:t>
      </w:r>
    </w:p>
    <w:p w14:paraId="0A5CAB83">
      <w:pPr>
        <w:pStyle w:val="24"/>
        <w:snapToGrid w:val="0"/>
        <w:spacing w:line="360" w:lineRule="auto"/>
        <w:ind w:firstLine="420" w:firstLineChars="200"/>
        <w:rPr>
          <w:rFonts w:hAnsi="宋体"/>
          <w:color w:val="auto"/>
          <w:sz w:val="21"/>
          <w:highlight w:val="none"/>
        </w:rPr>
      </w:pPr>
      <w:r>
        <w:rPr>
          <w:rFonts w:hint="eastAsia"/>
          <w:color w:val="auto"/>
          <w:sz w:val="21"/>
          <w:highlight w:val="none"/>
        </w:rPr>
        <w:t>特别说明：如遇广西政府采购云平台电子化开标或评审程序调整的，按调整后执行。</w:t>
      </w:r>
    </w:p>
    <w:p w14:paraId="2A03820B">
      <w:pPr>
        <w:pStyle w:val="24"/>
        <w:snapToGrid w:val="0"/>
        <w:spacing w:line="360" w:lineRule="auto"/>
        <w:ind w:left="689" w:leftChars="228" w:hanging="210" w:hangingChars="100"/>
        <w:rPr>
          <w:rFonts w:hint="eastAsia" w:hAnsi="宋体"/>
          <w:color w:val="auto"/>
          <w:sz w:val="21"/>
          <w:highlight w:val="none"/>
        </w:rPr>
      </w:pPr>
    </w:p>
    <w:p w14:paraId="50933798">
      <w:pPr>
        <w:pStyle w:val="4"/>
        <w:keepNext w:val="0"/>
        <w:keepLines w:val="0"/>
        <w:jc w:val="center"/>
        <w:rPr>
          <w:rFonts w:hint="eastAsia"/>
          <w:color w:val="auto"/>
          <w:highlight w:val="none"/>
        </w:rPr>
      </w:pPr>
      <w:r>
        <w:rPr>
          <w:rFonts w:hint="eastAsia"/>
          <w:color w:val="auto"/>
          <w:highlight w:val="none"/>
        </w:rPr>
        <w:t>五、资格审查</w:t>
      </w:r>
    </w:p>
    <w:p w14:paraId="51C9C16B">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612C2882">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01E9E874">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B0064D4">
      <w:pPr>
        <w:pStyle w:val="5"/>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40" w:name="_25.3_投标人有下列情形之一的，资格审查不通过而导致其投标无效："/>
      <w:bookmarkEnd w:id="140"/>
      <w:r>
        <w:rPr>
          <w:rFonts w:hint="eastAsia" w:ascii="宋体" w:hAnsi="宋体"/>
          <w:color w:val="auto"/>
          <w:sz w:val="21"/>
          <w:szCs w:val="21"/>
          <w:highlight w:val="none"/>
        </w:rPr>
        <w:t>25.3 投标人有下列情形之一的，资格审查不通过，作无效投标处理：</w:t>
      </w:r>
    </w:p>
    <w:p w14:paraId="77E6B4FB">
      <w:pPr>
        <w:pStyle w:val="24"/>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427912F4">
      <w:pPr>
        <w:pStyle w:val="24"/>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3FFBA1CD">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6582412E">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668A4938">
      <w:pPr>
        <w:pStyle w:val="24"/>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51FB37A5">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1C07982">
      <w:pPr>
        <w:pStyle w:val="24"/>
        <w:snapToGrid w:val="0"/>
        <w:spacing w:line="360" w:lineRule="auto"/>
        <w:ind w:left="689" w:leftChars="228" w:hanging="210" w:hangingChars="100"/>
        <w:rPr>
          <w:rFonts w:hint="eastAsia" w:hAnsi="宋体"/>
          <w:color w:val="auto"/>
          <w:sz w:val="21"/>
          <w:highlight w:val="none"/>
        </w:rPr>
      </w:pPr>
    </w:p>
    <w:p w14:paraId="34D4FB1B">
      <w:pPr>
        <w:pStyle w:val="4"/>
        <w:keepNext w:val="0"/>
        <w:keepLines w:val="0"/>
        <w:jc w:val="center"/>
        <w:rPr>
          <w:rFonts w:hint="eastAsia"/>
          <w:color w:val="auto"/>
          <w:highlight w:val="none"/>
        </w:rPr>
      </w:pPr>
      <w:r>
        <w:rPr>
          <w:rFonts w:hint="eastAsia"/>
          <w:color w:val="auto"/>
          <w:highlight w:val="none"/>
        </w:rPr>
        <w:t>六、评   标</w:t>
      </w:r>
    </w:p>
    <w:p w14:paraId="295C4850">
      <w:pPr>
        <w:pStyle w:val="5"/>
        <w:keepNext w:val="0"/>
        <w:keepLines w:val="0"/>
        <w:spacing w:before="0" w:after="0" w:line="360" w:lineRule="auto"/>
        <w:ind w:left="420" w:leftChars="200"/>
        <w:rPr>
          <w:rFonts w:hint="eastAsia" w:ascii="黑体" w:hAnsi="黑体" w:eastAsia="黑体"/>
          <w:color w:val="auto"/>
          <w:sz w:val="24"/>
          <w:highlight w:val="none"/>
        </w:rPr>
      </w:pPr>
      <w:bookmarkStart w:id="141" w:name="_26.组建评标委员会"/>
      <w:bookmarkEnd w:id="141"/>
      <w:r>
        <w:rPr>
          <w:rFonts w:hint="eastAsia" w:ascii="黑体" w:hAnsi="黑体" w:eastAsia="黑体"/>
          <w:color w:val="auto"/>
          <w:sz w:val="24"/>
          <w:highlight w:val="none"/>
        </w:rPr>
        <w:t>26.组建评标委员会</w:t>
      </w:r>
    </w:p>
    <w:p w14:paraId="2129B6F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722D5BCD">
      <w:pPr>
        <w:pStyle w:val="24"/>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1EB7C4EE">
      <w:pPr>
        <w:pStyle w:val="24"/>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326D07C0">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7062B1F2">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0244CEF9">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5FEB80F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6C458D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42" w:name="_28.3评标方法。本项目将按须知前附表规定的评标办法进行评标，具体评标"/>
      <w:bookmarkEnd w:id="142"/>
      <w:r>
        <w:rPr>
          <w:rFonts w:hint="eastAsia" w:hAnsi="宋体"/>
          <w:color w:val="auto"/>
          <w:sz w:val="21"/>
          <w:highlight w:val="none"/>
        </w:rPr>
        <w:t>评委表决。评标委员会成员对需要共同认定的事项存在争议的，应当按照少数服从多数的原则作出结论。</w:t>
      </w:r>
    </w:p>
    <w:p w14:paraId="7AF5C527">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219EA43">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14F5BAEC">
      <w:pPr>
        <w:pStyle w:val="5"/>
        <w:keepNext w:val="0"/>
        <w:keepLines w:val="0"/>
        <w:spacing w:before="0" w:after="0" w:line="360" w:lineRule="auto"/>
        <w:ind w:left="420" w:leftChars="200"/>
        <w:rPr>
          <w:rFonts w:hint="eastAsia"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5230C4FF">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6D7707FE">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73A87C42">
      <w:pPr>
        <w:pStyle w:val="24"/>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2D898A96">
      <w:pPr>
        <w:spacing w:line="360" w:lineRule="auto"/>
        <w:ind w:firstLine="420" w:firstLineChars="200"/>
        <w:rPr>
          <w:rFonts w:hint="eastAsia" w:hAnsi="宋体"/>
          <w:color w:val="auto"/>
          <w:szCs w:val="21"/>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71C52F91">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（1）电子交易平台发生故障而无法登录访问的； </w:t>
      </w:r>
    </w:p>
    <w:p w14:paraId="3131F014">
      <w:pPr>
        <w:spacing w:line="360" w:lineRule="auto"/>
        <w:ind w:firstLine="420" w:firstLineChars="200"/>
        <w:rPr>
          <w:rFonts w:hint="eastAsia" w:hAnsi="宋体"/>
          <w:color w:val="auto"/>
          <w:szCs w:val="21"/>
          <w:highlight w:val="none"/>
        </w:rPr>
      </w:pPr>
      <w:r>
        <w:rPr>
          <w:rFonts w:hint="eastAsia" w:hAnsi="宋体"/>
          <w:color w:val="auto"/>
          <w:szCs w:val="21"/>
          <w:highlight w:val="none"/>
        </w:rPr>
        <w:t>（2）电子交易平台应用或数据库出现错误，不能进行正常操作的；</w:t>
      </w:r>
    </w:p>
    <w:p w14:paraId="7E18C28C">
      <w:pPr>
        <w:spacing w:line="360" w:lineRule="auto"/>
        <w:ind w:firstLine="420" w:firstLineChars="200"/>
        <w:rPr>
          <w:rFonts w:hint="eastAsia" w:hAnsi="宋体"/>
          <w:color w:val="auto"/>
          <w:szCs w:val="21"/>
          <w:highlight w:val="none"/>
        </w:rPr>
      </w:pPr>
      <w:r>
        <w:rPr>
          <w:rFonts w:hint="eastAsia" w:hAnsi="宋体"/>
          <w:color w:val="auto"/>
          <w:szCs w:val="21"/>
          <w:highlight w:val="none"/>
        </w:rPr>
        <w:t>（3）电子交易平台发现严重安全漏洞，有潜在泄密危险的；</w:t>
      </w:r>
    </w:p>
    <w:p w14:paraId="65FE3A1C">
      <w:pPr>
        <w:spacing w:line="360" w:lineRule="auto"/>
        <w:ind w:firstLine="420" w:firstLineChars="200"/>
        <w:rPr>
          <w:rFonts w:hint="eastAsia" w:hAnsi="宋体"/>
          <w:color w:val="auto"/>
          <w:szCs w:val="21"/>
          <w:highlight w:val="none"/>
        </w:rPr>
      </w:pPr>
      <w:r>
        <w:rPr>
          <w:rFonts w:hint="eastAsia" w:hAnsi="宋体"/>
          <w:color w:val="auto"/>
          <w:szCs w:val="21"/>
          <w:highlight w:val="none"/>
        </w:rPr>
        <w:t xml:space="preserve">（4）病毒发作导致不能进行正常操作的； </w:t>
      </w:r>
    </w:p>
    <w:p w14:paraId="47CDD056">
      <w:pPr>
        <w:spacing w:line="360" w:lineRule="auto"/>
        <w:ind w:firstLine="420" w:firstLineChars="200"/>
        <w:rPr>
          <w:rFonts w:hint="eastAsia" w:hAnsi="宋体"/>
          <w:color w:val="auto"/>
          <w:szCs w:val="21"/>
          <w:highlight w:val="none"/>
        </w:rPr>
      </w:pPr>
      <w:r>
        <w:rPr>
          <w:rFonts w:hint="eastAsia" w:hAnsi="宋体"/>
          <w:color w:val="auto"/>
          <w:szCs w:val="21"/>
          <w:highlight w:val="none"/>
        </w:rPr>
        <w:t>（5）其他无法保证电子交易的公平、公正和安全的情况。</w:t>
      </w:r>
    </w:p>
    <w:p w14:paraId="548948C2">
      <w:pPr>
        <w:spacing w:line="360" w:lineRule="auto"/>
        <w:ind w:firstLine="420" w:firstLineChars="200"/>
        <w:rPr>
          <w:rFonts w:hint="eastAsia" w:hAnsi="宋体"/>
          <w:color w:val="auto"/>
          <w:szCs w:val="21"/>
          <w:highlight w:val="none"/>
        </w:rPr>
      </w:pPr>
      <w:r>
        <w:rPr>
          <w:rFonts w:hint="eastAsia"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324401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29.5出现下列情形之一的，应予废标：</w:t>
      </w:r>
    </w:p>
    <w:p w14:paraId="51958C0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6E20031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27A6E56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F9D368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05254B8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1BF66E68">
      <w:pPr>
        <w:pStyle w:val="24"/>
        <w:snapToGrid w:val="0"/>
        <w:spacing w:line="360" w:lineRule="auto"/>
        <w:rPr>
          <w:rFonts w:hint="eastAsia" w:hAnsi="宋体"/>
          <w:color w:val="auto"/>
          <w:sz w:val="21"/>
          <w:highlight w:val="none"/>
        </w:rPr>
      </w:pPr>
    </w:p>
    <w:p w14:paraId="678E581F">
      <w:pPr>
        <w:pStyle w:val="4"/>
        <w:keepNext w:val="0"/>
        <w:keepLines w:val="0"/>
        <w:jc w:val="center"/>
        <w:rPr>
          <w:rFonts w:hint="eastAsia"/>
          <w:color w:val="auto"/>
          <w:highlight w:val="none"/>
        </w:rPr>
      </w:pPr>
      <w:bookmarkStart w:id="143" w:name="_Toc254970687"/>
      <w:bookmarkStart w:id="144" w:name="_Toc254970546"/>
      <w:r>
        <w:rPr>
          <w:rFonts w:hint="eastAsia"/>
          <w:color w:val="auto"/>
          <w:highlight w:val="none"/>
        </w:rPr>
        <w:t>七、</w:t>
      </w:r>
      <w:bookmarkEnd w:id="143"/>
      <w:bookmarkEnd w:id="144"/>
      <w:r>
        <w:rPr>
          <w:rFonts w:hint="eastAsia"/>
          <w:color w:val="auto"/>
          <w:highlight w:val="none"/>
        </w:rPr>
        <w:t>中标和合同</w:t>
      </w:r>
    </w:p>
    <w:p w14:paraId="18FF4867">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4F828364">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2689483">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64B037CA">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03BA7110">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301F10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04A0AD85">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15FBC31B">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269B09E7">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211993A">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10A0605E">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4A43C328">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2F3AD121">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4C33381D">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1C6A94E5">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145" w:name="_39.1中标人须于签订合同前按本须知前附表规定的金额转账或电汇到指定账"/>
      <w:bookmarkEnd w:id="145"/>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履约保证金的金额、提交方式、缴纳期限、退付的时间和条件详见 “投标人须知前附表”。中标人未按规定提交履约保证金的，视为拒绝与采购人签订合同。</w:t>
      </w:r>
    </w:p>
    <w:p w14:paraId="336E91F4">
      <w:pPr>
        <w:pStyle w:val="5"/>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6D71E599">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77E76E9A">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146" w:name="_40.1投标人接到中标通知书后，按须知前附表规定向采购人出示相关资格证"/>
      <w:bookmarkEnd w:id="146"/>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6E0F3362">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7A26059A">
      <w:pPr>
        <w:pStyle w:val="5"/>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25C125D1">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2E61E4F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64E18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2D9162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1B3A93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94CECBF">
      <w:pPr>
        <w:pStyle w:val="5"/>
        <w:keepNext w:val="0"/>
        <w:keepLines w:val="0"/>
        <w:spacing w:before="0" w:after="0" w:line="360" w:lineRule="auto"/>
        <w:ind w:left="420" w:leftChars="200"/>
        <w:rPr>
          <w:rFonts w:hint="eastAsia" w:ascii="黑体" w:hAnsi="黑体" w:eastAsia="黑体"/>
          <w:color w:val="auto"/>
          <w:sz w:val="24"/>
          <w:highlight w:val="none"/>
        </w:rPr>
      </w:pPr>
      <w:bookmarkStart w:id="147" w:name="_41.政府采购合同公告"/>
      <w:bookmarkEnd w:id="147"/>
      <w:r>
        <w:rPr>
          <w:rFonts w:hint="eastAsia" w:ascii="黑体" w:hAnsi="黑体" w:eastAsia="黑体"/>
          <w:color w:val="auto"/>
          <w:sz w:val="24"/>
          <w:highlight w:val="none"/>
        </w:rPr>
        <w:t>37.政府采购合同公告</w:t>
      </w:r>
    </w:p>
    <w:p w14:paraId="7FE9CADC">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E0FF793">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374496AC">
      <w:pPr>
        <w:pStyle w:val="6"/>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78281D35">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BED4F00">
      <w:pPr>
        <w:pStyle w:val="24"/>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3B0C4943">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2F11C779">
      <w:pPr>
        <w:pStyle w:val="24"/>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1A4C908B">
      <w:pPr>
        <w:pStyle w:val="5"/>
        <w:keepNext w:val="0"/>
        <w:keepLines w:val="0"/>
        <w:spacing w:before="0" w:after="0" w:line="360" w:lineRule="auto"/>
        <w:ind w:firstLine="315" w:firstLineChars="15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210094F0">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5113937">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2A231610">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D80B0FD">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F94C9D3">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5D911854">
      <w:pPr>
        <w:pStyle w:val="24"/>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13156F25">
      <w:pPr>
        <w:pStyle w:val="24"/>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44856327">
      <w:pPr>
        <w:pStyle w:val="5"/>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5D23DE82">
      <w:pPr>
        <w:pStyle w:val="24"/>
        <w:snapToGrid w:val="0"/>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26DB7EE">
      <w:pPr>
        <w:pStyle w:val="24"/>
        <w:snapToGrid w:val="0"/>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B3A3E6A">
      <w:pPr>
        <w:pStyle w:val="24"/>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642AF3ED">
      <w:pPr>
        <w:pStyle w:val="24"/>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B28C8B5">
      <w:pPr>
        <w:pStyle w:val="4"/>
        <w:keepNext w:val="0"/>
        <w:keepLines w:val="0"/>
        <w:jc w:val="center"/>
        <w:rPr>
          <w:rFonts w:hint="eastAsia"/>
          <w:color w:val="auto"/>
          <w:highlight w:val="none"/>
        </w:rPr>
      </w:pPr>
      <w:r>
        <w:rPr>
          <w:rFonts w:hint="eastAsia"/>
          <w:color w:val="auto"/>
          <w:highlight w:val="none"/>
        </w:rPr>
        <w:t>八、其他事项</w:t>
      </w:r>
    </w:p>
    <w:p w14:paraId="5D3DC4FC">
      <w:pPr>
        <w:pStyle w:val="5"/>
        <w:keepNext w:val="0"/>
        <w:keepLines w:val="0"/>
        <w:spacing w:before="0" w:after="0" w:line="360" w:lineRule="auto"/>
        <w:ind w:left="420" w:leftChars="200"/>
        <w:rPr>
          <w:rFonts w:hint="eastAsia" w:ascii="黑体" w:hAnsi="黑体" w:eastAsia="黑体"/>
          <w:color w:val="auto"/>
          <w:sz w:val="24"/>
          <w:highlight w:val="none"/>
        </w:rPr>
      </w:pPr>
      <w:bookmarkStart w:id="148" w:name="_42.代理服务费"/>
      <w:bookmarkEnd w:id="148"/>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1513316A">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收取标准及缴费账户详见“投标人须知前附表”，投标人为联合体的，可以由联合体中的一方或者多方共同交纳代理服务费。</w:t>
      </w:r>
    </w:p>
    <w:p w14:paraId="7CB80B66">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w:t>
      </w:r>
      <w:r>
        <w:rPr>
          <w:rFonts w:hint="eastAsia" w:ascii="宋体" w:hAnsi="宋体"/>
          <w:b w:val="0"/>
          <w:color w:val="auto"/>
          <w:sz w:val="21"/>
          <w:szCs w:val="21"/>
          <w:highlight w:val="none"/>
          <w:lang w:val="en-US" w:eastAsia="zh-CN"/>
        </w:rPr>
        <w:t>费</w:t>
      </w:r>
      <w:r>
        <w:rPr>
          <w:rFonts w:hint="eastAsia" w:ascii="宋体" w:hAnsi="宋体"/>
          <w:b w:val="0"/>
          <w:color w:val="auto"/>
          <w:sz w:val="21"/>
          <w:szCs w:val="21"/>
          <w:highlight w:val="none"/>
        </w:rPr>
        <w:t>收费标准：</w:t>
      </w:r>
    </w:p>
    <w:p w14:paraId="7A483FA6">
      <w:pPr>
        <w:spacing w:line="360" w:lineRule="auto"/>
        <w:rPr>
          <w:rFonts w:hint="eastAsia" w:ascii="宋体" w:hAnsi="宋体"/>
          <w:color w:val="auto"/>
          <w:szCs w:val="21"/>
          <w:highlight w:val="none"/>
        </w:rPr>
      </w:pPr>
    </w:p>
    <w:tbl>
      <w:tblPr>
        <w:tblStyle w:val="4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EAD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1F511A6">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18BDE7D9">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5EB71A44">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879DA70">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2FC01B59">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26C8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653D942">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E2FDA0F">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EB82749">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32B562D">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1.0% </w:t>
            </w:r>
          </w:p>
        </w:tc>
      </w:tr>
      <w:tr w14:paraId="5AE7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F20F519">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C082AC5">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4A5994ED">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BBA7FAC">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0.7% </w:t>
            </w:r>
          </w:p>
        </w:tc>
      </w:tr>
      <w:tr w14:paraId="6478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4734909E">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2E4A9C4">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54675763">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0.45%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24022BD">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0.55%</w:t>
            </w:r>
          </w:p>
        </w:tc>
      </w:tr>
      <w:tr w14:paraId="7AAA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E69B596">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4582A78">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5A05D69">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0.25%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2D134E0">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0.35% </w:t>
            </w:r>
          </w:p>
        </w:tc>
      </w:tr>
      <w:tr w14:paraId="2DFC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63D10B8">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AC3BEF8">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AA0C0D1">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0.1%</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AEB4EE8">
            <w:pPr>
              <w:spacing w:line="360" w:lineRule="auto"/>
              <w:ind w:firstLine="210" w:firstLineChars="100"/>
              <w:rPr>
                <w:rFonts w:ascii="宋体" w:hAnsi="宋体"/>
                <w:color w:val="auto"/>
                <w:szCs w:val="21"/>
                <w:highlight w:val="none"/>
              </w:rPr>
            </w:pPr>
            <w:r>
              <w:rPr>
                <w:rFonts w:hint="eastAsia" w:ascii="宋体" w:hAnsi="宋体" w:cs="宋体"/>
                <w:color w:val="auto"/>
                <w:kern w:val="0"/>
                <w:szCs w:val="21"/>
                <w:highlight w:val="none"/>
              </w:rPr>
              <w:t>0.2%</w:t>
            </w:r>
          </w:p>
        </w:tc>
      </w:tr>
      <w:tr w14:paraId="4348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1C42FD1">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DDB91D5">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874A451">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23F88E0">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27A7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05B96EA">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D2F231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506F48F2">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5E08EF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587E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728B837">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8D08374">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E747677">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5C2B6A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5D74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07488A6">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482989C">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47077D31">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D27C22F">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6321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C54186D">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7563C94">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F71379B">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C1B86DD">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2D93D467">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1AE678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4AA7D9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1A83B83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09F3204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7730213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×1.1％＝1.1万元</w:t>
      </w:r>
    </w:p>
    <w:p w14:paraId="733D8605">
      <w:pPr>
        <w:pStyle w:val="24"/>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1.1＝ 2.6 （万元）</w:t>
      </w:r>
    </w:p>
    <w:p w14:paraId="37222A24">
      <w:pPr>
        <w:pStyle w:val="5"/>
        <w:keepNext w:val="0"/>
        <w:keepLines w:val="0"/>
        <w:spacing w:before="0" w:after="0" w:line="360" w:lineRule="auto"/>
        <w:rPr>
          <w:rFonts w:ascii="黑体" w:hAnsi="黑体" w:eastAsia="黑体"/>
          <w:color w:val="auto"/>
          <w:sz w:val="24"/>
          <w:highlight w:val="none"/>
        </w:rPr>
      </w:pPr>
      <w:r>
        <w:rPr>
          <w:rFonts w:ascii="黑体" w:hAnsi="黑体" w:eastAsia="黑体"/>
          <w:color w:val="auto"/>
          <w:sz w:val="24"/>
          <w:highlight w:val="none"/>
        </w:rPr>
        <w:t>40. 需要补充的其他内容</w:t>
      </w:r>
    </w:p>
    <w:p w14:paraId="49B9F181">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53EE7C89">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7588D92A">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40.3</w:t>
      </w:r>
      <w:bookmarkStart w:id="149"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0B2D739">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BB9324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57CB8D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B0C60EC">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EFC05E4">
      <w:pPr>
        <w:pStyle w:val="24"/>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9"/>
    </w:p>
    <w:p w14:paraId="6B1CCF42">
      <w:pPr>
        <w:pStyle w:val="17"/>
        <w:ind w:left="479" w:leftChars="114" w:hanging="240" w:hangingChars="100"/>
        <w:rPr>
          <w:rFonts w:hint="eastAsia" w:hAnsi="宋体"/>
          <w:color w:val="auto"/>
          <w:highlight w:val="none"/>
        </w:rPr>
      </w:pPr>
    </w:p>
    <w:p w14:paraId="119CAC1B">
      <w:pPr>
        <w:pStyle w:val="24"/>
        <w:snapToGrid w:val="0"/>
        <w:spacing w:before="120" w:after="120"/>
        <w:rPr>
          <w:rFonts w:hint="eastAsia" w:hAnsi="宋体"/>
          <w:color w:val="auto"/>
          <w:highlight w:val="none"/>
        </w:rPr>
      </w:pPr>
    </w:p>
    <w:p w14:paraId="777265EA">
      <w:pPr>
        <w:pStyle w:val="24"/>
        <w:snapToGrid w:val="0"/>
        <w:spacing w:before="120" w:after="120"/>
        <w:rPr>
          <w:rFonts w:hint="eastAsia" w:hAnsi="宋体"/>
          <w:color w:val="auto"/>
          <w:highlight w:val="none"/>
        </w:rPr>
      </w:pPr>
    </w:p>
    <w:p w14:paraId="4A1E64A1">
      <w:pPr>
        <w:pStyle w:val="24"/>
        <w:snapToGrid w:val="0"/>
        <w:spacing w:before="120" w:after="120"/>
        <w:rPr>
          <w:rFonts w:hint="eastAsia" w:hAnsi="宋体"/>
          <w:color w:val="auto"/>
          <w:highlight w:val="none"/>
        </w:rPr>
      </w:pPr>
    </w:p>
    <w:p w14:paraId="6925FCA9">
      <w:pPr>
        <w:pStyle w:val="24"/>
        <w:snapToGrid w:val="0"/>
        <w:spacing w:before="120" w:after="120"/>
        <w:rPr>
          <w:rFonts w:hint="eastAsia" w:hAnsi="宋体"/>
          <w:color w:val="auto"/>
          <w:highlight w:val="none"/>
        </w:rPr>
      </w:pPr>
    </w:p>
    <w:p w14:paraId="6D1F7816">
      <w:pPr>
        <w:pStyle w:val="24"/>
        <w:snapToGrid w:val="0"/>
        <w:spacing w:before="120" w:after="120"/>
        <w:rPr>
          <w:rFonts w:hint="eastAsia" w:hAnsi="宋体"/>
          <w:color w:val="auto"/>
          <w:highlight w:val="none"/>
        </w:rPr>
      </w:pPr>
    </w:p>
    <w:p w14:paraId="1B30F48A">
      <w:pPr>
        <w:pStyle w:val="24"/>
        <w:snapToGrid w:val="0"/>
        <w:spacing w:before="120" w:after="120"/>
        <w:rPr>
          <w:rFonts w:hint="eastAsia" w:hAnsi="宋体"/>
          <w:color w:val="auto"/>
          <w:highlight w:val="none"/>
        </w:rPr>
      </w:pPr>
    </w:p>
    <w:p w14:paraId="4DD3FA43">
      <w:pPr>
        <w:pStyle w:val="24"/>
        <w:snapToGrid w:val="0"/>
        <w:spacing w:before="120" w:after="120"/>
        <w:rPr>
          <w:rFonts w:hint="eastAsia" w:hAnsi="宋体"/>
          <w:color w:val="auto"/>
          <w:highlight w:val="none"/>
        </w:rPr>
      </w:pPr>
    </w:p>
    <w:p w14:paraId="5251E9B3">
      <w:pPr>
        <w:pStyle w:val="24"/>
        <w:snapToGrid w:val="0"/>
        <w:spacing w:before="120" w:after="120"/>
        <w:rPr>
          <w:rFonts w:hint="eastAsia" w:hAnsi="宋体"/>
          <w:color w:val="auto"/>
          <w:highlight w:val="none"/>
        </w:rPr>
      </w:pPr>
    </w:p>
    <w:p w14:paraId="706B5462">
      <w:pPr>
        <w:pStyle w:val="24"/>
        <w:snapToGrid w:val="0"/>
        <w:spacing w:before="120" w:after="120"/>
        <w:rPr>
          <w:rFonts w:hint="eastAsia" w:hAnsi="宋体"/>
          <w:color w:val="auto"/>
          <w:highlight w:val="none"/>
        </w:rPr>
      </w:pPr>
    </w:p>
    <w:p w14:paraId="515FEEAE">
      <w:pPr>
        <w:pStyle w:val="24"/>
        <w:snapToGrid w:val="0"/>
        <w:spacing w:before="120" w:after="120"/>
        <w:rPr>
          <w:rFonts w:hint="eastAsia" w:hAnsi="宋体"/>
          <w:color w:val="auto"/>
          <w:highlight w:val="none"/>
        </w:rPr>
      </w:pPr>
    </w:p>
    <w:p w14:paraId="6F33F812">
      <w:pPr>
        <w:pStyle w:val="24"/>
        <w:snapToGrid w:val="0"/>
        <w:spacing w:before="120" w:after="120"/>
        <w:rPr>
          <w:rFonts w:hint="eastAsia" w:hAnsi="宋体"/>
          <w:color w:val="auto"/>
          <w:highlight w:val="none"/>
        </w:rPr>
      </w:pPr>
    </w:p>
    <w:p w14:paraId="0408B81B">
      <w:pPr>
        <w:pStyle w:val="24"/>
        <w:snapToGrid w:val="0"/>
        <w:spacing w:before="120" w:after="120"/>
        <w:rPr>
          <w:rFonts w:hint="eastAsia" w:hAnsi="宋体"/>
          <w:color w:val="auto"/>
          <w:highlight w:val="none"/>
        </w:rPr>
      </w:pPr>
    </w:p>
    <w:p w14:paraId="6CA7594B">
      <w:pPr>
        <w:pStyle w:val="24"/>
        <w:snapToGrid w:val="0"/>
        <w:spacing w:before="120" w:after="120"/>
        <w:rPr>
          <w:rFonts w:hint="eastAsia" w:hAnsi="宋体"/>
          <w:color w:val="auto"/>
          <w:highlight w:val="none"/>
        </w:rPr>
      </w:pPr>
    </w:p>
    <w:p w14:paraId="19782934">
      <w:pPr>
        <w:pStyle w:val="2"/>
        <w:jc w:val="center"/>
        <w:rPr>
          <w:rFonts w:hint="eastAsia"/>
          <w:color w:val="auto"/>
          <w:highlight w:val="none"/>
        </w:rPr>
      </w:pPr>
      <w:bookmarkStart w:id="150" w:name="_Toc330456896"/>
      <w:bookmarkStart w:id="151" w:name="_Toc254970548"/>
      <w:bookmarkStart w:id="152" w:name="_Toc254970689"/>
      <w:bookmarkStart w:id="153" w:name="_Toc74320803"/>
      <w:r>
        <w:rPr>
          <w:rFonts w:hint="eastAsia"/>
          <w:color w:val="auto"/>
          <w:highlight w:val="none"/>
        </w:rPr>
        <w:t>第四章  评标方法及评标标准</w:t>
      </w:r>
      <w:bookmarkEnd w:id="150"/>
      <w:bookmarkEnd w:id="151"/>
      <w:bookmarkEnd w:id="152"/>
      <w:bookmarkEnd w:id="153"/>
    </w:p>
    <w:p w14:paraId="76D7927A">
      <w:pPr>
        <w:pStyle w:val="24"/>
        <w:spacing w:before="120" w:after="120"/>
        <w:outlineLvl w:val="0"/>
        <w:rPr>
          <w:rFonts w:hint="eastAsia" w:hAnsi="宋体"/>
          <w:b/>
          <w:color w:val="auto"/>
          <w:highlight w:val="none"/>
        </w:rPr>
      </w:pPr>
      <w:bookmarkStart w:id="154" w:name="_Toc254970690"/>
      <w:bookmarkStart w:id="155" w:name="_Toc254970549"/>
    </w:p>
    <w:bookmarkEnd w:id="154"/>
    <w:bookmarkEnd w:id="155"/>
    <w:p w14:paraId="5326836C">
      <w:pPr>
        <w:pStyle w:val="24"/>
        <w:spacing w:before="120" w:after="120"/>
        <w:outlineLvl w:val="0"/>
        <w:rPr>
          <w:rFonts w:hint="eastAsia" w:hAnsi="宋体"/>
          <w:bCs/>
          <w:color w:val="auto"/>
          <w:sz w:val="32"/>
          <w:szCs w:val="32"/>
          <w:highlight w:val="none"/>
        </w:rPr>
      </w:pPr>
    </w:p>
    <w:p w14:paraId="65A69788">
      <w:pPr>
        <w:pStyle w:val="24"/>
        <w:spacing w:before="120" w:after="120"/>
        <w:outlineLvl w:val="0"/>
        <w:rPr>
          <w:rFonts w:hint="eastAsia" w:hAnsi="宋体"/>
          <w:bCs/>
          <w:color w:val="auto"/>
          <w:sz w:val="32"/>
          <w:szCs w:val="32"/>
          <w:highlight w:val="none"/>
        </w:rPr>
      </w:pPr>
    </w:p>
    <w:p w14:paraId="466D5400">
      <w:pPr>
        <w:pStyle w:val="24"/>
        <w:spacing w:before="120" w:after="120"/>
        <w:outlineLvl w:val="0"/>
        <w:rPr>
          <w:rFonts w:hint="eastAsia" w:hAnsi="宋体"/>
          <w:bCs/>
          <w:color w:val="auto"/>
          <w:sz w:val="32"/>
          <w:szCs w:val="32"/>
          <w:highlight w:val="none"/>
        </w:rPr>
      </w:pPr>
    </w:p>
    <w:p w14:paraId="1E5F1E61">
      <w:pPr>
        <w:spacing w:before="120" w:beforeLines="50" w:after="120" w:afterLines="50" w:line="400" w:lineRule="exact"/>
        <w:rPr>
          <w:rFonts w:hint="eastAsia" w:ascii="宋体" w:hAnsi="宋体"/>
          <w:b/>
          <w:color w:val="auto"/>
          <w:sz w:val="24"/>
          <w:highlight w:val="none"/>
        </w:rPr>
      </w:pPr>
    </w:p>
    <w:p w14:paraId="60021F5C">
      <w:pPr>
        <w:spacing w:before="120" w:beforeLines="50" w:after="120" w:afterLines="50" w:line="400" w:lineRule="exact"/>
        <w:rPr>
          <w:rFonts w:hint="eastAsia" w:ascii="宋体" w:hAnsi="宋体"/>
          <w:b/>
          <w:color w:val="auto"/>
          <w:sz w:val="24"/>
          <w:highlight w:val="none"/>
        </w:rPr>
      </w:pPr>
    </w:p>
    <w:p w14:paraId="1087343F">
      <w:pPr>
        <w:spacing w:before="120" w:beforeLines="50" w:after="120" w:afterLines="50" w:line="400" w:lineRule="exact"/>
        <w:rPr>
          <w:rFonts w:hint="eastAsia" w:ascii="宋体" w:hAnsi="宋体"/>
          <w:b/>
          <w:color w:val="auto"/>
          <w:sz w:val="24"/>
          <w:highlight w:val="none"/>
        </w:rPr>
      </w:pPr>
    </w:p>
    <w:p w14:paraId="4C08B720">
      <w:pPr>
        <w:spacing w:before="120" w:beforeLines="50" w:after="120" w:afterLines="50" w:line="400" w:lineRule="exact"/>
        <w:rPr>
          <w:rFonts w:hint="eastAsia" w:ascii="宋体" w:hAnsi="宋体"/>
          <w:b/>
          <w:color w:val="auto"/>
          <w:sz w:val="24"/>
          <w:highlight w:val="none"/>
        </w:rPr>
      </w:pPr>
    </w:p>
    <w:p w14:paraId="43688AB5">
      <w:pPr>
        <w:spacing w:before="120" w:beforeLines="50" w:after="120" w:afterLines="50" w:line="400" w:lineRule="exact"/>
        <w:rPr>
          <w:rFonts w:hint="eastAsia" w:ascii="宋体" w:hAnsi="宋体"/>
          <w:b/>
          <w:color w:val="auto"/>
          <w:sz w:val="24"/>
          <w:highlight w:val="none"/>
        </w:rPr>
      </w:pPr>
    </w:p>
    <w:p w14:paraId="4E198866">
      <w:pPr>
        <w:spacing w:before="120" w:beforeLines="50" w:after="120" w:afterLines="50" w:line="400" w:lineRule="exact"/>
        <w:rPr>
          <w:rFonts w:hint="eastAsia" w:ascii="宋体" w:hAnsi="宋体"/>
          <w:b/>
          <w:color w:val="auto"/>
          <w:sz w:val="24"/>
          <w:highlight w:val="none"/>
        </w:rPr>
      </w:pPr>
    </w:p>
    <w:p w14:paraId="54493CF5">
      <w:pPr>
        <w:spacing w:before="120" w:beforeLines="50" w:after="120" w:afterLines="50" w:line="400" w:lineRule="exact"/>
        <w:rPr>
          <w:rFonts w:hint="eastAsia" w:ascii="宋体" w:hAnsi="宋体"/>
          <w:b/>
          <w:color w:val="auto"/>
          <w:sz w:val="24"/>
          <w:highlight w:val="none"/>
        </w:rPr>
      </w:pPr>
    </w:p>
    <w:p w14:paraId="5ACEEC45">
      <w:pPr>
        <w:pStyle w:val="24"/>
        <w:spacing w:line="360" w:lineRule="exact"/>
        <w:rPr>
          <w:rFonts w:hint="eastAsia" w:hAnsi="宋体"/>
          <w:b/>
          <w:color w:val="auto"/>
          <w:sz w:val="24"/>
          <w:highlight w:val="none"/>
        </w:rPr>
      </w:pPr>
    </w:p>
    <w:p w14:paraId="4E1F63DF">
      <w:pPr>
        <w:pStyle w:val="4"/>
        <w:keepNext w:val="0"/>
        <w:keepLines w:val="0"/>
        <w:jc w:val="center"/>
        <w:rPr>
          <w:color w:val="auto"/>
          <w:sz w:val="30"/>
          <w:szCs w:val="30"/>
          <w:highlight w:val="none"/>
        </w:rPr>
      </w:pPr>
      <w:r>
        <w:rPr>
          <w:color w:val="auto"/>
          <w:sz w:val="30"/>
          <w:szCs w:val="30"/>
          <w:highlight w:val="none"/>
        </w:rPr>
        <w:br w:type="page"/>
      </w:r>
      <w:r>
        <w:rPr>
          <w:rFonts w:hint="eastAsia"/>
          <w:color w:val="auto"/>
          <w:sz w:val="30"/>
          <w:szCs w:val="30"/>
          <w:highlight w:val="none"/>
        </w:rPr>
        <w:t>一、评标方法</w:t>
      </w:r>
    </w:p>
    <w:p w14:paraId="7C26CCD0">
      <w:pPr>
        <w:pStyle w:val="24"/>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48340A2F">
      <w:pPr>
        <w:pStyle w:val="4"/>
        <w:keepNext w:val="0"/>
        <w:keepLines w:val="0"/>
        <w:jc w:val="center"/>
        <w:rPr>
          <w:rFonts w:hint="eastAsia"/>
          <w:color w:val="auto"/>
          <w:sz w:val="30"/>
          <w:szCs w:val="30"/>
          <w:highlight w:val="none"/>
        </w:rPr>
      </w:pPr>
      <w:r>
        <w:rPr>
          <w:rFonts w:hint="eastAsia"/>
          <w:color w:val="auto"/>
          <w:sz w:val="30"/>
          <w:szCs w:val="30"/>
          <w:highlight w:val="none"/>
        </w:rPr>
        <w:t>二、评标程序</w:t>
      </w:r>
    </w:p>
    <w:p w14:paraId="7F4A9B46">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12AE7891">
      <w:pPr>
        <w:pStyle w:val="24"/>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31D630D5">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1FB8AD9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60FF50D7">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075C1D4">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未提供“投标人须知前附表”第13条“报价文件”规定中“必须提供”的文件资料的；</w:t>
      </w:r>
    </w:p>
    <w:p w14:paraId="7C7810A5">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9E41C1E">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7F5EF5FA">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EC2E2EB">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6EA64AA5">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07A22D70">
      <w:pPr>
        <w:pStyle w:val="6"/>
        <w:numPr>
          <w:ilvl w:val="0"/>
          <w:numId w:val="6"/>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49AF9731">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1013F674">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3D6F8FDF">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4A0CC823">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7D056148">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4A9EB9D8">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05B39FC0">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13A44C3">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2BAC9529">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7B6C6411">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3394C87">
      <w:pPr>
        <w:numPr>
          <w:ilvl w:val="0"/>
          <w:numId w:val="7"/>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0667F1BE">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797C4CEE">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1B7512F8">
      <w:pPr>
        <w:pStyle w:val="18"/>
        <w:numPr>
          <w:ilvl w:val="0"/>
          <w:numId w:val="7"/>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虚假投标，或者出现其他情形而导致被评标委员会认定无效的；</w:t>
      </w:r>
    </w:p>
    <w:p w14:paraId="05D5E2CA">
      <w:pPr>
        <w:pStyle w:val="18"/>
        <w:numPr>
          <w:ilvl w:val="0"/>
          <w:numId w:val="7"/>
        </w:numPr>
        <w:snapToGrid w:val="0"/>
        <w:spacing w:line="360" w:lineRule="auto"/>
        <w:ind w:firstLine="413" w:firstLineChars="0"/>
        <w:rPr>
          <w:rFonts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p>
    <w:p w14:paraId="090E70C1">
      <w:pPr>
        <w:pStyle w:val="18"/>
        <w:numPr>
          <w:ilvl w:val="0"/>
          <w:numId w:val="7"/>
        </w:numPr>
        <w:snapToGrid w:val="0"/>
        <w:spacing w:line="360" w:lineRule="auto"/>
        <w:ind w:firstLine="413" w:firstLineChars="0"/>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未响应招标文件实质性要求的。</w:t>
      </w:r>
    </w:p>
    <w:p w14:paraId="243C437D">
      <w:pPr>
        <w:numPr>
          <w:ilvl w:val="0"/>
          <w:numId w:val="7"/>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20A579AA">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3D0A2E49">
      <w:pPr>
        <w:spacing w:line="360" w:lineRule="auto"/>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CE8C53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A2AF0DE">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1E2BBC9">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5F394C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0E8A5130">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14C1DCD0">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441CBE88">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3BCA8554">
      <w:pPr>
        <w:pStyle w:val="24"/>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0DE22575">
      <w:pPr>
        <w:pStyle w:val="24"/>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2CE309EE">
      <w:pPr>
        <w:pStyle w:val="5"/>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05ECC990">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631D15A0">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43F40E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0A8E647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2705386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15EAE82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15EFAF6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7B48F9B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65FEA8B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125E47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F15003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46066CDD">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127401D2">
      <w:pPr>
        <w:snapToGrid w:val="0"/>
        <w:spacing w:line="360" w:lineRule="auto"/>
        <w:ind w:firstLine="399" w:firstLineChars="202"/>
        <w:jc w:val="left"/>
        <w:rPr>
          <w:rFonts w:hint="eastAsia"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投标人不能证明其报价合理性的，评标委员会应当将其作为无效投标处理。</w:t>
      </w:r>
    </w:p>
    <w:p w14:paraId="3B21C371">
      <w:pPr>
        <w:snapToGrid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7C8A2BA6">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0533397">
      <w:pPr>
        <w:snapToGrid w:val="0"/>
        <w:spacing w:line="360" w:lineRule="auto"/>
        <w:ind w:firstLine="424" w:firstLineChars="202"/>
        <w:jc w:val="center"/>
        <w:rPr>
          <w:rFonts w:hint="eastAsia"/>
          <w:color w:val="auto"/>
          <w:highlight w:val="none"/>
        </w:rPr>
      </w:pPr>
      <w:r>
        <w:rPr>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3CD2D1B">
      <w:pPr>
        <w:pStyle w:val="4"/>
        <w:keepNext w:val="0"/>
        <w:keepLines w:val="0"/>
        <w:jc w:val="center"/>
        <w:rPr>
          <w:rFonts w:hint="eastAsia"/>
          <w:color w:val="auto"/>
          <w:highlight w:val="none"/>
        </w:rPr>
      </w:pPr>
      <w:r>
        <w:rPr>
          <w:rFonts w:hint="eastAsia"/>
          <w:color w:val="auto"/>
          <w:highlight w:val="none"/>
        </w:rPr>
        <w:t>综合评分法</w:t>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0098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3" w:type="dxa"/>
            <w:gridSpan w:val="2"/>
            <w:noWrap w:val="0"/>
            <w:vAlign w:val="center"/>
          </w:tcPr>
          <w:p w14:paraId="47BBF62C">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05" w:type="dxa"/>
            <w:noWrap w:val="0"/>
            <w:vAlign w:val="center"/>
          </w:tcPr>
          <w:p w14:paraId="77887DCE">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277" w:type="dxa"/>
            <w:noWrap w:val="0"/>
            <w:vAlign w:val="center"/>
          </w:tcPr>
          <w:p w14:paraId="267CA06C">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7D73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2" w:type="dxa"/>
            <w:noWrap w:val="0"/>
            <w:vAlign w:val="center"/>
          </w:tcPr>
          <w:p w14:paraId="7CD2352D">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11" w:type="dxa"/>
            <w:noWrap w:val="0"/>
            <w:vAlign w:val="center"/>
          </w:tcPr>
          <w:p w14:paraId="0AD3E17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价格分</w:t>
            </w:r>
          </w:p>
          <w:p w14:paraId="10522412">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u w:val="single"/>
              </w:rPr>
              <w:t>30</w:t>
            </w:r>
            <w:r>
              <w:rPr>
                <w:rFonts w:hint="eastAsia" w:ascii="宋体" w:hAnsi="宋体" w:eastAsia="宋体" w:cs="宋体"/>
                <w:b/>
                <w:bCs/>
                <w:color w:val="auto"/>
                <w:sz w:val="21"/>
                <w:szCs w:val="21"/>
                <w:highlight w:val="none"/>
              </w:rPr>
              <w:t>分）</w:t>
            </w:r>
          </w:p>
          <w:p w14:paraId="05AC6E60">
            <w:pPr>
              <w:keepNext w:val="0"/>
              <w:keepLines w:val="0"/>
              <w:pageBreakBefore w:val="0"/>
              <w:kinsoku/>
              <w:wordWrap/>
              <w:overflowPunct/>
              <w:topLinePunct w:val="0"/>
              <w:autoSpaceDE/>
              <w:autoSpaceDN/>
              <w:bidi w:val="0"/>
              <w:adjustRightInd w:val="0"/>
              <w:spacing w:line="360" w:lineRule="auto"/>
              <w:jc w:val="left"/>
              <w:textAlignment w:val="baseline"/>
              <w:rPr>
                <w:rFonts w:hint="eastAsia" w:ascii="宋体" w:hAnsi="宋体" w:eastAsia="宋体" w:cs="宋体"/>
                <w:b/>
                <w:bCs/>
                <w:color w:val="auto"/>
                <w:sz w:val="21"/>
                <w:szCs w:val="21"/>
                <w:highlight w:val="none"/>
              </w:rPr>
            </w:pPr>
          </w:p>
        </w:tc>
        <w:tc>
          <w:tcPr>
            <w:tcW w:w="1905" w:type="dxa"/>
            <w:noWrap w:val="0"/>
            <w:vAlign w:val="center"/>
          </w:tcPr>
          <w:p w14:paraId="0AD3D607">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w:t>
            </w:r>
          </w:p>
        </w:tc>
        <w:tc>
          <w:tcPr>
            <w:tcW w:w="5277" w:type="dxa"/>
            <w:noWrap w:val="0"/>
            <w:vAlign w:val="center"/>
          </w:tcPr>
          <w:p w14:paraId="1D0892CB">
            <w:pPr>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（1）本项目专门面向中小企业，不重复享受扶持政策。</w:t>
            </w:r>
          </w:p>
          <w:p w14:paraId="5A5E3DB4">
            <w:pPr>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（2）满足招标文件要求且评标报价最低的评标报价为评标基准价，其价格分为满分。</w:t>
            </w:r>
          </w:p>
          <w:p w14:paraId="3B5ACE2F">
            <w:pPr>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（3）价格分计算公式：        </w:t>
            </w:r>
          </w:p>
          <w:p w14:paraId="3526EC03">
            <w:pPr>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价格分=（评标基准价／评标报价）×</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p>
        </w:tc>
      </w:tr>
      <w:tr w14:paraId="5460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2" w:type="dxa"/>
            <w:vMerge w:val="restart"/>
            <w:noWrap w:val="0"/>
            <w:vAlign w:val="center"/>
          </w:tcPr>
          <w:p w14:paraId="205B29AB">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11" w:type="dxa"/>
            <w:vMerge w:val="restart"/>
            <w:noWrap w:val="0"/>
            <w:vAlign w:val="center"/>
          </w:tcPr>
          <w:p w14:paraId="30ABA0C6">
            <w:pPr>
              <w:keepNext w:val="0"/>
              <w:keepLines w:val="0"/>
              <w:pageBreakBefore w:val="0"/>
              <w:kinsoku/>
              <w:wordWrap/>
              <w:overflowPunct/>
              <w:topLinePunct w:val="0"/>
              <w:autoSpaceDE/>
              <w:autoSpaceDN/>
              <w:bidi w:val="0"/>
              <w:adjustRightInd w:val="0"/>
              <w:spacing w:line="360" w:lineRule="auto"/>
              <w:ind w:left="-105" w:leftChars="-50" w:right="-105" w:rightChars="-5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14:paraId="7BD1B7DA">
            <w:pPr>
              <w:keepNext w:val="0"/>
              <w:keepLines w:val="0"/>
              <w:pageBreakBefore w:val="0"/>
              <w:kinsoku/>
              <w:wordWrap/>
              <w:overflowPunct/>
              <w:topLinePunct w:val="0"/>
              <w:autoSpaceDE/>
              <w:autoSpaceDN/>
              <w:bidi w:val="0"/>
              <w:adjustRightInd w:val="0"/>
              <w:snapToGrid w:val="0"/>
              <w:spacing w:line="360" w:lineRule="auto"/>
              <w:ind w:left="-105" w:leftChars="-50" w:right="-105" w:rightChars="-50"/>
              <w:jc w:val="center"/>
              <w:textAlignment w:val="baseline"/>
              <w:rPr>
                <w:rFonts w:hint="eastAsia" w:ascii="宋体" w:hAnsi="宋体" w:eastAsia="宋体" w:cs="宋体"/>
                <w:color w:val="auto"/>
                <w:spacing w:val="-18"/>
                <w:sz w:val="21"/>
                <w:szCs w:val="21"/>
                <w:highlight w:val="none"/>
              </w:rPr>
            </w:pP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42</w:t>
            </w:r>
            <w:r>
              <w:rPr>
                <w:rFonts w:hint="eastAsia" w:ascii="宋体" w:hAnsi="宋体" w:eastAsia="宋体" w:cs="宋体"/>
                <w:b/>
                <w:color w:val="auto"/>
                <w:sz w:val="21"/>
                <w:szCs w:val="21"/>
                <w:highlight w:val="none"/>
              </w:rPr>
              <w:t>分）</w:t>
            </w:r>
          </w:p>
        </w:tc>
        <w:tc>
          <w:tcPr>
            <w:tcW w:w="1905" w:type="dxa"/>
            <w:noWrap w:val="0"/>
            <w:vAlign w:val="center"/>
          </w:tcPr>
          <w:p w14:paraId="33F2E896">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设备性能分（满分</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p>
        </w:tc>
        <w:tc>
          <w:tcPr>
            <w:tcW w:w="5277" w:type="dxa"/>
            <w:noWrap w:val="0"/>
            <w:vAlign w:val="center"/>
          </w:tcPr>
          <w:p w14:paraId="1F628FE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0" w:firstLineChars="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通过资格审查与符合性审查的投标人得基本分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b w:val="0"/>
                <w:bCs/>
                <w:color w:val="auto"/>
                <w:sz w:val="21"/>
                <w:szCs w:val="21"/>
                <w:highlight w:val="none"/>
              </w:rPr>
              <w:t>标</w:t>
            </w:r>
            <w:r>
              <w:rPr>
                <w:rFonts w:hint="eastAsia" w:ascii="宋体" w:hAnsi="宋体" w:eastAsia="宋体" w:cs="宋体"/>
                <w:b w:val="0"/>
                <w:bCs/>
                <w:color w:val="auto"/>
                <w:sz w:val="21"/>
                <w:szCs w:val="21"/>
                <w:highlight w:val="none"/>
                <w:lang w:eastAsia="zh-CN"/>
              </w:rPr>
              <w:t>“</w:t>
            </w:r>
            <w:r>
              <w:rPr>
                <w:rFonts w:hint="eastAsia" w:ascii="宋体" w:hAnsi="宋体" w:eastAsia="宋体" w:cs="宋体"/>
                <w:i w:val="0"/>
                <w:iCs w:val="0"/>
                <w:color w:val="auto"/>
                <w:kern w:val="2"/>
                <w:sz w:val="21"/>
                <w:szCs w:val="21"/>
                <w:highlight w:val="none"/>
                <w:u w:val="none"/>
                <w:lang w:val="en-US" w:eastAsia="zh-CN" w:bidi="ar-SA"/>
              </w:rPr>
              <w:t>●</w:t>
            </w:r>
            <w:r>
              <w:rPr>
                <w:rFonts w:hint="eastAsia" w:ascii="宋体" w:hAnsi="宋体" w:eastAsia="宋体" w:cs="宋体"/>
                <w:iCs/>
                <w:color w:val="auto"/>
                <w:sz w:val="21"/>
                <w:szCs w:val="21"/>
                <w:highlight w:val="none"/>
                <w:lang w:val="en-US" w:eastAsia="zh-CN"/>
              </w:rPr>
              <w:t>”</w:t>
            </w:r>
            <w:r>
              <w:rPr>
                <w:rFonts w:hint="eastAsia" w:ascii="宋体" w:hAnsi="宋体" w:eastAsia="宋体" w:cs="宋体"/>
                <w:b w:val="0"/>
                <w:bCs/>
                <w:color w:val="auto"/>
                <w:sz w:val="21"/>
                <w:szCs w:val="21"/>
                <w:highlight w:val="none"/>
              </w:rPr>
              <w:t>的</w:t>
            </w:r>
            <w:r>
              <w:rPr>
                <w:rFonts w:hint="eastAsia" w:ascii="宋体" w:hAnsi="宋体" w:eastAsia="宋体" w:cs="宋体"/>
                <w:b w:val="0"/>
                <w:bCs/>
                <w:color w:val="auto"/>
                <w:sz w:val="21"/>
                <w:szCs w:val="21"/>
                <w:highlight w:val="none"/>
                <w:lang w:val="en-US" w:eastAsia="zh-CN"/>
              </w:rPr>
              <w:t>重要</w:t>
            </w:r>
            <w:r>
              <w:rPr>
                <w:rFonts w:hint="eastAsia" w:ascii="宋体" w:hAnsi="宋体" w:eastAsia="宋体" w:cs="宋体"/>
                <w:b w:val="0"/>
                <w:bCs/>
                <w:color w:val="auto"/>
                <w:sz w:val="21"/>
                <w:szCs w:val="21"/>
                <w:highlight w:val="none"/>
              </w:rPr>
              <w:t>技术参数，</w:t>
            </w:r>
            <w:r>
              <w:rPr>
                <w:rFonts w:hint="eastAsia" w:ascii="宋体" w:hAnsi="宋体" w:eastAsia="宋体" w:cs="宋体"/>
                <w:color w:val="auto"/>
                <w:sz w:val="21"/>
                <w:szCs w:val="21"/>
                <w:highlight w:val="none"/>
              </w:rPr>
              <w:t>负偏离或漏项的每一项扣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无标记的一般技术参数，</w:t>
            </w:r>
            <w:r>
              <w:rPr>
                <w:rFonts w:hint="eastAsia" w:ascii="宋体" w:hAnsi="宋体" w:eastAsia="宋体" w:cs="宋体"/>
                <w:color w:val="auto"/>
                <w:sz w:val="21"/>
                <w:szCs w:val="21"/>
                <w:highlight w:val="none"/>
              </w:rPr>
              <w:t>负偏离或漏项的每一项扣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最多扣完30分。</w:t>
            </w:r>
            <w:r>
              <w:rPr>
                <w:rFonts w:hint="eastAsia" w:ascii="宋体" w:hAnsi="宋体" w:eastAsia="宋体" w:cs="宋体"/>
                <w:b w:val="0"/>
                <w:bCs/>
                <w:color w:val="auto"/>
                <w:sz w:val="21"/>
                <w:szCs w:val="21"/>
                <w:highlight w:val="none"/>
              </w:rPr>
              <w:t>技术参数</w:t>
            </w:r>
            <w:r>
              <w:rPr>
                <w:rFonts w:hint="eastAsia" w:ascii="宋体" w:hAnsi="宋体" w:eastAsia="宋体" w:cs="宋体"/>
                <w:color w:val="auto"/>
                <w:sz w:val="21"/>
                <w:szCs w:val="21"/>
                <w:highlight w:val="none"/>
                <w:lang w:eastAsia="zh-CN"/>
              </w:rPr>
              <w:t>负偏离的项数</w:t>
            </w:r>
            <w:r>
              <w:rPr>
                <w:rFonts w:hint="eastAsia" w:ascii="宋体" w:hAnsi="宋体" w:eastAsia="宋体" w:cs="宋体"/>
                <w:color w:val="auto"/>
                <w:sz w:val="21"/>
                <w:szCs w:val="21"/>
                <w:highlight w:val="none"/>
                <w:lang w:val="en-US" w:eastAsia="zh-CN"/>
              </w:rPr>
              <w:t>总和</w:t>
            </w:r>
            <w:r>
              <w:rPr>
                <w:rFonts w:hint="eastAsia" w:ascii="宋体" w:hAnsi="宋体" w:eastAsia="宋体" w:cs="宋体"/>
                <w:color w:val="auto"/>
                <w:sz w:val="21"/>
                <w:szCs w:val="21"/>
                <w:highlight w:val="none"/>
                <w:lang w:eastAsia="zh-CN"/>
              </w:rPr>
              <w:t>不能超过</w:t>
            </w:r>
            <w:r>
              <w:rPr>
                <w:rFonts w:hint="eastAsia" w:ascii="宋体" w:hAnsi="宋体" w:eastAsia="宋体" w:cs="宋体"/>
                <w:color w:val="auto"/>
                <w:sz w:val="21"/>
                <w:szCs w:val="21"/>
                <w:highlight w:val="none"/>
                <w:lang w:val="en-US" w:eastAsia="zh-CN"/>
              </w:rPr>
              <w:t>5项</w:t>
            </w:r>
            <w:r>
              <w:rPr>
                <w:rFonts w:hint="eastAsia" w:ascii="宋体" w:hAnsi="宋体" w:eastAsia="宋体" w:cs="宋体"/>
                <w:color w:val="auto"/>
                <w:sz w:val="21"/>
                <w:szCs w:val="21"/>
                <w:highlight w:val="none"/>
                <w:lang w:eastAsia="zh-CN"/>
              </w:rPr>
              <w:t>。</w:t>
            </w:r>
          </w:p>
          <w:p w14:paraId="49223EB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注：如技术参数中有要求提供相关证明材料的，须按相关要求提供，否则视为负偏离。</w:t>
            </w:r>
          </w:p>
        </w:tc>
      </w:tr>
      <w:tr w14:paraId="6D7D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2" w:type="dxa"/>
            <w:vMerge w:val="continue"/>
            <w:noWrap w:val="0"/>
            <w:vAlign w:val="center"/>
          </w:tcPr>
          <w:p w14:paraId="402F7A39">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1"/>
                <w:szCs w:val="21"/>
                <w:highlight w:val="none"/>
              </w:rPr>
            </w:pPr>
          </w:p>
        </w:tc>
        <w:tc>
          <w:tcPr>
            <w:tcW w:w="1711" w:type="dxa"/>
            <w:vMerge w:val="continue"/>
            <w:noWrap w:val="0"/>
            <w:vAlign w:val="center"/>
          </w:tcPr>
          <w:p w14:paraId="578B1B2D">
            <w:pPr>
              <w:keepNext w:val="0"/>
              <w:keepLines w:val="0"/>
              <w:pageBreakBefore w:val="0"/>
              <w:kinsoku/>
              <w:wordWrap/>
              <w:overflowPunct/>
              <w:topLinePunct w:val="0"/>
              <w:autoSpaceDE/>
              <w:autoSpaceDN/>
              <w:bidi w:val="0"/>
              <w:adjustRightInd w:val="0"/>
              <w:snapToGrid w:val="0"/>
              <w:spacing w:line="360" w:lineRule="auto"/>
              <w:ind w:left="-105" w:leftChars="-50" w:right="-105" w:rightChars="-50"/>
              <w:jc w:val="center"/>
              <w:textAlignment w:val="baseline"/>
              <w:rPr>
                <w:rFonts w:hint="eastAsia" w:ascii="宋体" w:hAnsi="宋体" w:eastAsia="宋体" w:cs="宋体"/>
                <w:b/>
                <w:color w:val="auto"/>
                <w:sz w:val="21"/>
                <w:szCs w:val="21"/>
                <w:highlight w:val="none"/>
              </w:rPr>
            </w:pPr>
          </w:p>
        </w:tc>
        <w:tc>
          <w:tcPr>
            <w:tcW w:w="1905" w:type="dxa"/>
            <w:noWrap w:val="0"/>
            <w:vAlign w:val="center"/>
          </w:tcPr>
          <w:p w14:paraId="1C5357D0">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（2）项目实施方案</w:t>
            </w:r>
          </w:p>
          <w:p w14:paraId="54A852E0">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（满分12分）</w:t>
            </w:r>
          </w:p>
        </w:tc>
        <w:tc>
          <w:tcPr>
            <w:tcW w:w="5277" w:type="dxa"/>
            <w:noWrap w:val="0"/>
            <w:vAlign w:val="center"/>
          </w:tcPr>
          <w:p w14:paraId="7EF19A6E">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评标委员会根据投标人制定的项目实施方案进行独立评审，包括:</w:t>
            </w:r>
          </w:p>
          <w:p w14:paraId="0E7A39AC">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①项目实施方案包括管理措施、质量保证措施、风险防范等措施；</w:t>
            </w:r>
          </w:p>
          <w:p w14:paraId="0B551AE8">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②实施流程、实施内容和项目进度表；</w:t>
            </w:r>
          </w:p>
          <w:p w14:paraId="1FA076A3">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③安装调试方案，分析安装调试环节重、难点和相应的应对策略。</w:t>
            </w:r>
          </w:p>
          <w:p w14:paraId="09E2EEFF">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注：①-③项，每项得4分(每项基础分为4分，其中，科学合理内容完整(1.5分)、对应本项目要求(1.5分)、有利于项目顺利实施（1分）、内容缺项或不对应(0分)，满分12分。</w:t>
            </w:r>
          </w:p>
        </w:tc>
      </w:tr>
      <w:tr w14:paraId="5293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2" w:type="dxa"/>
            <w:vMerge w:val="restart"/>
            <w:noWrap w:val="0"/>
            <w:vAlign w:val="center"/>
          </w:tcPr>
          <w:p w14:paraId="3E0B3EA5">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11" w:type="dxa"/>
            <w:vMerge w:val="restart"/>
            <w:noWrap w:val="0"/>
            <w:vAlign w:val="center"/>
          </w:tcPr>
          <w:p w14:paraId="2BC2CE1A">
            <w:pPr>
              <w:keepNext w:val="0"/>
              <w:keepLines w:val="0"/>
              <w:pageBreakBefore w:val="0"/>
              <w:kinsoku/>
              <w:wordWrap/>
              <w:overflowPunct/>
              <w:topLinePunct w:val="0"/>
              <w:autoSpaceDE/>
              <w:autoSpaceDN/>
              <w:bidi w:val="0"/>
              <w:adjustRightInd w:val="0"/>
              <w:spacing w:line="360" w:lineRule="auto"/>
              <w:ind w:left="-105" w:leftChars="-50" w:right="-105" w:rightChars="-5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p w14:paraId="34C48C66">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28</w:t>
            </w:r>
            <w:r>
              <w:rPr>
                <w:rFonts w:hint="eastAsia" w:ascii="宋体" w:hAnsi="宋体" w:eastAsia="宋体" w:cs="宋体"/>
                <w:b/>
                <w:color w:val="auto"/>
                <w:sz w:val="21"/>
                <w:szCs w:val="21"/>
                <w:highlight w:val="none"/>
              </w:rPr>
              <w:t>分）</w:t>
            </w:r>
          </w:p>
        </w:tc>
        <w:tc>
          <w:tcPr>
            <w:tcW w:w="1905" w:type="dxa"/>
            <w:noWrap w:val="0"/>
            <w:vAlign w:val="center"/>
          </w:tcPr>
          <w:p w14:paraId="674754BD">
            <w:pPr>
              <w:keepNext w:val="0"/>
              <w:keepLines w:val="0"/>
              <w:pageBreakBefore w:val="0"/>
              <w:widowControl/>
              <w:kinsoku/>
              <w:wordWrap/>
              <w:overflowPunct/>
              <w:topLinePunct w:val="0"/>
              <w:autoSpaceDE/>
              <w:autoSpaceDN/>
              <w:bidi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）售后服务方案（满分</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p>
        </w:tc>
        <w:tc>
          <w:tcPr>
            <w:tcW w:w="5277" w:type="dxa"/>
            <w:noWrap w:val="0"/>
            <w:vAlign w:val="center"/>
          </w:tcPr>
          <w:p w14:paraId="2EF4B730">
            <w:pPr>
              <w:keepNext w:val="0"/>
              <w:keepLines w:val="0"/>
              <w:pageBreakBefore w:val="0"/>
              <w:widowControl w:val="0"/>
              <w:kinsoku/>
              <w:wordWrap/>
              <w:overflowPunct/>
              <w:topLinePunct w:val="0"/>
              <w:autoSpaceDE/>
              <w:autoSpaceDN/>
              <w:bidi w:val="0"/>
              <w:adjustRightInd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评标委员会根据投标人制定售后服务方案(包括质量全面保证、应急响应方案、排除故障响应时间、运维期内的保养方案)进行独立评审，包括：</w:t>
            </w:r>
          </w:p>
          <w:p w14:paraId="20AA7C9D">
            <w:pPr>
              <w:keepNext w:val="0"/>
              <w:keepLines w:val="0"/>
              <w:pageBreakBefore w:val="0"/>
              <w:widowControl w:val="0"/>
              <w:kinsoku/>
              <w:wordWrap/>
              <w:overflowPunct/>
              <w:topLinePunct w:val="0"/>
              <w:autoSpaceDE/>
              <w:autoSpaceDN/>
              <w:bidi w:val="0"/>
              <w:adjustRightInd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①设备的维护保养方案及质保期外的含零配件的优惠供应等内容；</w:t>
            </w:r>
          </w:p>
          <w:p w14:paraId="29E697F0">
            <w:pPr>
              <w:keepNext w:val="0"/>
              <w:keepLines w:val="0"/>
              <w:pageBreakBefore w:val="0"/>
              <w:widowControl w:val="0"/>
              <w:kinsoku/>
              <w:wordWrap/>
              <w:overflowPunct/>
              <w:topLinePunct w:val="0"/>
              <w:autoSpaceDE/>
              <w:autoSpaceDN/>
              <w:bidi w:val="0"/>
              <w:adjustRightInd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②应急响应方案（包括设备使用过程中的质量控制、操作规程、保养与管理，常见故障的排除、紧急情况的处理等）</w:t>
            </w:r>
          </w:p>
          <w:p w14:paraId="664DAE4C">
            <w:pPr>
              <w:keepNext w:val="0"/>
              <w:keepLines w:val="0"/>
              <w:pageBreakBefore w:val="0"/>
              <w:widowControl w:val="0"/>
              <w:kinsoku/>
              <w:wordWrap/>
              <w:overflowPunct/>
              <w:topLinePunct w:val="0"/>
              <w:autoSpaceDE/>
              <w:autoSpaceDN/>
              <w:bidi w:val="0"/>
              <w:adjustRightInd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③后期服务运行机制。</w:t>
            </w:r>
          </w:p>
          <w:p w14:paraId="761CF360">
            <w:pPr>
              <w:keepNext w:val="0"/>
              <w:keepLines w:val="0"/>
              <w:pageBreakBefore w:val="0"/>
              <w:widowControl w:val="0"/>
              <w:kinsoku/>
              <w:wordWrap/>
              <w:overflowPunct/>
              <w:topLinePunct w:val="0"/>
              <w:autoSpaceDE/>
              <w:autoSpaceDN/>
              <w:bidi w:val="0"/>
              <w:adjustRightInd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注：①-③项，每项得4分(每项基础分为4分，其中，科学合理内容完整(1.5分)、对应本项目要求(1.5分)、有利于项目顺利实施（1分）、内容缺项或不对应(0分)，满分12分。</w:t>
            </w:r>
          </w:p>
        </w:tc>
      </w:tr>
      <w:tr w14:paraId="4758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2" w:type="dxa"/>
            <w:vMerge w:val="continue"/>
            <w:noWrap w:val="0"/>
            <w:vAlign w:val="center"/>
          </w:tcPr>
          <w:p w14:paraId="4F24EAE1">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1"/>
                <w:szCs w:val="21"/>
                <w:highlight w:val="none"/>
              </w:rPr>
            </w:pPr>
          </w:p>
        </w:tc>
        <w:tc>
          <w:tcPr>
            <w:tcW w:w="1711" w:type="dxa"/>
            <w:vMerge w:val="continue"/>
            <w:noWrap w:val="0"/>
            <w:vAlign w:val="center"/>
          </w:tcPr>
          <w:p w14:paraId="3CD8436E">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color w:val="auto"/>
                <w:sz w:val="21"/>
                <w:szCs w:val="21"/>
                <w:highlight w:val="none"/>
              </w:rPr>
            </w:pPr>
          </w:p>
        </w:tc>
        <w:tc>
          <w:tcPr>
            <w:tcW w:w="1905" w:type="dxa"/>
            <w:noWrap w:val="0"/>
            <w:vAlign w:val="center"/>
          </w:tcPr>
          <w:p w14:paraId="514CA7F9">
            <w:pPr>
              <w:keepNext w:val="0"/>
              <w:keepLines w:val="0"/>
              <w:pageBreakBefore w:val="0"/>
              <w:widowControl w:val="0"/>
              <w:kinsoku/>
              <w:wordWrap/>
              <w:overflowPunct/>
              <w:topLinePunct w:val="0"/>
              <w:autoSpaceDE/>
              <w:autoSpaceDN/>
              <w:bidi w:val="0"/>
              <w:adjustRightIn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（2）技术培训方案（满分12分）</w:t>
            </w:r>
          </w:p>
        </w:tc>
        <w:tc>
          <w:tcPr>
            <w:tcW w:w="5277" w:type="dxa"/>
            <w:noWrap w:val="0"/>
            <w:vAlign w:val="center"/>
          </w:tcPr>
          <w:p w14:paraId="412D0106">
            <w:pPr>
              <w:keepNext w:val="0"/>
              <w:keepLines w:val="0"/>
              <w:pageBreakBefore w:val="0"/>
              <w:widowControl w:val="0"/>
              <w:kinsoku/>
              <w:wordWrap/>
              <w:overflowPunct/>
              <w:topLinePunct w:val="0"/>
              <w:autoSpaceDE/>
              <w:autoSpaceDN/>
              <w:bidi w:val="0"/>
              <w:adjustRightInd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评标委员会根据投标人制定的技术培训方案进行独立评审,包括:</w:t>
            </w:r>
          </w:p>
          <w:p w14:paraId="01DD2270">
            <w:pPr>
              <w:keepNext w:val="0"/>
              <w:keepLines w:val="0"/>
              <w:pageBreakBefore w:val="0"/>
              <w:widowControl w:val="0"/>
              <w:kinsoku/>
              <w:wordWrap/>
              <w:overflowPunct/>
              <w:topLinePunct w:val="0"/>
              <w:autoSpaceDE/>
              <w:autoSpaceDN/>
              <w:bidi w:val="0"/>
              <w:adjustRightInd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①培训计划及流程安排，其中培训对象包含设备管理员、系统管理人员、操作员(医生、护士、技术员)、采购人维修技术员等；</w:t>
            </w:r>
          </w:p>
          <w:p w14:paraId="5EA1CAD5">
            <w:pPr>
              <w:keepNext w:val="0"/>
              <w:keepLines w:val="0"/>
              <w:pageBreakBefore w:val="0"/>
              <w:widowControl w:val="0"/>
              <w:kinsoku/>
              <w:wordWrap/>
              <w:overflowPunct/>
              <w:topLinePunct w:val="0"/>
              <w:autoSpaceDE/>
              <w:autoSpaceDN/>
              <w:bidi w:val="0"/>
              <w:adjustRightInd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②培训课程及内容，包括但不限于培训内容、培训方式、培训教材、培训时间等；</w:t>
            </w:r>
          </w:p>
          <w:p w14:paraId="2D0B76ED">
            <w:pPr>
              <w:keepNext w:val="0"/>
              <w:keepLines w:val="0"/>
              <w:pageBreakBefore w:val="0"/>
              <w:widowControl w:val="0"/>
              <w:kinsoku/>
              <w:wordWrap/>
              <w:overflowPunct/>
              <w:topLinePunct w:val="0"/>
              <w:autoSpaceDE/>
              <w:autoSpaceDN/>
              <w:bidi w:val="0"/>
              <w:adjustRightInd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③培训评估与改进，包括但不限于培训效果跟踪、反馈机制等。</w:t>
            </w:r>
          </w:p>
          <w:p w14:paraId="396EF0E2">
            <w:pPr>
              <w:keepNext w:val="0"/>
              <w:keepLines w:val="0"/>
              <w:pageBreakBefore w:val="0"/>
              <w:widowControl w:val="0"/>
              <w:kinsoku/>
              <w:wordWrap/>
              <w:overflowPunct/>
              <w:topLinePunct w:val="0"/>
              <w:autoSpaceDE/>
              <w:autoSpaceDN/>
              <w:bidi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注：①-③项，每项得4分(每项基础分为4分，其中，科学合理内容完整(1.5分)、对应本项目要求(1.5分)、有利于项目顺利实施（1分）、内容缺项或不对应(0分)，满分12分。</w:t>
            </w:r>
          </w:p>
        </w:tc>
      </w:tr>
      <w:tr w14:paraId="6745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2" w:type="dxa"/>
            <w:vMerge w:val="continue"/>
            <w:noWrap w:val="0"/>
            <w:vAlign w:val="center"/>
          </w:tcPr>
          <w:p w14:paraId="13C29897">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1"/>
                <w:szCs w:val="21"/>
                <w:highlight w:val="none"/>
              </w:rPr>
            </w:pPr>
          </w:p>
        </w:tc>
        <w:tc>
          <w:tcPr>
            <w:tcW w:w="1711" w:type="dxa"/>
            <w:vMerge w:val="continue"/>
            <w:noWrap w:val="0"/>
            <w:vAlign w:val="center"/>
          </w:tcPr>
          <w:p w14:paraId="73F819E6">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color w:val="auto"/>
                <w:sz w:val="21"/>
                <w:szCs w:val="21"/>
                <w:highlight w:val="none"/>
              </w:rPr>
            </w:pPr>
          </w:p>
        </w:tc>
        <w:tc>
          <w:tcPr>
            <w:tcW w:w="1905" w:type="dxa"/>
            <w:noWrap w:val="0"/>
            <w:vAlign w:val="center"/>
          </w:tcPr>
          <w:p w14:paraId="28CD006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）综合实力分</w:t>
            </w:r>
          </w:p>
          <w:p w14:paraId="21CBD6E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rPr>
              <w:t>分）</w:t>
            </w:r>
          </w:p>
          <w:p w14:paraId="351B0C6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highlight w:val="none"/>
                <w:lang w:val="en-US" w:eastAsia="zh-CN" w:bidi="ar-SA"/>
              </w:rPr>
            </w:pPr>
          </w:p>
        </w:tc>
        <w:tc>
          <w:tcPr>
            <w:tcW w:w="5277" w:type="dxa"/>
            <w:noWrap w:val="0"/>
            <w:vAlign w:val="center"/>
          </w:tcPr>
          <w:p w14:paraId="1860547A">
            <w:pPr>
              <w:pStyle w:val="24"/>
              <w:keepNext w:val="0"/>
              <w:keepLines w:val="0"/>
              <w:pageBreakBefore w:val="0"/>
              <w:numPr>
                <w:ilvl w:val="0"/>
                <w:numId w:val="8"/>
              </w:numPr>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val="en-US" w:eastAsia="zh-CN"/>
              </w:rPr>
              <w:t>投标人或</w:t>
            </w:r>
            <w:r>
              <w:rPr>
                <w:rFonts w:hint="eastAsia" w:ascii="宋体" w:hAnsi="宋体" w:eastAsia="宋体" w:cs="宋体"/>
                <w:bCs/>
                <w:color w:val="auto"/>
                <w:kern w:val="2"/>
                <w:sz w:val="21"/>
                <w:szCs w:val="21"/>
                <w:highlight w:val="none"/>
              </w:rPr>
              <w:t>产品制造商具有</w:t>
            </w:r>
            <w:r>
              <w:rPr>
                <w:rFonts w:hint="eastAsia" w:ascii="宋体" w:hAnsi="宋体" w:eastAsia="宋体" w:cs="宋体"/>
                <w:bCs/>
                <w:color w:val="auto"/>
                <w:kern w:val="2"/>
                <w:sz w:val="21"/>
                <w:szCs w:val="21"/>
                <w:highlight w:val="none"/>
                <w:lang w:eastAsia="zh-CN"/>
              </w:rPr>
              <w:t>ISO27001信息安全体系认证、ISO20000IT服务管理体系认证证书、知识产权管理体系认证证书。每提供1项认证证书的得</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分，最多得</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eastAsia="zh-CN"/>
              </w:rPr>
              <w:t>分。</w:t>
            </w:r>
          </w:p>
          <w:p w14:paraId="79A131E9">
            <w:pPr>
              <w:pStyle w:val="24"/>
              <w:keepNext w:val="0"/>
              <w:keepLines w:val="0"/>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以上认证均须在有效期范围，且发证机关网站未公布为暂停状态方可有效。</w:t>
            </w:r>
          </w:p>
          <w:p w14:paraId="4A2BBEDD">
            <w:pPr>
              <w:pStyle w:val="24"/>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注：须在投标文件中提供相关证书扫描件或复印件并加盖投标人公章，不提供不得分。</w:t>
            </w:r>
          </w:p>
        </w:tc>
      </w:tr>
      <w:tr w14:paraId="05E6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2" w:type="dxa"/>
            <w:vMerge w:val="continue"/>
            <w:noWrap w:val="0"/>
            <w:vAlign w:val="center"/>
          </w:tcPr>
          <w:p w14:paraId="081E0312">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1"/>
                <w:szCs w:val="21"/>
                <w:highlight w:val="none"/>
              </w:rPr>
            </w:pPr>
          </w:p>
        </w:tc>
        <w:tc>
          <w:tcPr>
            <w:tcW w:w="1711" w:type="dxa"/>
            <w:vMerge w:val="continue"/>
            <w:noWrap w:val="0"/>
            <w:vAlign w:val="center"/>
          </w:tcPr>
          <w:p w14:paraId="7372F930">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color w:val="auto"/>
                <w:sz w:val="21"/>
                <w:szCs w:val="21"/>
                <w:highlight w:val="none"/>
              </w:rPr>
            </w:pPr>
          </w:p>
        </w:tc>
        <w:tc>
          <w:tcPr>
            <w:tcW w:w="1905" w:type="dxa"/>
            <w:noWrap w:val="0"/>
            <w:vAlign w:val="center"/>
          </w:tcPr>
          <w:p w14:paraId="536721B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）政策分</w:t>
            </w:r>
          </w:p>
          <w:p w14:paraId="4B925DB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分）</w:t>
            </w:r>
          </w:p>
          <w:p w14:paraId="0933399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highlight w:val="none"/>
              </w:rPr>
            </w:pPr>
          </w:p>
        </w:tc>
        <w:tc>
          <w:tcPr>
            <w:tcW w:w="5277" w:type="dxa"/>
            <w:noWrap w:val="0"/>
            <w:vAlign w:val="center"/>
          </w:tcPr>
          <w:p w14:paraId="7FD3F8CB">
            <w:pPr>
              <w:pStyle w:val="24"/>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（1）属于财政部《节能产品政府采购品目清单》内优先采购（清单内未标注“★”的品目）的产品[投标文件中提供有效的认证证书复印件及品目清单（标注出投标产品在品目清单中所</w:t>
            </w:r>
            <w:bookmarkStart w:id="167" w:name="_GoBack"/>
            <w:bookmarkEnd w:id="167"/>
            <w:r>
              <w:rPr>
                <w:rFonts w:hint="eastAsia" w:ascii="宋体" w:hAnsi="宋体" w:eastAsia="宋体" w:cs="宋体"/>
                <w:bCs/>
                <w:color w:val="auto"/>
                <w:kern w:val="2"/>
                <w:sz w:val="21"/>
                <w:szCs w:val="21"/>
                <w:highlight w:val="none"/>
              </w:rPr>
              <w:t>属的品目），并加盖投标人公章]，根据其所占项目（或者分标）</w:t>
            </w:r>
            <w:r>
              <w:rPr>
                <w:rFonts w:hint="eastAsia" w:ascii="宋体" w:hAnsi="宋体" w:eastAsia="宋体" w:cs="宋体"/>
                <w:bCs/>
                <w:color w:val="auto"/>
                <w:kern w:val="2"/>
                <w:sz w:val="21"/>
                <w:szCs w:val="21"/>
                <w:highlight w:val="none"/>
                <w:lang w:val="en-US" w:eastAsia="zh-CN"/>
              </w:rPr>
              <w:t>投标报价</w:t>
            </w:r>
            <w:r>
              <w:rPr>
                <w:rFonts w:hint="eastAsia" w:ascii="宋体" w:hAnsi="宋体" w:eastAsia="宋体" w:cs="宋体"/>
                <w:bCs/>
                <w:color w:val="auto"/>
                <w:kern w:val="2"/>
                <w:sz w:val="21"/>
                <w:szCs w:val="21"/>
                <w:highlight w:val="none"/>
              </w:rPr>
              <w:t>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ascii="宋体" w:hAnsi="宋体" w:eastAsia="宋体" w:cs="宋体"/>
                <w:bCs/>
                <w:color w:val="auto"/>
                <w:kern w:val="2"/>
                <w:sz w:val="21"/>
                <w:szCs w:val="21"/>
                <w:highlight w:val="none"/>
                <w:u w:val="single"/>
                <w:lang w:val="en-US" w:eastAsia="zh-CN"/>
              </w:rPr>
              <w:t>0.5</w:t>
            </w:r>
            <w:r>
              <w:rPr>
                <w:rFonts w:hint="eastAsia" w:ascii="宋体" w:hAnsi="宋体" w:eastAsia="宋体" w:cs="宋体"/>
                <w:bCs/>
                <w:color w:val="auto"/>
                <w:kern w:val="2"/>
                <w:sz w:val="21"/>
                <w:szCs w:val="21"/>
                <w:highlight w:val="none"/>
              </w:rPr>
              <w:t>分，满分</w:t>
            </w:r>
            <w:r>
              <w:rPr>
                <w:rFonts w:hint="eastAsia" w:ascii="宋体" w:hAnsi="宋体" w:eastAsia="宋体" w:cs="宋体"/>
                <w:bCs/>
                <w:color w:val="auto"/>
                <w:kern w:val="2"/>
                <w:sz w:val="21"/>
                <w:szCs w:val="21"/>
                <w:highlight w:val="none"/>
                <w:u w:val="single"/>
                <w:lang w:val="en-US" w:eastAsia="zh-CN"/>
              </w:rPr>
              <w:t>0.5</w:t>
            </w:r>
            <w:r>
              <w:rPr>
                <w:rFonts w:hint="eastAsia" w:ascii="宋体" w:hAnsi="宋体" w:eastAsia="宋体" w:cs="宋体"/>
                <w:bCs/>
                <w:color w:val="auto"/>
                <w:kern w:val="2"/>
                <w:sz w:val="21"/>
                <w:szCs w:val="21"/>
                <w:highlight w:val="none"/>
              </w:rPr>
              <w:t>分。</w:t>
            </w:r>
          </w:p>
          <w:p w14:paraId="77014A78">
            <w:pPr>
              <w:pStyle w:val="24"/>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（2）属于财政部《环境标志产品政府采购品目清单》内的产品[投标文件中提供有效的认证证书复印件及品目清单（标注出投标产品在品目清单中所属的品目），并加盖投标人公章]，根据其所占项目（或者分标）</w:t>
            </w:r>
            <w:r>
              <w:rPr>
                <w:rFonts w:hint="eastAsia" w:ascii="宋体" w:hAnsi="宋体" w:eastAsia="宋体" w:cs="宋体"/>
                <w:bCs/>
                <w:color w:val="auto"/>
                <w:kern w:val="2"/>
                <w:sz w:val="21"/>
                <w:szCs w:val="21"/>
                <w:highlight w:val="none"/>
                <w:lang w:val="en-US" w:eastAsia="zh-CN"/>
              </w:rPr>
              <w:t>投标报价</w:t>
            </w:r>
            <w:r>
              <w:rPr>
                <w:rFonts w:hint="eastAsia" w:ascii="宋体" w:hAnsi="宋体" w:eastAsia="宋体" w:cs="宋体"/>
                <w:bCs/>
                <w:color w:val="auto"/>
                <w:kern w:val="2"/>
                <w:sz w:val="21"/>
                <w:szCs w:val="21"/>
                <w:highlight w:val="none"/>
              </w:rPr>
              <w:t>比例得</w:t>
            </w:r>
            <w:r>
              <w:rPr>
                <w:rFonts w:hint="eastAsia" w:ascii="宋体" w:hAnsi="宋体" w:eastAsia="宋体" w:cs="宋体"/>
                <w:bCs/>
                <w:color w:val="auto"/>
                <w:kern w:val="2"/>
                <w:sz w:val="21"/>
                <w:szCs w:val="21"/>
                <w:highlight w:val="none"/>
                <w:u w:val="single"/>
              </w:rPr>
              <w:t>0</w:t>
            </w:r>
            <w:r>
              <w:rPr>
                <w:rFonts w:hint="eastAsia" w:ascii="宋体" w:hAnsi="宋体" w:eastAsia="宋体" w:cs="宋体"/>
                <w:bCs/>
                <w:color w:val="auto"/>
                <w:kern w:val="2"/>
                <w:sz w:val="21"/>
                <w:szCs w:val="21"/>
                <w:highlight w:val="none"/>
              </w:rPr>
              <w:t>至</w:t>
            </w:r>
            <w:r>
              <w:rPr>
                <w:rFonts w:hint="eastAsia" w:ascii="宋体" w:hAnsi="宋体" w:eastAsia="宋体" w:cs="宋体"/>
                <w:bCs/>
                <w:color w:val="auto"/>
                <w:kern w:val="2"/>
                <w:sz w:val="21"/>
                <w:szCs w:val="21"/>
                <w:highlight w:val="none"/>
                <w:u w:val="single"/>
                <w:lang w:val="en-US" w:eastAsia="zh-CN"/>
              </w:rPr>
              <w:t>0.5</w:t>
            </w:r>
            <w:r>
              <w:rPr>
                <w:rFonts w:hint="eastAsia" w:ascii="宋体" w:hAnsi="宋体" w:eastAsia="宋体" w:cs="宋体"/>
                <w:bCs/>
                <w:color w:val="auto"/>
                <w:kern w:val="2"/>
                <w:sz w:val="21"/>
                <w:szCs w:val="21"/>
                <w:highlight w:val="none"/>
              </w:rPr>
              <w:t>分，满分</w:t>
            </w:r>
            <w:r>
              <w:rPr>
                <w:rFonts w:hint="eastAsia" w:ascii="宋体" w:hAnsi="宋体" w:eastAsia="宋体" w:cs="宋体"/>
                <w:bCs/>
                <w:color w:val="auto"/>
                <w:kern w:val="2"/>
                <w:sz w:val="21"/>
                <w:szCs w:val="21"/>
                <w:highlight w:val="none"/>
                <w:u w:val="single"/>
                <w:lang w:val="en-US" w:eastAsia="zh-CN"/>
              </w:rPr>
              <w:t>0.5</w:t>
            </w:r>
            <w:r>
              <w:rPr>
                <w:rFonts w:hint="eastAsia" w:ascii="宋体" w:hAnsi="宋体" w:eastAsia="宋体" w:cs="宋体"/>
                <w:bCs/>
                <w:color w:val="auto"/>
                <w:kern w:val="2"/>
                <w:sz w:val="21"/>
                <w:szCs w:val="21"/>
                <w:highlight w:val="none"/>
              </w:rPr>
              <w:t>分；</w:t>
            </w:r>
          </w:p>
          <w:p w14:paraId="3B9C8BE5">
            <w:pPr>
              <w:pStyle w:val="24"/>
              <w:keepNext w:val="0"/>
              <w:keepLines w:val="0"/>
              <w:pageBreakBefore w:val="0"/>
              <w:kinsoku/>
              <w:wordWrap/>
              <w:overflowPunct/>
              <w:topLinePunct w:val="0"/>
              <w:autoSpaceDE/>
              <w:autoSpaceDN/>
              <w:bidi w:val="0"/>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Cs/>
                <w:color w:val="auto"/>
                <w:sz w:val="21"/>
                <w:szCs w:val="21"/>
                <w:highlight w:val="none"/>
              </w:rPr>
              <w:t>以上（1）（2）分值计算公式列举说明，如某投标人属于优先采购环境标志产品总值占本投标报价的比例为35.6%，那该项得分为</w:t>
            </w:r>
            <w:r>
              <w:rPr>
                <w:rFonts w:hint="eastAsia" w:ascii="宋体" w:hAnsi="宋体" w:eastAsia="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×0.356=0.</w:t>
            </w:r>
            <w:r>
              <w:rPr>
                <w:rFonts w:hint="eastAsia" w:ascii="宋体" w:hAnsi="宋体" w:eastAsia="宋体" w:cs="宋体"/>
                <w:bCs/>
                <w:color w:val="auto"/>
                <w:sz w:val="21"/>
                <w:szCs w:val="21"/>
                <w:highlight w:val="none"/>
                <w:lang w:val="en-US" w:eastAsia="zh-CN"/>
              </w:rPr>
              <w:t>178</w:t>
            </w:r>
            <w:r>
              <w:rPr>
                <w:rFonts w:hint="eastAsia" w:ascii="宋体" w:hAnsi="宋体" w:eastAsia="宋体" w:cs="宋体"/>
                <w:bCs/>
                <w:color w:val="auto"/>
                <w:sz w:val="21"/>
                <w:szCs w:val="21"/>
                <w:highlight w:val="none"/>
              </w:rPr>
              <w:t>分；</w:t>
            </w:r>
          </w:p>
          <w:p w14:paraId="08E94070">
            <w:pPr>
              <w:pStyle w:val="24"/>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rPr>
              <w:t>（3）非节能、环境标志产品的不得分。</w:t>
            </w:r>
          </w:p>
        </w:tc>
      </w:tr>
      <w:tr w14:paraId="443E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5" w:type="dxa"/>
            <w:gridSpan w:val="4"/>
            <w:noWrap w:val="0"/>
            <w:vAlign w:val="center"/>
          </w:tcPr>
          <w:p w14:paraId="5BC1B2ED">
            <w:pPr>
              <w:pStyle w:val="24"/>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总得分为以上各项评审因素得分合计。</w:t>
            </w:r>
          </w:p>
        </w:tc>
      </w:tr>
    </w:tbl>
    <w:p w14:paraId="00D7A7A2">
      <w:pPr>
        <w:pStyle w:val="24"/>
        <w:spacing w:line="360" w:lineRule="auto"/>
        <w:rPr>
          <w:rFonts w:hint="eastAsia" w:hAnsi="宋体"/>
          <w:bCs/>
          <w:color w:val="auto"/>
          <w:sz w:val="21"/>
          <w:highlight w:val="none"/>
        </w:rPr>
      </w:pPr>
    </w:p>
    <w:p w14:paraId="6AE758B8">
      <w:pPr>
        <w:pStyle w:val="24"/>
        <w:spacing w:line="360" w:lineRule="auto"/>
        <w:ind w:firstLine="420"/>
        <w:rPr>
          <w:rFonts w:hint="eastAsia" w:hAnsi="宋体"/>
          <w:bCs/>
          <w:color w:val="auto"/>
          <w:sz w:val="21"/>
          <w:highlight w:val="none"/>
        </w:rPr>
      </w:pPr>
      <w:r>
        <w:rPr>
          <w:rFonts w:hint="eastAsia" w:hAnsi="宋体"/>
          <w:bCs/>
          <w:color w:val="auto"/>
          <w:sz w:val="21"/>
          <w:highlight w:val="none"/>
        </w:rPr>
        <w:t>注：计分方法按四舍五入取至百分位</w:t>
      </w:r>
    </w:p>
    <w:p w14:paraId="2136EB14">
      <w:pPr>
        <w:pStyle w:val="24"/>
        <w:spacing w:line="360" w:lineRule="auto"/>
        <w:rPr>
          <w:rFonts w:hint="eastAsia" w:hAnsi="宋体"/>
          <w:bCs/>
          <w:color w:val="auto"/>
          <w:sz w:val="21"/>
          <w:highlight w:val="none"/>
        </w:rPr>
      </w:pPr>
      <w:r>
        <w:rPr>
          <w:color w:val="auto"/>
          <w:highlight w:val="none"/>
        </w:rPr>
        <w:br w:type="page"/>
      </w:r>
    </w:p>
    <w:p w14:paraId="2CA4FB21">
      <w:pPr>
        <w:pStyle w:val="4"/>
        <w:keepNext w:val="0"/>
        <w:keepLines w:val="0"/>
        <w:jc w:val="center"/>
        <w:rPr>
          <w:color w:val="auto"/>
          <w:sz w:val="30"/>
          <w:szCs w:val="30"/>
          <w:highlight w:val="none"/>
        </w:rPr>
      </w:pPr>
      <w:r>
        <w:rPr>
          <w:rFonts w:hint="eastAsia"/>
          <w:color w:val="auto"/>
          <w:sz w:val="30"/>
          <w:szCs w:val="30"/>
          <w:highlight w:val="none"/>
        </w:rPr>
        <w:t>四、中标候选人推荐</w:t>
      </w:r>
    </w:p>
    <w:p w14:paraId="42D11590">
      <w:pPr>
        <w:pStyle w:val="24"/>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综合评分法</w:t>
      </w:r>
    </w:p>
    <w:p w14:paraId="345CCDE2">
      <w:pPr>
        <w:pStyle w:val="24"/>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4CEEBCB3">
      <w:pPr>
        <w:pStyle w:val="24"/>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56FEB691">
      <w:pPr>
        <w:spacing w:before="120" w:beforeLines="50" w:after="120" w:afterLines="50" w:line="400" w:lineRule="exact"/>
        <w:rPr>
          <w:rFonts w:hint="eastAsia" w:ascii="宋体" w:hAnsi="宋体"/>
          <w:b/>
          <w:color w:val="auto"/>
          <w:sz w:val="24"/>
          <w:highlight w:val="none"/>
        </w:rPr>
      </w:pPr>
    </w:p>
    <w:p w14:paraId="25A1B730">
      <w:pPr>
        <w:spacing w:before="120" w:beforeLines="50" w:after="120" w:afterLines="50" w:line="400" w:lineRule="exact"/>
        <w:rPr>
          <w:rFonts w:hint="eastAsia" w:ascii="宋体" w:hAnsi="宋体"/>
          <w:b/>
          <w:color w:val="auto"/>
          <w:sz w:val="24"/>
          <w:highlight w:val="none"/>
        </w:rPr>
      </w:pPr>
    </w:p>
    <w:p w14:paraId="6D2AFDC9">
      <w:pPr>
        <w:spacing w:before="120" w:beforeLines="50" w:after="120" w:afterLines="50" w:line="400" w:lineRule="exact"/>
        <w:rPr>
          <w:rFonts w:hint="eastAsia" w:ascii="宋体" w:hAnsi="宋体"/>
          <w:b/>
          <w:color w:val="auto"/>
          <w:sz w:val="24"/>
          <w:highlight w:val="none"/>
        </w:rPr>
      </w:pPr>
    </w:p>
    <w:p w14:paraId="71714B02">
      <w:pPr>
        <w:spacing w:before="120" w:beforeLines="50" w:after="120" w:afterLines="50" w:line="400" w:lineRule="exact"/>
        <w:rPr>
          <w:rFonts w:hint="eastAsia" w:ascii="宋体" w:hAnsi="宋体"/>
          <w:b/>
          <w:color w:val="auto"/>
          <w:sz w:val="24"/>
          <w:highlight w:val="none"/>
        </w:rPr>
      </w:pPr>
    </w:p>
    <w:p w14:paraId="25EAB7EF">
      <w:pPr>
        <w:spacing w:before="120" w:beforeLines="50" w:after="120" w:afterLines="50" w:line="400" w:lineRule="exact"/>
        <w:rPr>
          <w:rFonts w:hint="eastAsia" w:ascii="宋体" w:hAnsi="宋体"/>
          <w:b/>
          <w:color w:val="auto"/>
          <w:sz w:val="24"/>
          <w:highlight w:val="none"/>
        </w:rPr>
      </w:pPr>
    </w:p>
    <w:p w14:paraId="563C9892">
      <w:pPr>
        <w:spacing w:before="120" w:beforeLines="50" w:after="120" w:afterLines="50" w:line="400" w:lineRule="exact"/>
        <w:rPr>
          <w:rFonts w:hint="eastAsia" w:ascii="宋体" w:hAnsi="宋体"/>
          <w:b/>
          <w:color w:val="auto"/>
          <w:sz w:val="24"/>
          <w:highlight w:val="none"/>
        </w:rPr>
      </w:pPr>
    </w:p>
    <w:p w14:paraId="7E04C1BB">
      <w:pPr>
        <w:spacing w:before="120" w:beforeLines="50" w:after="120" w:afterLines="50" w:line="400" w:lineRule="exact"/>
        <w:rPr>
          <w:rFonts w:hint="eastAsia" w:ascii="宋体" w:hAnsi="宋体"/>
          <w:b/>
          <w:color w:val="auto"/>
          <w:sz w:val="24"/>
          <w:highlight w:val="none"/>
        </w:rPr>
      </w:pPr>
    </w:p>
    <w:p w14:paraId="0500BF19">
      <w:pPr>
        <w:spacing w:before="120" w:beforeLines="50" w:after="120" w:afterLines="50" w:line="400" w:lineRule="exact"/>
        <w:rPr>
          <w:rFonts w:hint="eastAsia" w:ascii="宋体" w:hAnsi="宋体"/>
          <w:b/>
          <w:color w:val="auto"/>
          <w:sz w:val="24"/>
          <w:highlight w:val="none"/>
        </w:rPr>
      </w:pPr>
    </w:p>
    <w:p w14:paraId="3AF09F23">
      <w:pPr>
        <w:spacing w:before="120" w:beforeLines="50" w:after="120" w:afterLines="50" w:line="400" w:lineRule="exact"/>
        <w:rPr>
          <w:rFonts w:hint="eastAsia" w:ascii="宋体" w:hAnsi="宋体"/>
          <w:b/>
          <w:color w:val="auto"/>
          <w:sz w:val="24"/>
          <w:highlight w:val="none"/>
        </w:rPr>
      </w:pPr>
    </w:p>
    <w:p w14:paraId="18C4F681">
      <w:pPr>
        <w:spacing w:before="120" w:beforeLines="50" w:after="120" w:afterLines="50" w:line="400" w:lineRule="exact"/>
        <w:rPr>
          <w:rFonts w:hint="eastAsia" w:ascii="宋体" w:hAnsi="宋体"/>
          <w:b/>
          <w:color w:val="auto"/>
          <w:sz w:val="24"/>
          <w:highlight w:val="none"/>
        </w:rPr>
      </w:pPr>
    </w:p>
    <w:p w14:paraId="7D72131E">
      <w:pPr>
        <w:pStyle w:val="3"/>
        <w:keepNext w:val="0"/>
        <w:keepLines w:val="0"/>
        <w:jc w:val="center"/>
        <w:rPr>
          <w:rFonts w:hint="eastAsia"/>
          <w:color w:val="auto"/>
          <w:highlight w:val="none"/>
        </w:rPr>
      </w:pPr>
      <w:r>
        <w:rPr>
          <w:color w:val="auto"/>
          <w:highlight w:val="none"/>
        </w:rPr>
        <w:br w:type="page"/>
      </w:r>
    </w:p>
    <w:p w14:paraId="5A391335">
      <w:pPr>
        <w:pStyle w:val="3"/>
        <w:keepNext w:val="0"/>
        <w:keepLines w:val="0"/>
        <w:jc w:val="center"/>
        <w:rPr>
          <w:rFonts w:hint="eastAsia"/>
          <w:color w:val="auto"/>
          <w:highlight w:val="none"/>
        </w:rPr>
      </w:pPr>
    </w:p>
    <w:p w14:paraId="3D3B6984">
      <w:pPr>
        <w:pStyle w:val="3"/>
        <w:keepNext w:val="0"/>
        <w:keepLines w:val="0"/>
        <w:jc w:val="center"/>
        <w:rPr>
          <w:rFonts w:hint="eastAsia"/>
          <w:color w:val="auto"/>
          <w:highlight w:val="none"/>
        </w:rPr>
      </w:pPr>
    </w:p>
    <w:p w14:paraId="323660F3">
      <w:pPr>
        <w:pStyle w:val="3"/>
        <w:keepNext w:val="0"/>
        <w:keepLines w:val="0"/>
        <w:jc w:val="center"/>
        <w:rPr>
          <w:rFonts w:hint="eastAsia"/>
          <w:color w:val="auto"/>
          <w:highlight w:val="none"/>
        </w:rPr>
      </w:pPr>
    </w:p>
    <w:p w14:paraId="0B98BAAC">
      <w:pPr>
        <w:pStyle w:val="3"/>
        <w:keepNext w:val="0"/>
        <w:keepLines w:val="0"/>
        <w:jc w:val="center"/>
        <w:rPr>
          <w:rFonts w:hint="eastAsia"/>
          <w:color w:val="auto"/>
          <w:highlight w:val="none"/>
        </w:rPr>
      </w:pPr>
    </w:p>
    <w:p w14:paraId="228454BB">
      <w:pPr>
        <w:pStyle w:val="3"/>
        <w:keepNext w:val="0"/>
        <w:keepLines w:val="0"/>
        <w:jc w:val="center"/>
        <w:rPr>
          <w:rFonts w:hint="eastAsia"/>
          <w:color w:val="auto"/>
          <w:highlight w:val="none"/>
        </w:rPr>
      </w:pPr>
    </w:p>
    <w:p w14:paraId="51232C5C">
      <w:pPr>
        <w:pStyle w:val="3"/>
        <w:keepNext w:val="0"/>
        <w:keepLines w:val="0"/>
        <w:jc w:val="center"/>
        <w:rPr>
          <w:rFonts w:hint="eastAsia"/>
          <w:color w:val="auto"/>
          <w:highlight w:val="none"/>
        </w:rPr>
      </w:pPr>
    </w:p>
    <w:p w14:paraId="74BCDF21">
      <w:pPr>
        <w:pStyle w:val="2"/>
        <w:jc w:val="center"/>
        <w:rPr>
          <w:rFonts w:hint="eastAsia"/>
          <w:color w:val="auto"/>
          <w:highlight w:val="none"/>
        </w:rPr>
      </w:pPr>
      <w:bookmarkStart w:id="156" w:name="_Toc74320804"/>
      <w:r>
        <w:rPr>
          <w:rFonts w:hint="eastAsia"/>
          <w:color w:val="auto"/>
          <w:highlight w:val="none"/>
        </w:rPr>
        <w:t>第五章  拟签订的合同文本</w:t>
      </w:r>
      <w:bookmarkEnd w:id="156"/>
    </w:p>
    <w:p w14:paraId="72B06BBE">
      <w:pPr>
        <w:snapToGrid w:val="0"/>
        <w:jc w:val="center"/>
        <w:rPr>
          <w:rFonts w:hint="eastAsia" w:ascii="宋体" w:hAnsi="宋体"/>
          <w:bCs/>
          <w:color w:val="auto"/>
          <w:sz w:val="32"/>
          <w:szCs w:val="32"/>
          <w:highlight w:val="none"/>
        </w:rPr>
      </w:pPr>
    </w:p>
    <w:p w14:paraId="62624E7D">
      <w:pPr>
        <w:snapToGrid w:val="0"/>
        <w:jc w:val="center"/>
        <w:rPr>
          <w:rFonts w:hint="eastAsia" w:ascii="宋体" w:hAnsi="宋体"/>
          <w:bCs/>
          <w:color w:val="auto"/>
          <w:sz w:val="32"/>
          <w:szCs w:val="32"/>
          <w:highlight w:val="none"/>
        </w:rPr>
      </w:pPr>
    </w:p>
    <w:p w14:paraId="53489479">
      <w:pPr>
        <w:snapToGrid w:val="0"/>
        <w:jc w:val="center"/>
        <w:rPr>
          <w:rFonts w:hint="eastAsia" w:ascii="宋体" w:hAnsi="宋体"/>
          <w:bCs/>
          <w:color w:val="auto"/>
          <w:sz w:val="32"/>
          <w:szCs w:val="32"/>
          <w:highlight w:val="none"/>
        </w:rPr>
      </w:pPr>
    </w:p>
    <w:p w14:paraId="4D74621E">
      <w:pPr>
        <w:snapToGrid w:val="0"/>
        <w:jc w:val="center"/>
        <w:rPr>
          <w:rFonts w:hint="eastAsia" w:ascii="宋体" w:hAnsi="宋体"/>
          <w:bCs/>
          <w:color w:val="auto"/>
          <w:sz w:val="32"/>
          <w:szCs w:val="32"/>
          <w:highlight w:val="none"/>
        </w:rPr>
      </w:pPr>
    </w:p>
    <w:p w14:paraId="657970E9">
      <w:pPr>
        <w:snapToGrid w:val="0"/>
        <w:jc w:val="center"/>
        <w:rPr>
          <w:rFonts w:hint="eastAsia" w:ascii="宋体" w:hAnsi="宋体"/>
          <w:bCs/>
          <w:color w:val="auto"/>
          <w:sz w:val="32"/>
          <w:szCs w:val="32"/>
          <w:highlight w:val="none"/>
        </w:rPr>
      </w:pPr>
    </w:p>
    <w:p w14:paraId="798F798C">
      <w:pPr>
        <w:snapToGrid w:val="0"/>
        <w:jc w:val="center"/>
        <w:rPr>
          <w:rFonts w:hint="eastAsia" w:ascii="宋体" w:hAnsi="宋体"/>
          <w:bCs/>
          <w:color w:val="auto"/>
          <w:sz w:val="32"/>
          <w:szCs w:val="32"/>
          <w:highlight w:val="none"/>
        </w:rPr>
      </w:pPr>
    </w:p>
    <w:p w14:paraId="78519719">
      <w:pPr>
        <w:snapToGrid w:val="0"/>
        <w:jc w:val="center"/>
        <w:rPr>
          <w:rFonts w:hint="eastAsia" w:ascii="宋体" w:hAnsi="宋体"/>
          <w:bCs/>
          <w:color w:val="auto"/>
          <w:sz w:val="32"/>
          <w:szCs w:val="32"/>
          <w:highlight w:val="none"/>
        </w:rPr>
      </w:pPr>
    </w:p>
    <w:p w14:paraId="5166466A">
      <w:pPr>
        <w:snapToGrid w:val="0"/>
        <w:jc w:val="center"/>
        <w:rPr>
          <w:rFonts w:hint="eastAsia" w:ascii="宋体" w:hAnsi="宋体"/>
          <w:bCs/>
          <w:color w:val="auto"/>
          <w:sz w:val="32"/>
          <w:szCs w:val="32"/>
          <w:highlight w:val="none"/>
        </w:rPr>
      </w:pPr>
    </w:p>
    <w:p w14:paraId="27F27EEA">
      <w:pPr>
        <w:snapToGrid w:val="0"/>
        <w:jc w:val="center"/>
        <w:rPr>
          <w:rFonts w:hint="eastAsia" w:ascii="宋体" w:hAnsi="宋体"/>
          <w:bCs/>
          <w:color w:val="auto"/>
          <w:sz w:val="32"/>
          <w:szCs w:val="32"/>
          <w:highlight w:val="none"/>
        </w:rPr>
      </w:pPr>
    </w:p>
    <w:p w14:paraId="5FAFF67C">
      <w:pPr>
        <w:snapToGrid w:val="0"/>
        <w:jc w:val="center"/>
        <w:rPr>
          <w:rFonts w:hint="eastAsia" w:ascii="宋体" w:hAnsi="宋体"/>
          <w:bCs/>
          <w:color w:val="auto"/>
          <w:sz w:val="32"/>
          <w:szCs w:val="32"/>
          <w:highlight w:val="none"/>
        </w:rPr>
      </w:pPr>
    </w:p>
    <w:p w14:paraId="6ABA1A4F">
      <w:pPr>
        <w:snapToGrid w:val="0"/>
        <w:jc w:val="center"/>
        <w:rPr>
          <w:rFonts w:hint="eastAsia" w:ascii="宋体" w:hAnsi="宋体"/>
          <w:bCs/>
          <w:color w:val="auto"/>
          <w:sz w:val="32"/>
          <w:szCs w:val="32"/>
          <w:highlight w:val="none"/>
        </w:rPr>
      </w:pPr>
    </w:p>
    <w:p w14:paraId="5D4160C9">
      <w:pPr>
        <w:snapToGrid w:val="0"/>
        <w:rPr>
          <w:rFonts w:ascii="宋体" w:hAnsi="宋体"/>
          <w:bCs/>
          <w:color w:val="auto"/>
          <w:sz w:val="32"/>
          <w:szCs w:val="32"/>
          <w:highlight w:val="none"/>
        </w:rPr>
      </w:pPr>
      <w:bookmarkStart w:id="157" w:name="_Hlk55381736"/>
      <w:r>
        <w:rPr>
          <w:rFonts w:ascii="宋体" w:hAnsi="宋体"/>
          <w:bCs/>
          <w:color w:val="auto"/>
          <w:sz w:val="32"/>
          <w:szCs w:val="32"/>
          <w:highlight w:val="none"/>
        </w:rPr>
        <w:t xml:space="preserve"> </w:t>
      </w:r>
    </w:p>
    <w:p w14:paraId="0405AFDB">
      <w:pPr>
        <w:snapToGrid w:val="0"/>
        <w:spacing w:line="360" w:lineRule="auto"/>
        <w:ind w:firstLine="640" w:firstLineChars="200"/>
        <w:rPr>
          <w:rFonts w:ascii="宋体" w:hAnsi="宋体"/>
          <w:b/>
          <w:color w:val="auto"/>
          <w:sz w:val="32"/>
          <w:szCs w:val="32"/>
          <w:highlight w:val="none"/>
        </w:rPr>
      </w:pPr>
      <w:r>
        <w:rPr>
          <w:rFonts w:ascii="宋体" w:hAnsi="宋体"/>
          <w:bCs/>
          <w:color w:val="auto"/>
          <w:sz w:val="32"/>
          <w:szCs w:val="32"/>
          <w:highlight w:val="none"/>
        </w:rPr>
        <w:br w:type="page"/>
      </w:r>
    </w:p>
    <w:p w14:paraId="40E74B88">
      <w:pPr>
        <w:snapToGrid w:val="0"/>
        <w:spacing w:line="360" w:lineRule="auto"/>
        <w:jc w:val="center"/>
        <w:rPr>
          <w:rFonts w:hint="eastAsia" w:ascii="宋体" w:hAnsi="宋体"/>
          <w:b/>
          <w:bCs/>
          <w:color w:val="auto"/>
          <w:sz w:val="32"/>
          <w:szCs w:val="32"/>
          <w:highlight w:val="none"/>
        </w:rPr>
      </w:pPr>
    </w:p>
    <w:p w14:paraId="5FAAE09F">
      <w:pPr>
        <w:snapToGrid w:val="0"/>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6AFEB68A">
      <w:pPr>
        <w:snapToGrid w:val="0"/>
        <w:spacing w:line="360" w:lineRule="auto"/>
        <w:jc w:val="center"/>
        <w:rPr>
          <w:rFonts w:hint="eastAsia" w:ascii="宋体" w:hAnsi="宋体"/>
          <w:b/>
          <w:bCs/>
          <w:color w:val="auto"/>
          <w:sz w:val="32"/>
          <w:szCs w:val="32"/>
          <w:highlight w:val="none"/>
        </w:rPr>
      </w:pPr>
    </w:p>
    <w:p w14:paraId="6694EDEF">
      <w:pPr>
        <w:snapToGrid w:val="0"/>
        <w:spacing w:line="360" w:lineRule="auto"/>
        <w:ind w:right="480" w:firstLine="5250" w:firstLineChars="25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58A8B2BA">
      <w:pPr>
        <w:snapToGrid w:val="0"/>
        <w:spacing w:line="360" w:lineRule="auto"/>
        <w:rPr>
          <w:rFonts w:hint="eastAsia" w:ascii="宋体" w:hAnsi="宋体"/>
          <w:color w:val="auto"/>
          <w:szCs w:val="21"/>
          <w:highlight w:val="none"/>
        </w:rPr>
      </w:pPr>
    </w:p>
    <w:p w14:paraId="14121DBA">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采购人（甲方）：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41002F34">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供应商（乙方）：</w:t>
      </w:r>
      <w:r>
        <w:rPr>
          <w:rFonts w:hint="eastAsia" w:asciiTheme="minorEastAsia" w:hAnsiTheme="minorEastAsia" w:eastAsiaTheme="minorEastAsia" w:cstheme="minorEastAsia"/>
          <w:color w:val="auto"/>
          <w:sz w:val="21"/>
          <w:szCs w:val="21"/>
          <w:highlight w:val="none"/>
          <w:u w:val="single"/>
        </w:rPr>
        <w:t xml:space="preserve">                          </w:t>
      </w:r>
    </w:p>
    <w:p w14:paraId="25F17F70">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0"/>
          <w:sz w:val="21"/>
          <w:szCs w:val="21"/>
          <w:highlight w:val="none"/>
        </w:rPr>
        <w:t>采 购 计 划 号：</w:t>
      </w:r>
      <w:r>
        <w:rPr>
          <w:rFonts w:hint="eastAsia" w:asciiTheme="minorEastAsia" w:hAnsiTheme="minorEastAsia" w:eastAsiaTheme="minorEastAsia" w:cstheme="minorEastAsia"/>
          <w:color w:val="auto"/>
          <w:sz w:val="21"/>
          <w:szCs w:val="21"/>
          <w:highlight w:val="none"/>
          <w:u w:val="single"/>
        </w:rPr>
        <w:t xml:space="preserve">                         </w:t>
      </w:r>
    </w:p>
    <w:p w14:paraId="0812A847">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u w:val="single"/>
        </w:rPr>
        <w:t xml:space="preserve">                       </w:t>
      </w:r>
    </w:p>
    <w:p w14:paraId="40A38ECB">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合同类型：</w:t>
      </w:r>
      <w:r>
        <w:rPr>
          <w:rFonts w:hint="eastAsia" w:asciiTheme="minorEastAsia" w:hAnsiTheme="minorEastAsia" w:eastAsiaTheme="minorEastAsia" w:cstheme="minorEastAsia"/>
          <w:color w:val="auto"/>
          <w:sz w:val="21"/>
          <w:szCs w:val="21"/>
          <w:highlight w:val="none"/>
          <w:u w:val="single"/>
        </w:rPr>
        <w:t>买卖合同</w:t>
      </w:r>
    </w:p>
    <w:p w14:paraId="75637039">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w:t>
      </w:r>
      <w:r>
        <w:rPr>
          <w:rFonts w:hint="eastAsia" w:asciiTheme="minorEastAsia" w:hAnsiTheme="minorEastAsia" w:eastAsiaTheme="minorEastAsia" w:cstheme="minorEastAsia"/>
          <w:color w:val="auto"/>
          <w:sz w:val="21"/>
          <w:szCs w:val="21"/>
          <w:highlight w:val="none"/>
          <w:lang w:val="en-US" w:eastAsia="zh-CN"/>
        </w:rPr>
        <w:t>是否</w:t>
      </w:r>
      <w:r>
        <w:rPr>
          <w:rFonts w:hint="eastAsia" w:asciiTheme="minorEastAsia" w:hAnsiTheme="minorEastAsia" w:eastAsiaTheme="minorEastAsia" w:cstheme="minorEastAsia"/>
          <w:color w:val="auto"/>
          <w:sz w:val="21"/>
          <w:szCs w:val="21"/>
          <w:highlight w:val="none"/>
        </w:rPr>
        <w:t>为中小企业预留合同：</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是</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15185E4B">
      <w:pPr>
        <w:widowControl w:val="0"/>
        <w:spacing w:line="360" w:lineRule="auto"/>
        <w:jc w:val="both"/>
        <w:rPr>
          <w:rFonts w:hint="eastAsia" w:asciiTheme="minorEastAsia" w:hAnsiTheme="minorEastAsia" w:eastAsiaTheme="minorEastAsia" w:cstheme="minorEastAsia"/>
          <w:color w:val="auto"/>
          <w:kern w:val="0"/>
          <w:sz w:val="21"/>
          <w:szCs w:val="21"/>
          <w:highlight w:val="none"/>
          <w:lang w:val="en-US" w:eastAsia="zh-CN" w:bidi="ar-SA"/>
        </w:rPr>
      </w:pPr>
    </w:p>
    <w:p w14:paraId="44C56A9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根据《中华人民共和国政府采购法》《中华人民共和国民法典》等法律、法规规定，按照采购文件规定条款和乙方投标（竞标）承诺，甲乙双方签订本合同。</w:t>
      </w:r>
    </w:p>
    <w:p w14:paraId="659E4298">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tbl>
      <w:tblPr>
        <w:tblStyle w:val="46"/>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22A7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42275D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CB9FA5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0A6BDE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商标品牌</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5D70FC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DF5945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生产厂家</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2CBD223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  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F7FADA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69371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价</w:t>
            </w:r>
          </w:p>
          <w:p w14:paraId="4AECBB9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499FDC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w:t>
            </w:r>
          </w:p>
          <w:p w14:paraId="7FE418F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6BCB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C7158A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88C614F">
            <w:pPr>
              <w:snapToGrid w:val="0"/>
              <w:spacing w:line="360" w:lineRule="auto"/>
              <w:jc w:val="center"/>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9CBEAF5">
            <w:pPr>
              <w:snapToGrid w:val="0"/>
              <w:spacing w:line="360" w:lineRule="auto"/>
              <w:jc w:val="center"/>
              <w:rPr>
                <w:rFonts w:hint="eastAsia" w:ascii="宋体" w:hAnsi="宋体" w:eastAsia="宋体" w:cs="宋体"/>
                <w:color w:val="auto"/>
                <w:sz w:val="21"/>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892F485">
            <w:pPr>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5B44DA5">
            <w:pPr>
              <w:snapToGrid w:val="0"/>
              <w:spacing w:line="360" w:lineRule="auto"/>
              <w:jc w:val="center"/>
              <w:rPr>
                <w:rFonts w:hint="eastAsia" w:ascii="宋体" w:hAnsi="宋体" w:eastAsia="宋体" w:cs="宋体"/>
                <w:color w:val="auto"/>
                <w:sz w:val="21"/>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6989AFF8">
            <w:pPr>
              <w:snapToGrid w:val="0"/>
              <w:spacing w:line="360" w:lineRule="auto"/>
              <w:jc w:val="center"/>
              <w:rPr>
                <w:rFonts w:hint="eastAsia" w:ascii="宋体" w:hAnsi="宋体" w:eastAsia="宋体" w:cs="宋体"/>
                <w:color w:val="auto"/>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306D499D">
            <w:pPr>
              <w:snapToGrid w:val="0"/>
              <w:spacing w:line="360" w:lineRule="auto"/>
              <w:jc w:val="center"/>
              <w:rPr>
                <w:rFonts w:hint="eastAsia" w:ascii="宋体" w:hAnsi="宋体" w:eastAsia="宋体" w:cs="宋体"/>
                <w:color w:val="auto"/>
                <w:sz w:val="21"/>
                <w:szCs w:val="21"/>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0B131087">
            <w:pPr>
              <w:snapToGrid w:val="0"/>
              <w:spacing w:line="36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29498F74">
            <w:pPr>
              <w:snapToGrid w:val="0"/>
              <w:spacing w:line="360" w:lineRule="auto"/>
              <w:jc w:val="center"/>
              <w:rPr>
                <w:rFonts w:hint="eastAsia" w:ascii="宋体" w:hAnsi="宋体" w:eastAsia="宋体" w:cs="宋体"/>
                <w:color w:val="auto"/>
                <w:sz w:val="21"/>
                <w:szCs w:val="21"/>
                <w:highlight w:val="none"/>
              </w:rPr>
            </w:pPr>
          </w:p>
        </w:tc>
      </w:tr>
      <w:tr w14:paraId="7284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9EBBE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8720A76">
            <w:pPr>
              <w:snapToGrid w:val="0"/>
              <w:spacing w:line="360" w:lineRule="auto"/>
              <w:jc w:val="center"/>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48FB91A">
            <w:pPr>
              <w:snapToGrid w:val="0"/>
              <w:spacing w:line="360" w:lineRule="auto"/>
              <w:jc w:val="center"/>
              <w:rPr>
                <w:rFonts w:hint="eastAsia" w:ascii="宋体" w:hAnsi="宋体" w:eastAsia="宋体" w:cs="宋体"/>
                <w:color w:val="auto"/>
                <w:sz w:val="21"/>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AF3474C">
            <w:pPr>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CAFB17C">
            <w:pPr>
              <w:snapToGrid w:val="0"/>
              <w:spacing w:line="360" w:lineRule="auto"/>
              <w:jc w:val="center"/>
              <w:rPr>
                <w:rFonts w:hint="eastAsia" w:ascii="宋体" w:hAnsi="宋体" w:eastAsia="宋体" w:cs="宋体"/>
                <w:color w:val="auto"/>
                <w:sz w:val="21"/>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5508FF6C">
            <w:pPr>
              <w:snapToGrid w:val="0"/>
              <w:spacing w:line="360" w:lineRule="auto"/>
              <w:jc w:val="center"/>
              <w:rPr>
                <w:rFonts w:hint="eastAsia" w:ascii="宋体" w:hAnsi="宋体" w:eastAsia="宋体" w:cs="宋体"/>
                <w:color w:val="auto"/>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1D3D4646">
            <w:pPr>
              <w:snapToGrid w:val="0"/>
              <w:spacing w:line="360" w:lineRule="auto"/>
              <w:jc w:val="center"/>
              <w:rPr>
                <w:rFonts w:hint="eastAsia" w:ascii="宋体" w:hAnsi="宋体" w:eastAsia="宋体" w:cs="宋体"/>
                <w:color w:val="auto"/>
                <w:sz w:val="21"/>
                <w:szCs w:val="21"/>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21EE0680">
            <w:pPr>
              <w:snapToGrid w:val="0"/>
              <w:spacing w:line="36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554FA04">
            <w:pPr>
              <w:snapToGrid w:val="0"/>
              <w:spacing w:line="360" w:lineRule="auto"/>
              <w:jc w:val="center"/>
              <w:rPr>
                <w:rFonts w:hint="eastAsia" w:ascii="宋体" w:hAnsi="宋体" w:eastAsia="宋体" w:cs="宋体"/>
                <w:color w:val="auto"/>
                <w:sz w:val="21"/>
                <w:szCs w:val="21"/>
                <w:highlight w:val="none"/>
              </w:rPr>
            </w:pPr>
          </w:p>
        </w:tc>
      </w:tr>
      <w:tr w14:paraId="32EB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7EB74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C5C754B">
            <w:pPr>
              <w:snapToGrid w:val="0"/>
              <w:spacing w:line="360" w:lineRule="auto"/>
              <w:jc w:val="center"/>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5D021D9">
            <w:pPr>
              <w:snapToGrid w:val="0"/>
              <w:spacing w:line="360" w:lineRule="auto"/>
              <w:jc w:val="center"/>
              <w:rPr>
                <w:rFonts w:hint="eastAsia" w:ascii="宋体" w:hAnsi="宋体" w:eastAsia="宋体" w:cs="宋体"/>
                <w:color w:val="auto"/>
                <w:sz w:val="21"/>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A9BC4A3">
            <w:pPr>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6D9C33A3">
            <w:pPr>
              <w:snapToGrid w:val="0"/>
              <w:spacing w:line="360" w:lineRule="auto"/>
              <w:jc w:val="center"/>
              <w:rPr>
                <w:rFonts w:hint="eastAsia" w:ascii="宋体" w:hAnsi="宋体" w:eastAsia="宋体" w:cs="宋体"/>
                <w:color w:val="auto"/>
                <w:sz w:val="21"/>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35CFE33A">
            <w:pPr>
              <w:snapToGrid w:val="0"/>
              <w:spacing w:line="360" w:lineRule="auto"/>
              <w:jc w:val="center"/>
              <w:rPr>
                <w:rFonts w:hint="eastAsia" w:ascii="宋体" w:hAnsi="宋体" w:eastAsia="宋体" w:cs="宋体"/>
                <w:color w:val="auto"/>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1618076">
            <w:pPr>
              <w:snapToGrid w:val="0"/>
              <w:spacing w:line="360" w:lineRule="auto"/>
              <w:jc w:val="center"/>
              <w:rPr>
                <w:rFonts w:hint="eastAsia" w:ascii="宋体" w:hAnsi="宋体" w:eastAsia="宋体" w:cs="宋体"/>
                <w:color w:val="auto"/>
                <w:sz w:val="21"/>
                <w:szCs w:val="21"/>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2133F0F2">
            <w:pPr>
              <w:snapToGrid w:val="0"/>
              <w:spacing w:line="36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607DBEA">
            <w:pPr>
              <w:snapToGrid w:val="0"/>
              <w:spacing w:line="360" w:lineRule="auto"/>
              <w:jc w:val="center"/>
              <w:rPr>
                <w:rFonts w:hint="eastAsia" w:ascii="宋体" w:hAnsi="宋体" w:eastAsia="宋体" w:cs="宋体"/>
                <w:color w:val="auto"/>
                <w:sz w:val="21"/>
                <w:szCs w:val="21"/>
                <w:highlight w:val="none"/>
              </w:rPr>
            </w:pPr>
          </w:p>
        </w:tc>
      </w:tr>
      <w:tr w14:paraId="6CF7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2865A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0543881">
            <w:pPr>
              <w:snapToGrid w:val="0"/>
              <w:spacing w:line="360" w:lineRule="auto"/>
              <w:jc w:val="center"/>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8EF4414">
            <w:pPr>
              <w:snapToGrid w:val="0"/>
              <w:spacing w:line="360" w:lineRule="auto"/>
              <w:jc w:val="center"/>
              <w:rPr>
                <w:rFonts w:hint="eastAsia" w:ascii="宋体" w:hAnsi="宋体" w:eastAsia="宋体" w:cs="宋体"/>
                <w:color w:val="auto"/>
                <w:sz w:val="21"/>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C1170D8">
            <w:pPr>
              <w:snapToGrid w:val="0"/>
              <w:spacing w:line="360" w:lineRule="auto"/>
              <w:jc w:val="center"/>
              <w:rPr>
                <w:rFonts w:hint="eastAsia" w:ascii="宋体" w:hAnsi="宋体" w:eastAsia="宋体" w:cs="宋体"/>
                <w:color w:val="auto"/>
                <w:sz w:val="21"/>
                <w:szCs w:val="21"/>
                <w:highlight w:val="none"/>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4D59FDD">
            <w:pPr>
              <w:snapToGrid w:val="0"/>
              <w:spacing w:line="360" w:lineRule="auto"/>
              <w:jc w:val="center"/>
              <w:rPr>
                <w:rFonts w:hint="eastAsia" w:ascii="宋体" w:hAnsi="宋体" w:eastAsia="宋体" w:cs="宋体"/>
                <w:color w:val="auto"/>
                <w:sz w:val="21"/>
                <w:szCs w:val="21"/>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14:paraId="157AD6F7">
            <w:pPr>
              <w:snapToGrid w:val="0"/>
              <w:spacing w:line="360" w:lineRule="auto"/>
              <w:jc w:val="center"/>
              <w:rPr>
                <w:rFonts w:hint="eastAsia" w:ascii="宋体" w:hAnsi="宋体" w:eastAsia="宋体" w:cs="宋体"/>
                <w:color w:val="auto"/>
                <w:sz w:val="21"/>
                <w:szCs w:val="21"/>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573A176E">
            <w:pPr>
              <w:snapToGrid w:val="0"/>
              <w:spacing w:line="360" w:lineRule="auto"/>
              <w:jc w:val="center"/>
              <w:rPr>
                <w:rFonts w:hint="eastAsia" w:ascii="宋体" w:hAnsi="宋体" w:eastAsia="宋体" w:cs="宋体"/>
                <w:color w:val="auto"/>
                <w:sz w:val="21"/>
                <w:szCs w:val="21"/>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0A442C2D">
            <w:pPr>
              <w:snapToGrid w:val="0"/>
              <w:spacing w:line="360" w:lineRule="auto"/>
              <w:jc w:val="center"/>
              <w:rPr>
                <w:rFonts w:hint="eastAsia" w:ascii="宋体" w:hAnsi="宋体" w:eastAsia="宋体" w:cs="宋体"/>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6C9EA42F">
            <w:pPr>
              <w:snapToGrid w:val="0"/>
              <w:spacing w:line="360" w:lineRule="auto"/>
              <w:jc w:val="center"/>
              <w:rPr>
                <w:rFonts w:hint="eastAsia" w:ascii="宋体" w:hAnsi="宋体" w:eastAsia="宋体" w:cs="宋体"/>
                <w:color w:val="auto"/>
                <w:sz w:val="21"/>
                <w:szCs w:val="21"/>
                <w:highlight w:val="none"/>
              </w:rPr>
            </w:pPr>
          </w:p>
        </w:tc>
      </w:tr>
      <w:tr w14:paraId="784D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tcBorders>
              <w:top w:val="single" w:color="auto" w:sz="4" w:space="0"/>
              <w:left w:val="single" w:color="auto" w:sz="4" w:space="0"/>
              <w:bottom w:val="single" w:color="auto" w:sz="4" w:space="0"/>
              <w:right w:val="single" w:color="auto" w:sz="4" w:space="0"/>
            </w:tcBorders>
            <w:noWrap w:val="0"/>
            <w:vAlign w:val="center"/>
          </w:tcPr>
          <w:p w14:paraId="1CB1F10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合计金额（人民币）：</w:t>
            </w:r>
            <w:r>
              <w:rPr>
                <w:rFonts w:hint="eastAsia" w:ascii="宋体" w:hAnsi="宋体" w:eastAsia="宋体" w:cs="宋体"/>
                <w:color w:val="auto"/>
                <w:sz w:val="21"/>
                <w:szCs w:val="21"/>
                <w:highlight w:val="none"/>
                <w:u w:val="single"/>
              </w:rPr>
              <w:t xml:space="preserve">（大写）                          （小写）                 </w:t>
            </w:r>
          </w:p>
        </w:tc>
      </w:tr>
    </w:tbl>
    <w:p w14:paraId="79A48378">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第二条　标的质量</w:t>
      </w:r>
    </w:p>
    <w:p w14:paraId="6179B1CA">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1.乙方所提供标的的名称、商标品牌、生产厂家、规格型号、技术参数等内容必须与乙方投标文件及有关承诺相一致，且满足项目实施要求。</w:t>
      </w:r>
    </w:p>
    <w:p w14:paraId="180C2DF7">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2.乙方所提供的货物必须是全新、未使用的原装产品，且在正常安装、使用和保养条件下，其使用寿命期内各项指标均达到投标文件的承诺。</w:t>
      </w:r>
    </w:p>
    <w:p w14:paraId="066B5A86">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3.乙方提供的货物（包含但不限于配套软硬件设备及其伴随服务等；下同）必须是没有任何抵押、质押、查封或其他权利瑕疵，甲方正常使用不会侵犯任何第三方合法权益。</w:t>
      </w:r>
    </w:p>
    <w:p w14:paraId="06BC878C">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第三条　履行时间（期限）、地点和方式</w:t>
      </w:r>
    </w:p>
    <w:p w14:paraId="2ECA7329">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1.履行时间（期限）：</w:t>
      </w:r>
      <w:r>
        <w:rPr>
          <w:rFonts w:hint="eastAsia" w:ascii="宋体" w:hAnsi="宋体" w:eastAsia="宋体" w:cs="宋体"/>
          <w:b w:val="0"/>
          <w:bCs/>
          <w:color w:val="auto"/>
          <w:sz w:val="21"/>
          <w:szCs w:val="21"/>
          <w:highlight w:val="none"/>
          <w:u w:val="single"/>
        </w:rPr>
        <w:t>自签订合同之日起</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rPr>
        <w:t>天内安装调试完毕并交付使用</w:t>
      </w:r>
      <w:r>
        <w:rPr>
          <w:rFonts w:hint="eastAsia" w:ascii="宋体" w:hAnsi="宋体" w:eastAsia="宋体" w:cs="宋体"/>
          <w:b w:val="0"/>
          <w:bCs/>
          <w:color w:val="auto"/>
          <w:sz w:val="21"/>
          <w:szCs w:val="21"/>
          <w:highlight w:val="none"/>
        </w:rPr>
        <w:t>。</w:t>
      </w:r>
    </w:p>
    <w:p w14:paraId="60CCB880">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2.履行地点：</w:t>
      </w:r>
      <w:r>
        <w:rPr>
          <w:rFonts w:hint="eastAsia" w:ascii="宋体" w:hAnsi="宋体" w:eastAsia="宋体" w:cs="宋体"/>
          <w:b w:val="0"/>
          <w:bCs/>
          <w:color w:val="auto"/>
          <w:sz w:val="21"/>
          <w:szCs w:val="21"/>
          <w:highlight w:val="none"/>
          <w:u w:val="single"/>
        </w:rPr>
        <w:t xml:space="preserve">   甲方指定       </w:t>
      </w:r>
      <w:r>
        <w:rPr>
          <w:rFonts w:hint="eastAsia" w:ascii="宋体" w:hAnsi="宋体" w:eastAsia="宋体" w:cs="宋体"/>
          <w:b w:val="0"/>
          <w:bCs/>
          <w:color w:val="auto"/>
          <w:sz w:val="21"/>
          <w:szCs w:val="21"/>
          <w:highlight w:val="none"/>
        </w:rPr>
        <w:t xml:space="preserve"> </w:t>
      </w:r>
    </w:p>
    <w:p w14:paraId="6EC41636">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3.履行方式</w:t>
      </w:r>
    </w:p>
    <w:p w14:paraId="1B267B71">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（1）乙方负责货物运输，货物的运输方式：</w:t>
      </w:r>
      <w:r>
        <w:rPr>
          <w:rFonts w:hint="eastAsia" w:ascii="宋体" w:hAnsi="宋体" w:eastAsia="宋体" w:cs="宋体"/>
          <w:b w:val="0"/>
          <w:bCs/>
          <w:color w:val="auto"/>
          <w:sz w:val="21"/>
          <w:szCs w:val="21"/>
          <w:highlight w:val="none"/>
          <w:u w:val="single"/>
        </w:rPr>
        <w:t>不限，甲方不接受任何耗损。</w:t>
      </w:r>
    </w:p>
    <w:p w14:paraId="4171F6C2">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（2）交货方式</w:t>
      </w:r>
    </w:p>
    <w:p w14:paraId="126A8D23">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乙方将货物送到甲方指定地点。</w:t>
      </w:r>
    </w:p>
    <w:p w14:paraId="70E43B00">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□甲方自行到乙方指定地点提货。</w:t>
      </w:r>
    </w:p>
    <w:p w14:paraId="65F5446E">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            。</w:t>
      </w:r>
    </w:p>
    <w:p w14:paraId="7E3799E6">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第四条　包装方式</w:t>
      </w:r>
    </w:p>
    <w:p w14:paraId="27E57297">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1.乙方提供的货物均应按投标文件承诺的要求的包装材料、包装标准、包装方式进行包装。</w:t>
      </w:r>
    </w:p>
    <w:p w14:paraId="324D323B">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2.乙方应在货物发运前对其进行满足运输距离、防水、防潮、防震、防锈和防破损装卸等要求包装，以保证货物安全运达甲方指定地点。</w:t>
      </w:r>
    </w:p>
    <w:p w14:paraId="53540535">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3.货物的使用说明书（货物属于进口产品的，供货时应同时附上中文使用说明书）、质量检验证明书、质量合格证、随配附件和工具以及清单一并附于货物包装内。</w:t>
      </w:r>
    </w:p>
    <w:p w14:paraId="52BBE99A">
      <w:pPr>
        <w:snapToGrid w:val="0"/>
        <w:spacing w:line="360" w:lineRule="auto"/>
        <w:ind w:firstLine="422" w:firstLineChars="200"/>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第五条　安装和培训</w:t>
      </w:r>
    </w:p>
    <w:p w14:paraId="38325C21">
      <w:pPr>
        <w:snapToGrid w:val="0"/>
        <w:spacing w:line="360" w:lineRule="auto"/>
        <w:ind w:firstLine="420" w:firstLineChars="20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1.安装时间：</w:t>
      </w:r>
      <w:r>
        <w:rPr>
          <w:rFonts w:hint="eastAsia" w:ascii="宋体" w:hAnsi="宋体" w:eastAsia="宋体" w:cs="宋体"/>
          <w:b w:val="0"/>
          <w:bCs/>
          <w:color w:val="auto"/>
          <w:sz w:val="21"/>
          <w:szCs w:val="21"/>
          <w:highlight w:val="none"/>
          <w:u w:val="single"/>
        </w:rPr>
        <w:t>自签订合同之日起</w:t>
      </w:r>
      <w:r>
        <w:rPr>
          <w:rFonts w:hint="eastAsia" w:ascii="宋体" w:hAnsi="宋体" w:eastAsia="宋体" w:cs="宋体"/>
          <w:b w:val="0"/>
          <w:bCs/>
          <w:color w:val="auto"/>
          <w:sz w:val="21"/>
          <w:szCs w:val="21"/>
          <w:highlight w:val="none"/>
          <w:u w:val="single"/>
          <w:lang w:val="en-US" w:eastAsia="zh-CN"/>
        </w:rPr>
        <w:t>45</w:t>
      </w:r>
      <w:r>
        <w:rPr>
          <w:rFonts w:hint="eastAsia" w:ascii="宋体" w:hAnsi="宋体" w:eastAsia="宋体" w:cs="宋体"/>
          <w:b w:val="0"/>
          <w:bCs/>
          <w:color w:val="auto"/>
          <w:sz w:val="21"/>
          <w:szCs w:val="21"/>
          <w:highlight w:val="none"/>
          <w:u w:val="single"/>
        </w:rPr>
        <w:t>天内安装调试完毕</w:t>
      </w:r>
      <w:r>
        <w:rPr>
          <w:rFonts w:hint="eastAsia" w:ascii="宋体" w:hAnsi="宋体" w:eastAsia="宋体" w:cs="宋体"/>
          <w:b w:val="0"/>
          <w:bCs/>
          <w:color w:val="auto"/>
          <w:sz w:val="21"/>
          <w:szCs w:val="21"/>
          <w:highlight w:val="none"/>
        </w:rPr>
        <w:t>；安装地点：</w:t>
      </w:r>
      <w:r>
        <w:rPr>
          <w:rFonts w:hint="eastAsia" w:ascii="宋体" w:hAnsi="宋体" w:eastAsia="宋体" w:cs="宋体"/>
          <w:bCs/>
          <w:color w:val="auto"/>
          <w:kern w:val="2"/>
          <w:sz w:val="21"/>
          <w:szCs w:val="21"/>
          <w:highlight w:val="none"/>
          <w:u w:val="single"/>
          <w:lang w:eastAsia="zh-CN" w:bidi="ar"/>
        </w:rPr>
        <w:t>广西梧州市</w:t>
      </w:r>
      <w:r>
        <w:rPr>
          <w:rFonts w:hint="eastAsia" w:ascii="宋体" w:hAnsi="宋体" w:eastAsia="宋体" w:cs="宋体"/>
          <w:bCs/>
          <w:color w:val="auto"/>
          <w:kern w:val="2"/>
          <w:sz w:val="21"/>
          <w:szCs w:val="21"/>
          <w:highlight w:val="none"/>
          <w:u w:val="single"/>
          <w:lang w:val="en-US" w:eastAsia="zh-CN" w:bidi="ar"/>
        </w:rPr>
        <w:t>甲方</w:t>
      </w:r>
      <w:r>
        <w:rPr>
          <w:rFonts w:hint="eastAsia" w:ascii="宋体" w:hAnsi="宋体" w:eastAsia="宋体" w:cs="宋体"/>
          <w:bCs/>
          <w:color w:val="auto"/>
          <w:kern w:val="2"/>
          <w:sz w:val="21"/>
          <w:szCs w:val="21"/>
          <w:highlight w:val="none"/>
          <w:u w:val="single"/>
          <w:lang w:eastAsia="zh-CN" w:bidi="ar"/>
        </w:rPr>
        <w:t>指定地点，梧州市范围内的64个乡镇卫生院及36个村卫生室</w:t>
      </w:r>
      <w:r>
        <w:rPr>
          <w:rFonts w:hint="eastAsia" w:ascii="宋体" w:hAnsi="宋体" w:eastAsia="宋体" w:cs="宋体"/>
          <w:b w:val="0"/>
          <w:bCs/>
          <w:color w:val="auto"/>
          <w:sz w:val="21"/>
          <w:szCs w:val="21"/>
          <w:highlight w:val="none"/>
          <w:u w:val="single"/>
        </w:rPr>
        <w:t>。</w:t>
      </w:r>
    </w:p>
    <w:p w14:paraId="034FDBCE">
      <w:pPr>
        <w:snapToGrid w:val="0"/>
        <w:spacing w:line="360" w:lineRule="auto"/>
        <w:ind w:firstLine="420" w:firstLineChars="20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2.安装要求：</w:t>
      </w:r>
      <w:r>
        <w:rPr>
          <w:rFonts w:hint="eastAsia" w:ascii="宋体" w:hAnsi="宋体" w:eastAsia="宋体" w:cs="宋体"/>
          <w:b w:val="0"/>
          <w:bCs/>
          <w:color w:val="auto"/>
          <w:sz w:val="21"/>
          <w:szCs w:val="21"/>
          <w:highlight w:val="none"/>
          <w:u w:val="single"/>
        </w:rPr>
        <w:t>乙方应当按招标文件要求（如有）或甲方要求进行安装。</w:t>
      </w:r>
    </w:p>
    <w:p w14:paraId="5BB23484">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3.甲方应提供必要安装条件（如场地、电源、水源等）。</w:t>
      </w:r>
    </w:p>
    <w:p w14:paraId="7135AF90">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4.乙方应当按照投标文件的承诺对甲方有关人员进行培训。</w:t>
      </w:r>
    </w:p>
    <w:p w14:paraId="371A2797">
      <w:pPr>
        <w:snapToGrid w:val="0"/>
        <w:spacing w:line="360" w:lineRule="auto"/>
        <w:ind w:firstLine="420" w:firstLineChars="20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培训时间：</w:t>
      </w:r>
      <w:r>
        <w:rPr>
          <w:rFonts w:hint="eastAsia" w:ascii="宋体" w:hAnsi="宋体" w:eastAsia="宋体" w:cs="宋体"/>
          <w:b w:val="0"/>
          <w:bCs/>
          <w:color w:val="auto"/>
          <w:sz w:val="21"/>
          <w:szCs w:val="21"/>
          <w:highlight w:val="none"/>
          <w:u w:val="single"/>
        </w:rPr>
        <w:t xml:space="preserve">  甲方指定</w:t>
      </w:r>
      <w:r>
        <w:rPr>
          <w:rFonts w:hint="eastAsia" w:ascii="宋体" w:hAnsi="宋体" w:eastAsia="宋体" w:cs="宋体"/>
          <w:b w:val="0"/>
          <w:bCs/>
          <w:color w:val="auto"/>
          <w:sz w:val="21"/>
          <w:szCs w:val="21"/>
          <w:highlight w:val="none"/>
        </w:rPr>
        <w:t xml:space="preserve"> ；培训地点：</w:t>
      </w:r>
      <w:r>
        <w:rPr>
          <w:rFonts w:hint="eastAsia" w:ascii="宋体" w:hAnsi="宋体" w:eastAsia="宋体" w:cs="宋体"/>
          <w:b w:val="0"/>
          <w:bCs/>
          <w:color w:val="auto"/>
          <w:sz w:val="21"/>
          <w:szCs w:val="21"/>
          <w:highlight w:val="none"/>
          <w:u w:val="single"/>
        </w:rPr>
        <w:t xml:space="preserve"> 甲方指定 。</w:t>
      </w:r>
    </w:p>
    <w:p w14:paraId="1C8EB43A">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第六条　合同价款及支付</w:t>
      </w:r>
    </w:p>
    <w:p w14:paraId="3DD20052">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1.本合同以人民币付款。</w:t>
      </w:r>
    </w:p>
    <w:p w14:paraId="3EAD4F4E">
      <w:pPr>
        <w:snapToGrid w:val="0"/>
        <w:spacing w:line="360" w:lineRule="auto"/>
        <w:ind w:firstLine="420" w:firstLineChars="20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2.合同价款（或者报酬）：</w:t>
      </w:r>
      <w:r>
        <w:rPr>
          <w:rFonts w:hint="eastAsia" w:ascii="宋体" w:hAnsi="宋体" w:eastAsia="宋体" w:cs="宋体"/>
          <w:b w:val="0"/>
          <w:bCs/>
          <w:color w:val="auto"/>
          <w:sz w:val="21"/>
          <w:szCs w:val="21"/>
          <w:highlight w:val="none"/>
          <w:u w:val="single"/>
        </w:rPr>
        <w:t xml:space="preserve">                     。</w:t>
      </w:r>
    </w:p>
    <w:p w14:paraId="2C07B604">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3.合同价款包括</w:t>
      </w:r>
      <w:r>
        <w:rPr>
          <w:rFonts w:hint="eastAsia" w:ascii="宋体" w:hAnsi="宋体" w:eastAsia="宋体" w:cs="宋体"/>
          <w:b w:val="0"/>
          <w:bCs/>
          <w:color w:val="auto"/>
          <w:sz w:val="21"/>
          <w:szCs w:val="21"/>
          <w:highlight w:val="none"/>
          <w:u w:val="single"/>
        </w:rPr>
        <w:t>但不限于</w:t>
      </w:r>
      <w:r>
        <w:rPr>
          <w:rFonts w:hint="eastAsia" w:ascii="宋体" w:hAnsi="宋体" w:eastAsia="宋体" w:cs="宋体"/>
          <w:b w:val="0"/>
          <w:bCs/>
          <w:color w:val="auto"/>
          <w:sz w:val="21"/>
          <w:szCs w:val="21"/>
          <w:highlight w:val="none"/>
          <w:u w:val="single"/>
          <w:lang w:val="en-US" w:eastAsia="zh-CN"/>
        </w:rPr>
        <w:t>投标</w:t>
      </w:r>
      <w:r>
        <w:rPr>
          <w:rFonts w:hint="eastAsia" w:ascii="宋体" w:hAnsi="宋体" w:eastAsia="宋体" w:cs="宋体"/>
          <w:b w:val="0"/>
          <w:bCs/>
          <w:color w:val="auto"/>
          <w:sz w:val="21"/>
          <w:szCs w:val="21"/>
          <w:highlight w:val="none"/>
          <w:u w:val="single"/>
        </w:rPr>
        <w:t>货物及其配件（附件）价款、系统平台、包装费、运费、装卸费、保险费、搬运费、安装费、调试费、检验及检定验收费、计量检测费、售后服务费、培训费（如有）、税金等招标文件和投标文件规定及合同包含的所有风险、责任等应有的全部费用。</w:t>
      </w:r>
    </w:p>
    <w:p w14:paraId="7C9C43AF">
      <w:pPr>
        <w:snapToGrid w:val="0"/>
        <w:spacing w:line="360" w:lineRule="auto"/>
        <w:ind w:firstLine="420" w:firstLineChars="20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4.付款进度安排：</w:t>
      </w:r>
      <w:r>
        <w:rPr>
          <w:rFonts w:hint="eastAsia" w:ascii="宋体" w:hAnsi="宋体" w:eastAsia="宋体" w:cs="宋体"/>
          <w:b w:val="0"/>
          <w:bCs/>
          <w:color w:val="auto"/>
          <w:sz w:val="21"/>
          <w:szCs w:val="21"/>
          <w:highlight w:val="none"/>
          <w:u w:val="single"/>
        </w:rPr>
        <w:t>合同</w:t>
      </w:r>
      <w:r>
        <w:rPr>
          <w:rFonts w:hint="eastAsia" w:ascii="宋体" w:hAnsi="宋体" w:eastAsia="宋体" w:cs="宋体"/>
          <w:b w:val="0"/>
          <w:bCs/>
          <w:color w:val="auto"/>
          <w:sz w:val="21"/>
          <w:szCs w:val="21"/>
          <w:highlight w:val="none"/>
          <w:u w:val="single"/>
          <w:lang w:val="en-US" w:eastAsia="zh-CN"/>
        </w:rPr>
        <w:t>签订</w:t>
      </w:r>
      <w:r>
        <w:rPr>
          <w:rFonts w:hint="eastAsia" w:ascii="宋体" w:hAnsi="宋体" w:eastAsia="宋体" w:cs="宋体"/>
          <w:b w:val="0"/>
          <w:bCs/>
          <w:color w:val="auto"/>
          <w:sz w:val="21"/>
          <w:szCs w:val="21"/>
          <w:highlight w:val="none"/>
          <w:u w:val="single"/>
        </w:rPr>
        <w:t>后10个工作日内</w:t>
      </w:r>
      <w:r>
        <w:rPr>
          <w:rFonts w:hint="eastAsia" w:ascii="宋体" w:hAnsi="宋体" w:eastAsia="宋体" w:cs="宋体"/>
          <w:b w:val="0"/>
          <w:bCs/>
          <w:color w:val="auto"/>
          <w:sz w:val="21"/>
          <w:szCs w:val="21"/>
          <w:highlight w:val="none"/>
          <w:u w:val="single"/>
          <w:lang w:eastAsia="zh-CN"/>
        </w:rPr>
        <w:t>，</w:t>
      </w:r>
      <w:r>
        <w:rPr>
          <w:rFonts w:hint="eastAsia" w:ascii="宋体" w:hAnsi="宋体" w:eastAsia="宋体" w:cs="宋体"/>
          <w:b w:val="0"/>
          <w:bCs/>
          <w:color w:val="auto"/>
          <w:sz w:val="21"/>
          <w:szCs w:val="21"/>
          <w:highlight w:val="none"/>
          <w:u w:val="single"/>
          <w:lang w:val="en-US" w:eastAsia="zh-CN"/>
        </w:rPr>
        <w:t>乙方向甲方提交与预付款等额的预付款保函（保函有效期至甲方提取全部货物并完成验收合格后），甲方收到保函后向乙方支付50%合同总额的预付款，余下50%款项在项目</w:t>
      </w:r>
      <w:r>
        <w:rPr>
          <w:rFonts w:hint="eastAsia" w:ascii="宋体" w:hAnsi="宋体" w:eastAsia="宋体" w:cs="宋体"/>
          <w:b w:val="0"/>
          <w:bCs/>
          <w:color w:val="auto"/>
          <w:sz w:val="21"/>
          <w:szCs w:val="21"/>
          <w:highlight w:val="none"/>
          <w:u w:val="single"/>
        </w:rPr>
        <w:t>安装调试验收合格</w:t>
      </w:r>
      <w:r>
        <w:rPr>
          <w:rFonts w:hint="eastAsia" w:ascii="宋体" w:hAnsi="宋体" w:eastAsia="宋体" w:cs="宋体"/>
          <w:b w:val="0"/>
          <w:bCs/>
          <w:color w:val="auto"/>
          <w:sz w:val="21"/>
          <w:szCs w:val="21"/>
          <w:highlight w:val="none"/>
          <w:u w:val="single"/>
          <w:lang w:val="en-US" w:eastAsia="zh-CN"/>
        </w:rPr>
        <w:t>后10个工作日内</w:t>
      </w:r>
      <w:r>
        <w:rPr>
          <w:rFonts w:hint="eastAsia" w:ascii="宋体" w:hAnsi="宋体" w:eastAsia="宋体" w:cs="宋体"/>
          <w:b w:val="0"/>
          <w:bCs/>
          <w:color w:val="auto"/>
          <w:sz w:val="21"/>
          <w:szCs w:val="21"/>
          <w:highlight w:val="none"/>
          <w:u w:val="single"/>
        </w:rPr>
        <w:t>一次性付清。</w:t>
      </w:r>
    </w:p>
    <w:p w14:paraId="62CB10A3">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合同签署的乙方名称及发票开具单位与收款单位必须一致，在合同执行过程中，乙方不得以其他不正当理由要求调整发票开具单位或收款单位，否则视为乙方违约。</w:t>
      </w:r>
    </w:p>
    <w:p w14:paraId="057DAED5">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5.资金支付方式：</w:t>
      </w:r>
      <w:r>
        <w:rPr>
          <w:rFonts w:hint="eastAsia" w:ascii="宋体" w:hAnsi="宋体" w:eastAsia="宋体" w:cs="宋体"/>
          <w:b w:val="0"/>
          <w:bCs/>
          <w:color w:val="auto"/>
          <w:sz w:val="21"/>
          <w:szCs w:val="21"/>
          <w:highlight w:val="none"/>
          <w:u w:val="single"/>
        </w:rPr>
        <w:t xml:space="preserve">  银行转账   </w:t>
      </w:r>
      <w:r>
        <w:rPr>
          <w:rFonts w:hint="eastAsia" w:ascii="宋体" w:hAnsi="宋体" w:eastAsia="宋体" w:cs="宋体"/>
          <w:b w:val="0"/>
          <w:bCs/>
          <w:color w:val="auto"/>
          <w:sz w:val="21"/>
          <w:szCs w:val="21"/>
          <w:highlight w:val="none"/>
        </w:rPr>
        <w:t>。</w:t>
      </w:r>
    </w:p>
    <w:p w14:paraId="2D89920E">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第七条　验收、交付标准和方法</w:t>
      </w:r>
    </w:p>
    <w:p w14:paraId="4B4516BB">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1.验收标准和方法</w:t>
      </w:r>
    </w:p>
    <w:p w14:paraId="4B1BCF6C">
      <w:pPr>
        <w:keepNext w:val="0"/>
        <w:keepLines w:val="0"/>
        <w:pageBreakBefore w:val="0"/>
        <w:kinsoku/>
        <w:wordWrap/>
        <w:overflowPunct/>
        <w:topLinePunct w:val="0"/>
        <w:autoSpaceDE/>
        <w:autoSpaceDN/>
        <w:bidi w:val="0"/>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rPr>
        <w:t>（1）验收标准：符合现行国家相关标准、行业标准、地方标准或者其他标准、规范。</w:t>
      </w:r>
      <w:r>
        <w:rPr>
          <w:rFonts w:hint="eastAsia" w:ascii="宋体" w:hAnsi="宋体" w:cs="宋体"/>
          <w:color w:val="auto"/>
          <w:sz w:val="21"/>
          <w:szCs w:val="21"/>
          <w:highlight w:val="none"/>
          <w:lang w:val="en-US" w:eastAsia="zh-CN"/>
        </w:rPr>
        <w:t>相关标准适用按照“就高不就低”原则执行，有强制性标准的必须优先适用强制性标准。</w:t>
      </w:r>
    </w:p>
    <w:p w14:paraId="0106DD32">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（2）验收过程中所产生的一切费用均由乙方承担。报价时应考虑相关费用。</w:t>
      </w:r>
    </w:p>
    <w:p w14:paraId="02771CE7">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乙方在项目交付验收时，由验收小组对照招标文件的项目要求及技术需求，全面核对检验。如不符合招标文件的技术需求及要求以及提供虚假承诺的，按相关规定做违约处理，乙方承担所有责任和费用，甲方保留进一步追究责任的权利。</w:t>
      </w:r>
    </w:p>
    <w:p w14:paraId="0996D081">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符合相关验收标准，如验收过程中，甲方发现存在不符相关标准的，乙方应无条件置换，否则不给予验收；经乙方对上述验收不合格的货物进行整改置换后，仍达不到要求的，经双方协商，可按以下办法处理：</w:t>
      </w:r>
    </w:p>
    <w:p w14:paraId="78297642">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①更换：由乙方承担所发生的全部费用。</w:t>
      </w:r>
    </w:p>
    <w:p w14:paraId="6D3566AC">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②贬值处理：由甲乙双方合议定价。</w:t>
      </w:r>
    </w:p>
    <w:p w14:paraId="3E1A9CF5">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2.交付标准和方法</w:t>
      </w:r>
    </w:p>
    <w:p w14:paraId="2EA78A9C">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（1）除售后服务验收外，验收结论合格的，乙方应自收到验收书后   日内向甲方交付使用。</w:t>
      </w:r>
    </w:p>
    <w:p w14:paraId="21B597F7">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（2）货物的所有权和风险自</w:t>
      </w:r>
      <w:r>
        <w:rPr>
          <w:rFonts w:hint="eastAsia" w:ascii="宋体" w:hAnsi="宋体" w:cs="宋体"/>
          <w:b w:val="0"/>
          <w:bCs/>
          <w:color w:val="auto"/>
          <w:sz w:val="21"/>
          <w:szCs w:val="21"/>
          <w:highlight w:val="none"/>
          <w:lang w:val="en-US" w:eastAsia="zh-CN"/>
        </w:rPr>
        <w:t>验收合格并</w:t>
      </w:r>
      <w:r>
        <w:rPr>
          <w:rFonts w:hint="eastAsia" w:ascii="宋体" w:hAnsi="宋体" w:eastAsia="宋体" w:cs="宋体"/>
          <w:b w:val="0"/>
          <w:bCs/>
          <w:color w:val="auto"/>
          <w:sz w:val="21"/>
          <w:szCs w:val="21"/>
          <w:highlight w:val="none"/>
        </w:rPr>
        <w:t>交付使用时起由乙方转移至甲方，货物交付给甲方之前所有风险均由乙方承担。</w:t>
      </w:r>
    </w:p>
    <w:p w14:paraId="728FDF60">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第八条  售后服务</w:t>
      </w:r>
    </w:p>
    <w:p w14:paraId="136A1451">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1.乙方应按照国家有关法律法规规定以及投标文件承诺，为甲方提供售后服务。</w:t>
      </w:r>
    </w:p>
    <w:p w14:paraId="227205D1">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2.质量保修范围:</w:t>
      </w:r>
      <w:r>
        <w:rPr>
          <w:rFonts w:hint="eastAsia" w:ascii="宋体" w:hAnsi="宋体" w:eastAsia="宋体" w:cs="宋体"/>
          <w:b w:val="0"/>
          <w:bCs/>
          <w:color w:val="auto"/>
          <w:sz w:val="21"/>
          <w:szCs w:val="21"/>
          <w:highlight w:val="none"/>
          <w:u w:val="single"/>
        </w:rPr>
        <w:t>按国家有关产品“三包”规定执行“三包”</w:t>
      </w:r>
      <w:r>
        <w:rPr>
          <w:rFonts w:hint="eastAsia" w:ascii="宋体" w:hAnsi="宋体" w:eastAsia="宋体" w:cs="宋体"/>
          <w:b w:val="0"/>
          <w:bCs/>
          <w:color w:val="auto"/>
          <w:sz w:val="21"/>
          <w:szCs w:val="21"/>
          <w:highlight w:val="none"/>
        </w:rPr>
        <w:t>；质保期：</w:t>
      </w:r>
      <w:r>
        <w:rPr>
          <w:rFonts w:hint="eastAsia" w:ascii="宋体" w:hAnsi="宋体" w:eastAsia="宋体" w:cs="宋体"/>
          <w:b w:val="0"/>
          <w:bCs/>
          <w:color w:val="auto"/>
          <w:sz w:val="21"/>
          <w:szCs w:val="21"/>
          <w:highlight w:val="none"/>
          <w:u w:val="single"/>
          <w:lang w:val="en-US" w:eastAsia="zh-CN"/>
        </w:rPr>
        <w:t>三</w:t>
      </w:r>
      <w:r>
        <w:rPr>
          <w:rFonts w:hint="eastAsia" w:ascii="宋体" w:hAnsi="宋体" w:eastAsia="宋体" w:cs="宋体"/>
          <w:b w:val="0"/>
          <w:bCs/>
          <w:color w:val="auto"/>
          <w:sz w:val="21"/>
          <w:szCs w:val="21"/>
          <w:highlight w:val="none"/>
          <w:u w:val="single"/>
        </w:rPr>
        <w:t>年（国家法律法规、规章、规范性文件或相关技术标准、规范有更长质保期规定的，从其规定）</w:t>
      </w:r>
      <w:r>
        <w:rPr>
          <w:rFonts w:hint="eastAsia" w:ascii="宋体" w:hAnsi="宋体" w:eastAsia="宋体" w:cs="宋体"/>
          <w:b w:val="0"/>
          <w:bCs/>
          <w:color w:val="auto"/>
          <w:sz w:val="21"/>
          <w:szCs w:val="21"/>
          <w:highlight w:val="none"/>
        </w:rPr>
        <w:t>。</w:t>
      </w:r>
    </w:p>
    <w:p w14:paraId="700D3D72">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第九条　履约保证金</w:t>
      </w:r>
    </w:p>
    <w:p w14:paraId="7053303B">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不收取履约保证金</w:t>
      </w:r>
    </w:p>
    <w:p w14:paraId="63434344">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第十条　违约责任</w:t>
      </w:r>
    </w:p>
    <w:p w14:paraId="5AE846BB">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1.合同一方不履行合同义务、履行合同义务不符合约定或者违反合同项下所作保证的， 应向对方承担继续履行、采取修理、更换、退货等补救措施或者赔偿损失等违约责任。</w:t>
      </w:r>
    </w:p>
    <w:p w14:paraId="2F2AC2F8">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2.乙方未能按时交付货物的，应向甲方支付迟延交付违约金。迟延交付违约金的计算方法每迟延交付一日，应向甲方支付合同总价款的1‰作为迟延交付违约金</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迟延交付违约金的支付不能免除乙方继续交付相关合同货物的义务，但如迟延交付必然导致合同货物安装、调试、验收等工作推迟的，相关工作应相应顺延。</w:t>
      </w:r>
    </w:p>
    <w:p w14:paraId="4AE42375">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3.甲方未能按合同约定支付合同价款的，应向乙方支付延迟付款违约金。迟延付款违约金的计算方法</w:t>
      </w:r>
      <w:bookmarkStart w:id="158" w:name="OLE_LINK5"/>
      <w:r>
        <w:rPr>
          <w:rFonts w:hint="eastAsia" w:ascii="宋体" w:hAnsi="宋体" w:cs="宋体"/>
          <w:b w:val="0"/>
          <w:bCs/>
          <w:color w:val="auto"/>
          <w:sz w:val="21"/>
          <w:szCs w:val="21"/>
          <w:highlight w:val="none"/>
          <w:lang w:val="en-US" w:eastAsia="zh-CN"/>
        </w:rPr>
        <w:t>：</w:t>
      </w:r>
      <w:r>
        <w:rPr>
          <w:rFonts w:hint="eastAsia" w:ascii="宋体" w:hAnsi="宋体" w:eastAsia="宋体" w:cs="宋体"/>
          <w:bCs/>
          <w:strike w:val="0"/>
          <w:dstrike w:val="0"/>
          <w:color w:val="auto"/>
          <w:kern w:val="2"/>
          <w:sz w:val="21"/>
          <w:szCs w:val="21"/>
          <w:highlight w:val="none"/>
          <w:lang w:val="en-US" w:eastAsia="zh-CN" w:bidi="ar-SA"/>
        </w:rPr>
        <w:t>应按照银行同期贷款利率向乙方支付迟延付款违约金。</w:t>
      </w:r>
      <w:bookmarkEnd w:id="158"/>
    </w:p>
    <w:p w14:paraId="3C52848D">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4.乙方未按本合同和投标文件承诺提供售后服务的，</w:t>
      </w:r>
      <w:r>
        <w:rPr>
          <w:rFonts w:hint="eastAsia" w:ascii="宋体" w:hAnsi="宋体" w:cs="宋体"/>
          <w:b w:val="0"/>
          <w:bCs/>
          <w:color w:val="auto"/>
          <w:sz w:val="21"/>
          <w:szCs w:val="21"/>
          <w:highlight w:val="none"/>
          <w:lang w:val="en-US" w:eastAsia="zh-CN"/>
        </w:rPr>
        <w:t>甲方有权请有资质的第三方提供，费用由乙方承担，且</w:t>
      </w:r>
      <w:r>
        <w:rPr>
          <w:rFonts w:hint="eastAsia" w:ascii="宋体" w:hAnsi="宋体" w:eastAsia="宋体" w:cs="宋体"/>
          <w:b w:val="0"/>
          <w:bCs/>
          <w:color w:val="auto"/>
          <w:sz w:val="21"/>
          <w:szCs w:val="21"/>
          <w:highlight w:val="none"/>
        </w:rPr>
        <w:t>乙方应按本合同价款（报酬）的10%向甲方支付违约金。</w:t>
      </w:r>
    </w:p>
    <w:p w14:paraId="7E8B6017">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如乙方提供的货物名称、商标品牌、生产厂家、规格型号、技术参数等相关内容与甲方招标文件、乙方投标（响应）文件及有关承诺不一致，或不能满足甲方项目实施要求的，乙方应按照甲方要求限期调换。乙方拒绝调换或经调换仍存在前述相关问题的，视为乙方不具备履约能力，甲方有权单方通知乙方解除合同，要求乙方退还已收款项并支付合同总金额30%的违约金。因调换逾期交付的，按照本条第2款处理。</w:t>
      </w:r>
    </w:p>
    <w:p w14:paraId="6E64F406">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如乙方提供的货物存在质量问题、权利瑕疵等情形，应按照甲方要求限期调换，乙方拒绝调换或经调换仍存在前述相关问题的，视为乙方不具备履约能力，甲方有权单方通知乙方解除合同，要求乙方退还已收款项并支付合同总金额30%的违约金。如因前述原因导致甲方、甲方工作人员或任何第三方人员伤亡和财产损失的，全部法律责任及全部损失（包含但不限于货物本身毁损、因货物知识产权侵权赔偿责任等）由乙方承担。因调换逾期交付的，按照本条第2款处理。</w:t>
      </w:r>
    </w:p>
    <w:p w14:paraId="329DE9E8">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7.因某一方原因导致变更、中止或者终止政府采购合同的，该方应当对另一方受到的损失予以赔偿或者补偿。</w:t>
      </w:r>
    </w:p>
    <w:p w14:paraId="09991D68">
      <w:pPr>
        <w:snapToGrid w:val="0"/>
        <w:spacing w:line="360" w:lineRule="auto"/>
        <w:ind w:firstLine="420" w:firstLineChars="200"/>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8.</w:t>
      </w:r>
      <w:r>
        <w:rPr>
          <w:rFonts w:hint="eastAsia" w:ascii="宋体" w:hAnsi="宋体" w:cs="宋体"/>
          <w:b w:val="0"/>
          <w:bCs/>
          <w:color w:val="auto"/>
          <w:sz w:val="21"/>
          <w:szCs w:val="21"/>
          <w:highlight w:val="none"/>
          <w:lang w:val="en-US" w:eastAsia="zh-CN"/>
        </w:rPr>
        <w:t>守约方为为维权而发生的诉讼费、保全费、保函费、鉴定费、评估费、律师费、旅差费等，均由违约方承担。</w:t>
      </w:r>
    </w:p>
    <w:p w14:paraId="6CF3CFC4">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其他违约责任按《中华人民共和国民法典》处理。</w:t>
      </w:r>
    </w:p>
    <w:p w14:paraId="38BD8BD8">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第十一条  不可抗力事件处理</w:t>
      </w:r>
    </w:p>
    <w:p w14:paraId="7251C325">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1.在合同有效期内，任何一方因不可抗力事件导致不能履行合同，则合同履行期可延长，其延长期与不可抗力影响期相同。</w:t>
      </w:r>
    </w:p>
    <w:p w14:paraId="261B1CEE">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2.不可抗力事件发生后，应立即通知对方，并寄送有关权威机构出具的证明。</w:t>
      </w:r>
    </w:p>
    <w:p w14:paraId="3ED2DC4C">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3.不可抗力事件延续</w:t>
      </w:r>
      <w:r>
        <w:rPr>
          <w:rFonts w:hint="eastAsia" w:ascii="宋体" w:hAnsi="宋体" w:cs="宋体"/>
          <w:b w:val="0"/>
          <w:bCs/>
          <w:color w:val="auto"/>
          <w:sz w:val="21"/>
          <w:szCs w:val="21"/>
          <w:highlight w:val="none"/>
          <w:lang w:val="en-US" w:eastAsia="zh-CN"/>
        </w:rPr>
        <w:t>达30日的</w:t>
      </w:r>
      <w:r>
        <w:rPr>
          <w:rFonts w:hint="eastAsia" w:ascii="宋体" w:hAnsi="宋体" w:eastAsia="宋体" w:cs="宋体"/>
          <w:b w:val="0"/>
          <w:bCs/>
          <w:color w:val="auto"/>
          <w:sz w:val="21"/>
          <w:szCs w:val="21"/>
          <w:highlight w:val="none"/>
        </w:rPr>
        <w:t>，双方应通过友好协商，确定是否继续履行合同。</w:t>
      </w:r>
    </w:p>
    <w:p w14:paraId="7BA06A51">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第十二条  合同争议解决</w:t>
      </w:r>
    </w:p>
    <w:p w14:paraId="5E9459D3">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1.因货物质量问题发生争议的，应邀请国家认可的质量检测机构对货物质量进行鉴定。货物符合标准的，鉴定费由甲方承担；货物不符合标准的，鉴定费由乙方承担。</w:t>
      </w:r>
    </w:p>
    <w:p w14:paraId="250A8EFC">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2.因履行本合同引起的或者与本合同有关的争议，甲乙双方应首先通过友好协商解决，如果协商不能解决，按下列</w:t>
      </w:r>
      <w:r>
        <w:rPr>
          <w:rFonts w:hint="eastAsia" w:ascii="宋体" w:hAnsi="宋体" w:eastAsia="宋体" w:cs="宋体"/>
          <w:b w:val="0"/>
          <w:bCs/>
          <w:color w:val="auto"/>
          <w:sz w:val="21"/>
          <w:szCs w:val="21"/>
          <w:highlight w:val="none"/>
          <w:u w:val="single"/>
        </w:rPr>
        <w:t>（2）</w:t>
      </w:r>
      <w:r>
        <w:rPr>
          <w:rFonts w:hint="eastAsia" w:ascii="宋体" w:hAnsi="宋体" w:eastAsia="宋体" w:cs="宋体"/>
          <w:b w:val="0"/>
          <w:bCs/>
          <w:color w:val="auto"/>
          <w:sz w:val="21"/>
          <w:szCs w:val="21"/>
          <w:highlight w:val="none"/>
        </w:rPr>
        <w:t>方式解决：</w:t>
      </w:r>
    </w:p>
    <w:p w14:paraId="7CE085DF">
      <w:pPr>
        <w:snapToGrid w:val="0"/>
        <w:spacing w:line="360" w:lineRule="auto"/>
        <w:ind w:firstLine="420" w:firstLineChars="20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u w:val="single"/>
        </w:rPr>
        <w:t>向仲裁委员会申请仲裁；</w:t>
      </w:r>
    </w:p>
    <w:p w14:paraId="55890911">
      <w:pPr>
        <w:snapToGrid w:val="0"/>
        <w:spacing w:line="360" w:lineRule="auto"/>
        <w:ind w:firstLine="420" w:firstLineChars="200"/>
        <w:rPr>
          <w:rFonts w:hint="eastAsia" w:ascii="宋体" w:hAnsi="宋体" w:eastAsia="宋体" w:cs="宋体"/>
          <w:b w:val="0"/>
          <w:bCs/>
          <w:color w:val="auto"/>
          <w:sz w:val="21"/>
          <w:szCs w:val="21"/>
          <w:highlight w:val="none"/>
          <w:u w:val="singl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u w:val="single"/>
        </w:rPr>
        <w:t>向甲方所在地的人民法院提起诉讼。</w:t>
      </w:r>
    </w:p>
    <w:p w14:paraId="74FAF8DB">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第十三条　合同的变更、中止或者终止</w:t>
      </w:r>
    </w:p>
    <w:p w14:paraId="62DD1103">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 除《中华人民共和国政府采购法》第五十条规定的情形外，本合同一经签订，甲乙双方不得擅自变更、中止或者终止合同。</w:t>
      </w:r>
    </w:p>
    <w:p w14:paraId="0680FA61">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2.采购合同继续履行将损害国家利益和社会公共利益的，双方当事人应当变更、中止或者终止合同。有过错的一方应当承担赔偿责任，双方都有过错的，各自承担相应的责任。</w:t>
      </w:r>
    </w:p>
    <w:p w14:paraId="6A883091">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第十四条　合同文件构成</w:t>
      </w:r>
    </w:p>
    <w:p w14:paraId="6563DD97">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1.政府采购合同</w:t>
      </w:r>
    </w:p>
    <w:p w14:paraId="1A873B9B">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2.中标通知书；</w:t>
      </w:r>
    </w:p>
    <w:p w14:paraId="3B6D1040">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w:t>
      </w:r>
    </w:p>
    <w:p w14:paraId="0962E7EF">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4.招标文件及更正公告（澄清或补充通知）；</w:t>
      </w:r>
    </w:p>
    <w:p w14:paraId="5703409A">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5.标准、规范及有关技术文件；</w:t>
      </w:r>
    </w:p>
    <w:p w14:paraId="15AA74A9">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6.双方约定的其他合同文件。</w:t>
      </w:r>
    </w:p>
    <w:p w14:paraId="0869438C">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上述合同文件互相补充和解释。如果合同文件之间存在矛盾或者不一致之处，以上述文件的排列顺序在先者为准。</w:t>
      </w:r>
    </w:p>
    <w:p w14:paraId="0E10C00C">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第十五条　知识产权和保密要求</w:t>
      </w:r>
    </w:p>
    <w:p w14:paraId="1843D038">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1.甲方在履行合同过程中提供给乙方的全部图纸、文件和其他含有数据和信息的资料，其知识产权属于甲方。</w:t>
      </w:r>
    </w:p>
    <w:p w14:paraId="730B7A69">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2.除招标文件采购需求另有约定外，甲方不因签署和履行合同而享有乙方在履行合同过程中提供给甲方的图纸、文件、配套软件、电子辅助程序和其他含有数据和信息的资料的知识产权。</w:t>
      </w:r>
    </w:p>
    <w:p w14:paraId="56070991">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77696DA2">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日内未作表示，甲方可以自己的名义进行这些索赔或诉讼，因此发生的费用和遭受的损失均应由乙方承担。</w:t>
      </w:r>
    </w:p>
    <w:p w14:paraId="514C68AA">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96D4372">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6.乙方保证将要交付的货物的所有权完全属于乙方且无任何抵押、质押、查封等产权瑕疵。</w:t>
      </w:r>
    </w:p>
    <w:p w14:paraId="5104175A">
      <w:pPr>
        <w:snapToGrid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第十六条  合同生效及其他</w:t>
      </w:r>
    </w:p>
    <w:p w14:paraId="28CED19A">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1.合同经双方法定代表人或者委托代理人签字并加盖单位公章</w:t>
      </w:r>
      <w:r>
        <w:rPr>
          <w:rFonts w:hint="eastAsia" w:ascii="宋体" w:hAnsi="宋体" w:eastAsia="宋体" w:cs="宋体"/>
          <w:b w:val="0"/>
          <w:bCs/>
          <w:color w:val="auto"/>
          <w:sz w:val="21"/>
          <w:szCs w:val="21"/>
          <w:highlight w:val="none"/>
          <w:lang w:val="en-US" w:eastAsia="zh-CN"/>
        </w:rPr>
        <w:t>之日起</w:t>
      </w:r>
      <w:r>
        <w:rPr>
          <w:rFonts w:hint="eastAsia" w:ascii="宋体" w:hAnsi="宋体" w:eastAsia="宋体" w:cs="宋体"/>
          <w:b w:val="0"/>
          <w:bCs/>
          <w:color w:val="auto"/>
          <w:sz w:val="21"/>
          <w:szCs w:val="21"/>
          <w:highlight w:val="none"/>
        </w:rPr>
        <w:t>生效（委托代理人签字的需后附授权委托书，格式自拟）。</w:t>
      </w:r>
    </w:p>
    <w:p w14:paraId="31975757">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2.合同执行中涉及采购资金和采购内容修改或者补充的，并签书面补充协议报财政部门备案，方可作为主合同不可分割的一部分。</w:t>
      </w:r>
    </w:p>
    <w:p w14:paraId="723B257A">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3.合同生效后，甲乙双方不得因姓名、名称的变更或者法定代表人、负责人、承办人的变动而不履行合同义务。</w:t>
      </w:r>
    </w:p>
    <w:p w14:paraId="22490C32">
      <w:pPr>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4.本合同未尽事宜，遵照《中华人民共和国民法典》有关条文执行。</w:t>
      </w:r>
    </w:p>
    <w:p w14:paraId="2FE1F27A">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5.本合同一式四份，具有同等法律效力，财政部门（政府采购监管部门）、采购代理机构各一份，甲乙双方各一份。</w:t>
      </w:r>
    </w:p>
    <w:p w14:paraId="1FA4F443">
      <w:pPr>
        <w:snapToGrid w:val="0"/>
        <w:spacing w:line="360" w:lineRule="auto"/>
        <w:rPr>
          <w:rFonts w:hint="eastAsia" w:asciiTheme="minorEastAsia" w:hAnsiTheme="minorEastAsia" w:eastAsiaTheme="minorEastAsia" w:cstheme="minorEastAsia"/>
          <w:color w:val="auto"/>
          <w:sz w:val="21"/>
          <w:szCs w:val="21"/>
          <w:highlight w:val="none"/>
        </w:rPr>
      </w:pPr>
    </w:p>
    <w:p w14:paraId="6426ADFC">
      <w:pPr>
        <w:tabs>
          <w:tab w:val="left" w:pos="4395"/>
        </w:tabs>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甲方（盖章）：</w:t>
      </w:r>
      <w:r>
        <w:rPr>
          <w:rFonts w:hint="eastAsia" w:asciiTheme="minorEastAsia" w:hAnsiTheme="minorEastAsia" w:eastAsiaTheme="minorEastAsia" w:cstheme="minorEastAsia"/>
          <w:b/>
          <w:color w:val="auto"/>
          <w:sz w:val="21"/>
          <w:szCs w:val="21"/>
          <w:highlight w:val="none"/>
        </w:rPr>
        <w:tab/>
      </w:r>
      <w:r>
        <w:rPr>
          <w:rFonts w:hint="eastAsia" w:asciiTheme="minorEastAsia" w:hAnsiTheme="minorEastAsia" w:eastAsiaTheme="minorEastAsia" w:cstheme="minorEastAsia"/>
          <w:b/>
          <w:color w:val="auto"/>
          <w:sz w:val="21"/>
          <w:szCs w:val="21"/>
          <w:highlight w:val="none"/>
        </w:rPr>
        <w:t>乙方（盖章）：</w:t>
      </w:r>
    </w:p>
    <w:p w14:paraId="518D04B6">
      <w:pPr>
        <w:tabs>
          <w:tab w:val="left" w:pos="4395"/>
        </w:tabs>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Cs/>
          <w:color w:val="auto"/>
          <w:sz w:val="21"/>
          <w:szCs w:val="21"/>
          <w:highlight w:val="none"/>
        </w:rPr>
        <w:t>法定代表人或者委托代理人（签字）</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rPr>
        <w:tab/>
      </w:r>
      <w:r>
        <w:rPr>
          <w:rFonts w:hint="eastAsia" w:asciiTheme="minorEastAsia" w:hAnsiTheme="minorEastAsia" w:eastAsiaTheme="minorEastAsia" w:cstheme="minorEastAsia"/>
          <w:bCs/>
          <w:color w:val="auto"/>
          <w:sz w:val="21"/>
          <w:szCs w:val="21"/>
          <w:highlight w:val="none"/>
        </w:rPr>
        <w:t>法定代表人或者委托代理人（签字）</w:t>
      </w:r>
      <w:r>
        <w:rPr>
          <w:rFonts w:hint="eastAsia" w:asciiTheme="minorEastAsia" w:hAnsiTheme="minorEastAsia" w:eastAsiaTheme="minorEastAsia" w:cstheme="minorEastAsia"/>
          <w:b/>
          <w:color w:val="auto"/>
          <w:sz w:val="21"/>
          <w:szCs w:val="21"/>
          <w:highlight w:val="none"/>
        </w:rPr>
        <w:t xml:space="preserve">： </w:t>
      </w:r>
    </w:p>
    <w:p w14:paraId="50708554">
      <w:pPr>
        <w:tabs>
          <w:tab w:val="left" w:pos="4395"/>
        </w:tabs>
        <w:spacing w:line="360" w:lineRule="auto"/>
        <w:rPr>
          <w:rFonts w:hint="eastAsia" w:asciiTheme="minorEastAsia" w:hAnsiTheme="minorEastAsia" w:eastAsiaTheme="minorEastAsia" w:cstheme="minorEastAsia"/>
          <w:color w:val="auto"/>
          <w:sz w:val="21"/>
          <w:szCs w:val="21"/>
          <w:highlight w:val="none"/>
        </w:rPr>
      </w:pPr>
    </w:p>
    <w:p w14:paraId="5E370E71">
      <w:pPr>
        <w:tabs>
          <w:tab w:val="left" w:pos="4395"/>
        </w:tabs>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签定日期：　　　年　　月　　日</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签定日期：　　　年　　月　　日</w:t>
      </w:r>
    </w:p>
    <w:p w14:paraId="03C309B8">
      <w:pPr>
        <w:tabs>
          <w:tab w:val="left" w:pos="4395"/>
        </w:tabs>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开户名称：</w:t>
      </w:r>
    </w:p>
    <w:p w14:paraId="00BCB9D8">
      <w:pPr>
        <w:tabs>
          <w:tab w:val="left" w:pos="4395"/>
        </w:tabs>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银行账号：</w:t>
      </w:r>
    </w:p>
    <w:p w14:paraId="0C7C0A25">
      <w:pPr>
        <w:tabs>
          <w:tab w:val="left" w:pos="4395"/>
        </w:tabs>
        <w:spacing w:line="360" w:lineRule="auto"/>
        <w:ind w:firstLine="4410" w:firstLineChars="210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开 户 行：</w:t>
      </w:r>
    </w:p>
    <w:p w14:paraId="033C899B">
      <w:pPr>
        <w:tabs>
          <w:tab w:val="left" w:pos="4395"/>
        </w:tabs>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p>
    <w:p w14:paraId="31F053A3">
      <w:pPr>
        <w:pStyle w:val="17"/>
        <w:rPr>
          <w:rFonts w:hint="eastAsia"/>
          <w:color w:val="auto"/>
          <w:sz w:val="21"/>
          <w:highlight w:val="none"/>
        </w:rPr>
      </w:pPr>
    </w:p>
    <w:p w14:paraId="069760A1">
      <w:pPr>
        <w:snapToGrid w:val="0"/>
        <w:spacing w:line="360" w:lineRule="auto"/>
        <w:ind w:firstLine="422" w:firstLineChars="200"/>
        <w:rPr>
          <w:rFonts w:hint="eastAsia"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合 同 附 件</w:t>
      </w:r>
    </w:p>
    <w:p w14:paraId="52E1C56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一般货物类</w:t>
      </w:r>
    </w:p>
    <w:tbl>
      <w:tblPr>
        <w:tblStyle w:val="46"/>
        <w:tblW w:w="0" w:type="auto"/>
        <w:tblInd w:w="0" w:type="dxa"/>
        <w:tblLayout w:type="fixed"/>
        <w:tblCellMar>
          <w:top w:w="0" w:type="dxa"/>
          <w:left w:w="108" w:type="dxa"/>
          <w:bottom w:w="0" w:type="dxa"/>
          <w:right w:w="108" w:type="dxa"/>
        </w:tblCellMar>
      </w:tblPr>
      <w:tblGrid>
        <w:gridCol w:w="4248"/>
        <w:gridCol w:w="4274"/>
      </w:tblGrid>
      <w:tr w14:paraId="7973E81C">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val="0"/>
            <w:vAlign w:val="top"/>
          </w:tcPr>
          <w:p w14:paraId="04190B2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 供应商承诺具体事项：</w:t>
            </w:r>
          </w:p>
        </w:tc>
      </w:tr>
      <w:tr w14:paraId="5125E55F">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val="0"/>
            <w:vAlign w:val="top"/>
          </w:tcPr>
          <w:p w14:paraId="341FD08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 售后服务具体事项：</w:t>
            </w:r>
          </w:p>
        </w:tc>
      </w:tr>
      <w:tr w14:paraId="56A0F583">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noWrap w:val="0"/>
            <w:vAlign w:val="top"/>
          </w:tcPr>
          <w:p w14:paraId="0308BCD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 质保期责任：</w:t>
            </w:r>
          </w:p>
        </w:tc>
      </w:tr>
      <w:tr w14:paraId="2240E36E">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val="0"/>
            <w:vAlign w:val="top"/>
          </w:tcPr>
          <w:p w14:paraId="3C71703C">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 其他具体事项：</w:t>
            </w:r>
          </w:p>
        </w:tc>
      </w:tr>
      <w:tr w14:paraId="6546C843">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14:paraId="55DE51D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甲方（章）</w:t>
            </w:r>
          </w:p>
          <w:p w14:paraId="3A967888">
            <w:pPr>
              <w:snapToGrid w:val="0"/>
              <w:spacing w:line="360" w:lineRule="auto"/>
              <w:ind w:firstLine="422" w:firstLineChars="200"/>
              <w:rPr>
                <w:rFonts w:hint="eastAsia" w:ascii="宋体" w:hAnsi="宋体"/>
                <w:b/>
                <w:color w:val="auto"/>
                <w:szCs w:val="21"/>
                <w:highlight w:val="none"/>
              </w:rPr>
            </w:pPr>
          </w:p>
          <w:p w14:paraId="6C461110">
            <w:pPr>
              <w:snapToGrid w:val="0"/>
              <w:spacing w:line="360" w:lineRule="auto"/>
              <w:rPr>
                <w:rFonts w:hint="eastAsia" w:ascii="宋体" w:hAnsi="宋体"/>
                <w:b/>
                <w:color w:val="auto"/>
                <w:szCs w:val="21"/>
                <w:highlight w:val="none"/>
              </w:rPr>
            </w:pPr>
          </w:p>
          <w:p w14:paraId="30C276F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6696C8C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乙方（章）</w:t>
            </w:r>
          </w:p>
          <w:p w14:paraId="5B55A522">
            <w:pPr>
              <w:snapToGrid w:val="0"/>
              <w:spacing w:line="360" w:lineRule="auto"/>
              <w:ind w:firstLine="422" w:firstLineChars="200"/>
              <w:rPr>
                <w:rFonts w:hint="eastAsia" w:ascii="宋体" w:hAnsi="宋体"/>
                <w:b/>
                <w:color w:val="auto"/>
                <w:szCs w:val="21"/>
                <w:highlight w:val="none"/>
              </w:rPr>
            </w:pPr>
          </w:p>
          <w:p w14:paraId="3C87778F">
            <w:pPr>
              <w:snapToGrid w:val="0"/>
              <w:spacing w:line="360" w:lineRule="auto"/>
              <w:rPr>
                <w:rFonts w:hint="eastAsia" w:ascii="宋体" w:hAnsi="宋体"/>
                <w:b/>
                <w:color w:val="auto"/>
                <w:szCs w:val="21"/>
                <w:highlight w:val="none"/>
              </w:rPr>
            </w:pPr>
          </w:p>
          <w:p w14:paraId="08B1CA66">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37074E1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19D8F876">
      <w:pPr>
        <w:pStyle w:val="17"/>
        <w:jc w:val="center"/>
        <w:rPr>
          <w:rFonts w:ascii="宋体" w:hAnsi="宋体"/>
          <w:bCs/>
          <w:color w:val="auto"/>
          <w:sz w:val="32"/>
          <w:szCs w:val="32"/>
          <w:highlight w:val="none"/>
        </w:rPr>
      </w:pPr>
      <w:r>
        <w:rPr>
          <w:rFonts w:ascii="宋体" w:hAnsi="宋体"/>
          <w:color w:val="auto"/>
          <w:szCs w:val="21"/>
          <w:highlight w:val="none"/>
        </w:rPr>
        <w:br w:type="page"/>
      </w:r>
    </w:p>
    <w:bookmarkEnd w:id="157"/>
    <w:p w14:paraId="2F6D3377">
      <w:pPr>
        <w:snapToGrid w:val="0"/>
        <w:spacing w:line="480" w:lineRule="auto"/>
        <w:rPr>
          <w:rFonts w:hint="eastAsia" w:ascii="宋体" w:hAnsi="宋体"/>
          <w:bCs/>
          <w:color w:val="auto"/>
          <w:sz w:val="32"/>
          <w:szCs w:val="32"/>
          <w:highlight w:val="none"/>
        </w:rPr>
      </w:pPr>
    </w:p>
    <w:p w14:paraId="77CD2203">
      <w:pPr>
        <w:snapToGrid w:val="0"/>
        <w:jc w:val="center"/>
        <w:rPr>
          <w:rFonts w:hint="eastAsia" w:ascii="宋体" w:hAnsi="宋体"/>
          <w:bCs/>
          <w:color w:val="auto"/>
          <w:sz w:val="32"/>
          <w:szCs w:val="32"/>
          <w:highlight w:val="none"/>
        </w:rPr>
      </w:pPr>
    </w:p>
    <w:p w14:paraId="29187074">
      <w:pPr>
        <w:snapToGrid w:val="0"/>
        <w:jc w:val="center"/>
        <w:rPr>
          <w:rFonts w:hint="eastAsia" w:ascii="宋体" w:hAnsi="宋体"/>
          <w:bCs/>
          <w:color w:val="auto"/>
          <w:sz w:val="32"/>
          <w:szCs w:val="32"/>
          <w:highlight w:val="none"/>
        </w:rPr>
      </w:pPr>
    </w:p>
    <w:p w14:paraId="55A1A24E">
      <w:pPr>
        <w:snapToGrid w:val="0"/>
        <w:jc w:val="center"/>
        <w:rPr>
          <w:rFonts w:hint="eastAsia" w:ascii="宋体" w:hAnsi="宋体"/>
          <w:bCs/>
          <w:color w:val="auto"/>
          <w:sz w:val="32"/>
          <w:szCs w:val="32"/>
          <w:highlight w:val="none"/>
        </w:rPr>
      </w:pPr>
    </w:p>
    <w:p w14:paraId="5D649377">
      <w:pPr>
        <w:snapToGrid w:val="0"/>
        <w:jc w:val="center"/>
        <w:rPr>
          <w:rFonts w:hint="eastAsia" w:ascii="宋体" w:hAnsi="宋体"/>
          <w:bCs/>
          <w:color w:val="auto"/>
          <w:sz w:val="32"/>
          <w:szCs w:val="32"/>
          <w:highlight w:val="none"/>
        </w:rPr>
      </w:pPr>
    </w:p>
    <w:p w14:paraId="27FC5D01">
      <w:pPr>
        <w:snapToGrid w:val="0"/>
        <w:jc w:val="center"/>
        <w:rPr>
          <w:rFonts w:hint="eastAsia" w:ascii="宋体" w:hAnsi="宋体"/>
          <w:bCs/>
          <w:color w:val="auto"/>
          <w:sz w:val="32"/>
          <w:szCs w:val="32"/>
          <w:highlight w:val="none"/>
        </w:rPr>
      </w:pPr>
    </w:p>
    <w:p w14:paraId="634D4460">
      <w:pPr>
        <w:snapToGrid w:val="0"/>
        <w:jc w:val="center"/>
        <w:rPr>
          <w:rFonts w:hint="eastAsia" w:ascii="宋体" w:hAnsi="宋体"/>
          <w:bCs/>
          <w:color w:val="auto"/>
          <w:sz w:val="32"/>
          <w:szCs w:val="32"/>
          <w:highlight w:val="none"/>
        </w:rPr>
      </w:pPr>
    </w:p>
    <w:p w14:paraId="42060AFA">
      <w:pPr>
        <w:snapToGrid w:val="0"/>
        <w:jc w:val="center"/>
        <w:rPr>
          <w:rFonts w:hint="eastAsia" w:ascii="宋体" w:hAnsi="宋体"/>
          <w:bCs/>
          <w:color w:val="auto"/>
          <w:sz w:val="32"/>
          <w:szCs w:val="32"/>
          <w:highlight w:val="none"/>
        </w:rPr>
      </w:pPr>
    </w:p>
    <w:p w14:paraId="388A7D82">
      <w:pPr>
        <w:snapToGrid w:val="0"/>
        <w:jc w:val="center"/>
        <w:rPr>
          <w:rFonts w:hint="eastAsia" w:ascii="宋体" w:hAnsi="宋体"/>
          <w:bCs/>
          <w:color w:val="auto"/>
          <w:sz w:val="32"/>
          <w:szCs w:val="32"/>
          <w:highlight w:val="none"/>
        </w:rPr>
      </w:pPr>
    </w:p>
    <w:p w14:paraId="24BDF00B">
      <w:pPr>
        <w:snapToGrid w:val="0"/>
        <w:jc w:val="center"/>
        <w:rPr>
          <w:rFonts w:hint="eastAsia" w:ascii="宋体" w:hAnsi="宋体"/>
          <w:bCs/>
          <w:color w:val="auto"/>
          <w:sz w:val="32"/>
          <w:szCs w:val="32"/>
          <w:highlight w:val="none"/>
        </w:rPr>
      </w:pPr>
    </w:p>
    <w:p w14:paraId="26900BC6">
      <w:pPr>
        <w:snapToGrid w:val="0"/>
        <w:jc w:val="center"/>
        <w:rPr>
          <w:rFonts w:hint="eastAsia" w:ascii="宋体" w:hAnsi="宋体"/>
          <w:bCs/>
          <w:color w:val="auto"/>
          <w:sz w:val="32"/>
          <w:szCs w:val="32"/>
          <w:highlight w:val="none"/>
        </w:rPr>
      </w:pPr>
    </w:p>
    <w:p w14:paraId="6C8EA07A">
      <w:pPr>
        <w:snapToGrid w:val="0"/>
        <w:jc w:val="center"/>
        <w:rPr>
          <w:rFonts w:hint="eastAsia" w:ascii="宋体" w:hAnsi="宋体"/>
          <w:bCs/>
          <w:color w:val="auto"/>
          <w:sz w:val="32"/>
          <w:szCs w:val="32"/>
          <w:highlight w:val="none"/>
        </w:rPr>
      </w:pPr>
    </w:p>
    <w:p w14:paraId="007DE1FA">
      <w:pPr>
        <w:pStyle w:val="2"/>
        <w:jc w:val="center"/>
        <w:rPr>
          <w:rFonts w:hint="eastAsia"/>
          <w:color w:val="auto"/>
          <w:highlight w:val="none"/>
        </w:rPr>
      </w:pPr>
      <w:bookmarkStart w:id="159" w:name="_Toc74320805"/>
      <w:r>
        <w:rPr>
          <w:rFonts w:hint="eastAsia"/>
          <w:color w:val="auto"/>
          <w:highlight w:val="none"/>
        </w:rPr>
        <w:t>第六章　投标文件格式</w:t>
      </w:r>
      <w:bookmarkEnd w:id="159"/>
    </w:p>
    <w:p w14:paraId="1501401F">
      <w:pPr>
        <w:snapToGrid w:val="0"/>
        <w:spacing w:before="50" w:after="50"/>
        <w:outlineLvl w:val="1"/>
        <w:rPr>
          <w:rFonts w:hint="eastAsia" w:ascii="宋体" w:hAnsi="宋体"/>
          <w:color w:val="auto"/>
          <w:sz w:val="32"/>
          <w:szCs w:val="20"/>
          <w:highlight w:val="none"/>
        </w:rPr>
      </w:pPr>
    </w:p>
    <w:p w14:paraId="7A259B46">
      <w:pPr>
        <w:snapToGrid w:val="0"/>
        <w:spacing w:before="50" w:after="50"/>
        <w:outlineLvl w:val="1"/>
        <w:rPr>
          <w:rFonts w:hint="eastAsia" w:ascii="宋体" w:hAnsi="宋体"/>
          <w:color w:val="auto"/>
          <w:sz w:val="32"/>
          <w:szCs w:val="20"/>
          <w:highlight w:val="none"/>
        </w:rPr>
      </w:pPr>
    </w:p>
    <w:p w14:paraId="75BD43A1">
      <w:pPr>
        <w:snapToGrid w:val="0"/>
        <w:spacing w:before="50" w:after="50"/>
        <w:outlineLvl w:val="1"/>
        <w:rPr>
          <w:rFonts w:hint="eastAsia" w:ascii="宋体" w:hAnsi="宋体"/>
          <w:color w:val="auto"/>
          <w:sz w:val="32"/>
          <w:szCs w:val="20"/>
          <w:highlight w:val="none"/>
        </w:rPr>
      </w:pPr>
    </w:p>
    <w:p w14:paraId="16CC8FCC">
      <w:pPr>
        <w:snapToGrid w:val="0"/>
        <w:spacing w:before="50" w:after="50"/>
        <w:outlineLvl w:val="1"/>
        <w:rPr>
          <w:rFonts w:hint="eastAsia" w:ascii="宋体" w:hAnsi="宋体"/>
          <w:color w:val="auto"/>
          <w:sz w:val="32"/>
          <w:szCs w:val="20"/>
          <w:highlight w:val="none"/>
        </w:rPr>
      </w:pPr>
    </w:p>
    <w:p w14:paraId="1C12A24E">
      <w:pPr>
        <w:snapToGrid w:val="0"/>
        <w:spacing w:before="50" w:after="50"/>
        <w:outlineLvl w:val="1"/>
        <w:rPr>
          <w:rFonts w:hint="eastAsia" w:ascii="宋体" w:hAnsi="宋体"/>
          <w:color w:val="auto"/>
          <w:sz w:val="32"/>
          <w:szCs w:val="20"/>
          <w:highlight w:val="none"/>
        </w:rPr>
      </w:pPr>
    </w:p>
    <w:p w14:paraId="7BDE39CB">
      <w:pPr>
        <w:snapToGrid w:val="0"/>
        <w:spacing w:before="50" w:after="50"/>
        <w:outlineLvl w:val="1"/>
        <w:rPr>
          <w:rFonts w:hint="eastAsia" w:ascii="宋体" w:hAnsi="宋体"/>
          <w:color w:val="auto"/>
          <w:sz w:val="32"/>
          <w:szCs w:val="20"/>
          <w:highlight w:val="none"/>
        </w:rPr>
      </w:pPr>
    </w:p>
    <w:p w14:paraId="3B546B0D">
      <w:pPr>
        <w:snapToGrid w:val="0"/>
        <w:spacing w:before="50" w:after="50"/>
        <w:outlineLvl w:val="1"/>
        <w:rPr>
          <w:rFonts w:hint="eastAsia" w:ascii="宋体" w:hAnsi="宋体"/>
          <w:color w:val="auto"/>
          <w:sz w:val="32"/>
          <w:szCs w:val="20"/>
          <w:highlight w:val="none"/>
        </w:rPr>
      </w:pPr>
    </w:p>
    <w:p w14:paraId="0E9D8C91">
      <w:pPr>
        <w:snapToGrid w:val="0"/>
        <w:spacing w:before="50" w:after="50"/>
        <w:outlineLvl w:val="1"/>
        <w:rPr>
          <w:rFonts w:hint="eastAsia" w:ascii="宋体" w:hAnsi="宋体"/>
          <w:color w:val="auto"/>
          <w:sz w:val="32"/>
          <w:szCs w:val="20"/>
          <w:highlight w:val="none"/>
        </w:rPr>
      </w:pPr>
    </w:p>
    <w:p w14:paraId="0ED2C129">
      <w:pPr>
        <w:snapToGrid w:val="0"/>
        <w:spacing w:before="50" w:after="50"/>
        <w:outlineLvl w:val="1"/>
        <w:rPr>
          <w:rFonts w:hint="eastAsia" w:ascii="宋体" w:hAnsi="宋体"/>
          <w:color w:val="auto"/>
          <w:sz w:val="32"/>
          <w:szCs w:val="20"/>
          <w:highlight w:val="none"/>
        </w:rPr>
      </w:pPr>
    </w:p>
    <w:p w14:paraId="4F38629C">
      <w:pPr>
        <w:snapToGrid w:val="0"/>
        <w:spacing w:before="50" w:after="50"/>
        <w:outlineLvl w:val="1"/>
        <w:rPr>
          <w:rFonts w:hint="eastAsia" w:ascii="宋体" w:hAnsi="宋体"/>
          <w:color w:val="auto"/>
          <w:sz w:val="32"/>
          <w:szCs w:val="20"/>
          <w:highlight w:val="none"/>
        </w:rPr>
      </w:pPr>
    </w:p>
    <w:p w14:paraId="60D1F64A">
      <w:pPr>
        <w:snapToGrid w:val="0"/>
        <w:spacing w:before="50" w:after="50"/>
        <w:outlineLvl w:val="1"/>
        <w:rPr>
          <w:rFonts w:hint="eastAsia" w:ascii="宋体" w:hAnsi="宋体"/>
          <w:color w:val="auto"/>
          <w:sz w:val="32"/>
          <w:szCs w:val="20"/>
          <w:highlight w:val="none"/>
        </w:rPr>
      </w:pPr>
    </w:p>
    <w:p w14:paraId="5C9E0CE2">
      <w:pPr>
        <w:snapToGrid w:val="0"/>
        <w:spacing w:before="50" w:after="50"/>
        <w:outlineLvl w:val="1"/>
        <w:rPr>
          <w:rFonts w:hint="eastAsia" w:ascii="宋体" w:hAnsi="宋体"/>
          <w:color w:val="auto"/>
          <w:sz w:val="32"/>
          <w:szCs w:val="20"/>
          <w:highlight w:val="none"/>
        </w:rPr>
      </w:pPr>
    </w:p>
    <w:p w14:paraId="10C177D1">
      <w:pPr>
        <w:snapToGrid w:val="0"/>
        <w:spacing w:before="50" w:after="50"/>
        <w:outlineLvl w:val="1"/>
        <w:rPr>
          <w:rFonts w:hint="eastAsia" w:ascii="宋体" w:hAnsi="宋体"/>
          <w:color w:val="auto"/>
          <w:sz w:val="32"/>
          <w:szCs w:val="20"/>
          <w:highlight w:val="none"/>
        </w:rPr>
      </w:pPr>
    </w:p>
    <w:p w14:paraId="6727408B">
      <w:pPr>
        <w:snapToGrid w:val="0"/>
        <w:spacing w:before="120" w:beforeLines="50" w:after="50"/>
        <w:jc w:val="center"/>
        <w:outlineLvl w:val="1"/>
        <w:rPr>
          <w:rFonts w:hint="eastAsia" w:ascii="宋体" w:hAnsi="宋体"/>
          <w:color w:val="auto"/>
          <w:highlight w:val="none"/>
        </w:rPr>
      </w:pPr>
    </w:p>
    <w:p w14:paraId="4DB77B41">
      <w:pPr>
        <w:rPr>
          <w:rFonts w:hint="eastAsia"/>
          <w:b/>
          <w:color w:val="auto"/>
          <w:sz w:val="28"/>
          <w:szCs w:val="28"/>
          <w:highlight w:val="none"/>
        </w:rPr>
      </w:pPr>
      <w:bookmarkStart w:id="160" w:name="_Toc19686836"/>
      <w:bookmarkStart w:id="161" w:name="_Toc254970557"/>
      <w:bookmarkStart w:id="162" w:name="_Toc254970698"/>
      <w:r>
        <w:rPr>
          <w:rFonts w:hint="eastAsia"/>
          <w:b/>
          <w:color w:val="auto"/>
          <w:sz w:val="28"/>
          <w:szCs w:val="28"/>
          <w:highlight w:val="none"/>
        </w:rPr>
        <w:t>一、报价文件格式</w:t>
      </w:r>
      <w:bookmarkEnd w:id="160"/>
    </w:p>
    <w:p w14:paraId="20E28BC2">
      <w:pPr>
        <w:snapToGrid w:val="0"/>
        <w:spacing w:before="120" w:beforeLines="5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218F2CFC">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7AC3E3EC">
      <w:pPr>
        <w:snapToGrid w:val="0"/>
        <w:spacing w:before="120" w:beforeLines="50" w:after="50" w:line="400" w:lineRule="exact"/>
        <w:jc w:val="left"/>
        <w:rPr>
          <w:rFonts w:hint="eastAsia" w:ascii="宋体" w:hAnsi="宋体" w:eastAsia="方正小标宋简体"/>
          <w:bCs/>
          <w:color w:val="auto"/>
          <w:sz w:val="48"/>
          <w:szCs w:val="48"/>
          <w:highlight w:val="none"/>
        </w:rPr>
      </w:pPr>
    </w:p>
    <w:p w14:paraId="1936C154">
      <w:pPr>
        <w:snapToGrid w:val="0"/>
        <w:spacing w:before="120" w:beforeLines="50" w:after="50" w:line="4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4B650229">
      <w:pPr>
        <w:snapToGrid w:val="0"/>
        <w:spacing w:before="120" w:beforeLines="50" w:after="50" w:line="400" w:lineRule="exact"/>
        <w:rPr>
          <w:rFonts w:hint="eastAsia" w:ascii="宋体" w:hAnsi="宋体"/>
          <w:bCs/>
          <w:color w:val="auto"/>
          <w:sz w:val="24"/>
          <w:szCs w:val="20"/>
          <w:highlight w:val="none"/>
        </w:rPr>
      </w:pPr>
    </w:p>
    <w:p w14:paraId="28F8883C">
      <w:pPr>
        <w:snapToGrid w:val="0"/>
        <w:spacing w:before="120" w:beforeLines="50" w:after="50" w:line="400" w:lineRule="exact"/>
        <w:rPr>
          <w:rFonts w:hint="eastAsia" w:ascii="宋体" w:hAnsi="宋体"/>
          <w:bCs/>
          <w:color w:val="auto"/>
          <w:sz w:val="24"/>
          <w:szCs w:val="20"/>
          <w:highlight w:val="none"/>
        </w:rPr>
      </w:pPr>
    </w:p>
    <w:p w14:paraId="5FA54FD5">
      <w:pPr>
        <w:snapToGrid w:val="0"/>
        <w:spacing w:before="120" w:beforeLines="50" w:after="50" w:line="400" w:lineRule="exact"/>
        <w:rPr>
          <w:rFonts w:hint="eastAsia" w:ascii="宋体" w:hAnsi="宋体"/>
          <w:bCs/>
          <w:color w:val="auto"/>
          <w:sz w:val="24"/>
          <w:szCs w:val="20"/>
          <w:highlight w:val="none"/>
        </w:rPr>
      </w:pPr>
    </w:p>
    <w:p w14:paraId="56DD3B8A">
      <w:pPr>
        <w:snapToGrid w:val="0"/>
        <w:spacing w:before="120" w:beforeLines="50" w:after="50" w:line="400" w:lineRule="exact"/>
        <w:rPr>
          <w:rFonts w:hint="eastAsia" w:ascii="宋体" w:hAnsi="宋体"/>
          <w:bCs/>
          <w:color w:val="auto"/>
          <w:sz w:val="24"/>
          <w:szCs w:val="20"/>
          <w:highlight w:val="none"/>
        </w:rPr>
      </w:pPr>
    </w:p>
    <w:p w14:paraId="42A06F74">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01597D93">
      <w:pPr>
        <w:snapToGrid w:val="0"/>
        <w:spacing w:before="120" w:beforeLines="50" w:after="50" w:line="400" w:lineRule="exact"/>
        <w:ind w:firstLine="360" w:firstLineChars="150"/>
        <w:rPr>
          <w:rFonts w:hint="eastAsia" w:ascii="宋体" w:hAnsi="宋体"/>
          <w:bCs/>
          <w:color w:val="auto"/>
          <w:sz w:val="24"/>
          <w:highlight w:val="none"/>
        </w:rPr>
      </w:pPr>
    </w:p>
    <w:p w14:paraId="41A4B3D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1F2B6F5C">
      <w:pPr>
        <w:snapToGrid w:val="0"/>
        <w:spacing w:before="120" w:beforeLines="50" w:after="50" w:line="400" w:lineRule="exact"/>
        <w:ind w:firstLine="360" w:firstLineChars="150"/>
        <w:rPr>
          <w:rFonts w:hint="eastAsia" w:ascii="宋体" w:hAnsi="宋体"/>
          <w:bCs/>
          <w:color w:val="auto"/>
          <w:sz w:val="24"/>
          <w:highlight w:val="none"/>
        </w:rPr>
      </w:pPr>
    </w:p>
    <w:p w14:paraId="34DB0AC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24D6CB68">
      <w:pPr>
        <w:snapToGrid w:val="0"/>
        <w:spacing w:before="120" w:beforeLines="50" w:after="50" w:line="400" w:lineRule="exact"/>
        <w:ind w:firstLine="360" w:firstLineChars="150"/>
        <w:rPr>
          <w:rFonts w:hint="eastAsia" w:ascii="宋体" w:hAnsi="宋体"/>
          <w:bCs/>
          <w:color w:val="auto"/>
          <w:sz w:val="24"/>
          <w:highlight w:val="none"/>
        </w:rPr>
      </w:pPr>
    </w:p>
    <w:p w14:paraId="357877DF">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5470EF0F">
      <w:pPr>
        <w:snapToGrid w:val="0"/>
        <w:spacing w:before="120" w:beforeLines="50" w:after="50" w:line="400" w:lineRule="exact"/>
        <w:ind w:firstLine="360" w:firstLineChars="150"/>
        <w:rPr>
          <w:rFonts w:hint="eastAsia" w:ascii="宋体" w:hAnsi="宋体"/>
          <w:bCs/>
          <w:color w:val="auto"/>
          <w:sz w:val="24"/>
          <w:highlight w:val="none"/>
        </w:rPr>
      </w:pPr>
    </w:p>
    <w:p w14:paraId="0FA07DE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1D6B939">
      <w:pPr>
        <w:pStyle w:val="6"/>
        <w:snapToGrid w:val="0"/>
        <w:spacing w:before="50" w:after="50" w:line="400" w:lineRule="exact"/>
        <w:ind w:firstLine="960" w:firstLineChars="400"/>
        <w:rPr>
          <w:rFonts w:hint="eastAsia" w:ascii="宋体" w:hAnsi="宋体"/>
          <w:bCs/>
          <w:color w:val="auto"/>
          <w:sz w:val="24"/>
          <w:szCs w:val="24"/>
          <w:highlight w:val="none"/>
        </w:rPr>
      </w:pPr>
    </w:p>
    <w:p w14:paraId="2848742F">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3DCDFBB1">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34CCB8BC">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317DCF94">
      <w:pPr>
        <w:snapToGrid w:val="0"/>
        <w:spacing w:before="120" w:beforeLines="50" w:after="50"/>
        <w:rPr>
          <w:rFonts w:hint="eastAsia" w:ascii="宋体" w:hAnsi="宋体"/>
          <w:b/>
          <w:color w:val="auto"/>
          <w:sz w:val="24"/>
          <w:highlight w:val="none"/>
        </w:rPr>
      </w:pPr>
    </w:p>
    <w:p w14:paraId="4D5E9B59">
      <w:pPr>
        <w:snapToGrid w:val="0"/>
        <w:spacing w:before="120" w:beforeLines="50" w:after="50"/>
        <w:rPr>
          <w:rFonts w:hint="eastAsia" w:ascii="宋体" w:hAnsi="宋体"/>
          <w:b/>
          <w:color w:val="auto"/>
          <w:sz w:val="24"/>
          <w:highlight w:val="none"/>
        </w:rPr>
      </w:pPr>
    </w:p>
    <w:p w14:paraId="431C6553">
      <w:pPr>
        <w:snapToGrid w:val="0"/>
        <w:spacing w:before="120" w:beforeLines="50" w:after="50"/>
        <w:rPr>
          <w:rFonts w:hint="eastAsia" w:ascii="宋体" w:hAnsi="宋体"/>
          <w:b/>
          <w:color w:val="auto"/>
          <w:sz w:val="24"/>
          <w:highlight w:val="none"/>
        </w:rPr>
      </w:pPr>
    </w:p>
    <w:p w14:paraId="37E17ECA">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3AAA2940">
      <w:pPr>
        <w:snapToGrid w:val="0"/>
        <w:spacing w:before="120" w:beforeLines="50" w:after="50"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31F5ED40">
      <w:pPr>
        <w:snapToGrid w:val="0"/>
        <w:spacing w:before="120" w:beforeLines="50" w:after="50" w:line="320" w:lineRule="exact"/>
        <w:rPr>
          <w:rFonts w:hint="eastAsia" w:ascii="宋体" w:hAnsi="宋体"/>
          <w:b/>
          <w:color w:val="auto"/>
          <w:sz w:val="32"/>
          <w:szCs w:val="32"/>
          <w:highlight w:val="none"/>
        </w:rPr>
      </w:pPr>
    </w:p>
    <w:p w14:paraId="12B6CE09">
      <w:pPr>
        <w:spacing w:line="360" w:lineRule="auto"/>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211B851">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0E45B7B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2DF8186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FCD0667">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304D2E3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hint="eastAsia" w:ascii="宋体" w:hAnsi="宋体"/>
          <w:color w:val="auto"/>
          <w:sz w:val="24"/>
          <w:highlight w:val="none"/>
          <w:u w:val="single"/>
          <w:lang w:val="en-US" w:eastAsia="zh-CN"/>
        </w:rPr>
        <w:t>120</w:t>
      </w:r>
      <w:r>
        <w:rPr>
          <w:rFonts w:hint="eastAsia" w:ascii="宋体" w:hAnsi="宋体"/>
          <w:color w:val="auto"/>
          <w:sz w:val="24"/>
          <w:highlight w:val="none"/>
        </w:rPr>
        <w:t>日。</w:t>
      </w:r>
    </w:p>
    <w:p w14:paraId="2C1B038A">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700E41BB">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4533D32D">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09BFDFA1">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1C546515">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05F15B62">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26C56507">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F974249">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029C69D7">
      <w:pP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217980EF">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7E7CDA0">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0A4BD3EF">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4D25D8A">
      <w:pPr>
        <w:pStyle w:val="17"/>
        <w:rPr>
          <w:rFonts w:hint="eastAsia"/>
          <w:color w:val="auto"/>
          <w:highlight w:val="none"/>
        </w:rPr>
      </w:pPr>
    </w:p>
    <w:p w14:paraId="4B30383C">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4FAFE511">
      <w:pPr>
        <w:pStyle w:val="24"/>
        <w:spacing w:line="360" w:lineRule="auto"/>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3EEC51EB">
      <w:pPr>
        <w:pStyle w:val="24"/>
        <w:spacing w:line="360" w:lineRule="auto"/>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502DF384">
      <w:pP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开标一览表（货物类格式）</w:t>
      </w:r>
    </w:p>
    <w:p w14:paraId="0FE758F3">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552421B5">
      <w:pPr>
        <w:snapToGrid w:val="0"/>
        <w:spacing w:before="50" w:after="50"/>
        <w:jc w:val="center"/>
        <w:rPr>
          <w:rFonts w:hint="eastAsia" w:ascii="宋体" w:hAnsi="宋体"/>
          <w:b/>
          <w:color w:val="auto"/>
          <w:sz w:val="30"/>
          <w:szCs w:val="20"/>
          <w:highlight w:val="none"/>
        </w:rPr>
      </w:pPr>
    </w:p>
    <w:p w14:paraId="0EFE96DE">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59F66D44">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1491"/>
        <w:gridCol w:w="1281"/>
        <w:gridCol w:w="1399"/>
        <w:gridCol w:w="1155"/>
        <w:gridCol w:w="964"/>
        <w:gridCol w:w="1540"/>
      </w:tblGrid>
      <w:tr w14:paraId="11CF6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31F7FFF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875" w:type="pct"/>
            <w:tcBorders>
              <w:top w:val="single" w:color="auto" w:sz="4" w:space="0"/>
              <w:left w:val="single" w:color="auto" w:sz="4" w:space="0"/>
              <w:bottom w:val="single" w:color="auto" w:sz="4" w:space="0"/>
              <w:right w:val="single" w:color="auto" w:sz="4" w:space="0"/>
            </w:tcBorders>
            <w:noWrap w:val="0"/>
            <w:vAlign w:val="center"/>
          </w:tcPr>
          <w:p w14:paraId="178C4842">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标的的名称</w:t>
            </w:r>
          </w:p>
        </w:tc>
        <w:tc>
          <w:tcPr>
            <w:tcW w:w="751" w:type="pct"/>
            <w:tcBorders>
              <w:top w:val="single" w:color="auto" w:sz="4" w:space="0"/>
              <w:left w:val="single" w:color="auto" w:sz="4" w:space="0"/>
              <w:bottom w:val="single" w:color="auto" w:sz="4" w:space="0"/>
              <w:right w:val="single" w:color="auto" w:sz="4" w:space="0"/>
            </w:tcBorders>
            <w:noWrap w:val="0"/>
            <w:vAlign w:val="center"/>
          </w:tcPr>
          <w:p w14:paraId="212562C7">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品牌</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62D2EC7E">
            <w:pPr>
              <w:snapToGrid w:val="0"/>
              <w:spacing w:before="50" w:after="50" w:line="360" w:lineRule="auto"/>
              <w:jc w:val="center"/>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规格型号</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3DC09DE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38D70009">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单价</w:t>
            </w:r>
          </w:p>
          <w:p w14:paraId="4BAB61DF">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901" w:type="pct"/>
            <w:tcBorders>
              <w:top w:val="single" w:color="auto" w:sz="4" w:space="0"/>
              <w:left w:val="single" w:color="auto" w:sz="4" w:space="0"/>
              <w:bottom w:val="single" w:color="auto" w:sz="4" w:space="0"/>
              <w:right w:val="single" w:color="auto" w:sz="4" w:space="0"/>
            </w:tcBorders>
            <w:noWrap w:val="0"/>
            <w:vAlign w:val="center"/>
          </w:tcPr>
          <w:p w14:paraId="67994E06">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5E9AB9E9">
            <w:pPr>
              <w:snapToGrid w:val="0"/>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24086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416D6FC1">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875" w:type="pct"/>
            <w:tcBorders>
              <w:top w:val="single" w:color="auto" w:sz="4" w:space="0"/>
              <w:left w:val="single" w:color="auto" w:sz="4" w:space="0"/>
              <w:bottom w:val="single" w:color="auto" w:sz="4" w:space="0"/>
              <w:right w:val="single" w:color="auto" w:sz="4" w:space="0"/>
            </w:tcBorders>
            <w:noWrap w:val="0"/>
            <w:vAlign w:val="center"/>
          </w:tcPr>
          <w:p w14:paraId="31BB5910">
            <w:pPr>
              <w:snapToGrid w:val="0"/>
              <w:spacing w:before="50" w:after="50" w:line="360" w:lineRule="auto"/>
              <w:jc w:val="center"/>
              <w:rPr>
                <w:rFonts w:hint="eastAsia" w:ascii="宋体" w:hAnsi="宋体"/>
                <w:b/>
                <w:color w:val="auto"/>
                <w:sz w:val="24"/>
                <w:highlight w:val="none"/>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2033D870">
            <w:pPr>
              <w:snapToGrid w:val="0"/>
              <w:spacing w:before="50" w:after="50" w:line="360" w:lineRule="auto"/>
              <w:rPr>
                <w:rFonts w:hint="eastAsia" w:ascii="宋体" w:hAnsi="宋体"/>
                <w:color w:val="auto"/>
                <w:sz w:val="24"/>
                <w:highlight w:val="none"/>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59F0F5DD">
            <w:pPr>
              <w:snapToGrid w:val="0"/>
              <w:spacing w:before="50" w:after="50" w:line="360" w:lineRule="auto"/>
              <w:rPr>
                <w:rFonts w:hint="eastAsia" w:ascii="宋体" w:hAnsi="宋体"/>
                <w:color w:val="auto"/>
                <w:sz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14:paraId="6794B325">
            <w:pPr>
              <w:snapToGrid w:val="0"/>
              <w:spacing w:before="50" w:after="50" w:line="360" w:lineRule="auto"/>
              <w:rPr>
                <w:rFonts w:hint="eastAsia" w:ascii="宋体" w:hAnsi="宋体"/>
                <w:color w:val="auto"/>
                <w:sz w:val="24"/>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5A3ADE23">
            <w:pPr>
              <w:snapToGrid w:val="0"/>
              <w:spacing w:before="50" w:after="50" w:line="360" w:lineRule="auto"/>
              <w:rPr>
                <w:rFonts w:hint="eastAsia" w:ascii="宋体" w:hAnsi="宋体"/>
                <w:color w:val="auto"/>
                <w:sz w:val="24"/>
                <w:highlight w:val="none"/>
              </w:rPr>
            </w:pPr>
          </w:p>
        </w:tc>
        <w:tc>
          <w:tcPr>
            <w:tcW w:w="901" w:type="pct"/>
            <w:tcBorders>
              <w:top w:val="single" w:color="auto" w:sz="4" w:space="0"/>
              <w:left w:val="single" w:color="auto" w:sz="4" w:space="0"/>
              <w:bottom w:val="single" w:color="auto" w:sz="4" w:space="0"/>
              <w:right w:val="single" w:color="auto" w:sz="4" w:space="0"/>
            </w:tcBorders>
            <w:noWrap w:val="0"/>
            <w:vAlign w:val="center"/>
          </w:tcPr>
          <w:p w14:paraId="3E730722">
            <w:pPr>
              <w:snapToGrid w:val="0"/>
              <w:spacing w:before="50" w:after="50" w:line="360" w:lineRule="auto"/>
              <w:rPr>
                <w:rFonts w:hint="eastAsia" w:ascii="宋体" w:hAnsi="宋体"/>
                <w:color w:val="auto"/>
                <w:sz w:val="24"/>
                <w:highlight w:val="none"/>
              </w:rPr>
            </w:pPr>
          </w:p>
        </w:tc>
      </w:tr>
      <w:tr w14:paraId="03706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4213D3D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2</w:t>
            </w:r>
          </w:p>
        </w:tc>
        <w:tc>
          <w:tcPr>
            <w:tcW w:w="875" w:type="pct"/>
            <w:tcBorders>
              <w:top w:val="single" w:color="auto" w:sz="4" w:space="0"/>
              <w:left w:val="single" w:color="auto" w:sz="4" w:space="0"/>
              <w:bottom w:val="single" w:color="auto" w:sz="4" w:space="0"/>
              <w:right w:val="single" w:color="auto" w:sz="4" w:space="0"/>
            </w:tcBorders>
            <w:noWrap w:val="0"/>
            <w:vAlign w:val="center"/>
          </w:tcPr>
          <w:p w14:paraId="46FFC12B">
            <w:pPr>
              <w:snapToGrid w:val="0"/>
              <w:spacing w:before="50" w:after="50" w:line="360" w:lineRule="auto"/>
              <w:jc w:val="center"/>
              <w:rPr>
                <w:rFonts w:hint="eastAsia" w:ascii="宋体" w:hAnsi="宋体"/>
                <w:b/>
                <w:color w:val="auto"/>
                <w:sz w:val="24"/>
                <w:highlight w:val="none"/>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025041EA">
            <w:pPr>
              <w:snapToGrid w:val="0"/>
              <w:spacing w:before="50" w:after="50" w:line="360" w:lineRule="auto"/>
              <w:rPr>
                <w:rFonts w:hint="eastAsia" w:ascii="宋体" w:hAnsi="宋体"/>
                <w:color w:val="auto"/>
                <w:sz w:val="24"/>
                <w:highlight w:val="none"/>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765DDE9A">
            <w:pPr>
              <w:snapToGrid w:val="0"/>
              <w:spacing w:before="50" w:after="50" w:line="360" w:lineRule="auto"/>
              <w:rPr>
                <w:rFonts w:hint="eastAsia" w:ascii="宋体" w:hAnsi="宋体"/>
                <w:color w:val="auto"/>
                <w:sz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14:paraId="1DBD95D0">
            <w:pPr>
              <w:snapToGrid w:val="0"/>
              <w:spacing w:before="50" w:after="50" w:line="360" w:lineRule="auto"/>
              <w:rPr>
                <w:rFonts w:hint="eastAsia" w:ascii="宋体" w:hAnsi="宋体"/>
                <w:color w:val="auto"/>
                <w:sz w:val="24"/>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355B9C72">
            <w:pPr>
              <w:snapToGrid w:val="0"/>
              <w:spacing w:before="50" w:after="50" w:line="360" w:lineRule="auto"/>
              <w:rPr>
                <w:rFonts w:hint="eastAsia" w:ascii="宋体" w:hAnsi="宋体"/>
                <w:color w:val="auto"/>
                <w:sz w:val="24"/>
                <w:highlight w:val="none"/>
              </w:rPr>
            </w:pPr>
          </w:p>
        </w:tc>
        <w:tc>
          <w:tcPr>
            <w:tcW w:w="901" w:type="pct"/>
            <w:tcBorders>
              <w:top w:val="single" w:color="auto" w:sz="4" w:space="0"/>
              <w:left w:val="single" w:color="auto" w:sz="4" w:space="0"/>
              <w:bottom w:val="single" w:color="auto" w:sz="4" w:space="0"/>
              <w:right w:val="single" w:color="auto" w:sz="4" w:space="0"/>
            </w:tcBorders>
            <w:noWrap w:val="0"/>
            <w:vAlign w:val="center"/>
          </w:tcPr>
          <w:p w14:paraId="640BE7D7">
            <w:pPr>
              <w:snapToGrid w:val="0"/>
              <w:spacing w:before="50" w:after="50" w:line="360" w:lineRule="auto"/>
              <w:rPr>
                <w:rFonts w:hint="eastAsia" w:ascii="宋体" w:hAnsi="宋体"/>
                <w:color w:val="auto"/>
                <w:sz w:val="24"/>
                <w:highlight w:val="none"/>
              </w:rPr>
            </w:pPr>
          </w:p>
        </w:tc>
      </w:tr>
      <w:tr w14:paraId="512F9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09" w:type="pct"/>
            <w:tcBorders>
              <w:top w:val="single" w:color="auto" w:sz="4" w:space="0"/>
              <w:left w:val="single" w:color="auto" w:sz="4" w:space="0"/>
              <w:bottom w:val="single" w:color="auto" w:sz="4" w:space="0"/>
              <w:right w:val="single" w:color="auto" w:sz="4" w:space="0"/>
            </w:tcBorders>
            <w:noWrap w:val="0"/>
            <w:vAlign w:val="center"/>
          </w:tcPr>
          <w:p w14:paraId="0D67686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875" w:type="pct"/>
            <w:tcBorders>
              <w:top w:val="single" w:color="auto" w:sz="4" w:space="0"/>
              <w:left w:val="single" w:color="auto" w:sz="4" w:space="0"/>
              <w:bottom w:val="single" w:color="auto" w:sz="4" w:space="0"/>
              <w:right w:val="single" w:color="auto" w:sz="4" w:space="0"/>
            </w:tcBorders>
            <w:noWrap w:val="0"/>
            <w:vAlign w:val="center"/>
          </w:tcPr>
          <w:p w14:paraId="78CC388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751" w:type="pct"/>
            <w:tcBorders>
              <w:top w:val="single" w:color="auto" w:sz="4" w:space="0"/>
              <w:left w:val="single" w:color="auto" w:sz="4" w:space="0"/>
              <w:bottom w:val="single" w:color="auto" w:sz="4" w:space="0"/>
              <w:right w:val="single" w:color="auto" w:sz="4" w:space="0"/>
            </w:tcBorders>
            <w:noWrap w:val="0"/>
            <w:vAlign w:val="center"/>
          </w:tcPr>
          <w:p w14:paraId="3E2B921D">
            <w:pPr>
              <w:snapToGrid w:val="0"/>
              <w:spacing w:before="50" w:after="50" w:line="360" w:lineRule="auto"/>
              <w:rPr>
                <w:rFonts w:hint="eastAsia" w:ascii="宋体" w:hAnsi="宋体"/>
                <w:color w:val="auto"/>
                <w:sz w:val="24"/>
                <w:highlight w:val="none"/>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5BAF3693">
            <w:pPr>
              <w:snapToGrid w:val="0"/>
              <w:spacing w:before="50" w:after="50" w:line="360" w:lineRule="auto"/>
              <w:rPr>
                <w:rFonts w:hint="eastAsia" w:ascii="宋体" w:hAnsi="宋体"/>
                <w:color w:val="auto"/>
                <w:sz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center"/>
          </w:tcPr>
          <w:p w14:paraId="5BDE26DB">
            <w:pPr>
              <w:snapToGrid w:val="0"/>
              <w:spacing w:before="50" w:after="50" w:line="360" w:lineRule="auto"/>
              <w:rPr>
                <w:rFonts w:hint="eastAsia" w:ascii="宋体" w:hAnsi="宋体"/>
                <w:color w:val="auto"/>
                <w:sz w:val="24"/>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4668F05E">
            <w:pPr>
              <w:snapToGrid w:val="0"/>
              <w:spacing w:before="50" w:after="50" w:line="360" w:lineRule="auto"/>
              <w:rPr>
                <w:rFonts w:hint="eastAsia" w:ascii="宋体" w:hAnsi="宋体"/>
                <w:color w:val="auto"/>
                <w:sz w:val="24"/>
                <w:highlight w:val="none"/>
              </w:rPr>
            </w:pPr>
          </w:p>
        </w:tc>
        <w:tc>
          <w:tcPr>
            <w:tcW w:w="901" w:type="pct"/>
            <w:tcBorders>
              <w:top w:val="single" w:color="auto" w:sz="4" w:space="0"/>
              <w:left w:val="single" w:color="auto" w:sz="4" w:space="0"/>
              <w:bottom w:val="single" w:color="auto" w:sz="4" w:space="0"/>
              <w:right w:val="single" w:color="auto" w:sz="4" w:space="0"/>
            </w:tcBorders>
            <w:noWrap w:val="0"/>
            <w:vAlign w:val="center"/>
          </w:tcPr>
          <w:p w14:paraId="4FECDBD8">
            <w:pPr>
              <w:snapToGrid w:val="0"/>
              <w:spacing w:before="50" w:after="50" w:line="360" w:lineRule="auto"/>
              <w:rPr>
                <w:rFonts w:hint="eastAsia" w:ascii="宋体" w:hAnsi="宋体"/>
                <w:color w:val="auto"/>
                <w:sz w:val="24"/>
                <w:highlight w:val="none"/>
              </w:rPr>
            </w:pPr>
          </w:p>
        </w:tc>
      </w:tr>
      <w:tr w14:paraId="5A75C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00AE9E46">
            <w:pPr>
              <w:snapToGrid w:val="0"/>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1BF318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35E69DF9">
      <w:pPr>
        <w:snapToGrid w:val="0"/>
        <w:spacing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5C411D1C">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w:t>
      </w:r>
      <w:r>
        <w:rPr>
          <w:rFonts w:hint="eastAsia" w:ascii="宋体" w:hAnsi="宋体"/>
          <w:color w:val="auto"/>
          <w:sz w:val="24"/>
          <w:highlight w:val="none"/>
          <w:lang w:eastAsia="zh-CN"/>
        </w:rPr>
        <w:t>使</w:t>
      </w:r>
      <w:r>
        <w:rPr>
          <w:rFonts w:hint="eastAsia" w:ascii="宋体" w:hAnsi="宋体"/>
          <w:color w:val="auto"/>
          <w:sz w:val="24"/>
          <w:highlight w:val="none"/>
        </w:rPr>
        <w:t>用量提供报价。</w:t>
      </w:r>
    </w:p>
    <w:p w14:paraId="05E56ECE">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72EB69F3">
      <w:pPr>
        <w:snapToGrid w:val="0"/>
        <w:spacing w:line="360" w:lineRule="auto"/>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6F32D9B9">
      <w:pPr>
        <w:snapToGrid w:val="0"/>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73C4F372">
      <w:pPr>
        <w:pStyle w:val="17"/>
        <w:rPr>
          <w:rFonts w:hint="eastAsia"/>
          <w:color w:val="auto"/>
          <w:highlight w:val="none"/>
        </w:rPr>
      </w:pPr>
    </w:p>
    <w:p w14:paraId="74FA4AFA">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116D0756">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D5BA9BC">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1A98E5F">
      <w:pPr>
        <w:rPr>
          <w:rFonts w:hint="eastAsia"/>
          <w:b/>
          <w:color w:val="auto"/>
          <w:sz w:val="28"/>
          <w:szCs w:val="28"/>
          <w:highlight w:val="none"/>
        </w:rPr>
      </w:pPr>
      <w:r>
        <w:rPr>
          <w:rFonts w:ascii="宋体" w:hAnsi="宋体"/>
          <w:b/>
          <w:bCs/>
          <w:color w:val="auto"/>
          <w:sz w:val="24"/>
          <w:highlight w:val="none"/>
        </w:rPr>
        <w:br w:type="page"/>
      </w:r>
      <w:bookmarkStart w:id="163" w:name="_Toc19686837"/>
      <w:r>
        <w:rPr>
          <w:rFonts w:hint="eastAsia"/>
          <w:b/>
          <w:color w:val="auto"/>
          <w:sz w:val="28"/>
          <w:szCs w:val="28"/>
          <w:highlight w:val="none"/>
        </w:rPr>
        <w:t>二、资格证明文件格式</w:t>
      </w:r>
      <w:bookmarkEnd w:id="161"/>
      <w:bookmarkEnd w:id="162"/>
      <w:bookmarkEnd w:id="163"/>
    </w:p>
    <w:p w14:paraId="1AD60346">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0BFB0ECC">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66549C00">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7DE107D3">
      <w:pPr>
        <w:snapToGrid w:val="0"/>
        <w:spacing w:before="120" w:beforeLines="50" w:after="50"/>
        <w:rPr>
          <w:rFonts w:ascii="宋体" w:hAnsi="宋体"/>
          <w:bCs/>
          <w:color w:val="auto"/>
          <w:sz w:val="24"/>
          <w:szCs w:val="20"/>
          <w:highlight w:val="none"/>
        </w:rPr>
      </w:pPr>
    </w:p>
    <w:p w14:paraId="26D5654B">
      <w:pPr>
        <w:snapToGrid w:val="0"/>
        <w:spacing w:before="120" w:beforeLines="50" w:after="50"/>
        <w:rPr>
          <w:rFonts w:ascii="宋体" w:hAnsi="宋体"/>
          <w:bCs/>
          <w:color w:val="auto"/>
          <w:sz w:val="24"/>
          <w:szCs w:val="20"/>
          <w:highlight w:val="none"/>
        </w:rPr>
      </w:pPr>
    </w:p>
    <w:p w14:paraId="0AAB1ED0">
      <w:pPr>
        <w:snapToGrid w:val="0"/>
        <w:spacing w:before="120" w:beforeLines="50" w:after="50"/>
        <w:rPr>
          <w:rFonts w:ascii="宋体" w:hAnsi="宋体"/>
          <w:bCs/>
          <w:color w:val="auto"/>
          <w:sz w:val="24"/>
          <w:szCs w:val="20"/>
          <w:highlight w:val="none"/>
        </w:rPr>
      </w:pPr>
    </w:p>
    <w:p w14:paraId="6B599DEC">
      <w:pPr>
        <w:snapToGrid w:val="0"/>
        <w:spacing w:before="120" w:beforeLines="50" w:after="50"/>
        <w:rPr>
          <w:rFonts w:ascii="宋体" w:hAnsi="宋体"/>
          <w:bCs/>
          <w:color w:val="auto"/>
          <w:sz w:val="24"/>
          <w:szCs w:val="20"/>
          <w:highlight w:val="none"/>
        </w:rPr>
      </w:pPr>
    </w:p>
    <w:p w14:paraId="37B02884">
      <w:pPr>
        <w:snapToGrid w:val="0"/>
        <w:spacing w:before="120" w:beforeLines="50" w:after="50"/>
        <w:rPr>
          <w:rFonts w:ascii="宋体" w:hAnsi="宋体"/>
          <w:bCs/>
          <w:color w:val="auto"/>
          <w:sz w:val="24"/>
          <w:szCs w:val="20"/>
          <w:highlight w:val="none"/>
        </w:rPr>
      </w:pPr>
    </w:p>
    <w:p w14:paraId="03277F28">
      <w:pPr>
        <w:snapToGrid w:val="0"/>
        <w:spacing w:before="120" w:beforeLines="50" w:after="50"/>
        <w:rPr>
          <w:rFonts w:ascii="宋体" w:hAnsi="宋体"/>
          <w:bCs/>
          <w:color w:val="auto"/>
          <w:sz w:val="24"/>
          <w:szCs w:val="20"/>
          <w:highlight w:val="none"/>
        </w:rPr>
      </w:pPr>
    </w:p>
    <w:p w14:paraId="79F4B6FB">
      <w:pPr>
        <w:snapToGrid w:val="0"/>
        <w:spacing w:before="120" w:beforeLines="50" w:after="50"/>
        <w:rPr>
          <w:rFonts w:hint="eastAsia" w:ascii="宋体" w:hAnsi="宋体"/>
          <w:bCs/>
          <w:color w:val="auto"/>
          <w:sz w:val="24"/>
          <w:szCs w:val="20"/>
          <w:highlight w:val="none"/>
        </w:rPr>
      </w:pPr>
    </w:p>
    <w:p w14:paraId="645DB9B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3E8D9938">
      <w:pPr>
        <w:snapToGrid w:val="0"/>
        <w:spacing w:before="120" w:beforeLines="50" w:after="50"/>
        <w:ind w:firstLine="540" w:firstLineChars="225"/>
        <w:rPr>
          <w:rFonts w:hint="eastAsia" w:ascii="宋体" w:hAnsi="宋体"/>
          <w:bCs/>
          <w:color w:val="auto"/>
          <w:sz w:val="24"/>
          <w:szCs w:val="20"/>
          <w:highlight w:val="none"/>
        </w:rPr>
      </w:pPr>
    </w:p>
    <w:p w14:paraId="5186C871">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5CECF01B">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621B11A5">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FDBDC44">
      <w:pPr>
        <w:pStyle w:val="6"/>
        <w:snapToGrid w:val="0"/>
        <w:spacing w:before="50" w:after="50"/>
        <w:ind w:firstLine="540" w:firstLineChars="225"/>
        <w:rPr>
          <w:rFonts w:hint="eastAsia" w:ascii="宋体" w:hAnsi="宋体"/>
          <w:bCs/>
          <w:color w:val="auto"/>
          <w:sz w:val="24"/>
          <w:szCs w:val="24"/>
          <w:highlight w:val="none"/>
        </w:rPr>
      </w:pPr>
    </w:p>
    <w:p w14:paraId="7B3F715C">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6E1FD995">
      <w:pPr>
        <w:pStyle w:val="6"/>
        <w:snapToGrid w:val="0"/>
        <w:spacing w:before="50" w:after="50"/>
        <w:ind w:firstLine="540" w:firstLineChars="225"/>
        <w:rPr>
          <w:rFonts w:hint="eastAsia" w:ascii="宋体" w:hAnsi="宋体"/>
          <w:bCs/>
          <w:color w:val="auto"/>
          <w:sz w:val="24"/>
          <w:szCs w:val="24"/>
          <w:highlight w:val="none"/>
        </w:rPr>
      </w:pPr>
    </w:p>
    <w:p w14:paraId="522F274C">
      <w:pPr>
        <w:pStyle w:val="6"/>
        <w:snapToGrid w:val="0"/>
        <w:spacing w:before="50" w:after="50"/>
        <w:ind w:firstLine="960" w:firstLineChars="400"/>
        <w:rPr>
          <w:rFonts w:hint="eastAsia" w:ascii="宋体" w:hAnsi="宋体"/>
          <w:bCs/>
          <w:color w:val="auto"/>
          <w:sz w:val="24"/>
          <w:szCs w:val="24"/>
          <w:highlight w:val="none"/>
        </w:rPr>
      </w:pPr>
    </w:p>
    <w:p w14:paraId="0D25A118">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7C7B657">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D0564C2">
      <w:pPr>
        <w:snapToGrid w:val="0"/>
        <w:spacing w:before="120" w:beforeLines="50" w:after="50"/>
        <w:rPr>
          <w:rFonts w:hint="eastAsia" w:ascii="宋体" w:hAnsi="宋体"/>
          <w:color w:val="auto"/>
          <w:sz w:val="24"/>
          <w:szCs w:val="20"/>
          <w:highlight w:val="none"/>
        </w:rPr>
      </w:pPr>
    </w:p>
    <w:p w14:paraId="65A9BBAC">
      <w:pPr>
        <w:snapToGrid w:val="0"/>
        <w:spacing w:before="120" w:beforeLines="5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3842838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6F7F874F">
      <w:pPr>
        <w:snapToGrid w:val="0"/>
        <w:spacing w:before="50" w:after="120" w:afterLines="50"/>
        <w:jc w:val="left"/>
        <w:rPr>
          <w:rFonts w:hint="eastAsia" w:ascii="宋体" w:hAnsi="宋体"/>
          <w:color w:val="auto"/>
          <w:sz w:val="24"/>
          <w:highlight w:val="none"/>
        </w:rPr>
      </w:pPr>
    </w:p>
    <w:p w14:paraId="455512FD">
      <w:pPr>
        <w:snapToGrid w:val="0"/>
        <w:spacing w:before="50" w:after="120" w:afterLines="50"/>
        <w:jc w:val="left"/>
        <w:rPr>
          <w:rFonts w:hint="eastAsia" w:ascii="宋体" w:hAnsi="宋体"/>
          <w:color w:val="auto"/>
          <w:sz w:val="24"/>
          <w:highlight w:val="none"/>
        </w:rPr>
      </w:pPr>
    </w:p>
    <w:p w14:paraId="4410540D">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3B1B93B3">
      <w:pPr>
        <w:snapToGrid w:val="0"/>
        <w:spacing w:before="50" w:after="120" w:afterLines="50"/>
        <w:jc w:val="center"/>
        <w:rPr>
          <w:rFonts w:hint="eastAsia" w:ascii="宋体" w:hAnsi="宋体"/>
          <w:b/>
          <w:color w:val="auto"/>
          <w:sz w:val="28"/>
          <w:szCs w:val="28"/>
          <w:highlight w:val="none"/>
        </w:rPr>
      </w:pPr>
    </w:p>
    <w:p w14:paraId="50B2B183">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C768AB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ADAB59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11635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F5E265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162FEF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1EA3E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0A526C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BA4BE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01B8A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494C0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17D157">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428F8E">
            <w:pPr>
              <w:spacing w:line="360" w:lineRule="auto"/>
              <w:jc w:val="center"/>
              <w:rPr>
                <w:rFonts w:ascii="宋体" w:hAnsi="宋体" w:cs="宋体"/>
                <w:color w:val="auto"/>
                <w:kern w:val="0"/>
                <w:sz w:val="24"/>
                <w:highlight w:val="none"/>
              </w:rPr>
            </w:pPr>
          </w:p>
        </w:tc>
      </w:tr>
      <w:tr w14:paraId="6441192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66B4D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311DA9">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B48A9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56C56D">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C3AEB0">
            <w:pPr>
              <w:spacing w:line="360" w:lineRule="auto"/>
              <w:jc w:val="center"/>
              <w:rPr>
                <w:rFonts w:ascii="宋体" w:hAnsi="宋体" w:cs="宋体"/>
                <w:color w:val="auto"/>
                <w:kern w:val="0"/>
                <w:sz w:val="24"/>
                <w:highlight w:val="none"/>
              </w:rPr>
            </w:pPr>
          </w:p>
        </w:tc>
      </w:tr>
      <w:tr w14:paraId="33676EC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FEDC9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C3AB1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90F77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EC252E">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8412A1">
            <w:pPr>
              <w:spacing w:line="360" w:lineRule="auto"/>
              <w:jc w:val="center"/>
              <w:rPr>
                <w:rFonts w:ascii="宋体" w:hAnsi="宋体" w:cs="宋体"/>
                <w:color w:val="auto"/>
                <w:kern w:val="0"/>
                <w:sz w:val="24"/>
                <w:highlight w:val="none"/>
              </w:rPr>
            </w:pPr>
          </w:p>
        </w:tc>
      </w:tr>
      <w:tr w14:paraId="340A07B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D1F72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84F10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94F07A">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14C69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CC8E7A">
            <w:pPr>
              <w:spacing w:line="360" w:lineRule="auto"/>
              <w:jc w:val="center"/>
              <w:rPr>
                <w:rFonts w:ascii="宋体" w:hAnsi="宋体" w:cs="宋体"/>
                <w:color w:val="auto"/>
                <w:kern w:val="0"/>
                <w:sz w:val="24"/>
                <w:highlight w:val="none"/>
              </w:rPr>
            </w:pPr>
          </w:p>
        </w:tc>
      </w:tr>
    </w:tbl>
    <w:p w14:paraId="3017F3C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52F63D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08095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74B4FCC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037EC7E">
      <w:pPr>
        <w:snapToGrid w:val="0"/>
        <w:spacing w:line="360" w:lineRule="auto"/>
        <w:jc w:val="left"/>
        <w:rPr>
          <w:rFonts w:hint="eastAsia" w:ascii="宋体" w:hAnsi="宋体"/>
          <w:color w:val="auto"/>
          <w:sz w:val="24"/>
          <w:highlight w:val="none"/>
        </w:rPr>
      </w:pPr>
    </w:p>
    <w:p w14:paraId="61C00156">
      <w:pPr>
        <w:snapToGrid w:val="0"/>
        <w:spacing w:line="360" w:lineRule="auto"/>
        <w:jc w:val="left"/>
        <w:rPr>
          <w:rFonts w:hint="eastAsia" w:ascii="宋体" w:hAnsi="宋体"/>
          <w:color w:val="auto"/>
          <w:sz w:val="24"/>
          <w:highlight w:val="none"/>
        </w:rPr>
      </w:pPr>
    </w:p>
    <w:p w14:paraId="2E965C27">
      <w:pPr>
        <w:snapToGrid w:val="0"/>
        <w:spacing w:line="360" w:lineRule="auto"/>
        <w:jc w:val="left"/>
        <w:rPr>
          <w:rFonts w:hint="eastAsia" w:ascii="宋体" w:hAnsi="宋体"/>
          <w:color w:val="auto"/>
          <w:sz w:val="24"/>
          <w:highlight w:val="none"/>
        </w:rPr>
      </w:pPr>
    </w:p>
    <w:p w14:paraId="1F866EE5">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61CBAC4">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5CF5226">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6F59518">
      <w:pPr>
        <w:snapToGrid w:val="0"/>
        <w:jc w:val="center"/>
        <w:rPr>
          <w:rFonts w:hint="eastAsia" w:ascii="宋体" w:hAnsi="宋体"/>
          <w:b/>
          <w:color w:val="auto"/>
          <w:sz w:val="28"/>
          <w:szCs w:val="28"/>
          <w:highlight w:val="none"/>
        </w:rPr>
      </w:pPr>
    </w:p>
    <w:p w14:paraId="4E16FDE5">
      <w:pPr>
        <w:snapToGrid w:val="0"/>
        <w:spacing w:line="360" w:lineRule="auto"/>
        <w:jc w:val="left"/>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24"/>
          <w:highlight w:val="none"/>
        </w:rPr>
        <w:t>4.</w:t>
      </w:r>
      <w:r>
        <w:rPr>
          <w:rFonts w:hint="eastAsia"/>
          <w:color w:val="auto"/>
          <w:highlight w:val="none"/>
        </w:rPr>
        <w:t xml:space="preserve"> </w:t>
      </w:r>
      <w:r>
        <w:rPr>
          <w:rFonts w:hint="eastAsia" w:ascii="宋体" w:hAnsi="宋体"/>
          <w:b/>
          <w:color w:val="auto"/>
          <w:sz w:val="28"/>
          <w:szCs w:val="28"/>
          <w:highlight w:val="none"/>
        </w:rPr>
        <w:t>投标人直接管理关系信息表</w:t>
      </w:r>
    </w:p>
    <w:p w14:paraId="5B265192">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162200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319946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DBEBCE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ED6E2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A9E42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E5716C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0F01A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C52B7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2F7A1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F18792">
            <w:pPr>
              <w:spacing w:line="360" w:lineRule="auto"/>
              <w:jc w:val="center"/>
              <w:rPr>
                <w:rFonts w:ascii="宋体" w:hAnsi="宋体" w:cs="宋体"/>
                <w:color w:val="auto"/>
                <w:kern w:val="0"/>
                <w:sz w:val="24"/>
                <w:highlight w:val="none"/>
              </w:rPr>
            </w:pPr>
          </w:p>
        </w:tc>
      </w:tr>
      <w:tr w14:paraId="01BAA7E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8DDBF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D81AD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B59BB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5E65A5">
            <w:pPr>
              <w:spacing w:line="360" w:lineRule="auto"/>
              <w:jc w:val="center"/>
              <w:rPr>
                <w:rFonts w:ascii="宋体" w:hAnsi="宋体" w:cs="宋体"/>
                <w:color w:val="auto"/>
                <w:kern w:val="0"/>
                <w:sz w:val="24"/>
                <w:highlight w:val="none"/>
              </w:rPr>
            </w:pPr>
          </w:p>
        </w:tc>
      </w:tr>
      <w:tr w14:paraId="7E99D42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F91FB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64F9D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F6230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7DD3A7">
            <w:pPr>
              <w:spacing w:line="360" w:lineRule="auto"/>
              <w:jc w:val="center"/>
              <w:rPr>
                <w:rFonts w:ascii="宋体" w:hAnsi="宋体" w:cs="宋体"/>
                <w:color w:val="auto"/>
                <w:kern w:val="0"/>
                <w:sz w:val="24"/>
                <w:highlight w:val="none"/>
              </w:rPr>
            </w:pPr>
          </w:p>
        </w:tc>
      </w:tr>
      <w:tr w14:paraId="7A8C150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1DBCD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106951">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B0C61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C1ADAB">
            <w:pPr>
              <w:spacing w:line="360" w:lineRule="auto"/>
              <w:jc w:val="center"/>
              <w:rPr>
                <w:rFonts w:ascii="宋体" w:hAnsi="宋体" w:cs="宋体"/>
                <w:color w:val="auto"/>
                <w:kern w:val="0"/>
                <w:sz w:val="24"/>
                <w:highlight w:val="none"/>
              </w:rPr>
            </w:pPr>
          </w:p>
        </w:tc>
      </w:tr>
    </w:tbl>
    <w:p w14:paraId="6ADF4B1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F698F58">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AE6500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9C0F9F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5FC69F65">
      <w:pPr>
        <w:snapToGrid w:val="0"/>
        <w:spacing w:line="360" w:lineRule="auto"/>
        <w:jc w:val="left"/>
        <w:rPr>
          <w:rFonts w:hint="eastAsia" w:ascii="宋体" w:hAnsi="宋体"/>
          <w:color w:val="auto"/>
          <w:sz w:val="24"/>
          <w:highlight w:val="none"/>
        </w:rPr>
      </w:pPr>
    </w:p>
    <w:p w14:paraId="5636C003">
      <w:pPr>
        <w:snapToGrid w:val="0"/>
        <w:spacing w:line="360" w:lineRule="auto"/>
        <w:jc w:val="left"/>
        <w:rPr>
          <w:rFonts w:hint="eastAsia" w:ascii="宋体" w:hAnsi="宋体"/>
          <w:color w:val="auto"/>
          <w:sz w:val="24"/>
          <w:highlight w:val="none"/>
        </w:rPr>
      </w:pPr>
    </w:p>
    <w:p w14:paraId="200378E1">
      <w:pPr>
        <w:snapToGrid w:val="0"/>
        <w:spacing w:line="360" w:lineRule="auto"/>
        <w:jc w:val="left"/>
        <w:rPr>
          <w:rFonts w:hint="eastAsia" w:ascii="宋体" w:hAnsi="宋体"/>
          <w:color w:val="auto"/>
          <w:sz w:val="24"/>
          <w:highlight w:val="none"/>
        </w:rPr>
      </w:pPr>
    </w:p>
    <w:p w14:paraId="6D16D418">
      <w:pPr>
        <w:snapToGrid w:val="0"/>
        <w:spacing w:line="360" w:lineRule="auto"/>
        <w:jc w:val="left"/>
        <w:rPr>
          <w:rFonts w:hint="eastAsia"/>
          <w:color w:val="auto"/>
          <w:sz w:val="24"/>
          <w:highlight w:val="none"/>
        </w:rPr>
      </w:pPr>
    </w:p>
    <w:p w14:paraId="65901858">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67463362">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4A776511">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5BF2D23">
      <w:pPr>
        <w:snapToGrid w:val="0"/>
        <w:spacing w:before="120" w:beforeLines="50" w:after="50"/>
        <w:jc w:val="left"/>
        <w:rPr>
          <w:rFonts w:hint="eastAsia" w:ascii="宋体" w:hAnsi="宋体"/>
          <w:b/>
          <w:color w:val="auto"/>
          <w:sz w:val="24"/>
          <w:szCs w:val="20"/>
          <w:highlight w:val="none"/>
        </w:rPr>
      </w:pPr>
    </w:p>
    <w:p w14:paraId="10B70370">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5.投标声明</w:t>
      </w:r>
    </w:p>
    <w:p w14:paraId="5D7852C4">
      <w:pPr>
        <w:snapToGrid w:val="0"/>
        <w:spacing w:before="50" w:after="120" w:afterLines="50"/>
        <w:jc w:val="left"/>
        <w:rPr>
          <w:rFonts w:hint="eastAsia" w:ascii="宋体" w:hAnsi="宋体"/>
          <w:color w:val="auto"/>
          <w:highlight w:val="none"/>
        </w:rPr>
      </w:pPr>
    </w:p>
    <w:p w14:paraId="17CC2986">
      <w:pPr>
        <w:snapToGrid w:val="0"/>
        <w:spacing w:before="50" w:after="120" w:afterLines="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514C8571">
      <w:pPr>
        <w:spacing w:line="400" w:lineRule="exact"/>
        <w:contextualSpacing/>
        <w:jc w:val="left"/>
        <w:rPr>
          <w:rFonts w:hint="eastAsia"/>
          <w:color w:val="auto"/>
          <w:sz w:val="24"/>
          <w:highlight w:val="none"/>
        </w:rPr>
      </w:pPr>
      <w:r>
        <w:rPr>
          <w:rFonts w:hint="eastAsia"/>
          <w:color w:val="auto"/>
          <w:sz w:val="24"/>
          <w:highlight w:val="none"/>
        </w:rPr>
        <w:t>（采购人名称）：</w:t>
      </w:r>
    </w:p>
    <w:p w14:paraId="2BAF7B05">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1B24BD96">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C04A11">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084FB6BC">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1CF77A9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60C1BA0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41ADAEA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2B64E3F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0815AAE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47015729">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1A41AC6F">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48AE2BCF">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13F9BC74">
      <w:pPr>
        <w:snapToGrid w:val="0"/>
        <w:spacing w:before="50" w:after="50"/>
        <w:rPr>
          <w:rFonts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w:t>
      </w:r>
    </w:p>
    <w:p w14:paraId="6A2E3DDD">
      <w:pPr>
        <w:snapToGrid w:val="0"/>
        <w:spacing w:before="50" w:after="50"/>
        <w:ind w:firstLine="840" w:firstLineChars="3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342A5EE">
      <w:pPr>
        <w:spacing w:line="400" w:lineRule="exact"/>
        <w:contextualSpacing/>
        <w:jc w:val="left"/>
        <w:rPr>
          <w:rFonts w:hint="eastAsia" w:ascii="宋体" w:hAnsi="宋体"/>
          <w:color w:val="auto"/>
          <w:sz w:val="24"/>
          <w:highlight w:val="none"/>
        </w:rPr>
      </w:pPr>
    </w:p>
    <w:p w14:paraId="681C9671">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4E473EB2">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22F49A1A">
      <w:pPr>
        <w:spacing w:line="440" w:lineRule="exact"/>
        <w:contextualSpacing/>
        <w:rPr>
          <w:rFonts w:hint="eastAsia" w:ascii="宋体" w:hAnsi="宋体"/>
          <w:b/>
          <w:color w:val="auto"/>
          <w:sz w:val="24"/>
          <w:highlight w:val="none"/>
        </w:rPr>
      </w:pPr>
      <w:bookmarkStart w:id="164" w:name="_Toc19686838"/>
      <w:r>
        <w:rPr>
          <w:rFonts w:hint="eastAsia" w:ascii="宋体" w:hAnsi="宋体"/>
          <w:b/>
          <w:color w:val="auto"/>
          <w:sz w:val="24"/>
          <w:highlight w:val="none"/>
        </w:rPr>
        <w:t>注：如为联合体投标，盖章处须加盖联合体牵头人电子签章并由联合体牵头人法定代表人签字或者盖章或者电子签名，否则投标无效。</w:t>
      </w:r>
    </w:p>
    <w:p w14:paraId="1C059651">
      <w:pPr>
        <w:rPr>
          <w:rFonts w:hint="eastAsia"/>
          <w:b/>
          <w:color w:val="auto"/>
          <w:sz w:val="28"/>
          <w:szCs w:val="28"/>
          <w:highlight w:val="none"/>
        </w:rPr>
      </w:pPr>
      <w:r>
        <w:rPr>
          <w:b/>
          <w:color w:val="auto"/>
          <w:sz w:val="28"/>
          <w:szCs w:val="28"/>
          <w:highlight w:val="none"/>
        </w:rPr>
        <w:br w:type="page"/>
      </w:r>
      <w:r>
        <w:rPr>
          <w:rFonts w:hint="eastAsia"/>
          <w:b/>
          <w:color w:val="auto"/>
          <w:sz w:val="28"/>
          <w:szCs w:val="28"/>
          <w:highlight w:val="none"/>
        </w:rPr>
        <w:t>三、商务及技术文件格式</w:t>
      </w:r>
      <w:bookmarkEnd w:id="164"/>
    </w:p>
    <w:p w14:paraId="6B9179A9">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5C743C39">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4849AC87">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商务及技术文件</w:t>
      </w:r>
    </w:p>
    <w:p w14:paraId="3027D32D">
      <w:pPr>
        <w:snapToGrid w:val="0"/>
        <w:spacing w:before="120" w:beforeLines="50" w:after="50"/>
        <w:rPr>
          <w:rFonts w:hint="eastAsia" w:ascii="宋体" w:hAnsi="宋体"/>
          <w:bCs/>
          <w:color w:val="auto"/>
          <w:sz w:val="24"/>
          <w:szCs w:val="20"/>
          <w:highlight w:val="none"/>
        </w:rPr>
      </w:pPr>
    </w:p>
    <w:p w14:paraId="5EEF2F32">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08F4981">
      <w:pPr>
        <w:snapToGrid w:val="0"/>
        <w:spacing w:before="120" w:beforeLines="50" w:after="50"/>
        <w:ind w:firstLine="540" w:firstLineChars="225"/>
        <w:rPr>
          <w:rFonts w:hint="eastAsia" w:ascii="宋体" w:hAnsi="宋体"/>
          <w:bCs/>
          <w:color w:val="auto"/>
          <w:sz w:val="24"/>
          <w:szCs w:val="20"/>
          <w:highlight w:val="none"/>
        </w:rPr>
      </w:pPr>
    </w:p>
    <w:p w14:paraId="620BBE2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18C527B0">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1A0CE01D">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516CC44C">
      <w:pPr>
        <w:snapToGrid w:val="0"/>
        <w:spacing w:before="120" w:beforeLines="50" w:after="50"/>
        <w:ind w:firstLine="540" w:firstLineChars="225"/>
        <w:rPr>
          <w:rFonts w:hint="eastAsia" w:ascii="宋体" w:hAnsi="宋体"/>
          <w:bCs/>
          <w:color w:val="auto"/>
          <w:sz w:val="24"/>
          <w:szCs w:val="20"/>
          <w:highlight w:val="none"/>
        </w:rPr>
      </w:pPr>
    </w:p>
    <w:p w14:paraId="3FC5678F">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26134FAD">
      <w:pPr>
        <w:pStyle w:val="6"/>
        <w:snapToGrid w:val="0"/>
        <w:spacing w:before="50" w:after="50"/>
        <w:ind w:firstLine="540" w:firstLineChars="225"/>
        <w:rPr>
          <w:rFonts w:hint="eastAsia" w:ascii="宋体" w:hAnsi="宋体"/>
          <w:bCs/>
          <w:color w:val="auto"/>
          <w:sz w:val="24"/>
          <w:szCs w:val="24"/>
          <w:highlight w:val="none"/>
        </w:rPr>
      </w:pPr>
    </w:p>
    <w:p w14:paraId="326D661F">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231C1D29">
      <w:pPr>
        <w:pStyle w:val="6"/>
        <w:snapToGrid w:val="0"/>
        <w:spacing w:before="50" w:after="50"/>
        <w:ind w:firstLine="960" w:firstLineChars="400"/>
        <w:rPr>
          <w:rFonts w:hint="eastAsia" w:ascii="宋体" w:hAnsi="宋体"/>
          <w:bCs/>
          <w:color w:val="auto"/>
          <w:sz w:val="24"/>
          <w:szCs w:val="24"/>
          <w:highlight w:val="none"/>
        </w:rPr>
      </w:pPr>
    </w:p>
    <w:p w14:paraId="15596738">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0B04B76E">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7FC8F9E">
      <w:pPr>
        <w:snapToGrid w:val="0"/>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2.商务及技术文件目录</w:t>
      </w:r>
    </w:p>
    <w:p w14:paraId="0DDBD48A">
      <w:pPr>
        <w:snapToGrid w:val="0"/>
        <w:spacing w:before="50" w:after="120" w:afterLines="50" w:line="360" w:lineRule="auto"/>
        <w:ind w:firstLine="560" w:firstLineChars="200"/>
        <w:jc w:val="left"/>
        <w:rPr>
          <w:rFonts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0370857F">
      <w:pPr>
        <w:snapToGrid w:val="0"/>
        <w:spacing w:before="50" w:after="120" w:afterLines="50"/>
        <w:jc w:val="left"/>
        <w:rPr>
          <w:rFonts w:hint="eastAsia" w:ascii="宋体" w:hAnsi="宋体"/>
          <w:color w:val="auto"/>
          <w:highlight w:val="none"/>
        </w:rPr>
      </w:pPr>
    </w:p>
    <w:p w14:paraId="754A09E5">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04BE56A9">
      <w:pPr>
        <w:snapToGrid w:val="0"/>
        <w:spacing w:before="120" w:beforeLines="50" w:after="50"/>
        <w:jc w:val="left"/>
        <w:rPr>
          <w:rFonts w:hint="eastAsia" w:ascii="宋体" w:hAnsi="宋体"/>
          <w:b/>
          <w:color w:val="auto"/>
          <w:sz w:val="24"/>
          <w:highlight w:val="none"/>
        </w:rPr>
      </w:pPr>
    </w:p>
    <w:p w14:paraId="3066E1E3">
      <w:pPr>
        <w:spacing w:line="360" w:lineRule="auto"/>
        <w:contextualSpacing/>
        <w:rPr>
          <w:rFonts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4FB16905">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4F846999">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w:t>
      </w:r>
    </w:p>
    <w:p w14:paraId="15A646AB">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3D3A2AC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EF3E4A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2DE585D">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34595530">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53662CF0">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190814E2">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27565C17">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5DB82A7C">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0C7931EA">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B2A4135">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F8B3CE8">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782D570E">
      <w:pPr>
        <w:spacing w:line="44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3146F110">
      <w:pPr>
        <w:spacing w:line="44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1D38F218">
      <w:pPr>
        <w:pStyle w:val="24"/>
        <w:spacing w:line="440" w:lineRule="exact"/>
        <w:ind w:firstLine="960" w:firstLineChars="400"/>
        <w:contextualSpacing/>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78E0E41A">
      <w:pPr>
        <w:pStyle w:val="24"/>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690038A3">
      <w:pPr>
        <w:pStyle w:val="24"/>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326EE6C2">
      <w:pPr>
        <w:snapToGrid w:val="0"/>
        <w:spacing w:before="120" w:beforeLines="5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62391E44">
      <w:pPr>
        <w:spacing w:before="240" w:beforeLines="100" w:after="120" w:afterLines="50"/>
        <w:ind w:left="540"/>
        <w:jc w:val="center"/>
        <w:rPr>
          <w:rFonts w:hint="eastAsia" w:ascii="宋体" w:hAnsi="Courier New"/>
          <w:b/>
          <w:color w:val="auto"/>
          <w:sz w:val="32"/>
          <w:szCs w:val="32"/>
          <w:highlight w:val="none"/>
        </w:rPr>
      </w:pPr>
    </w:p>
    <w:p w14:paraId="0BBC2BDD">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3549A0DD">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ABE48A0">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1BE0081A">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62183457">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3D791A02">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0E1979F1">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4EB80BA0">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4017F95B">
      <w:pPr>
        <w:spacing w:line="500" w:lineRule="exact"/>
        <w:ind w:left="540"/>
        <w:rPr>
          <w:rFonts w:hint="eastAsia" w:ascii="宋体" w:hAnsi="宋体"/>
          <w:color w:val="auto"/>
          <w:sz w:val="24"/>
          <w:highlight w:val="none"/>
        </w:rPr>
      </w:pPr>
    </w:p>
    <w:p w14:paraId="2E3E7D7F">
      <w:pPr>
        <w:spacing w:line="500" w:lineRule="exact"/>
        <w:ind w:left="540"/>
        <w:rPr>
          <w:rFonts w:hint="eastAsia" w:ascii="宋体" w:hAnsi="宋体"/>
          <w:color w:val="auto"/>
          <w:sz w:val="24"/>
          <w:highlight w:val="none"/>
        </w:rPr>
      </w:pPr>
    </w:p>
    <w:p w14:paraId="6E268B56">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68ADE89D">
      <w:pPr>
        <w:spacing w:line="500" w:lineRule="exact"/>
        <w:ind w:left="540"/>
        <w:rPr>
          <w:rFonts w:hint="eastAsia" w:ascii="宋体" w:hAnsi="宋体"/>
          <w:color w:val="auto"/>
          <w:sz w:val="24"/>
          <w:highlight w:val="none"/>
        </w:rPr>
      </w:pPr>
    </w:p>
    <w:p w14:paraId="34C65912">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7F69129A">
      <w:pPr>
        <w:spacing w:line="500" w:lineRule="exact"/>
        <w:ind w:left="540"/>
        <w:jc w:val="right"/>
        <w:rPr>
          <w:rFonts w:hint="eastAsia" w:ascii="宋体" w:hAnsi="宋体"/>
          <w:color w:val="auto"/>
          <w:sz w:val="24"/>
          <w:highlight w:val="none"/>
        </w:rPr>
      </w:pPr>
    </w:p>
    <w:p w14:paraId="0A3CCD5B">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C66CE8E">
      <w:pPr>
        <w:snapToGrid w:val="0"/>
        <w:spacing w:before="120" w:beforeLines="50" w:after="50"/>
        <w:jc w:val="center"/>
        <w:rPr>
          <w:rFonts w:hint="eastAsia" w:ascii="宋体" w:hAnsi="宋体"/>
          <w:b/>
          <w:color w:val="auto"/>
          <w:sz w:val="24"/>
          <w:highlight w:val="none"/>
        </w:rPr>
      </w:pPr>
    </w:p>
    <w:p w14:paraId="71442865">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522227FA">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5F2B4033">
      <w:pPr>
        <w:snapToGrid w:val="0"/>
        <w:spacing w:before="120" w:beforeLines="50" w:after="50"/>
        <w:jc w:val="center"/>
        <w:rPr>
          <w:rFonts w:hint="eastAsia" w:ascii="宋体" w:hAnsi="宋体"/>
          <w:b/>
          <w:color w:val="auto"/>
          <w:sz w:val="44"/>
          <w:szCs w:val="44"/>
          <w:highlight w:val="none"/>
        </w:rPr>
      </w:pPr>
    </w:p>
    <w:p w14:paraId="21B2006C">
      <w:pPr>
        <w:spacing w:line="360" w:lineRule="auto"/>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24EA31F">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595F5518">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479C47B9">
      <w:pPr>
        <w:spacing w:line="440" w:lineRule="exact"/>
        <w:contextualSpacing/>
        <w:jc w:val="center"/>
        <w:rPr>
          <w:rFonts w:hint="eastAsia" w:ascii="宋体" w:hAnsi="宋体"/>
          <w:b/>
          <w:color w:val="auto"/>
          <w:sz w:val="24"/>
          <w:highlight w:val="none"/>
        </w:rPr>
      </w:pPr>
    </w:p>
    <w:p w14:paraId="41E917C7">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036E9CFA">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0156A4F2">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4B2AA7DD">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78462C63">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B3068B1">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089DE2F4">
      <w:pPr>
        <w:spacing w:line="440" w:lineRule="exact"/>
        <w:contextualSpacing/>
        <w:rPr>
          <w:rFonts w:hint="eastAsia" w:ascii="宋体" w:hAnsi="宋体"/>
          <w:color w:val="auto"/>
          <w:sz w:val="24"/>
          <w:highlight w:val="none"/>
        </w:rPr>
      </w:pPr>
    </w:p>
    <w:p w14:paraId="48FE6A7E">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DA8BB75">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6EC1BE58">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036EA864">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6B2DC839">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61547A18">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5AA346EE">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65" w:name="_Hlk65851555"/>
      <w:bookmarkStart w:id="166"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65"/>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6"/>
    </w:p>
    <w:p w14:paraId="21EAE9E3">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6F02AA8B">
      <w:pPr>
        <w:snapToGrid w:val="0"/>
        <w:spacing w:before="120" w:beforeLines="50" w:after="50"/>
        <w:ind w:firstLine="566" w:firstLineChars="236"/>
        <w:jc w:val="center"/>
        <w:rPr>
          <w:rFonts w:hint="eastAsia" w:ascii="宋体" w:hAnsi="宋体"/>
          <w:color w:val="auto"/>
          <w:sz w:val="24"/>
          <w:highlight w:val="none"/>
        </w:rPr>
      </w:pPr>
      <w:r>
        <w:rPr>
          <w:rFonts w:ascii="宋体" w:hAnsi="宋体"/>
          <w:color w:val="auto"/>
          <w:sz w:val="24"/>
          <w:highlight w:val="none"/>
        </w:rPr>
        <w:br w:type="page"/>
      </w:r>
    </w:p>
    <w:p w14:paraId="35203541">
      <w:pPr>
        <w:rPr>
          <w:rFonts w:hint="eastAsia" w:ascii="宋体" w:hAnsi="宋体"/>
          <w:b/>
          <w:color w:val="auto"/>
          <w:sz w:val="24"/>
          <w:szCs w:val="20"/>
          <w:highlight w:val="none"/>
        </w:rPr>
      </w:pPr>
      <w:r>
        <w:rPr>
          <w:rFonts w:hint="eastAsia" w:ascii="宋体" w:hAnsi="宋体"/>
          <w:b/>
          <w:color w:val="auto"/>
          <w:sz w:val="24"/>
          <w:highlight w:val="none"/>
        </w:rPr>
        <w:t>6.商务要求偏离表格式</w:t>
      </w:r>
    </w:p>
    <w:p w14:paraId="6EDF6BEC">
      <w:pPr>
        <w:snapToGrid w:val="0"/>
        <w:spacing w:before="50"/>
        <w:jc w:val="left"/>
        <w:rPr>
          <w:rFonts w:hint="eastAsia" w:ascii="宋体" w:hAnsi="宋体"/>
          <w:color w:val="auto"/>
          <w:sz w:val="24"/>
          <w:highlight w:val="none"/>
        </w:rPr>
      </w:pPr>
    </w:p>
    <w:p w14:paraId="2157CD93">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131515A8">
      <w:pPr>
        <w:snapToGrid w:val="0"/>
        <w:spacing w:before="50"/>
        <w:jc w:val="left"/>
        <w:rPr>
          <w:rFonts w:hint="eastAsia" w:ascii="宋体" w:hAnsi="宋体"/>
          <w:color w:val="auto"/>
          <w:sz w:val="24"/>
          <w:highlight w:val="none"/>
          <w:u w:val="single"/>
        </w:rPr>
      </w:pPr>
    </w:p>
    <w:tbl>
      <w:tblPr>
        <w:tblStyle w:val="4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26159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0D94AEC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6E6CA93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F634802">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24310159">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1E06D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55E9D45">
            <w:pPr>
              <w:jc w:val="center"/>
              <w:rPr>
                <w:rFonts w:ascii="宋体" w:hAnsi="宋体"/>
                <w:i w:val="0"/>
                <w:iCs/>
                <w:color w:val="auto"/>
                <w:sz w:val="24"/>
                <w:highlight w:val="none"/>
              </w:rPr>
            </w:pPr>
            <w:r>
              <w:rPr>
                <w:rFonts w:hint="eastAsia" w:ascii="宋体" w:hAnsi="宋体"/>
                <w:i w:val="0"/>
                <w:iCs/>
                <w:color w:val="auto"/>
                <w:sz w:val="24"/>
                <w:highlight w:val="none"/>
              </w:rPr>
              <w:t>交付的时间和地点</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DBA35CB">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EB584A1">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C47DD52">
            <w:pPr>
              <w:snapToGrid w:val="0"/>
              <w:spacing w:before="120" w:beforeLines="50"/>
              <w:jc w:val="center"/>
              <w:rPr>
                <w:rFonts w:hint="eastAsia" w:ascii="宋体" w:hAnsi="宋体"/>
                <w:color w:val="auto"/>
                <w:sz w:val="24"/>
                <w:highlight w:val="none"/>
              </w:rPr>
            </w:pPr>
          </w:p>
        </w:tc>
      </w:tr>
      <w:tr w14:paraId="10DA1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34C0F10A">
            <w:pPr>
              <w:jc w:val="center"/>
              <w:rPr>
                <w:rFonts w:ascii="宋体" w:hAnsi="宋体"/>
                <w:i w:val="0"/>
                <w:iCs/>
                <w:color w:val="auto"/>
                <w:sz w:val="24"/>
                <w:highlight w:val="none"/>
              </w:rPr>
            </w:pPr>
            <w:r>
              <w:rPr>
                <w:rFonts w:hint="eastAsia" w:ascii="宋体" w:hAnsi="宋体"/>
                <w:i w:val="0"/>
                <w:iCs/>
                <w:color w:val="auto"/>
                <w:sz w:val="24"/>
                <w:highlight w:val="none"/>
              </w:rPr>
              <w:t>合同签订时间</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3640D0E1">
            <w:pPr>
              <w:snapToGrid w:val="0"/>
              <w:spacing w:before="120" w:beforeLines="5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AF53E68">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45BC5B9">
            <w:pPr>
              <w:snapToGrid w:val="0"/>
              <w:spacing w:before="120" w:beforeLines="50"/>
              <w:ind w:left="43"/>
              <w:jc w:val="center"/>
              <w:rPr>
                <w:rFonts w:hint="eastAsia" w:ascii="宋体" w:hAnsi="宋体"/>
                <w:color w:val="auto"/>
                <w:sz w:val="24"/>
                <w:highlight w:val="none"/>
              </w:rPr>
            </w:pPr>
          </w:p>
        </w:tc>
      </w:tr>
      <w:tr w14:paraId="7B49C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0CAC06F7">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2F7498B">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B0F700D">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B316A30">
            <w:pPr>
              <w:snapToGrid w:val="0"/>
              <w:spacing w:before="120" w:beforeLines="50"/>
              <w:jc w:val="center"/>
              <w:rPr>
                <w:rFonts w:hint="eastAsia" w:ascii="宋体" w:hAnsi="宋体"/>
                <w:color w:val="auto"/>
                <w:sz w:val="24"/>
                <w:highlight w:val="none"/>
              </w:rPr>
            </w:pPr>
          </w:p>
        </w:tc>
      </w:tr>
    </w:tbl>
    <w:p w14:paraId="03B242FC">
      <w:pPr>
        <w:pStyle w:val="16"/>
        <w:rPr>
          <w:rFonts w:hint="eastAsia" w:ascii="宋体" w:hAnsi="宋体"/>
          <w:color w:val="auto"/>
          <w:highlight w:val="none"/>
        </w:rPr>
      </w:pPr>
      <w:r>
        <w:rPr>
          <w:rFonts w:hint="eastAsia" w:ascii="宋体" w:hAnsi="宋体"/>
          <w:color w:val="auto"/>
          <w:highlight w:val="none"/>
        </w:rPr>
        <w:t>注：</w:t>
      </w:r>
    </w:p>
    <w:p w14:paraId="6837445D">
      <w:pPr>
        <w:pStyle w:val="18"/>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13EE0B46">
      <w:pPr>
        <w:pStyle w:val="16"/>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36364301">
      <w:pPr>
        <w:snapToGrid w:val="0"/>
        <w:spacing w:before="50" w:after="50"/>
        <w:rPr>
          <w:rFonts w:ascii="宋体" w:hAnsi="宋体"/>
          <w:color w:val="auto"/>
          <w:sz w:val="24"/>
          <w:highlight w:val="none"/>
        </w:rPr>
      </w:pPr>
    </w:p>
    <w:p w14:paraId="795C96D7">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9F49FFE">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FB8690C">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D57C066">
      <w:pPr>
        <w:snapToGrid w:val="0"/>
        <w:spacing w:before="120" w:beforeLines="50"/>
        <w:rPr>
          <w:rFonts w:hint="eastAsia" w:ascii="宋体" w:hAnsi="宋体"/>
          <w:color w:val="auto"/>
          <w:sz w:val="24"/>
          <w:szCs w:val="20"/>
          <w:highlight w:val="none"/>
        </w:rPr>
      </w:pPr>
    </w:p>
    <w:p w14:paraId="7872C3F8">
      <w:pPr>
        <w:snapToGrid w:val="0"/>
        <w:spacing w:before="120" w:beforeLines="50" w:after="50"/>
        <w:jc w:val="left"/>
        <w:rPr>
          <w:rFonts w:ascii="宋体" w:hAnsi="宋体"/>
          <w:color w:val="auto"/>
          <w:sz w:val="24"/>
          <w:szCs w:val="20"/>
          <w:highlight w:val="none"/>
        </w:rPr>
      </w:pPr>
    </w:p>
    <w:p w14:paraId="7A8E27D8">
      <w:pPr>
        <w:snapToGrid w:val="0"/>
        <w:spacing w:before="120" w:beforeLines="50" w:after="50"/>
        <w:jc w:val="left"/>
        <w:rPr>
          <w:rFonts w:hint="eastAsia"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457CC536">
      <w:pPr>
        <w:pStyle w:val="34"/>
        <w:snapToGrid w:val="0"/>
        <w:ind w:left="480" w:hanging="480"/>
        <w:rPr>
          <w:rFonts w:hint="eastAsia" w:ascii="宋体" w:hAnsi="宋体"/>
          <w:color w:val="auto"/>
          <w:sz w:val="24"/>
          <w:highlight w:val="none"/>
        </w:rPr>
      </w:pPr>
    </w:p>
    <w:p w14:paraId="31893E24">
      <w:pPr>
        <w:pStyle w:val="34"/>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3D945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2CA7488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63B7957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5404058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277ADDA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0F509EE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A6428F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21A77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02F3FCF8">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749D0F3">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418F9338">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7806CCD1">
            <w:pPr>
              <w:jc w:val="left"/>
              <w:rPr>
                <w:rFonts w:hint="eastAsia" w:ascii="宋体" w:hAnsi="宋体"/>
                <w:color w:val="auto"/>
                <w:sz w:val="24"/>
                <w:highlight w:val="none"/>
              </w:rPr>
            </w:pPr>
          </w:p>
        </w:tc>
      </w:tr>
      <w:tr w14:paraId="416C5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1B258A7D">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EBC7C06">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BC86F1B">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4957C40B">
            <w:pPr>
              <w:snapToGrid w:val="0"/>
              <w:spacing w:line="240" w:lineRule="exact"/>
              <w:jc w:val="left"/>
              <w:rPr>
                <w:rFonts w:hint="eastAsia" w:ascii="宋体" w:hAnsi="宋体"/>
                <w:color w:val="auto"/>
                <w:sz w:val="24"/>
                <w:highlight w:val="none"/>
              </w:rPr>
            </w:pPr>
          </w:p>
        </w:tc>
      </w:tr>
      <w:tr w14:paraId="5ADC0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03821E38">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D7CF5A8">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FDA97F4">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C30BCCE">
            <w:pPr>
              <w:snapToGrid w:val="0"/>
              <w:spacing w:before="50" w:after="120" w:afterLines="50" w:line="400" w:lineRule="exact"/>
              <w:jc w:val="left"/>
              <w:rPr>
                <w:rFonts w:hint="eastAsia" w:ascii="宋体" w:hAnsi="宋体"/>
                <w:color w:val="auto"/>
                <w:sz w:val="24"/>
                <w:highlight w:val="none"/>
              </w:rPr>
            </w:pPr>
          </w:p>
        </w:tc>
      </w:tr>
      <w:tr w14:paraId="6EA0B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706A49E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78311CF">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BEA328C">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60235F7A">
            <w:pPr>
              <w:snapToGrid w:val="0"/>
              <w:spacing w:before="50" w:after="120" w:afterLines="50" w:line="400" w:lineRule="exact"/>
              <w:jc w:val="left"/>
              <w:rPr>
                <w:rFonts w:hint="eastAsia" w:ascii="宋体" w:hAnsi="宋体"/>
                <w:color w:val="auto"/>
                <w:sz w:val="24"/>
                <w:highlight w:val="none"/>
              </w:rPr>
            </w:pPr>
          </w:p>
        </w:tc>
      </w:tr>
      <w:tr w14:paraId="0FDAD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67D9FBC">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7CBEB6B">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18475A5">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0EC1AAB">
            <w:pPr>
              <w:snapToGrid w:val="0"/>
              <w:spacing w:before="50" w:after="120" w:afterLines="50" w:line="400" w:lineRule="exact"/>
              <w:jc w:val="left"/>
              <w:rPr>
                <w:rFonts w:hint="eastAsia" w:ascii="宋体" w:hAnsi="宋体"/>
                <w:color w:val="auto"/>
                <w:sz w:val="24"/>
                <w:highlight w:val="none"/>
              </w:rPr>
            </w:pPr>
          </w:p>
        </w:tc>
      </w:tr>
      <w:tr w14:paraId="261EB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002A108A">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A59892A">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57B5354">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07DF2A2">
            <w:pPr>
              <w:snapToGrid w:val="0"/>
              <w:spacing w:before="50" w:after="120" w:afterLines="50" w:line="400" w:lineRule="exact"/>
              <w:jc w:val="left"/>
              <w:rPr>
                <w:rFonts w:hint="eastAsia" w:ascii="宋体" w:hAnsi="宋体"/>
                <w:color w:val="auto"/>
                <w:sz w:val="24"/>
                <w:highlight w:val="none"/>
              </w:rPr>
            </w:pPr>
          </w:p>
        </w:tc>
      </w:tr>
    </w:tbl>
    <w:p w14:paraId="72F64A34">
      <w:pPr>
        <w:pStyle w:val="13"/>
        <w:spacing w:before="0" w:after="0" w:line="360" w:lineRule="auto"/>
        <w:contextualSpacing/>
        <w:rPr>
          <w:rFonts w:hint="eastAsia" w:ascii="宋体" w:hAnsi="宋体" w:eastAsia="宋体"/>
          <w:color w:val="auto"/>
          <w:sz w:val="24"/>
          <w:szCs w:val="24"/>
          <w:highlight w:val="none"/>
        </w:rPr>
      </w:pPr>
    </w:p>
    <w:p w14:paraId="4B6C5765">
      <w:pPr>
        <w:pStyle w:val="13"/>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786475DE">
      <w:pPr>
        <w:pStyle w:val="13"/>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0D6304D6">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2B179B04">
      <w:pPr>
        <w:snapToGrid w:val="0"/>
        <w:spacing w:before="50"/>
        <w:ind w:firstLine="480" w:firstLineChars="200"/>
        <w:jc w:val="left"/>
        <w:rPr>
          <w:rFonts w:hint="eastAsia" w:ascii="宋体" w:hAnsi="宋体"/>
          <w:color w:val="auto"/>
          <w:sz w:val="24"/>
          <w:szCs w:val="20"/>
          <w:highlight w:val="none"/>
        </w:rPr>
      </w:pPr>
    </w:p>
    <w:p w14:paraId="3E63BBA3">
      <w:pPr>
        <w:snapToGrid w:val="0"/>
        <w:spacing w:line="360" w:lineRule="auto"/>
        <w:ind w:right="480" w:firstLine="240" w:firstLineChars="100"/>
        <w:jc w:val="left"/>
        <w:rPr>
          <w:rFonts w:hint="eastAsia" w:ascii="宋体" w:hAnsi="宋体"/>
          <w:color w:val="auto"/>
          <w:szCs w:val="21"/>
          <w:highlight w:val="none"/>
        </w:rPr>
      </w:pPr>
      <w:r>
        <w:rPr>
          <w:rFonts w:ascii="宋体" w:hAnsi="宋体"/>
          <w:color w:val="auto"/>
          <w:sz w:val="24"/>
          <w:highlight w:val="none"/>
        </w:rPr>
        <w:br w:type="page"/>
      </w:r>
    </w:p>
    <w:p w14:paraId="238CCAB5">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8</w:t>
      </w:r>
      <w:r>
        <w:rPr>
          <w:rFonts w:hint="eastAsia" w:ascii="宋体" w:hAnsi="宋体"/>
          <w:b/>
          <w:color w:val="auto"/>
          <w:sz w:val="24"/>
          <w:highlight w:val="none"/>
        </w:rPr>
        <w:t xml:space="preserve"> 设备性能配置清单格式</w:t>
      </w:r>
    </w:p>
    <w:p w14:paraId="6CFB557B">
      <w:pPr>
        <w:snapToGrid w:val="0"/>
        <w:spacing w:before="120" w:beforeLines="50" w:after="50"/>
        <w:ind w:left="142"/>
        <w:jc w:val="left"/>
        <w:rPr>
          <w:rFonts w:hint="eastAsia" w:ascii="宋体" w:hAnsi="宋体"/>
          <w:b/>
          <w:color w:val="auto"/>
          <w:sz w:val="24"/>
          <w:highlight w:val="none"/>
        </w:rPr>
      </w:pPr>
    </w:p>
    <w:p w14:paraId="1315FD21">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设备性能配置清单</w:t>
      </w:r>
    </w:p>
    <w:p w14:paraId="6503B6D2">
      <w:pPr>
        <w:pStyle w:val="24"/>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736"/>
        <w:gridCol w:w="940"/>
        <w:gridCol w:w="763"/>
        <w:gridCol w:w="1316"/>
        <w:gridCol w:w="1186"/>
        <w:gridCol w:w="703"/>
        <w:gridCol w:w="1428"/>
      </w:tblGrid>
      <w:tr w14:paraId="4D601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481CD8EB">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017" w:type="pct"/>
            <w:tcBorders>
              <w:top w:val="single" w:color="auto" w:sz="4" w:space="0"/>
              <w:left w:val="single" w:color="auto" w:sz="4" w:space="0"/>
              <w:bottom w:val="single" w:color="auto" w:sz="4" w:space="0"/>
              <w:right w:val="single" w:color="auto" w:sz="4" w:space="0"/>
            </w:tcBorders>
            <w:noWrap w:val="0"/>
            <w:vAlign w:val="center"/>
          </w:tcPr>
          <w:p w14:paraId="4E31C80C">
            <w:pPr>
              <w:snapToGrid w:val="0"/>
              <w:spacing w:before="50" w:after="50"/>
              <w:jc w:val="center"/>
              <w:rPr>
                <w:rFonts w:hint="eastAsia" w:ascii="宋体" w:hAnsi="宋体" w:eastAsia="宋体"/>
                <w:color w:val="auto"/>
                <w:sz w:val="24"/>
                <w:highlight w:val="none"/>
                <w:lang w:val="en-US" w:eastAsia="zh-CN"/>
              </w:rPr>
            </w:pPr>
            <w:r>
              <w:rPr>
                <w:rFonts w:hint="eastAsia" w:hAnsi="宋体" w:cs="Courier New"/>
                <w:color w:val="auto"/>
                <w:sz w:val="24"/>
                <w:highlight w:val="none"/>
              </w:rPr>
              <w:t>标的的名称</w:t>
            </w:r>
            <w:r>
              <w:rPr>
                <w:rFonts w:hint="eastAsia" w:hAnsi="宋体" w:cs="Courier New"/>
                <w:color w:val="auto"/>
                <w:sz w:val="24"/>
                <w:highlight w:val="none"/>
                <w:lang w:val="en-US" w:eastAsia="zh-CN"/>
              </w:rPr>
              <w:t>（货物名称）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19510E25">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6C672E3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771" w:type="pct"/>
            <w:tcBorders>
              <w:top w:val="single" w:color="auto" w:sz="4" w:space="0"/>
              <w:left w:val="single" w:color="auto" w:sz="4" w:space="0"/>
              <w:bottom w:val="single" w:color="auto" w:sz="4" w:space="0"/>
              <w:right w:val="single" w:color="auto" w:sz="4" w:space="0"/>
            </w:tcBorders>
            <w:noWrap w:val="0"/>
            <w:vAlign w:val="top"/>
          </w:tcPr>
          <w:p w14:paraId="42F24FE8">
            <w:pPr>
              <w:snapToGrid w:val="0"/>
              <w:spacing w:before="50" w:after="50"/>
              <w:jc w:val="center"/>
              <w:rPr>
                <w:rFonts w:ascii="宋体" w:hAnsi="宋体"/>
                <w:color w:val="auto"/>
                <w:sz w:val="24"/>
                <w:highlight w:val="none"/>
              </w:rPr>
            </w:pPr>
          </w:p>
          <w:p w14:paraId="48C99048">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7549936D">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06F43661">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7" w:type="pct"/>
            <w:tcBorders>
              <w:top w:val="single" w:color="auto" w:sz="4" w:space="0"/>
              <w:left w:val="single" w:color="auto" w:sz="4" w:space="0"/>
              <w:bottom w:val="single" w:color="auto" w:sz="4" w:space="0"/>
              <w:right w:val="single" w:color="auto" w:sz="4" w:space="0"/>
            </w:tcBorders>
            <w:noWrap w:val="0"/>
            <w:vAlign w:val="center"/>
          </w:tcPr>
          <w:p w14:paraId="7A1BB88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11844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7068153D">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noWrap w:val="0"/>
            <w:vAlign w:val="center"/>
          </w:tcPr>
          <w:p w14:paraId="7C41B9A6">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6734CBC7">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noWrap w:val="0"/>
            <w:vAlign w:val="center"/>
          </w:tcPr>
          <w:p w14:paraId="60F61153">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noWrap w:val="0"/>
            <w:vAlign w:val="top"/>
          </w:tcPr>
          <w:p w14:paraId="70492FE1">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150FF18C">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3371315A">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noWrap w:val="0"/>
            <w:vAlign w:val="center"/>
          </w:tcPr>
          <w:p w14:paraId="156DD25A">
            <w:pPr>
              <w:snapToGrid w:val="0"/>
              <w:spacing w:before="50" w:after="50"/>
              <w:jc w:val="center"/>
              <w:rPr>
                <w:rFonts w:hint="eastAsia" w:ascii="宋体" w:hAnsi="宋体"/>
                <w:color w:val="auto"/>
                <w:sz w:val="24"/>
                <w:highlight w:val="none"/>
              </w:rPr>
            </w:pPr>
          </w:p>
        </w:tc>
      </w:tr>
      <w:tr w14:paraId="64569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3130B8E9">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noWrap w:val="0"/>
            <w:vAlign w:val="center"/>
          </w:tcPr>
          <w:p w14:paraId="1CB4B5CB">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0A3A1E41">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noWrap w:val="0"/>
            <w:vAlign w:val="center"/>
          </w:tcPr>
          <w:p w14:paraId="34B8C53A">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noWrap w:val="0"/>
            <w:vAlign w:val="top"/>
          </w:tcPr>
          <w:p w14:paraId="6F09E3F3">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740A03FC">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801D43E">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noWrap w:val="0"/>
            <w:vAlign w:val="center"/>
          </w:tcPr>
          <w:p w14:paraId="2462393A">
            <w:pPr>
              <w:snapToGrid w:val="0"/>
              <w:spacing w:before="50" w:after="50"/>
              <w:jc w:val="center"/>
              <w:rPr>
                <w:rFonts w:hint="eastAsia" w:ascii="宋体" w:hAnsi="宋体"/>
                <w:color w:val="auto"/>
                <w:sz w:val="24"/>
                <w:highlight w:val="none"/>
              </w:rPr>
            </w:pPr>
          </w:p>
        </w:tc>
      </w:tr>
      <w:tr w14:paraId="5CC1A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4B7B00AB">
            <w:pPr>
              <w:snapToGrid w:val="0"/>
              <w:spacing w:before="50" w:after="50"/>
              <w:jc w:val="center"/>
              <w:rPr>
                <w:rFonts w:hint="eastAsia" w:ascii="宋体" w:hAnsi="宋体"/>
                <w:color w:val="auto"/>
                <w:sz w:val="24"/>
                <w:highlight w:val="none"/>
              </w:rPr>
            </w:pPr>
          </w:p>
        </w:tc>
        <w:tc>
          <w:tcPr>
            <w:tcW w:w="1017" w:type="pct"/>
            <w:tcBorders>
              <w:top w:val="single" w:color="auto" w:sz="4" w:space="0"/>
              <w:left w:val="single" w:color="auto" w:sz="4" w:space="0"/>
              <w:bottom w:val="single" w:color="auto" w:sz="4" w:space="0"/>
              <w:right w:val="single" w:color="auto" w:sz="4" w:space="0"/>
            </w:tcBorders>
            <w:noWrap w:val="0"/>
            <w:vAlign w:val="center"/>
          </w:tcPr>
          <w:p w14:paraId="66FE5A82">
            <w:pPr>
              <w:snapToGrid w:val="0"/>
              <w:spacing w:before="50" w:after="50"/>
              <w:jc w:val="center"/>
              <w:rPr>
                <w:rFonts w:hint="eastAsia" w:ascii="宋体" w:hAnsi="宋体"/>
                <w:color w:val="auto"/>
                <w:sz w:val="24"/>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2B2E66AC">
            <w:pPr>
              <w:snapToGrid w:val="0"/>
              <w:spacing w:before="50" w:after="50"/>
              <w:jc w:val="center"/>
              <w:rPr>
                <w:rFonts w:hint="eastAsia" w:ascii="宋体" w:hAnsi="宋体"/>
                <w:color w:val="auto"/>
                <w:sz w:val="24"/>
                <w:highlight w:val="none"/>
              </w:rPr>
            </w:pPr>
          </w:p>
        </w:tc>
        <w:tc>
          <w:tcPr>
            <w:tcW w:w="447" w:type="pct"/>
            <w:tcBorders>
              <w:top w:val="single" w:color="auto" w:sz="4" w:space="0"/>
              <w:left w:val="single" w:color="auto" w:sz="4" w:space="0"/>
              <w:bottom w:val="single" w:color="auto" w:sz="4" w:space="0"/>
              <w:right w:val="single" w:color="auto" w:sz="4" w:space="0"/>
            </w:tcBorders>
            <w:noWrap w:val="0"/>
            <w:vAlign w:val="center"/>
          </w:tcPr>
          <w:p w14:paraId="79D179ED">
            <w:pPr>
              <w:snapToGrid w:val="0"/>
              <w:spacing w:before="50" w:after="50"/>
              <w:jc w:val="center"/>
              <w:rPr>
                <w:rFonts w:hint="eastAsia" w:ascii="宋体" w:hAnsi="宋体"/>
                <w:color w:val="auto"/>
                <w:sz w:val="24"/>
                <w:highlight w:val="none"/>
              </w:rPr>
            </w:pPr>
          </w:p>
        </w:tc>
        <w:tc>
          <w:tcPr>
            <w:tcW w:w="771" w:type="pct"/>
            <w:tcBorders>
              <w:top w:val="single" w:color="auto" w:sz="4" w:space="0"/>
              <w:left w:val="single" w:color="auto" w:sz="4" w:space="0"/>
              <w:bottom w:val="single" w:color="auto" w:sz="4" w:space="0"/>
              <w:right w:val="single" w:color="auto" w:sz="4" w:space="0"/>
            </w:tcBorders>
            <w:noWrap w:val="0"/>
            <w:vAlign w:val="top"/>
          </w:tcPr>
          <w:p w14:paraId="4863938D">
            <w:pPr>
              <w:snapToGrid w:val="0"/>
              <w:spacing w:before="50" w:after="50"/>
              <w:jc w:val="center"/>
              <w:rPr>
                <w:rFonts w:hint="eastAsia" w:ascii="宋体" w:hAnsi="宋体"/>
                <w:color w:val="auto"/>
                <w:sz w:val="24"/>
                <w:highlight w:val="none"/>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604697AD">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D3DB15D">
            <w:pPr>
              <w:snapToGrid w:val="0"/>
              <w:spacing w:before="50" w:after="50"/>
              <w:jc w:val="center"/>
              <w:rPr>
                <w:rFonts w:hint="eastAsia" w:ascii="宋体" w:hAnsi="宋体"/>
                <w:color w:val="auto"/>
                <w:sz w:val="24"/>
                <w:highlight w:val="none"/>
              </w:rPr>
            </w:pPr>
          </w:p>
        </w:tc>
        <w:tc>
          <w:tcPr>
            <w:tcW w:w="837" w:type="pct"/>
            <w:tcBorders>
              <w:top w:val="single" w:color="auto" w:sz="4" w:space="0"/>
              <w:left w:val="single" w:color="auto" w:sz="4" w:space="0"/>
              <w:bottom w:val="single" w:color="auto" w:sz="4" w:space="0"/>
              <w:right w:val="single" w:color="auto" w:sz="4" w:space="0"/>
            </w:tcBorders>
            <w:noWrap w:val="0"/>
            <w:vAlign w:val="center"/>
          </w:tcPr>
          <w:p w14:paraId="141181FC">
            <w:pPr>
              <w:snapToGrid w:val="0"/>
              <w:spacing w:before="50" w:after="50"/>
              <w:jc w:val="center"/>
              <w:rPr>
                <w:rFonts w:hint="eastAsia" w:ascii="宋体" w:hAnsi="宋体"/>
                <w:color w:val="auto"/>
                <w:sz w:val="24"/>
                <w:highlight w:val="none"/>
              </w:rPr>
            </w:pPr>
          </w:p>
        </w:tc>
      </w:tr>
    </w:tbl>
    <w:p w14:paraId="015BD420">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275459FF">
      <w:pPr>
        <w:spacing w:line="360" w:lineRule="auto"/>
        <w:ind w:firstLine="480" w:firstLineChars="200"/>
        <w:contextualSpacing/>
        <w:rPr>
          <w:rFonts w:hint="eastAsia" w:ascii="宋体" w:hAnsi="宋体"/>
          <w:b/>
          <w:color w:val="auto"/>
          <w:sz w:val="24"/>
          <w:highlight w:val="none"/>
        </w:rPr>
      </w:pPr>
      <w:r>
        <w:rPr>
          <w:rFonts w:hint="eastAsia" w:ascii="宋体" w:hAnsi="宋体"/>
          <w:color w:val="auto"/>
          <w:sz w:val="24"/>
          <w:highlight w:val="none"/>
        </w:rPr>
        <w:t>以上设备性能配置清单中“标的的名称、数量及单位、品牌、规格型号、制造商、原产地、参数性能、指标及配置”必须如实填写完整，品牌、规格型号没有则填无，填写有缺漏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hAnsi="宋体" w:cs="Courier New"/>
          <w:color w:val="auto"/>
          <w:sz w:val="24"/>
          <w:highlight w:val="none"/>
        </w:rPr>
        <w:t>标的的名称</w:t>
      </w:r>
      <w:r>
        <w:rPr>
          <w:rFonts w:hint="eastAsia" w:ascii="宋体" w:hAnsi="宋体"/>
          <w:color w:val="auto"/>
          <w:sz w:val="24"/>
          <w:highlight w:val="none"/>
        </w:rPr>
        <w:t>、数量及单位、品牌必须与“开标一览表”一致，</w:t>
      </w:r>
      <w:r>
        <w:rPr>
          <w:rFonts w:hint="eastAsia" w:ascii="宋体" w:hAnsi="宋体"/>
          <w:b/>
          <w:color w:val="auto"/>
          <w:sz w:val="24"/>
          <w:highlight w:val="none"/>
        </w:rPr>
        <w:t>否则按无效投标处理。</w:t>
      </w:r>
    </w:p>
    <w:p w14:paraId="417F10D4">
      <w:pPr>
        <w:spacing w:line="360" w:lineRule="auto"/>
        <w:ind w:firstLine="480" w:firstLineChars="200"/>
        <w:contextualSpacing/>
        <w:rPr>
          <w:rFonts w:hint="eastAsia" w:ascii="宋体" w:hAnsi="宋体"/>
          <w:color w:val="auto"/>
          <w:sz w:val="24"/>
          <w:highlight w:val="none"/>
        </w:rPr>
      </w:pPr>
    </w:p>
    <w:p w14:paraId="322E1FFB">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2565B7A">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CE0238C">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C99D85A">
      <w:pPr>
        <w:snapToGrid w:val="0"/>
        <w:spacing w:before="50" w:after="120" w:afterLines="50"/>
        <w:jc w:val="left"/>
        <w:rPr>
          <w:rFonts w:hint="eastAsia" w:ascii="宋体" w:hAnsi="宋体"/>
          <w:color w:val="auto"/>
          <w:sz w:val="24"/>
          <w:szCs w:val="20"/>
          <w:highlight w:val="none"/>
        </w:rPr>
      </w:pPr>
    </w:p>
    <w:p w14:paraId="69517E83">
      <w:pPr>
        <w:snapToGrid w:val="0"/>
        <w:spacing w:before="50" w:after="120" w:afterLines="50"/>
        <w:jc w:val="left"/>
        <w:rPr>
          <w:rFonts w:hint="eastAsia" w:ascii="宋体" w:hAnsi="宋体"/>
          <w:color w:val="auto"/>
          <w:sz w:val="24"/>
          <w:szCs w:val="20"/>
          <w:highlight w:val="none"/>
        </w:rPr>
      </w:pPr>
    </w:p>
    <w:p w14:paraId="52D096AC">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lang w:val="en-US" w:eastAsia="zh-CN"/>
        </w:rPr>
        <w:t>9</w:t>
      </w:r>
      <w:r>
        <w:rPr>
          <w:rFonts w:hint="eastAsia" w:ascii="宋体" w:hAnsi="宋体"/>
          <w:b/>
          <w:color w:val="auto"/>
          <w:sz w:val="24"/>
          <w:highlight w:val="none"/>
        </w:rPr>
        <w:t>. 技术要求偏离表格式</w:t>
      </w:r>
    </w:p>
    <w:p w14:paraId="6DCC844E">
      <w:pPr>
        <w:snapToGrid w:val="0"/>
        <w:spacing w:before="120" w:beforeLines="50" w:after="50"/>
        <w:ind w:left="142"/>
        <w:jc w:val="left"/>
        <w:rPr>
          <w:rFonts w:hint="eastAsia" w:ascii="宋体" w:hAnsi="宋体"/>
          <w:b/>
          <w:color w:val="auto"/>
          <w:sz w:val="24"/>
          <w:highlight w:val="none"/>
        </w:rPr>
      </w:pPr>
    </w:p>
    <w:p w14:paraId="180AB30A">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5EFD6FA4">
      <w:pPr>
        <w:pStyle w:val="24"/>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12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645F7BA5">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noWrap w:val="0"/>
            <w:vAlign w:val="center"/>
          </w:tcPr>
          <w:p w14:paraId="26A6D673">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noWrap w:val="0"/>
            <w:vAlign w:val="center"/>
          </w:tcPr>
          <w:p w14:paraId="3E180DFD">
            <w:pPr>
              <w:pStyle w:val="2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noWrap w:val="0"/>
            <w:vAlign w:val="center"/>
          </w:tcPr>
          <w:p w14:paraId="2E639CA4">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noWrap w:val="0"/>
            <w:vAlign w:val="center"/>
          </w:tcPr>
          <w:p w14:paraId="3534A4BF">
            <w:pPr>
              <w:pStyle w:val="24"/>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3DF6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6CD847B">
            <w:pPr>
              <w:pStyle w:val="24"/>
              <w:spacing w:line="600" w:lineRule="exact"/>
              <w:jc w:val="center"/>
              <w:rPr>
                <w:rFonts w:hint="eastAsia" w:hAnsi="宋体" w:cs="Courier New"/>
                <w:color w:val="auto"/>
                <w:kern w:val="2"/>
                <w:sz w:val="24"/>
                <w:szCs w:val="24"/>
                <w:highlight w:val="none"/>
              </w:rPr>
            </w:pPr>
          </w:p>
        </w:tc>
        <w:tc>
          <w:tcPr>
            <w:tcW w:w="2143" w:type="dxa"/>
            <w:noWrap w:val="0"/>
            <w:vAlign w:val="center"/>
          </w:tcPr>
          <w:p w14:paraId="74B55CC3">
            <w:pPr>
              <w:pStyle w:val="24"/>
              <w:spacing w:line="600" w:lineRule="exact"/>
              <w:jc w:val="center"/>
              <w:rPr>
                <w:rFonts w:hint="eastAsia" w:hAnsi="宋体" w:cs="Courier New"/>
                <w:color w:val="auto"/>
                <w:kern w:val="2"/>
                <w:sz w:val="24"/>
                <w:szCs w:val="24"/>
                <w:highlight w:val="none"/>
              </w:rPr>
            </w:pPr>
          </w:p>
        </w:tc>
        <w:tc>
          <w:tcPr>
            <w:tcW w:w="1834" w:type="dxa"/>
            <w:noWrap w:val="0"/>
            <w:vAlign w:val="center"/>
          </w:tcPr>
          <w:p w14:paraId="19400EC4">
            <w:pPr>
              <w:pStyle w:val="24"/>
              <w:spacing w:line="600" w:lineRule="exact"/>
              <w:jc w:val="center"/>
              <w:rPr>
                <w:rFonts w:hint="eastAsia" w:hAnsi="宋体" w:cs="Courier New"/>
                <w:color w:val="auto"/>
                <w:kern w:val="2"/>
                <w:sz w:val="24"/>
                <w:szCs w:val="24"/>
                <w:highlight w:val="none"/>
              </w:rPr>
            </w:pPr>
          </w:p>
        </w:tc>
        <w:tc>
          <w:tcPr>
            <w:tcW w:w="2181" w:type="dxa"/>
            <w:noWrap w:val="0"/>
            <w:vAlign w:val="center"/>
          </w:tcPr>
          <w:p w14:paraId="163D2F0F">
            <w:pPr>
              <w:pStyle w:val="24"/>
              <w:spacing w:line="600" w:lineRule="exact"/>
              <w:jc w:val="center"/>
              <w:rPr>
                <w:rFonts w:hint="eastAsia" w:hAnsi="宋体" w:cs="Courier New"/>
                <w:color w:val="auto"/>
                <w:kern w:val="2"/>
                <w:sz w:val="24"/>
                <w:szCs w:val="24"/>
                <w:highlight w:val="none"/>
              </w:rPr>
            </w:pPr>
          </w:p>
        </w:tc>
        <w:tc>
          <w:tcPr>
            <w:tcW w:w="1934" w:type="dxa"/>
            <w:noWrap w:val="0"/>
            <w:vAlign w:val="center"/>
          </w:tcPr>
          <w:p w14:paraId="19CBE98D">
            <w:pPr>
              <w:pStyle w:val="24"/>
              <w:spacing w:line="600" w:lineRule="exact"/>
              <w:jc w:val="center"/>
              <w:rPr>
                <w:rFonts w:hint="eastAsia" w:hAnsi="宋体" w:cs="Courier New"/>
                <w:color w:val="auto"/>
                <w:kern w:val="2"/>
                <w:sz w:val="24"/>
                <w:szCs w:val="24"/>
                <w:highlight w:val="none"/>
              </w:rPr>
            </w:pPr>
          </w:p>
        </w:tc>
      </w:tr>
      <w:tr w14:paraId="25A7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261CBC8">
            <w:pPr>
              <w:pStyle w:val="24"/>
              <w:spacing w:line="600" w:lineRule="exact"/>
              <w:rPr>
                <w:rFonts w:hint="eastAsia" w:hAnsi="宋体" w:cs="Courier New"/>
                <w:color w:val="auto"/>
                <w:kern w:val="2"/>
                <w:sz w:val="24"/>
                <w:szCs w:val="24"/>
                <w:highlight w:val="none"/>
              </w:rPr>
            </w:pPr>
          </w:p>
        </w:tc>
        <w:tc>
          <w:tcPr>
            <w:tcW w:w="2143" w:type="dxa"/>
            <w:noWrap w:val="0"/>
            <w:vAlign w:val="top"/>
          </w:tcPr>
          <w:p w14:paraId="54F2943C">
            <w:pPr>
              <w:pStyle w:val="24"/>
              <w:spacing w:line="600" w:lineRule="exact"/>
              <w:rPr>
                <w:rFonts w:hint="eastAsia" w:hAnsi="宋体" w:cs="Courier New"/>
                <w:color w:val="auto"/>
                <w:kern w:val="2"/>
                <w:sz w:val="24"/>
                <w:szCs w:val="24"/>
                <w:highlight w:val="none"/>
              </w:rPr>
            </w:pPr>
          </w:p>
        </w:tc>
        <w:tc>
          <w:tcPr>
            <w:tcW w:w="1834" w:type="dxa"/>
            <w:noWrap w:val="0"/>
            <w:vAlign w:val="top"/>
          </w:tcPr>
          <w:p w14:paraId="66161838">
            <w:pPr>
              <w:pStyle w:val="24"/>
              <w:spacing w:line="600" w:lineRule="exact"/>
              <w:rPr>
                <w:rFonts w:hint="eastAsia" w:hAnsi="宋体" w:cs="Courier New"/>
                <w:color w:val="auto"/>
                <w:kern w:val="2"/>
                <w:sz w:val="24"/>
                <w:szCs w:val="24"/>
                <w:highlight w:val="none"/>
              </w:rPr>
            </w:pPr>
          </w:p>
        </w:tc>
        <w:tc>
          <w:tcPr>
            <w:tcW w:w="2181" w:type="dxa"/>
            <w:noWrap w:val="0"/>
            <w:vAlign w:val="top"/>
          </w:tcPr>
          <w:p w14:paraId="7D488532">
            <w:pPr>
              <w:pStyle w:val="24"/>
              <w:spacing w:line="600" w:lineRule="exact"/>
              <w:rPr>
                <w:rFonts w:hint="eastAsia" w:hAnsi="宋体" w:cs="Courier New"/>
                <w:color w:val="auto"/>
                <w:kern w:val="2"/>
                <w:sz w:val="24"/>
                <w:szCs w:val="24"/>
                <w:highlight w:val="none"/>
              </w:rPr>
            </w:pPr>
          </w:p>
        </w:tc>
        <w:tc>
          <w:tcPr>
            <w:tcW w:w="1934" w:type="dxa"/>
            <w:noWrap w:val="0"/>
            <w:vAlign w:val="top"/>
          </w:tcPr>
          <w:p w14:paraId="29EBF984">
            <w:pPr>
              <w:pStyle w:val="24"/>
              <w:spacing w:line="600" w:lineRule="exact"/>
              <w:rPr>
                <w:rFonts w:hint="eastAsia" w:hAnsi="宋体" w:cs="Courier New"/>
                <w:color w:val="auto"/>
                <w:kern w:val="2"/>
                <w:sz w:val="24"/>
                <w:szCs w:val="24"/>
                <w:highlight w:val="none"/>
              </w:rPr>
            </w:pPr>
          </w:p>
        </w:tc>
      </w:tr>
      <w:tr w14:paraId="68BE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E5BA3EF">
            <w:pPr>
              <w:pStyle w:val="24"/>
              <w:spacing w:line="600" w:lineRule="exact"/>
              <w:rPr>
                <w:rFonts w:hint="eastAsia" w:hAnsi="宋体" w:cs="Courier New"/>
                <w:color w:val="auto"/>
                <w:kern w:val="2"/>
                <w:sz w:val="24"/>
                <w:szCs w:val="24"/>
                <w:highlight w:val="none"/>
              </w:rPr>
            </w:pPr>
          </w:p>
        </w:tc>
        <w:tc>
          <w:tcPr>
            <w:tcW w:w="2143" w:type="dxa"/>
            <w:noWrap w:val="0"/>
            <w:vAlign w:val="top"/>
          </w:tcPr>
          <w:p w14:paraId="0C1D911F">
            <w:pPr>
              <w:pStyle w:val="24"/>
              <w:spacing w:line="600" w:lineRule="exact"/>
              <w:rPr>
                <w:rFonts w:hint="eastAsia" w:hAnsi="宋体" w:cs="Courier New"/>
                <w:color w:val="auto"/>
                <w:kern w:val="2"/>
                <w:sz w:val="24"/>
                <w:szCs w:val="24"/>
                <w:highlight w:val="none"/>
              </w:rPr>
            </w:pPr>
          </w:p>
        </w:tc>
        <w:tc>
          <w:tcPr>
            <w:tcW w:w="1834" w:type="dxa"/>
            <w:noWrap w:val="0"/>
            <w:vAlign w:val="top"/>
          </w:tcPr>
          <w:p w14:paraId="00AC25A5">
            <w:pPr>
              <w:pStyle w:val="24"/>
              <w:spacing w:line="600" w:lineRule="exact"/>
              <w:rPr>
                <w:rFonts w:hint="eastAsia" w:hAnsi="宋体" w:cs="Courier New"/>
                <w:color w:val="auto"/>
                <w:kern w:val="2"/>
                <w:sz w:val="24"/>
                <w:szCs w:val="24"/>
                <w:highlight w:val="none"/>
              </w:rPr>
            </w:pPr>
          </w:p>
        </w:tc>
        <w:tc>
          <w:tcPr>
            <w:tcW w:w="2181" w:type="dxa"/>
            <w:noWrap w:val="0"/>
            <w:vAlign w:val="top"/>
          </w:tcPr>
          <w:p w14:paraId="16CB5A1B">
            <w:pPr>
              <w:pStyle w:val="24"/>
              <w:spacing w:line="600" w:lineRule="exact"/>
              <w:rPr>
                <w:rFonts w:hint="eastAsia" w:hAnsi="宋体" w:cs="Courier New"/>
                <w:color w:val="auto"/>
                <w:kern w:val="2"/>
                <w:sz w:val="24"/>
                <w:szCs w:val="24"/>
                <w:highlight w:val="none"/>
              </w:rPr>
            </w:pPr>
          </w:p>
        </w:tc>
        <w:tc>
          <w:tcPr>
            <w:tcW w:w="1934" w:type="dxa"/>
            <w:noWrap w:val="0"/>
            <w:vAlign w:val="top"/>
          </w:tcPr>
          <w:p w14:paraId="11EA61D3">
            <w:pPr>
              <w:pStyle w:val="24"/>
              <w:spacing w:line="600" w:lineRule="exact"/>
              <w:rPr>
                <w:rFonts w:hint="eastAsia" w:hAnsi="宋体" w:cs="Courier New"/>
                <w:color w:val="auto"/>
                <w:kern w:val="2"/>
                <w:sz w:val="24"/>
                <w:szCs w:val="24"/>
                <w:highlight w:val="none"/>
              </w:rPr>
            </w:pPr>
          </w:p>
        </w:tc>
      </w:tr>
    </w:tbl>
    <w:p w14:paraId="5C548A20">
      <w:pPr>
        <w:pStyle w:val="16"/>
        <w:rPr>
          <w:rFonts w:hint="eastAsia" w:ascii="宋体" w:hAnsi="宋体"/>
          <w:color w:val="auto"/>
          <w:highlight w:val="none"/>
        </w:rPr>
      </w:pPr>
      <w:r>
        <w:rPr>
          <w:rFonts w:hint="eastAsia" w:ascii="宋体" w:hAnsi="宋体"/>
          <w:color w:val="auto"/>
          <w:highlight w:val="none"/>
        </w:rPr>
        <w:t>注：</w:t>
      </w:r>
    </w:p>
    <w:p w14:paraId="7B56A71A">
      <w:pPr>
        <w:pStyle w:val="18"/>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25EE8989">
      <w:pPr>
        <w:pStyle w:val="16"/>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7A869150">
      <w:pPr>
        <w:pStyle w:val="18"/>
        <w:spacing w:line="360" w:lineRule="auto"/>
        <w:ind w:firstLine="0" w:firstLineChars="0"/>
        <w:rPr>
          <w:rFonts w:ascii="宋体" w:hAnsi="宋体"/>
          <w:color w:val="auto"/>
          <w:sz w:val="24"/>
          <w:highlight w:val="none"/>
        </w:rPr>
      </w:pPr>
      <w:r>
        <w:rPr>
          <w:rFonts w:hint="eastAsia" w:ascii="宋体" w:hAnsi="宋体" w:eastAsia="宋体"/>
          <w:color w:val="auto"/>
          <w:sz w:val="24"/>
          <w:szCs w:val="24"/>
          <w:highlight w:val="none"/>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5EC4C995">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8A286DE">
      <w:pPr>
        <w:snapToGrid w:val="0"/>
        <w:spacing w:before="50" w:after="50"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9DC55D4">
      <w:pPr>
        <w:snapToGrid w:val="0"/>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39F5B3F">
      <w:pPr>
        <w:snapToGrid w:val="0"/>
        <w:spacing w:before="50" w:after="50" w:line="360" w:lineRule="auto"/>
        <w:rPr>
          <w:rFonts w:hint="eastAsia" w:ascii="宋体" w:hAnsi="宋体"/>
          <w:color w:val="auto"/>
          <w:sz w:val="24"/>
          <w:szCs w:val="20"/>
          <w:highlight w:val="none"/>
        </w:rPr>
      </w:pPr>
    </w:p>
    <w:p w14:paraId="7198778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w:t>
      </w:r>
      <w:r>
        <w:rPr>
          <w:rFonts w:hint="eastAsia" w:ascii="宋体" w:hAnsi="宋体"/>
          <w:b/>
          <w:color w:val="auto"/>
          <w:sz w:val="24"/>
          <w:highlight w:val="none"/>
          <w:lang w:val="en-US" w:eastAsia="zh-CN"/>
        </w:rPr>
        <w:t>0</w:t>
      </w:r>
      <w:r>
        <w:rPr>
          <w:rFonts w:hint="eastAsia" w:ascii="宋体" w:hAnsi="宋体"/>
          <w:b/>
          <w:color w:val="auto"/>
          <w:sz w:val="24"/>
          <w:highlight w:val="none"/>
        </w:rPr>
        <w:t>. 项目实施人员一览表格式</w:t>
      </w:r>
    </w:p>
    <w:p w14:paraId="21B1309C">
      <w:pPr>
        <w:snapToGrid w:val="0"/>
        <w:spacing w:before="120" w:beforeLines="50" w:after="50"/>
        <w:ind w:left="142"/>
        <w:jc w:val="left"/>
        <w:rPr>
          <w:rFonts w:hint="eastAsia" w:ascii="宋体" w:hAnsi="宋体"/>
          <w:b/>
          <w:color w:val="auto"/>
          <w:sz w:val="24"/>
          <w:highlight w:val="none"/>
        </w:rPr>
      </w:pPr>
    </w:p>
    <w:p w14:paraId="10E82468">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2F3C6352">
      <w:pPr>
        <w:pStyle w:val="24"/>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6B9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01A46B3">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4B6BE3E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153D6F1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14:paraId="38919B66">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1DCD6711">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0A96B9BA">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0938D0D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5892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100F3E3">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6D12DEDE">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538438ED">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569978E7">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4C7927FB">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6CAF67D6">
            <w:pPr>
              <w:snapToGrid w:val="0"/>
              <w:spacing w:before="50" w:after="120" w:afterLines="50"/>
              <w:jc w:val="center"/>
              <w:rPr>
                <w:rFonts w:hint="eastAsia" w:ascii="宋体" w:hAnsi="宋体"/>
                <w:color w:val="auto"/>
                <w:sz w:val="24"/>
                <w:szCs w:val="20"/>
                <w:highlight w:val="none"/>
              </w:rPr>
            </w:pPr>
          </w:p>
        </w:tc>
      </w:tr>
      <w:tr w14:paraId="345C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EB84064">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6C891A5B">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195E038A">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30539DD2">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0B8AE978">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27271B94">
            <w:pPr>
              <w:snapToGrid w:val="0"/>
              <w:spacing w:before="50" w:after="120" w:afterLines="50"/>
              <w:jc w:val="center"/>
              <w:rPr>
                <w:rFonts w:hint="eastAsia" w:ascii="宋体" w:hAnsi="宋体"/>
                <w:color w:val="auto"/>
                <w:sz w:val="24"/>
                <w:szCs w:val="20"/>
                <w:highlight w:val="none"/>
              </w:rPr>
            </w:pPr>
          </w:p>
        </w:tc>
      </w:tr>
      <w:tr w14:paraId="78EE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B16EA56">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0DCA5B49">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3887F5EB">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01E2F8F5">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04C762D0">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4AB954F2">
            <w:pPr>
              <w:snapToGrid w:val="0"/>
              <w:spacing w:before="50" w:after="120" w:afterLines="50"/>
              <w:jc w:val="center"/>
              <w:rPr>
                <w:rFonts w:hint="eastAsia" w:ascii="宋体" w:hAnsi="宋体"/>
                <w:color w:val="auto"/>
                <w:sz w:val="24"/>
                <w:szCs w:val="20"/>
                <w:highlight w:val="none"/>
              </w:rPr>
            </w:pPr>
          </w:p>
        </w:tc>
      </w:tr>
    </w:tbl>
    <w:p w14:paraId="445B951E">
      <w:pPr>
        <w:snapToGrid w:val="0"/>
        <w:spacing w:before="50" w:after="120" w:afterLines="50"/>
        <w:jc w:val="left"/>
        <w:rPr>
          <w:rFonts w:hint="eastAsia" w:ascii="宋体" w:hAnsi="宋体"/>
          <w:color w:val="auto"/>
          <w:sz w:val="24"/>
          <w:szCs w:val="20"/>
          <w:highlight w:val="none"/>
        </w:rPr>
      </w:pPr>
    </w:p>
    <w:p w14:paraId="68D44DE9">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5F2101D5">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23DF78BE">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投标人应当附本表所列证书的复印件并加盖投标人电子签章。</w:t>
      </w:r>
    </w:p>
    <w:p w14:paraId="7107EC78">
      <w:pPr>
        <w:spacing w:line="360" w:lineRule="auto"/>
        <w:contextualSpacing/>
        <w:jc w:val="left"/>
        <w:rPr>
          <w:rFonts w:hint="eastAsia" w:ascii="宋体" w:hAnsi="宋体"/>
          <w:color w:val="auto"/>
          <w:sz w:val="24"/>
          <w:szCs w:val="20"/>
          <w:highlight w:val="none"/>
        </w:rPr>
      </w:pPr>
    </w:p>
    <w:p w14:paraId="7A563796">
      <w:pPr>
        <w:spacing w:line="360" w:lineRule="auto"/>
        <w:contextualSpacing/>
        <w:jc w:val="left"/>
        <w:rPr>
          <w:rFonts w:hint="eastAsia" w:ascii="宋体" w:hAnsi="宋体"/>
          <w:color w:val="auto"/>
          <w:sz w:val="24"/>
          <w:szCs w:val="20"/>
          <w:highlight w:val="none"/>
        </w:rPr>
      </w:pPr>
    </w:p>
    <w:p w14:paraId="42A6937D">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6F79A54">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B759A25">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FD153D0">
      <w:pPr>
        <w:snapToGrid w:val="0"/>
        <w:spacing w:before="50" w:after="120" w:afterLines="50"/>
        <w:jc w:val="left"/>
        <w:rPr>
          <w:rFonts w:hint="eastAsia" w:ascii="宋体" w:hAnsi="宋体"/>
          <w:color w:val="auto"/>
          <w:sz w:val="24"/>
          <w:szCs w:val="20"/>
          <w:highlight w:val="none"/>
        </w:rPr>
      </w:pPr>
    </w:p>
    <w:p w14:paraId="65A0F89E">
      <w:pPr>
        <w:snapToGrid w:val="0"/>
        <w:spacing w:before="120" w:beforeLines="50" w:after="50"/>
        <w:ind w:left="142"/>
        <w:jc w:val="left"/>
        <w:rPr>
          <w:rFonts w:hint="eastAsia"/>
          <w:b/>
          <w:color w:val="auto"/>
          <w:sz w:val="28"/>
          <w:szCs w:val="28"/>
          <w:highlight w:val="none"/>
        </w:rPr>
      </w:pPr>
      <w:r>
        <w:rPr>
          <w:rFonts w:ascii="宋体" w:hAnsi="宋体"/>
          <w:b/>
          <w:color w:val="auto"/>
          <w:sz w:val="24"/>
          <w:highlight w:val="none"/>
        </w:rPr>
        <w:br w:type="page"/>
      </w:r>
      <w:r>
        <w:rPr>
          <w:rFonts w:hint="eastAsia"/>
          <w:b/>
          <w:color w:val="auto"/>
          <w:sz w:val="28"/>
          <w:szCs w:val="28"/>
          <w:highlight w:val="none"/>
        </w:rPr>
        <w:t>四、其他文书、文件格式</w:t>
      </w:r>
    </w:p>
    <w:p w14:paraId="0C737AF9">
      <w:pPr>
        <w:snapToGrid w:val="0"/>
        <w:spacing w:before="120" w:beforeLines="50" w:after="50"/>
        <w:jc w:val="left"/>
        <w:rPr>
          <w:rFonts w:hint="eastAsia"/>
          <w:color w:val="auto"/>
          <w:highlight w:val="none"/>
        </w:rPr>
      </w:pPr>
      <w:r>
        <w:rPr>
          <w:rFonts w:hint="eastAsia" w:ascii="宋体" w:hAnsi="宋体"/>
          <w:b/>
          <w:color w:val="auto"/>
          <w:sz w:val="24"/>
          <w:highlight w:val="none"/>
        </w:rPr>
        <w:t>1.中小企业声明函格式</w:t>
      </w:r>
    </w:p>
    <w:p w14:paraId="164A09F3">
      <w:pPr>
        <w:rPr>
          <w:rFonts w:hint="eastAsia"/>
          <w:color w:val="auto"/>
          <w:highlight w:val="none"/>
        </w:rPr>
      </w:pPr>
    </w:p>
    <w:p w14:paraId="203D105B">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30A3596F">
      <w:pPr>
        <w:spacing w:before="2" w:line="500" w:lineRule="exact"/>
        <w:rPr>
          <w:rFonts w:ascii="宋体" w:hAnsi="宋体" w:cs="宋体"/>
          <w:b/>
          <w:bCs/>
          <w:color w:val="auto"/>
          <w:sz w:val="27"/>
          <w:szCs w:val="27"/>
          <w:highlight w:val="none"/>
        </w:rPr>
      </w:pPr>
    </w:p>
    <w:p w14:paraId="7FB4A54A">
      <w:pPr>
        <w:pStyle w:val="17"/>
        <w:spacing w:line="360" w:lineRule="auto"/>
        <w:ind w:left="-426" w:leftChars="-203" w:right="142" w:firstLine="480" w:firstLineChars="200"/>
        <w:contextualSpacing/>
        <w:rPr>
          <w:rFonts w:ascii="宋体" w:hAnsi="宋体"/>
          <w:color w:val="auto"/>
          <w:kern w:val="24"/>
          <w:highlight w:val="none"/>
        </w:rPr>
      </w:pPr>
      <w:r>
        <w:rPr>
          <w:rFonts w:ascii="宋体" w:hAnsi="宋体"/>
          <w:color w:val="auto"/>
          <w:kern w:val="24"/>
          <w:highlight w:val="none"/>
        </w:rPr>
        <w:t>本公司（联合体）郑重声明，根据《政府采购促进中小企业发展管理办法》（财库﹝2020﹞46号）的规定，本公司（联合体）参加</w:t>
      </w:r>
      <w:r>
        <w:rPr>
          <w:rFonts w:ascii="宋体" w:hAnsi="宋体"/>
          <w:color w:val="auto"/>
          <w:kern w:val="24"/>
          <w:highlight w:val="none"/>
          <w:u w:val="single"/>
        </w:rPr>
        <w:t>（单位名称）</w:t>
      </w:r>
      <w:r>
        <w:rPr>
          <w:rFonts w:ascii="宋体" w:hAnsi="宋体"/>
          <w:color w:val="auto"/>
          <w:kern w:val="24"/>
          <w:highlight w:val="none"/>
        </w:rPr>
        <w:t>的</w:t>
      </w:r>
      <w:r>
        <w:rPr>
          <w:rFonts w:ascii="宋体" w:hAnsi="宋体"/>
          <w:color w:val="auto"/>
          <w:kern w:val="24"/>
          <w:highlight w:val="none"/>
          <w:u w:val="single"/>
        </w:rPr>
        <w:t>（项目名称）</w:t>
      </w:r>
      <w:r>
        <w:rPr>
          <w:rFonts w:ascii="宋体" w:hAnsi="宋体"/>
          <w:color w:val="auto"/>
          <w:kern w:val="24"/>
          <w:highlight w:val="none"/>
        </w:rPr>
        <w:t>采购活动，提供的货物全部由符合政策要求的中小企业制造。相关企业（含联合体中的中小企业、签订分包意向协议的中小企业）的具体情况如下：</w:t>
      </w:r>
    </w:p>
    <w:p w14:paraId="21A3374D">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6984CF7E">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行业；制造商为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5920C84F">
      <w:pPr>
        <w:pStyle w:val="17"/>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612C2D76">
      <w:pPr>
        <w:pStyle w:val="17"/>
        <w:spacing w:line="360" w:lineRule="auto"/>
        <w:ind w:left="-405" w:leftChars="-193" w:right="142" w:firstLine="453"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255272E6">
      <w:pPr>
        <w:pStyle w:val="17"/>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5110CB41">
      <w:pPr>
        <w:pStyle w:val="17"/>
        <w:spacing w:line="360" w:lineRule="auto"/>
        <w:ind w:left="3960" w:right="1808"/>
        <w:contextualSpacing/>
        <w:rPr>
          <w:rFonts w:hint="eastAsia" w:ascii="宋体" w:hAnsi="宋体"/>
          <w:color w:val="auto"/>
          <w:kern w:val="24"/>
          <w:highlight w:val="none"/>
        </w:rPr>
      </w:pPr>
    </w:p>
    <w:p w14:paraId="0B6D7A4F">
      <w:pPr>
        <w:pStyle w:val="17"/>
        <w:spacing w:line="360" w:lineRule="auto"/>
        <w:ind w:left="3960" w:right="1808"/>
        <w:contextualSpacing/>
        <w:rPr>
          <w:rFonts w:ascii="宋体" w:hAnsi="宋体"/>
          <w:color w:val="auto"/>
          <w:kern w:val="24"/>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 xml:space="preserve">）： </w:t>
      </w:r>
    </w:p>
    <w:p w14:paraId="32A4F2D3">
      <w:pPr>
        <w:pStyle w:val="17"/>
        <w:spacing w:line="360" w:lineRule="auto"/>
        <w:ind w:left="3960" w:right="1808"/>
        <w:contextualSpacing/>
        <w:rPr>
          <w:rFonts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4C61A54C">
      <w:pPr>
        <w:pStyle w:val="17"/>
        <w:spacing w:line="360" w:lineRule="auto"/>
        <w:ind w:left="3960" w:right="1808"/>
        <w:contextualSpacing/>
        <w:rPr>
          <w:rFonts w:ascii="宋体" w:hAnsi="宋体"/>
          <w:color w:val="auto"/>
          <w:kern w:val="24"/>
          <w:highlight w:val="none"/>
        </w:rPr>
      </w:pPr>
    </w:p>
    <w:p w14:paraId="2D06502A">
      <w:pPr>
        <w:pStyle w:val="17"/>
        <w:spacing w:line="360" w:lineRule="auto"/>
        <w:ind w:left="3960" w:right="1808"/>
        <w:contextualSpacing/>
        <w:rPr>
          <w:rFonts w:ascii="宋体" w:hAnsi="宋体"/>
          <w:color w:val="auto"/>
          <w:kern w:val="24"/>
          <w:highlight w:val="none"/>
        </w:rPr>
      </w:pPr>
    </w:p>
    <w:p w14:paraId="5CDCDFFF">
      <w:pPr>
        <w:pStyle w:val="17"/>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9953D3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2.残疾人福利性单位声明函格式</w:t>
      </w:r>
    </w:p>
    <w:p w14:paraId="5F0D481E">
      <w:pPr>
        <w:spacing w:line="588" w:lineRule="exact"/>
        <w:jc w:val="center"/>
        <w:rPr>
          <w:rFonts w:hint="eastAsia" w:ascii="仿宋_GB2312" w:eastAsia="仿宋_GB2312"/>
          <w:b/>
          <w:color w:val="auto"/>
          <w:spacing w:val="6"/>
          <w:sz w:val="32"/>
          <w:szCs w:val="32"/>
          <w:highlight w:val="none"/>
        </w:rPr>
      </w:pPr>
    </w:p>
    <w:p w14:paraId="58655FD8">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5CA6A18C">
      <w:pPr>
        <w:spacing w:line="360" w:lineRule="auto"/>
        <w:contextualSpacing/>
        <w:rPr>
          <w:rFonts w:ascii="仿宋_GB2312" w:eastAsia="仿宋_GB2312"/>
          <w:bCs/>
          <w:color w:val="auto"/>
          <w:spacing w:val="6"/>
          <w:sz w:val="30"/>
          <w:szCs w:val="30"/>
          <w:highlight w:val="none"/>
        </w:rPr>
      </w:pPr>
    </w:p>
    <w:p w14:paraId="151F1046">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D70DC50">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698EA9D">
      <w:pPr>
        <w:spacing w:line="360" w:lineRule="auto"/>
        <w:ind w:firstLine="504" w:firstLineChars="200"/>
        <w:contextualSpacing/>
        <w:rPr>
          <w:rFonts w:ascii="宋体" w:hAnsi="宋体"/>
          <w:color w:val="auto"/>
          <w:spacing w:val="6"/>
          <w:sz w:val="24"/>
          <w:highlight w:val="none"/>
        </w:rPr>
      </w:pPr>
    </w:p>
    <w:p w14:paraId="0E30F8B8">
      <w:pPr>
        <w:spacing w:line="360" w:lineRule="auto"/>
        <w:ind w:firstLine="504" w:firstLineChars="200"/>
        <w:contextualSpacing/>
        <w:rPr>
          <w:rFonts w:ascii="宋体" w:hAnsi="宋体"/>
          <w:color w:val="auto"/>
          <w:spacing w:val="6"/>
          <w:sz w:val="24"/>
          <w:highlight w:val="none"/>
        </w:rPr>
      </w:pPr>
    </w:p>
    <w:p w14:paraId="69B346B4">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2099B0B5">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7C55F490">
      <w:pPr>
        <w:spacing w:line="360" w:lineRule="auto"/>
        <w:contextualSpacing/>
        <w:rPr>
          <w:rFonts w:ascii="宋体" w:hAnsi="宋体"/>
          <w:color w:val="auto"/>
          <w:sz w:val="24"/>
          <w:highlight w:val="none"/>
        </w:rPr>
      </w:pPr>
    </w:p>
    <w:p w14:paraId="02BCA4BB">
      <w:pPr>
        <w:spacing w:line="360" w:lineRule="auto"/>
        <w:contextualSpacing/>
        <w:rPr>
          <w:rFonts w:hint="eastAsia" w:ascii="宋体" w:hAnsi="宋体"/>
          <w:color w:val="auto"/>
          <w:sz w:val="24"/>
          <w:highlight w:val="none"/>
        </w:rPr>
      </w:pPr>
    </w:p>
    <w:p w14:paraId="4E337436">
      <w:pPr>
        <w:spacing w:line="360" w:lineRule="auto"/>
        <w:contextualSpacing/>
        <w:rPr>
          <w:rFonts w:ascii="宋体" w:hAnsi="宋体"/>
          <w:color w:val="auto"/>
          <w:sz w:val="24"/>
          <w:highlight w:val="none"/>
        </w:rPr>
      </w:pPr>
    </w:p>
    <w:p w14:paraId="6B11AC2F">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F024B65">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52153C27">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3D37FD8A">
      <w:pPr>
        <w:pStyle w:val="2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6848D2E2">
      <w:pPr>
        <w:pStyle w:val="24"/>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AA677D9">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D1054ED">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B2E69DB">
      <w:pPr>
        <w:pStyle w:val="24"/>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7221AA91">
      <w:pPr>
        <w:pStyle w:val="24"/>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AC93B0D">
      <w:pPr>
        <w:pStyle w:val="24"/>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166E59C">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13873BDC">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C6E44A8">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9CDF02F">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992CC7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279BC018">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32443736">
      <w:pPr>
        <w:pStyle w:val="24"/>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□招标过程   </w:t>
      </w:r>
    </w:p>
    <w:p w14:paraId="61DCCF2C">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5CB9204D">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304FC81E">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1FB43A4">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43AE1E9">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701B2EE">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162F6278">
      <w:pPr>
        <w:pStyle w:val="24"/>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3CEC7F7D">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FAC2A1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EC0A8C8">
      <w:pPr>
        <w:pStyle w:val="24"/>
        <w:spacing w:line="360" w:lineRule="auto"/>
        <w:ind w:left="25" w:leftChars="12" w:firstLine="352" w:firstLineChars="147"/>
        <w:rPr>
          <w:rFonts w:hint="eastAsia" w:hAnsi="宋体"/>
          <w:color w:val="auto"/>
          <w:sz w:val="24"/>
          <w:szCs w:val="24"/>
          <w:highlight w:val="none"/>
        </w:rPr>
      </w:pPr>
    </w:p>
    <w:p w14:paraId="6FEBF6C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7A0476A">
      <w:pPr>
        <w:pStyle w:val="24"/>
        <w:spacing w:line="360" w:lineRule="auto"/>
        <w:ind w:left="25" w:leftChars="12" w:firstLine="352" w:firstLineChars="147"/>
        <w:rPr>
          <w:rFonts w:hint="eastAsia" w:hAnsi="宋体"/>
          <w:color w:val="auto"/>
          <w:sz w:val="24"/>
          <w:szCs w:val="24"/>
          <w:highlight w:val="none"/>
        </w:rPr>
      </w:pPr>
    </w:p>
    <w:p w14:paraId="71D809FB">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30B4A2FD">
      <w:pPr>
        <w:pStyle w:val="24"/>
        <w:snapToGrid w:val="0"/>
        <w:spacing w:line="360" w:lineRule="auto"/>
        <w:rPr>
          <w:rFonts w:hint="eastAsia" w:hAnsi="宋体"/>
          <w:b/>
          <w:color w:val="auto"/>
          <w:sz w:val="24"/>
          <w:szCs w:val="24"/>
          <w:highlight w:val="none"/>
        </w:rPr>
      </w:pPr>
    </w:p>
    <w:p w14:paraId="34B370B4">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0238BA8">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CD1D66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E7C83F">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322A8EC">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92345E5">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51F82ABD">
      <w:pPr>
        <w:pStyle w:val="24"/>
        <w:snapToGrid w:val="0"/>
        <w:rPr>
          <w:rFonts w:hint="eastAsia"/>
          <w:b/>
          <w:color w:val="auto"/>
          <w:sz w:val="24"/>
          <w:szCs w:val="24"/>
          <w:highlight w:val="none"/>
        </w:rPr>
      </w:pPr>
    </w:p>
    <w:p w14:paraId="1E1FB4DD">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r>
      <w:r>
        <w:rPr>
          <w:rFonts w:hint="eastAsia" w:ascii="宋体" w:hAnsi="宋体"/>
          <w:b/>
          <w:color w:val="auto"/>
          <w:sz w:val="24"/>
          <w:highlight w:val="none"/>
        </w:rPr>
        <w:t>4.投诉书（格式）</w:t>
      </w:r>
    </w:p>
    <w:p w14:paraId="28E8F32A">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474CC424">
      <w:pPr>
        <w:pStyle w:val="2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067695F6">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7CB41D3">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378D88">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63D5584">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5F13858">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3EC7245">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2E9492E">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13AF607">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1DBDE127">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EE1B49C">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9D6B39">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156341E">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7ED077C1">
      <w:pPr>
        <w:pStyle w:val="24"/>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1B3A2D41">
      <w:pPr>
        <w:pStyle w:val="24"/>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AAF9029">
      <w:pPr>
        <w:pStyle w:val="24"/>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2D51AF3">
      <w:pPr>
        <w:pStyle w:val="24"/>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89E55E6">
      <w:pPr>
        <w:pStyle w:val="24"/>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BF323D7">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78A04B77">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5F4613A3">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589942D">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3DB64592">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434D306">
      <w:pPr>
        <w:pStyle w:val="24"/>
        <w:spacing w:line="360" w:lineRule="auto"/>
        <w:ind w:left="25" w:leftChars="12" w:firstLine="472" w:firstLineChars="197"/>
        <w:rPr>
          <w:rFonts w:hint="eastAsia" w:hAnsi="宋体"/>
          <w:b/>
          <w:color w:val="auto"/>
          <w:sz w:val="24"/>
          <w:szCs w:val="24"/>
          <w:highlight w:val="none"/>
        </w:rPr>
      </w:pPr>
      <w:r>
        <w:rPr>
          <w:rFonts w:hint="eastAsia" w:hAnsi="宋体"/>
          <w:color w:val="auto"/>
          <w:sz w:val="24"/>
          <w:szCs w:val="24"/>
          <w:highlight w:val="none"/>
        </w:rPr>
        <w:t>招标</w:t>
      </w:r>
      <w:r>
        <w:rPr>
          <w:rFonts w:hint="eastAsia" w:hAnsi="宋体"/>
          <w:bCs/>
          <w:color w:val="auto"/>
          <w:sz w:val="24"/>
          <w:szCs w:val="24"/>
          <w:highlight w:val="none"/>
        </w:rPr>
        <w:t>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0CF9B2D">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5B3BA9F">
      <w:pPr>
        <w:pStyle w:val="24"/>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58D030F1">
      <w:pPr>
        <w:pStyle w:val="24"/>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8E8540C">
      <w:pPr>
        <w:pStyle w:val="24"/>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6B21DCB">
      <w:pPr>
        <w:pStyle w:val="24"/>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54C8B0EE">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2314E799">
      <w:pPr>
        <w:pStyle w:val="24"/>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A3E3429">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DD86060">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4D708E15">
      <w:pPr>
        <w:pStyle w:val="24"/>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B8B88CE">
      <w:pPr>
        <w:pStyle w:val="24"/>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9282E60">
      <w:pPr>
        <w:pStyle w:val="24"/>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79B9113">
      <w:pPr>
        <w:pStyle w:val="24"/>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359CBE20">
      <w:pPr>
        <w:pStyle w:val="24"/>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12AA38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5A6D9E4">
      <w:pPr>
        <w:pStyle w:val="24"/>
        <w:spacing w:line="360" w:lineRule="auto"/>
        <w:ind w:left="25" w:leftChars="12" w:firstLine="352" w:firstLineChars="147"/>
        <w:rPr>
          <w:rFonts w:hint="eastAsia" w:hAnsi="宋体"/>
          <w:color w:val="auto"/>
          <w:sz w:val="24"/>
          <w:szCs w:val="24"/>
          <w:highlight w:val="none"/>
        </w:rPr>
      </w:pPr>
    </w:p>
    <w:p w14:paraId="4F113BA3">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963ADE5">
      <w:pPr>
        <w:pStyle w:val="24"/>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C6C218C">
      <w:pPr>
        <w:pStyle w:val="24"/>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290E2B0F">
      <w:pPr>
        <w:pStyle w:val="24"/>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2D276FED">
      <w:pPr>
        <w:pStyle w:val="24"/>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2C7E9CE">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11789CD">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A37A82A">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BBB0892">
      <w:pPr>
        <w:pStyle w:val="24"/>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67821E0">
      <w:pPr>
        <w:pStyle w:val="24"/>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6" w:type="first"/>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16" w:usb3="00000000" w:csb0="6006009F" w:csb1="DFD70000"/>
  </w:font>
  <w:font w:name="方正小标宋简体">
    <w:altName w:val="黑体"/>
    <w:panose1 w:val="03000509000000000000"/>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E44C">
    <w:pPr>
      <w:pStyle w:val="30"/>
      <w:jc w:val="center"/>
    </w:pPr>
    <w:r>
      <w:fldChar w:fldCharType="begin"/>
    </w:r>
    <w:r>
      <w:instrText xml:space="preserve"> PAGE   \* MERGEFORMAT </w:instrText>
    </w:r>
    <w:r>
      <w:fldChar w:fldCharType="separate"/>
    </w:r>
    <w:r>
      <w:rPr>
        <w:lang w:val="zh-CN"/>
      </w:rPr>
      <w:t>104</w:t>
    </w:r>
    <w:r>
      <w:fldChar w:fldCharType="end"/>
    </w:r>
  </w:p>
  <w:p w14:paraId="1AFE199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DD976">
    <w:pPr>
      <w:pStyle w:val="30"/>
      <w:framePr w:wrap="around" w:vAnchor="text" w:hAnchor="margin" w:xAlign="center" w:y="1"/>
      <w:rPr>
        <w:rStyle w:val="50"/>
      </w:rPr>
    </w:pPr>
    <w:r>
      <w:fldChar w:fldCharType="begin"/>
    </w:r>
    <w:r>
      <w:rPr>
        <w:rStyle w:val="50"/>
      </w:rPr>
      <w:instrText xml:space="preserve">PAGE  </w:instrText>
    </w:r>
    <w:r>
      <w:fldChar w:fldCharType="end"/>
    </w:r>
  </w:p>
  <w:p w14:paraId="1E45E038">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9A084">
    <w:pPr>
      <w:pStyle w:val="30"/>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6871">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3415F"/>
    <w:multiLevelType w:val="singleLevel"/>
    <w:tmpl w:val="8193415F"/>
    <w:lvl w:ilvl="0" w:tentative="0">
      <w:start w:val="1"/>
      <w:numFmt w:val="decimal"/>
      <w:suff w:val="nothing"/>
      <w:lvlText w:val="（%1）"/>
      <w:lvlJc w:val="left"/>
    </w:lvl>
  </w:abstractNum>
  <w:abstractNum w:abstractNumId="1">
    <w:nsid w:val="9036EC0A"/>
    <w:multiLevelType w:val="singleLevel"/>
    <w:tmpl w:val="9036EC0A"/>
    <w:lvl w:ilvl="0" w:tentative="0">
      <w:start w:val="1"/>
      <w:numFmt w:val="decimal"/>
      <w:suff w:val="nothing"/>
      <w:lvlText w:val="%1"/>
      <w:lvlJc w:val="center"/>
      <w:pPr>
        <w:tabs>
          <w:tab w:val="left" w:pos="0"/>
        </w:tabs>
        <w:ind w:left="0" w:firstLine="0"/>
      </w:pPr>
      <w:rPr>
        <w:rFonts w:hint="default"/>
      </w:rPr>
    </w:lvl>
  </w:abstractNum>
  <w:abstractNum w:abstractNumId="2">
    <w:nsid w:val="F4109120"/>
    <w:multiLevelType w:val="singleLevel"/>
    <w:tmpl w:val="F4109120"/>
    <w:lvl w:ilvl="0" w:tentative="0">
      <w:start w:val="1"/>
      <w:numFmt w:val="decimal"/>
      <w:suff w:val="space"/>
      <w:lvlText w:val="%1."/>
      <w:lvlJc w:val="left"/>
    </w:lvl>
  </w:abstractNum>
  <w:abstractNum w:abstractNumId="3">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5">
    <w:nsid w:val="4C601917"/>
    <w:multiLevelType w:val="singleLevel"/>
    <w:tmpl w:val="4C601917"/>
    <w:lvl w:ilvl="0" w:tentative="0">
      <w:start w:val="1"/>
      <w:numFmt w:val="decimal"/>
      <w:suff w:val="nothing"/>
      <w:lvlText w:val="（%1）"/>
      <w:lvlJc w:val="left"/>
      <w:pPr>
        <w:ind w:left="-2"/>
      </w:pPr>
    </w:lvl>
  </w:abstractNum>
  <w:abstractNum w:abstractNumId="6">
    <w:nsid w:val="5FABD14B"/>
    <w:multiLevelType w:val="singleLevel"/>
    <w:tmpl w:val="5FABD14B"/>
    <w:lvl w:ilvl="0" w:tentative="0">
      <w:start w:val="1"/>
      <w:numFmt w:val="decimal"/>
      <w:suff w:val="nothing"/>
      <w:lvlText w:val="（%1）"/>
      <w:lvlJc w:val="left"/>
    </w:lvl>
  </w:abstractNum>
  <w:num w:numId="1">
    <w:abstractNumId w:val="4"/>
  </w:num>
  <w:num w:numId="2">
    <w:abstractNumId w:val="3"/>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MmE0NDY4ZGU0NTJlNmE0ZDE0MzAyOGUwZTI3ZTM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6D6"/>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A5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AE"/>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401"/>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146"/>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56A"/>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17C"/>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A05"/>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1BC"/>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194E"/>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CC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923"/>
    <w:rsid w:val="00547F04"/>
    <w:rsid w:val="00550924"/>
    <w:rsid w:val="00550D63"/>
    <w:rsid w:val="00550EF1"/>
    <w:rsid w:val="00550FC4"/>
    <w:rsid w:val="00551075"/>
    <w:rsid w:val="005513C8"/>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0D7"/>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8D0"/>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739"/>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022"/>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6F6E97"/>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2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6CB9"/>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36BE"/>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75F"/>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1F6D"/>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975"/>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2B3F"/>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1A4"/>
    <w:rsid w:val="00BC1308"/>
    <w:rsid w:val="00BC1BF4"/>
    <w:rsid w:val="00BC2600"/>
    <w:rsid w:val="00BC2F24"/>
    <w:rsid w:val="00BC33BE"/>
    <w:rsid w:val="00BC3A47"/>
    <w:rsid w:val="00BC3EEB"/>
    <w:rsid w:val="00BC4780"/>
    <w:rsid w:val="00BC4901"/>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C7DDD"/>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544"/>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2BD"/>
    <w:rsid w:val="00C6077B"/>
    <w:rsid w:val="00C60950"/>
    <w:rsid w:val="00C60DD1"/>
    <w:rsid w:val="00C61565"/>
    <w:rsid w:val="00C61574"/>
    <w:rsid w:val="00C615B4"/>
    <w:rsid w:val="00C61AC6"/>
    <w:rsid w:val="00C61ACF"/>
    <w:rsid w:val="00C6211D"/>
    <w:rsid w:val="00C62537"/>
    <w:rsid w:val="00C62973"/>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2"/>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125"/>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A9"/>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AA5"/>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040"/>
    <w:rsid w:val="00DF04BD"/>
    <w:rsid w:val="00DF068D"/>
    <w:rsid w:val="00DF0D3A"/>
    <w:rsid w:val="00DF140A"/>
    <w:rsid w:val="00DF1A9A"/>
    <w:rsid w:val="00DF1C2D"/>
    <w:rsid w:val="00DF1F8A"/>
    <w:rsid w:val="00DF2209"/>
    <w:rsid w:val="00DF248E"/>
    <w:rsid w:val="00DF3577"/>
    <w:rsid w:val="00DF3C7C"/>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2CFD"/>
    <w:rsid w:val="00E231C9"/>
    <w:rsid w:val="00E23EBF"/>
    <w:rsid w:val="00E23FD5"/>
    <w:rsid w:val="00E24669"/>
    <w:rsid w:val="00E24836"/>
    <w:rsid w:val="00E24C48"/>
    <w:rsid w:val="00E24EE4"/>
    <w:rsid w:val="00E25981"/>
    <w:rsid w:val="00E26141"/>
    <w:rsid w:val="00E261A6"/>
    <w:rsid w:val="00E266F5"/>
    <w:rsid w:val="00E26C97"/>
    <w:rsid w:val="00E26CCC"/>
    <w:rsid w:val="00E270D3"/>
    <w:rsid w:val="00E27FC7"/>
    <w:rsid w:val="00E3050B"/>
    <w:rsid w:val="00E30700"/>
    <w:rsid w:val="00E31360"/>
    <w:rsid w:val="00E31BB3"/>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227B"/>
    <w:rsid w:val="00E52372"/>
    <w:rsid w:val="00E5265A"/>
    <w:rsid w:val="00E52786"/>
    <w:rsid w:val="00E52F05"/>
    <w:rsid w:val="00E5312A"/>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3CF"/>
    <w:rsid w:val="00F179C0"/>
    <w:rsid w:val="00F202E3"/>
    <w:rsid w:val="00F20C6E"/>
    <w:rsid w:val="00F20D6C"/>
    <w:rsid w:val="00F20F03"/>
    <w:rsid w:val="00F22267"/>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506"/>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5CC"/>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7E3F71"/>
    <w:rsid w:val="01AA2C10"/>
    <w:rsid w:val="01AA5B27"/>
    <w:rsid w:val="037738D8"/>
    <w:rsid w:val="03CA2A2C"/>
    <w:rsid w:val="046E4522"/>
    <w:rsid w:val="04FA5F8A"/>
    <w:rsid w:val="055A2489"/>
    <w:rsid w:val="06216784"/>
    <w:rsid w:val="06231119"/>
    <w:rsid w:val="068955F4"/>
    <w:rsid w:val="075F0692"/>
    <w:rsid w:val="077D7763"/>
    <w:rsid w:val="07DB054A"/>
    <w:rsid w:val="083D2AF4"/>
    <w:rsid w:val="0849753D"/>
    <w:rsid w:val="0860435E"/>
    <w:rsid w:val="08F53B23"/>
    <w:rsid w:val="098E36E1"/>
    <w:rsid w:val="09D05185"/>
    <w:rsid w:val="0A053C89"/>
    <w:rsid w:val="0A070656"/>
    <w:rsid w:val="0A3B5B72"/>
    <w:rsid w:val="0A913ED8"/>
    <w:rsid w:val="0B24171E"/>
    <w:rsid w:val="0B5C3243"/>
    <w:rsid w:val="0BAD59A4"/>
    <w:rsid w:val="0BFC043E"/>
    <w:rsid w:val="0C42188D"/>
    <w:rsid w:val="0C466B45"/>
    <w:rsid w:val="0D584403"/>
    <w:rsid w:val="0DBE1189"/>
    <w:rsid w:val="0DEE7765"/>
    <w:rsid w:val="0EC22EEE"/>
    <w:rsid w:val="0F2B5D1F"/>
    <w:rsid w:val="101C0A97"/>
    <w:rsid w:val="10F67974"/>
    <w:rsid w:val="12685FCD"/>
    <w:rsid w:val="12DC6251"/>
    <w:rsid w:val="13AD285B"/>
    <w:rsid w:val="13B33E98"/>
    <w:rsid w:val="142323AF"/>
    <w:rsid w:val="146F2C7A"/>
    <w:rsid w:val="149E4992"/>
    <w:rsid w:val="1537221F"/>
    <w:rsid w:val="15F63FB8"/>
    <w:rsid w:val="16792394"/>
    <w:rsid w:val="168E672D"/>
    <w:rsid w:val="170E5D26"/>
    <w:rsid w:val="17BE59A2"/>
    <w:rsid w:val="18077515"/>
    <w:rsid w:val="18185849"/>
    <w:rsid w:val="185344DB"/>
    <w:rsid w:val="18CA5D94"/>
    <w:rsid w:val="18DE6D94"/>
    <w:rsid w:val="191D394B"/>
    <w:rsid w:val="19632832"/>
    <w:rsid w:val="19991F6F"/>
    <w:rsid w:val="1A3A451F"/>
    <w:rsid w:val="1A442DE9"/>
    <w:rsid w:val="1A8E7D8B"/>
    <w:rsid w:val="1B841B34"/>
    <w:rsid w:val="1BAF48EB"/>
    <w:rsid w:val="1BC305D3"/>
    <w:rsid w:val="1CD55680"/>
    <w:rsid w:val="1D321E13"/>
    <w:rsid w:val="1DBC044E"/>
    <w:rsid w:val="1DFF68C5"/>
    <w:rsid w:val="1E7F3055"/>
    <w:rsid w:val="1E885624"/>
    <w:rsid w:val="1E8A2915"/>
    <w:rsid w:val="1E9A600D"/>
    <w:rsid w:val="1F4849CA"/>
    <w:rsid w:val="1F873477"/>
    <w:rsid w:val="205845D9"/>
    <w:rsid w:val="20A91A2C"/>
    <w:rsid w:val="21455F84"/>
    <w:rsid w:val="215F5FD5"/>
    <w:rsid w:val="22B34A0F"/>
    <w:rsid w:val="23F231B6"/>
    <w:rsid w:val="240B5FA0"/>
    <w:rsid w:val="24225EB7"/>
    <w:rsid w:val="248D14FD"/>
    <w:rsid w:val="24977600"/>
    <w:rsid w:val="24B831E2"/>
    <w:rsid w:val="24C818E6"/>
    <w:rsid w:val="250B120F"/>
    <w:rsid w:val="25192FBF"/>
    <w:rsid w:val="252C7220"/>
    <w:rsid w:val="26071ED5"/>
    <w:rsid w:val="26226B65"/>
    <w:rsid w:val="26A50560"/>
    <w:rsid w:val="270F55EE"/>
    <w:rsid w:val="272F1A96"/>
    <w:rsid w:val="27557937"/>
    <w:rsid w:val="277D5407"/>
    <w:rsid w:val="27F52753"/>
    <w:rsid w:val="280D0C19"/>
    <w:rsid w:val="297B0CF7"/>
    <w:rsid w:val="2B822DA1"/>
    <w:rsid w:val="2C541884"/>
    <w:rsid w:val="2D632AF5"/>
    <w:rsid w:val="2EA133AF"/>
    <w:rsid w:val="2EDD2DD9"/>
    <w:rsid w:val="2F723467"/>
    <w:rsid w:val="306835D0"/>
    <w:rsid w:val="30B91060"/>
    <w:rsid w:val="319430E0"/>
    <w:rsid w:val="32A0292F"/>
    <w:rsid w:val="32A02B99"/>
    <w:rsid w:val="337D5F7B"/>
    <w:rsid w:val="33D414D0"/>
    <w:rsid w:val="341B2B8A"/>
    <w:rsid w:val="34393415"/>
    <w:rsid w:val="3439368F"/>
    <w:rsid w:val="34603E67"/>
    <w:rsid w:val="3502693D"/>
    <w:rsid w:val="356224B2"/>
    <w:rsid w:val="35CD358A"/>
    <w:rsid w:val="35DF204F"/>
    <w:rsid w:val="35E50281"/>
    <w:rsid w:val="35EC1B49"/>
    <w:rsid w:val="36007F73"/>
    <w:rsid w:val="36043758"/>
    <w:rsid w:val="36232DB0"/>
    <w:rsid w:val="38585500"/>
    <w:rsid w:val="385F359C"/>
    <w:rsid w:val="39D67104"/>
    <w:rsid w:val="3A514476"/>
    <w:rsid w:val="3A52685B"/>
    <w:rsid w:val="3BA80B19"/>
    <w:rsid w:val="3C4240EC"/>
    <w:rsid w:val="3C9B0CDC"/>
    <w:rsid w:val="3D711B40"/>
    <w:rsid w:val="3E4F2E22"/>
    <w:rsid w:val="3E800AA6"/>
    <w:rsid w:val="3E826019"/>
    <w:rsid w:val="3F3A1FEB"/>
    <w:rsid w:val="40A67243"/>
    <w:rsid w:val="40DD2B7D"/>
    <w:rsid w:val="41A02F6B"/>
    <w:rsid w:val="42253D73"/>
    <w:rsid w:val="43075A43"/>
    <w:rsid w:val="435369A7"/>
    <w:rsid w:val="43572B58"/>
    <w:rsid w:val="436B2B09"/>
    <w:rsid w:val="437D6522"/>
    <w:rsid w:val="44592171"/>
    <w:rsid w:val="446C1BD7"/>
    <w:rsid w:val="44C4575F"/>
    <w:rsid w:val="44E4602A"/>
    <w:rsid w:val="45B80788"/>
    <w:rsid w:val="464D75C4"/>
    <w:rsid w:val="47E9061B"/>
    <w:rsid w:val="48365196"/>
    <w:rsid w:val="484245C7"/>
    <w:rsid w:val="488D7CFE"/>
    <w:rsid w:val="48CC3E16"/>
    <w:rsid w:val="49323FD7"/>
    <w:rsid w:val="4A4B229A"/>
    <w:rsid w:val="4BE95365"/>
    <w:rsid w:val="4C12409B"/>
    <w:rsid w:val="4D9B7742"/>
    <w:rsid w:val="4E843B5A"/>
    <w:rsid w:val="4E9B14FE"/>
    <w:rsid w:val="4EAC5711"/>
    <w:rsid w:val="4F6D341E"/>
    <w:rsid w:val="51B2004B"/>
    <w:rsid w:val="51E00AF8"/>
    <w:rsid w:val="522851DA"/>
    <w:rsid w:val="528F1A89"/>
    <w:rsid w:val="52904232"/>
    <w:rsid w:val="52A51AF3"/>
    <w:rsid w:val="53262E6D"/>
    <w:rsid w:val="540125D8"/>
    <w:rsid w:val="54556AEA"/>
    <w:rsid w:val="55131A57"/>
    <w:rsid w:val="55622629"/>
    <w:rsid w:val="56DC6925"/>
    <w:rsid w:val="57155104"/>
    <w:rsid w:val="577D71D5"/>
    <w:rsid w:val="579C4D6E"/>
    <w:rsid w:val="581F15F0"/>
    <w:rsid w:val="5859697C"/>
    <w:rsid w:val="589B369A"/>
    <w:rsid w:val="598E41B2"/>
    <w:rsid w:val="59D9433B"/>
    <w:rsid w:val="5A3A2DDD"/>
    <w:rsid w:val="5A570410"/>
    <w:rsid w:val="5BF449CD"/>
    <w:rsid w:val="5BF918A2"/>
    <w:rsid w:val="5CE57299"/>
    <w:rsid w:val="5D020753"/>
    <w:rsid w:val="5FAB0B04"/>
    <w:rsid w:val="5FB87F49"/>
    <w:rsid w:val="62093465"/>
    <w:rsid w:val="620A0DEF"/>
    <w:rsid w:val="62B8336A"/>
    <w:rsid w:val="635F5CFB"/>
    <w:rsid w:val="63D17EA6"/>
    <w:rsid w:val="63E340FD"/>
    <w:rsid w:val="63EB60FE"/>
    <w:rsid w:val="63FC040C"/>
    <w:rsid w:val="64337579"/>
    <w:rsid w:val="64441196"/>
    <w:rsid w:val="648B53C8"/>
    <w:rsid w:val="65091B75"/>
    <w:rsid w:val="653278A8"/>
    <w:rsid w:val="6568774A"/>
    <w:rsid w:val="65BC6440"/>
    <w:rsid w:val="65C36E7F"/>
    <w:rsid w:val="65D21A26"/>
    <w:rsid w:val="663B7430"/>
    <w:rsid w:val="66442637"/>
    <w:rsid w:val="66671F51"/>
    <w:rsid w:val="66DF2B32"/>
    <w:rsid w:val="671E1CA4"/>
    <w:rsid w:val="671F3648"/>
    <w:rsid w:val="672A0BC3"/>
    <w:rsid w:val="687775B2"/>
    <w:rsid w:val="6A125484"/>
    <w:rsid w:val="6A1B14A7"/>
    <w:rsid w:val="6B241A17"/>
    <w:rsid w:val="6B8933DD"/>
    <w:rsid w:val="6BDF74AC"/>
    <w:rsid w:val="6D732602"/>
    <w:rsid w:val="6DDF2EBF"/>
    <w:rsid w:val="6E1148C4"/>
    <w:rsid w:val="6E914282"/>
    <w:rsid w:val="6E9C0F6F"/>
    <w:rsid w:val="6F0E4EC3"/>
    <w:rsid w:val="70557737"/>
    <w:rsid w:val="706D27E8"/>
    <w:rsid w:val="71AD7318"/>
    <w:rsid w:val="726D70E7"/>
    <w:rsid w:val="72A63D8F"/>
    <w:rsid w:val="747D74F0"/>
    <w:rsid w:val="74C31ECB"/>
    <w:rsid w:val="74C4154C"/>
    <w:rsid w:val="756A1283"/>
    <w:rsid w:val="75857FCA"/>
    <w:rsid w:val="75942919"/>
    <w:rsid w:val="76E67008"/>
    <w:rsid w:val="7862316F"/>
    <w:rsid w:val="794E5510"/>
    <w:rsid w:val="7AAA36FF"/>
    <w:rsid w:val="7C9C4E59"/>
    <w:rsid w:val="7D484705"/>
    <w:rsid w:val="7E092C14"/>
    <w:rsid w:val="7E2F1D63"/>
    <w:rsid w:val="7EE53954"/>
    <w:rsid w:val="7F340AFD"/>
    <w:rsid w:val="7F482401"/>
    <w:rsid w:val="7F4F7D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9"/>
    <w:autoRedefine/>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60"/>
    <w:autoRedefine/>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1"/>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2"/>
    <w:autoRedefine/>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3"/>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4"/>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11">
    <w:name w:val="toc 7"/>
    <w:basedOn w:val="1"/>
    <w:next w:val="1"/>
    <w:autoRedefine/>
    <w:unhideWhenUsed/>
    <w:qFormat/>
    <w:uiPriority w:val="39"/>
    <w:pPr>
      <w:ind w:left="2520" w:leftChars="1200"/>
    </w:pPr>
    <w:rPr>
      <w:rFonts w:ascii="Calibri" w:hAnsi="Calibri" w:eastAsia="宋体" w:cs="Times New Roman"/>
      <w:szCs w:val="22"/>
    </w:rPr>
  </w:style>
  <w:style w:type="paragraph" w:styleId="12">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autoRedefine/>
    <w:qFormat/>
    <w:uiPriority w:val="0"/>
    <w:pPr>
      <w:spacing w:before="152" w:after="160"/>
    </w:pPr>
    <w:rPr>
      <w:rFonts w:ascii="Arial" w:hAnsi="Arial" w:eastAsia="黑体" w:cs="Arial"/>
      <w:sz w:val="20"/>
      <w:szCs w:val="20"/>
    </w:rPr>
  </w:style>
  <w:style w:type="paragraph" w:styleId="14">
    <w:name w:val="Document Map"/>
    <w:basedOn w:val="1"/>
    <w:link w:val="65"/>
    <w:unhideWhenUsed/>
    <w:qFormat/>
    <w:uiPriority w:val="0"/>
    <w:pPr>
      <w:shd w:val="clear" w:color="auto" w:fill="000080"/>
    </w:pPr>
    <w:rPr>
      <w:rFonts w:hint="eastAsia" w:ascii="宋体" w:hAnsi="宋体"/>
      <w:kern w:val="0"/>
      <w:sz w:val="20"/>
      <w:szCs w:val="20"/>
    </w:rPr>
  </w:style>
  <w:style w:type="paragraph" w:styleId="15">
    <w:name w:val="annotation text"/>
    <w:basedOn w:val="1"/>
    <w:link w:val="66"/>
    <w:autoRedefine/>
    <w:unhideWhenUsed/>
    <w:qFormat/>
    <w:uiPriority w:val="0"/>
    <w:pPr>
      <w:jc w:val="left"/>
    </w:pPr>
  </w:style>
  <w:style w:type="paragraph" w:styleId="16">
    <w:name w:val="Body Text 3"/>
    <w:basedOn w:val="1"/>
    <w:link w:val="67"/>
    <w:autoRedefine/>
    <w:qFormat/>
    <w:uiPriority w:val="0"/>
    <w:pPr>
      <w:spacing w:line="500" w:lineRule="exact"/>
    </w:pPr>
    <w:rPr>
      <w:b/>
      <w:bCs/>
      <w:kern w:val="0"/>
      <w:sz w:val="24"/>
    </w:rPr>
  </w:style>
  <w:style w:type="paragraph" w:styleId="17">
    <w:name w:val="Body Text"/>
    <w:basedOn w:val="1"/>
    <w:link w:val="56"/>
    <w:qFormat/>
    <w:uiPriority w:val="99"/>
    <w:pPr>
      <w:spacing w:line="380" w:lineRule="exact"/>
    </w:pPr>
    <w:rPr>
      <w:kern w:val="0"/>
      <w:sz w:val="24"/>
    </w:rPr>
  </w:style>
  <w:style w:type="paragraph" w:styleId="18">
    <w:name w:val="Body Text Indent"/>
    <w:basedOn w:val="1"/>
    <w:next w:val="19"/>
    <w:link w:val="68"/>
    <w:qFormat/>
    <w:uiPriority w:val="0"/>
    <w:pPr>
      <w:ind w:firstLine="830" w:firstLineChars="352"/>
    </w:pPr>
    <w:rPr>
      <w:rFonts w:ascii="仿宋_GB2312" w:eastAsia="仿宋_GB2312"/>
      <w:kern w:val="0"/>
      <w:sz w:val="32"/>
      <w:szCs w:val="20"/>
    </w:rPr>
  </w:style>
  <w:style w:type="paragraph" w:styleId="19">
    <w:name w:val="envelope return"/>
    <w:basedOn w:val="1"/>
    <w:qFormat/>
    <w:uiPriority w:val="99"/>
    <w:pPr>
      <w:snapToGrid w:val="0"/>
    </w:pPr>
    <w:rPr>
      <w:rFonts w:ascii="Arial" w:hAnsi="Arial"/>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eastAsia="宋体" w:cs="Times New Roman"/>
      <w:szCs w:val="22"/>
    </w:rPr>
  </w:style>
  <w:style w:type="paragraph" w:styleId="23">
    <w:name w:val="toc 3"/>
    <w:basedOn w:val="1"/>
    <w:next w:val="1"/>
    <w:autoRedefine/>
    <w:unhideWhenUsed/>
    <w:qFormat/>
    <w:uiPriority w:val="39"/>
    <w:pPr>
      <w:ind w:left="840" w:leftChars="400"/>
    </w:pPr>
    <w:rPr>
      <w:rFonts w:ascii="Calibri" w:hAnsi="Calibri" w:eastAsia="宋体" w:cs="Times New Roman"/>
      <w:szCs w:val="22"/>
    </w:rPr>
  </w:style>
  <w:style w:type="paragraph" w:styleId="24">
    <w:name w:val="Plain Text"/>
    <w:basedOn w:val="1"/>
    <w:next w:val="1"/>
    <w:link w:val="69"/>
    <w:autoRedefine/>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eastAsia="宋体" w:cs="Times New Roman"/>
      <w:szCs w:val="22"/>
    </w:rPr>
  </w:style>
  <w:style w:type="paragraph" w:styleId="26">
    <w:name w:val="Date"/>
    <w:basedOn w:val="1"/>
    <w:next w:val="1"/>
    <w:link w:val="70"/>
    <w:qFormat/>
    <w:uiPriority w:val="0"/>
    <w:pPr>
      <w:ind w:left="100" w:leftChars="2500"/>
    </w:pPr>
    <w:rPr>
      <w:rFonts w:ascii="宋体" w:hAnsi="Courier New"/>
      <w:kern w:val="0"/>
      <w:sz w:val="20"/>
      <w:szCs w:val="21"/>
    </w:rPr>
  </w:style>
  <w:style w:type="paragraph" w:styleId="27">
    <w:name w:val="Body Text Indent 2"/>
    <w:basedOn w:val="1"/>
    <w:link w:val="71"/>
    <w:qFormat/>
    <w:uiPriority w:val="0"/>
    <w:pPr>
      <w:ind w:firstLine="630"/>
    </w:pPr>
    <w:rPr>
      <w:kern w:val="0"/>
      <w:sz w:val="32"/>
      <w:szCs w:val="20"/>
    </w:rPr>
  </w:style>
  <w:style w:type="paragraph" w:styleId="28">
    <w:name w:val="endnote text"/>
    <w:basedOn w:val="1"/>
    <w:link w:val="72"/>
    <w:unhideWhenUsed/>
    <w:qFormat/>
    <w:uiPriority w:val="99"/>
    <w:pPr>
      <w:snapToGrid w:val="0"/>
      <w:jc w:val="left"/>
    </w:pPr>
  </w:style>
  <w:style w:type="paragraph" w:styleId="29">
    <w:name w:val="Balloon Text"/>
    <w:basedOn w:val="1"/>
    <w:link w:val="73"/>
    <w:semiHidden/>
    <w:qFormat/>
    <w:uiPriority w:val="0"/>
    <w:rPr>
      <w:kern w:val="0"/>
      <w:sz w:val="18"/>
      <w:szCs w:val="18"/>
    </w:rPr>
  </w:style>
  <w:style w:type="paragraph" w:styleId="30">
    <w:name w:val="footer"/>
    <w:basedOn w:val="1"/>
    <w:link w:val="74"/>
    <w:unhideWhenUsed/>
    <w:qFormat/>
    <w:uiPriority w:val="99"/>
    <w:pPr>
      <w:tabs>
        <w:tab w:val="center" w:pos="4153"/>
        <w:tab w:val="right" w:pos="8306"/>
      </w:tabs>
      <w:snapToGrid w:val="0"/>
      <w:jc w:val="left"/>
    </w:pPr>
    <w:rPr>
      <w:kern w:val="0"/>
      <w:sz w:val="18"/>
      <w:szCs w:val="18"/>
    </w:rPr>
  </w:style>
  <w:style w:type="paragraph" w:styleId="31">
    <w:name w:val="header"/>
    <w:basedOn w:val="1"/>
    <w:link w:val="75"/>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eastAsia="宋体" w:cs="Times New Roman"/>
      <w:szCs w:val="22"/>
    </w:rPr>
  </w:style>
  <w:style w:type="paragraph" w:styleId="34">
    <w:name w:val="List"/>
    <w:basedOn w:val="1"/>
    <w:autoRedefine/>
    <w:qFormat/>
    <w:uiPriority w:val="0"/>
    <w:pPr>
      <w:ind w:left="200" w:hanging="200" w:hangingChars="200"/>
    </w:pPr>
    <w:rPr>
      <w:sz w:val="28"/>
    </w:rPr>
  </w:style>
  <w:style w:type="paragraph" w:styleId="35">
    <w:name w:val="footnote text"/>
    <w:basedOn w:val="1"/>
    <w:link w:val="76"/>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eastAsia="宋体" w:cs="Times New Roman"/>
      <w:szCs w:val="22"/>
    </w:rPr>
  </w:style>
  <w:style w:type="paragraph" w:styleId="37">
    <w:name w:val="Body Text Indent 3"/>
    <w:basedOn w:val="1"/>
    <w:link w:val="77"/>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eastAsia="宋体" w:cs="Times New Roman"/>
      <w:szCs w:val="22"/>
    </w:rPr>
  </w:style>
  <w:style w:type="paragraph" w:styleId="40">
    <w:name w:val="Body Text 2"/>
    <w:basedOn w:val="1"/>
    <w:link w:val="78"/>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79"/>
    <w:qFormat/>
    <w:uiPriority w:val="10"/>
    <w:pPr>
      <w:spacing w:before="240" w:after="60"/>
      <w:jc w:val="center"/>
      <w:outlineLvl w:val="0"/>
    </w:pPr>
    <w:rPr>
      <w:rFonts w:ascii="Cambria" w:hAnsi="Cambria"/>
      <w:b/>
      <w:bCs/>
      <w:sz w:val="32"/>
      <w:szCs w:val="32"/>
    </w:rPr>
  </w:style>
  <w:style w:type="paragraph" w:styleId="44">
    <w:name w:val="annotation subject"/>
    <w:basedOn w:val="15"/>
    <w:next w:val="15"/>
    <w:link w:val="80"/>
    <w:unhideWhenUsed/>
    <w:qFormat/>
    <w:uiPriority w:val="99"/>
    <w:rPr>
      <w:b/>
      <w:bCs/>
    </w:rPr>
  </w:style>
  <w:style w:type="paragraph" w:styleId="45">
    <w:name w:val="Body Text First Indent 2"/>
    <w:basedOn w:val="18"/>
    <w:qFormat/>
    <w:uiPriority w:val="99"/>
    <w:pPr>
      <w:ind w:firstLine="420" w:firstLineChars="200"/>
    </w:pPr>
  </w:style>
  <w:style w:type="table" w:styleId="47">
    <w:name w:val="Table Grid"/>
    <w:basedOn w:val="46"/>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endnote reference"/>
    <w:autoRedefine/>
    <w:unhideWhenUsed/>
    <w:qFormat/>
    <w:uiPriority w:val="99"/>
    <w:rPr>
      <w:vertAlign w:val="superscript"/>
    </w:rPr>
  </w:style>
  <w:style w:type="character" w:styleId="50">
    <w:name w:val="page number"/>
    <w:autoRedefine/>
    <w:qFormat/>
    <w:uiPriority w:val="0"/>
  </w:style>
  <w:style w:type="character" w:styleId="51">
    <w:name w:val="FollowedHyperlink"/>
    <w:autoRedefine/>
    <w:qFormat/>
    <w:uiPriority w:val="0"/>
    <w:rPr>
      <w:color w:val="800080"/>
      <w:u w:val="single"/>
    </w:rPr>
  </w:style>
  <w:style w:type="character" w:styleId="52">
    <w:name w:val="Hyperlink"/>
    <w:autoRedefine/>
    <w:qFormat/>
    <w:uiPriority w:val="99"/>
    <w:rPr>
      <w:color w:val="0000FF"/>
      <w:u w:val="single"/>
    </w:rPr>
  </w:style>
  <w:style w:type="character" w:styleId="53">
    <w:name w:val="annotation reference"/>
    <w:autoRedefine/>
    <w:unhideWhenUsed/>
    <w:qFormat/>
    <w:uiPriority w:val="0"/>
    <w:rPr>
      <w:sz w:val="21"/>
      <w:szCs w:val="21"/>
    </w:rPr>
  </w:style>
  <w:style w:type="character" w:styleId="54">
    <w:name w:val="footnote reference"/>
    <w:autoRedefine/>
    <w:unhideWhenUsed/>
    <w:qFormat/>
    <w:uiPriority w:val="99"/>
    <w:rPr>
      <w:vertAlign w:val="superscript"/>
    </w:rPr>
  </w:style>
  <w:style w:type="paragraph" w:customStyle="1" w:styleId="55">
    <w:name w:val="首行缩进"/>
    <w:basedOn w:val="1"/>
    <w:autoRedefine/>
    <w:qFormat/>
    <w:uiPriority w:val="0"/>
    <w:pPr>
      <w:widowControl/>
      <w:ind w:firstLine="480" w:firstLineChars="200"/>
      <w:jc w:val="left"/>
    </w:pPr>
    <w:rPr>
      <w:kern w:val="0"/>
      <w:sz w:val="24"/>
      <w:lang w:val="zh-CN"/>
    </w:rPr>
  </w:style>
  <w:style w:type="character" w:customStyle="1" w:styleId="56">
    <w:name w:val="正文文本 Char"/>
    <w:link w:val="17"/>
    <w:autoRedefine/>
    <w:qFormat/>
    <w:uiPriority w:val="99"/>
    <w:rPr>
      <w:rFonts w:ascii="Times New Roman" w:hAnsi="Times New Roman" w:eastAsia="宋体" w:cs="Times New Roman"/>
      <w:sz w:val="24"/>
      <w:szCs w:val="24"/>
    </w:rPr>
  </w:style>
  <w:style w:type="character" w:customStyle="1" w:styleId="57">
    <w:name w:val="标题 1 Char"/>
    <w:link w:val="2"/>
    <w:autoRedefine/>
    <w:qFormat/>
    <w:uiPriority w:val="0"/>
    <w:rPr>
      <w:rFonts w:ascii="Times New Roman" w:hAnsi="Times New Roman" w:eastAsia="宋体" w:cs="Times New Roman"/>
      <w:b/>
      <w:bCs/>
      <w:kern w:val="44"/>
      <w:sz w:val="44"/>
      <w:szCs w:val="44"/>
    </w:rPr>
  </w:style>
  <w:style w:type="character" w:customStyle="1" w:styleId="58">
    <w:name w:val="标题 2 Char"/>
    <w:link w:val="3"/>
    <w:autoRedefine/>
    <w:qFormat/>
    <w:uiPriority w:val="0"/>
    <w:rPr>
      <w:rFonts w:ascii="Arial" w:hAnsi="Arial" w:eastAsia="黑体" w:cs="Times New Roman"/>
      <w:b/>
      <w:bCs/>
      <w:sz w:val="32"/>
      <w:szCs w:val="32"/>
    </w:rPr>
  </w:style>
  <w:style w:type="character" w:customStyle="1" w:styleId="59">
    <w:name w:val="标题 3 Char"/>
    <w:link w:val="4"/>
    <w:autoRedefine/>
    <w:qFormat/>
    <w:uiPriority w:val="0"/>
    <w:rPr>
      <w:rFonts w:ascii="Times New Roman" w:hAnsi="Times New Roman" w:eastAsia="宋体" w:cs="Times New Roman"/>
      <w:b/>
      <w:bCs/>
      <w:sz w:val="32"/>
      <w:szCs w:val="32"/>
    </w:rPr>
  </w:style>
  <w:style w:type="character" w:customStyle="1" w:styleId="60">
    <w:name w:val="标题 5 Char1"/>
    <w:link w:val="5"/>
    <w:autoRedefine/>
    <w:qFormat/>
    <w:uiPriority w:val="0"/>
    <w:rPr>
      <w:b/>
      <w:kern w:val="2"/>
      <w:sz w:val="28"/>
      <w:szCs w:val="24"/>
    </w:rPr>
  </w:style>
  <w:style w:type="character" w:customStyle="1" w:styleId="61">
    <w:name w:val="标题 6 Char"/>
    <w:link w:val="7"/>
    <w:autoRedefine/>
    <w:qFormat/>
    <w:uiPriority w:val="0"/>
    <w:rPr>
      <w:rFonts w:ascii="Arial" w:hAnsi="Arial" w:eastAsia="黑体"/>
      <w:b/>
      <w:kern w:val="2"/>
      <w:sz w:val="24"/>
      <w:szCs w:val="24"/>
    </w:rPr>
  </w:style>
  <w:style w:type="character" w:customStyle="1" w:styleId="62">
    <w:name w:val="标题 7 Char"/>
    <w:link w:val="8"/>
    <w:autoRedefine/>
    <w:qFormat/>
    <w:uiPriority w:val="0"/>
    <w:rPr>
      <w:rFonts w:ascii="Times New Roman" w:hAnsi="Times New Roman"/>
      <w:b/>
      <w:kern w:val="2"/>
      <w:sz w:val="24"/>
      <w:szCs w:val="24"/>
    </w:rPr>
  </w:style>
  <w:style w:type="character" w:customStyle="1" w:styleId="63">
    <w:name w:val="标题 8 Char"/>
    <w:link w:val="9"/>
    <w:autoRedefine/>
    <w:qFormat/>
    <w:uiPriority w:val="0"/>
    <w:rPr>
      <w:rFonts w:ascii="Arial" w:hAnsi="Arial" w:eastAsia="黑体"/>
      <w:kern w:val="2"/>
      <w:sz w:val="24"/>
      <w:szCs w:val="24"/>
    </w:rPr>
  </w:style>
  <w:style w:type="character" w:customStyle="1" w:styleId="64">
    <w:name w:val="标题 9 Char"/>
    <w:link w:val="10"/>
    <w:autoRedefine/>
    <w:qFormat/>
    <w:uiPriority w:val="0"/>
    <w:rPr>
      <w:rFonts w:ascii="Arial" w:hAnsi="Arial" w:eastAsia="黑体"/>
      <w:kern w:val="2"/>
      <w:sz w:val="21"/>
      <w:szCs w:val="24"/>
    </w:rPr>
  </w:style>
  <w:style w:type="character" w:customStyle="1" w:styleId="65">
    <w:name w:val="文档结构图 Char"/>
    <w:link w:val="14"/>
    <w:autoRedefine/>
    <w:qFormat/>
    <w:uiPriority w:val="0"/>
    <w:rPr>
      <w:rFonts w:hint="eastAsia" w:ascii="宋体" w:hAnsi="宋体" w:eastAsia="宋体" w:cs="宋体"/>
    </w:rPr>
  </w:style>
  <w:style w:type="character" w:customStyle="1" w:styleId="66">
    <w:name w:val="批注文字 Char2"/>
    <w:link w:val="15"/>
    <w:autoRedefine/>
    <w:qFormat/>
    <w:uiPriority w:val="0"/>
    <w:rPr>
      <w:rFonts w:ascii="Times New Roman" w:hAnsi="Times New Roman"/>
      <w:kern w:val="2"/>
      <w:sz w:val="21"/>
      <w:szCs w:val="24"/>
    </w:rPr>
  </w:style>
  <w:style w:type="character" w:customStyle="1" w:styleId="67">
    <w:name w:val="正文文本 3 Char"/>
    <w:link w:val="16"/>
    <w:autoRedefine/>
    <w:qFormat/>
    <w:uiPriority w:val="0"/>
    <w:rPr>
      <w:rFonts w:ascii="Times New Roman" w:hAnsi="Times New Roman" w:eastAsia="宋体" w:cs="Times New Roman"/>
      <w:b/>
      <w:bCs/>
      <w:sz w:val="24"/>
      <w:szCs w:val="24"/>
    </w:rPr>
  </w:style>
  <w:style w:type="character" w:customStyle="1" w:styleId="68">
    <w:name w:val="正文文本缩进 Char"/>
    <w:link w:val="18"/>
    <w:autoRedefine/>
    <w:qFormat/>
    <w:uiPriority w:val="0"/>
    <w:rPr>
      <w:rFonts w:ascii="仿宋_GB2312" w:hAnsi="Times New Roman" w:eastAsia="仿宋_GB2312" w:cs="Times New Roman"/>
      <w:sz w:val="32"/>
      <w:szCs w:val="20"/>
    </w:rPr>
  </w:style>
  <w:style w:type="character" w:customStyle="1" w:styleId="69">
    <w:name w:val="纯文本 Char1"/>
    <w:link w:val="24"/>
    <w:autoRedefine/>
    <w:qFormat/>
    <w:uiPriority w:val="0"/>
    <w:rPr>
      <w:rFonts w:ascii="宋体" w:hAnsi="Courier New" w:eastAsia="宋体" w:cs="Courier New"/>
      <w:szCs w:val="21"/>
    </w:rPr>
  </w:style>
  <w:style w:type="character" w:customStyle="1" w:styleId="70">
    <w:name w:val="日期 Char"/>
    <w:link w:val="26"/>
    <w:autoRedefine/>
    <w:qFormat/>
    <w:uiPriority w:val="0"/>
    <w:rPr>
      <w:rFonts w:ascii="宋体" w:hAnsi="Courier New" w:eastAsia="宋体" w:cs="Courier New"/>
      <w:szCs w:val="21"/>
    </w:rPr>
  </w:style>
  <w:style w:type="character" w:customStyle="1" w:styleId="71">
    <w:name w:val="正文文本缩进 2 Char"/>
    <w:link w:val="27"/>
    <w:autoRedefine/>
    <w:qFormat/>
    <w:uiPriority w:val="0"/>
    <w:rPr>
      <w:rFonts w:ascii="Times New Roman" w:hAnsi="Times New Roman" w:eastAsia="宋体" w:cs="Times New Roman"/>
      <w:sz w:val="32"/>
      <w:szCs w:val="20"/>
    </w:rPr>
  </w:style>
  <w:style w:type="character" w:customStyle="1" w:styleId="72">
    <w:name w:val="尾注文本 Char"/>
    <w:link w:val="28"/>
    <w:autoRedefine/>
    <w:semiHidden/>
    <w:qFormat/>
    <w:uiPriority w:val="99"/>
    <w:rPr>
      <w:rFonts w:ascii="Times New Roman" w:hAnsi="Times New Roman"/>
      <w:kern w:val="2"/>
      <w:sz w:val="21"/>
      <w:szCs w:val="24"/>
    </w:rPr>
  </w:style>
  <w:style w:type="character" w:customStyle="1" w:styleId="73">
    <w:name w:val="批注框文本 Char"/>
    <w:link w:val="29"/>
    <w:autoRedefine/>
    <w:semiHidden/>
    <w:qFormat/>
    <w:uiPriority w:val="0"/>
    <w:rPr>
      <w:rFonts w:ascii="Times New Roman" w:hAnsi="Times New Roman" w:eastAsia="宋体" w:cs="Times New Roman"/>
      <w:sz w:val="18"/>
      <w:szCs w:val="18"/>
    </w:rPr>
  </w:style>
  <w:style w:type="character" w:customStyle="1" w:styleId="74">
    <w:name w:val="页脚 Char"/>
    <w:link w:val="30"/>
    <w:autoRedefine/>
    <w:qFormat/>
    <w:uiPriority w:val="99"/>
    <w:rPr>
      <w:sz w:val="18"/>
      <w:szCs w:val="18"/>
    </w:rPr>
  </w:style>
  <w:style w:type="character" w:customStyle="1" w:styleId="75">
    <w:name w:val="页眉 Char"/>
    <w:link w:val="31"/>
    <w:autoRedefine/>
    <w:qFormat/>
    <w:uiPriority w:val="99"/>
    <w:rPr>
      <w:rFonts w:ascii="Times New Roman" w:hAnsi="Times New Roman"/>
      <w:kern w:val="2"/>
      <w:sz w:val="18"/>
      <w:szCs w:val="18"/>
    </w:rPr>
  </w:style>
  <w:style w:type="character" w:customStyle="1" w:styleId="76">
    <w:name w:val="脚注文本 Char"/>
    <w:link w:val="35"/>
    <w:autoRedefine/>
    <w:semiHidden/>
    <w:qFormat/>
    <w:uiPriority w:val="99"/>
    <w:rPr>
      <w:rFonts w:ascii="Times New Roman" w:hAnsi="Times New Roman"/>
      <w:kern w:val="2"/>
      <w:sz w:val="18"/>
      <w:szCs w:val="18"/>
    </w:rPr>
  </w:style>
  <w:style w:type="character" w:customStyle="1" w:styleId="77">
    <w:name w:val="正文文本缩进 3 Char"/>
    <w:link w:val="37"/>
    <w:autoRedefine/>
    <w:qFormat/>
    <w:uiPriority w:val="0"/>
    <w:rPr>
      <w:rFonts w:ascii="Times New Roman" w:hAnsi="Times New Roman" w:eastAsia="宋体" w:cs="Times New Roman"/>
      <w:sz w:val="16"/>
      <w:szCs w:val="16"/>
    </w:rPr>
  </w:style>
  <w:style w:type="character" w:customStyle="1" w:styleId="78">
    <w:name w:val="正文文本 2 Char"/>
    <w:link w:val="40"/>
    <w:autoRedefine/>
    <w:qFormat/>
    <w:uiPriority w:val="0"/>
    <w:rPr>
      <w:rFonts w:ascii="Times New Roman" w:hAnsi="Times New Roman" w:eastAsia="宋体" w:cs="Times New Roman"/>
      <w:szCs w:val="24"/>
    </w:rPr>
  </w:style>
  <w:style w:type="character" w:customStyle="1" w:styleId="79">
    <w:name w:val="标题 Char"/>
    <w:link w:val="43"/>
    <w:autoRedefine/>
    <w:qFormat/>
    <w:uiPriority w:val="10"/>
    <w:rPr>
      <w:rFonts w:ascii="Cambria" w:hAnsi="Cambria" w:cs="Times New Roman"/>
      <w:b/>
      <w:bCs/>
      <w:kern w:val="2"/>
      <w:sz w:val="32"/>
      <w:szCs w:val="32"/>
    </w:rPr>
  </w:style>
  <w:style w:type="character" w:customStyle="1" w:styleId="80">
    <w:name w:val="批注主题 Char"/>
    <w:link w:val="44"/>
    <w:autoRedefine/>
    <w:semiHidden/>
    <w:qFormat/>
    <w:uiPriority w:val="99"/>
    <w:rPr>
      <w:rFonts w:ascii="Times New Roman" w:hAnsi="Times New Roman"/>
      <w:b/>
      <w:bCs/>
      <w:kern w:val="2"/>
      <w:sz w:val="21"/>
      <w:szCs w:val="24"/>
    </w:rPr>
  </w:style>
  <w:style w:type="character" w:customStyle="1" w:styleId="81">
    <w:name w:val="批注文字 Char1"/>
    <w:autoRedefine/>
    <w:semiHidden/>
    <w:qFormat/>
    <w:locked/>
    <w:uiPriority w:val="0"/>
    <w:rPr>
      <w:rFonts w:ascii="Times New Roman" w:hAnsi="Times New Roman"/>
      <w:kern w:val="2"/>
      <w:sz w:val="21"/>
      <w:szCs w:val="24"/>
    </w:rPr>
  </w:style>
  <w:style w:type="character" w:customStyle="1" w:styleId="82">
    <w:name w:val="case31"/>
    <w:autoRedefine/>
    <w:qFormat/>
    <w:uiPriority w:val="0"/>
    <w:rPr>
      <w:rFonts w:hint="default" w:ascii="_x000B__x000C_" w:hAnsi="_x000B__x000C_"/>
      <w:sz w:val="21"/>
      <w:szCs w:val="21"/>
    </w:rPr>
  </w:style>
  <w:style w:type="character" w:customStyle="1" w:styleId="83">
    <w:name w:val="批注文字 Char"/>
    <w:autoRedefine/>
    <w:qFormat/>
    <w:uiPriority w:val="99"/>
    <w:rPr>
      <w:rFonts w:ascii="Times New Roman" w:hAnsi="Times New Roman"/>
      <w:kern w:val="2"/>
      <w:sz w:val="21"/>
      <w:szCs w:val="24"/>
    </w:rPr>
  </w:style>
  <w:style w:type="character" w:customStyle="1" w:styleId="84">
    <w:name w:val="纯文本 Char"/>
    <w:autoRedefine/>
    <w:qFormat/>
    <w:uiPriority w:val="0"/>
    <w:rPr>
      <w:rFonts w:ascii="宋体" w:hAnsi="Courier New" w:eastAsia="宋体"/>
      <w:kern w:val="2"/>
      <w:sz w:val="21"/>
      <w:lang w:val="en-US" w:eastAsia="zh-CN" w:bidi="ar-SA"/>
    </w:rPr>
  </w:style>
  <w:style w:type="character" w:customStyle="1" w:styleId="85">
    <w:name w:val="纯文本 字符1"/>
    <w:autoRedefine/>
    <w:qFormat/>
    <w:uiPriority w:val="0"/>
    <w:rPr>
      <w:rFonts w:ascii="宋体" w:hAnsi="Courier New"/>
    </w:rPr>
  </w:style>
  <w:style w:type="character" w:customStyle="1" w:styleId="86">
    <w:name w:val="批注文字 字符1"/>
    <w:autoRedefine/>
    <w:qFormat/>
    <w:uiPriority w:val="0"/>
    <w:rPr>
      <w:rFonts w:ascii="Times New Roman" w:hAnsi="Times New Roman"/>
      <w:kern w:val="2"/>
      <w:sz w:val="21"/>
      <w:szCs w:val="24"/>
    </w:rPr>
  </w:style>
  <w:style w:type="character" w:customStyle="1" w:styleId="87">
    <w:name w:val="正文文本 Char1"/>
    <w:autoRedefine/>
    <w:semiHidden/>
    <w:qFormat/>
    <w:locked/>
    <w:uiPriority w:val="99"/>
    <w:rPr>
      <w:sz w:val="24"/>
      <w:szCs w:val="24"/>
    </w:rPr>
  </w:style>
  <w:style w:type="character" w:customStyle="1" w:styleId="88">
    <w:name w:val="apple-style-span"/>
    <w:autoRedefine/>
    <w:qFormat/>
    <w:uiPriority w:val="0"/>
  </w:style>
  <w:style w:type="character" w:customStyle="1" w:styleId="89">
    <w:name w:val="textcontents"/>
    <w:autoRedefine/>
    <w:qFormat/>
    <w:uiPriority w:val="0"/>
  </w:style>
  <w:style w:type="character" w:customStyle="1" w:styleId="90">
    <w:name w:val="普通文字 Char Char2"/>
    <w:autoRedefine/>
    <w:qFormat/>
    <w:uiPriority w:val="0"/>
    <w:rPr>
      <w:rFonts w:ascii="宋体" w:hAnsi="Courier New" w:eastAsia="宋体"/>
      <w:kern w:val="2"/>
      <w:sz w:val="21"/>
      <w:lang w:val="en-US" w:eastAsia="zh-CN" w:bidi="ar-SA"/>
    </w:rPr>
  </w:style>
  <w:style w:type="character" w:customStyle="1" w:styleId="91">
    <w:name w:val="标题 5 Char"/>
    <w:autoRedefine/>
    <w:qFormat/>
    <w:uiPriority w:val="0"/>
    <w:rPr>
      <w:b/>
      <w:kern w:val="2"/>
      <w:sz w:val="28"/>
      <w:szCs w:val="24"/>
    </w:rPr>
  </w:style>
  <w:style w:type="character" w:customStyle="1" w:styleId="92">
    <w:name w:val="批注文字 字符"/>
    <w:autoRedefine/>
    <w:qFormat/>
    <w:uiPriority w:val="0"/>
    <w:rPr>
      <w:rFonts w:ascii="Times New Roman" w:hAnsi="Times New Roman"/>
      <w:kern w:val="2"/>
      <w:sz w:val="21"/>
      <w:szCs w:val="24"/>
    </w:rPr>
  </w:style>
  <w:style w:type="character" w:customStyle="1" w:styleId="93">
    <w:name w:val="标题 1 字符"/>
    <w:autoRedefine/>
    <w:qFormat/>
    <w:uiPriority w:val="9"/>
    <w:rPr>
      <w:rFonts w:ascii="Times New Roman" w:hAnsi="Times New Roman" w:eastAsia="宋体" w:cs="Times New Roman"/>
      <w:b/>
      <w:bCs/>
      <w:kern w:val="44"/>
      <w:sz w:val="44"/>
      <w:szCs w:val="44"/>
    </w:rPr>
  </w:style>
  <w:style w:type="character" w:customStyle="1" w:styleId="94">
    <w:name w:val="纯文本 字符"/>
    <w:autoRedefine/>
    <w:qFormat/>
    <w:uiPriority w:val="0"/>
    <w:rPr>
      <w:rFonts w:ascii="宋体" w:hAnsi="Courier New" w:eastAsia="宋体" w:cs="Courier New"/>
      <w:szCs w:val="21"/>
    </w:rPr>
  </w:style>
  <w:style w:type="character" w:customStyle="1" w:styleId="95">
    <w:name w:val="headline-content4"/>
    <w:autoRedefine/>
    <w:qFormat/>
    <w:uiPriority w:val="0"/>
  </w:style>
  <w:style w:type="character" w:customStyle="1" w:styleId="96">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7">
    <w:name w:val="正文文本缩进 字符"/>
    <w:autoRedefine/>
    <w:qFormat/>
    <w:uiPriority w:val="0"/>
    <w:rPr>
      <w:rFonts w:ascii="仿宋_GB2312" w:hAnsi="Times New Roman" w:eastAsia="仿宋_GB2312" w:cs="Times New Roman"/>
      <w:sz w:val="32"/>
      <w:szCs w:val="20"/>
    </w:rPr>
  </w:style>
  <w:style w:type="paragraph" w:customStyle="1" w:styleId="98">
    <w:name w:val="Char1"/>
    <w:basedOn w:val="1"/>
    <w:autoRedefine/>
    <w:qFormat/>
    <w:uiPriority w:val="0"/>
    <w:rPr>
      <w:szCs w:val="21"/>
    </w:rPr>
  </w:style>
  <w:style w:type="paragraph" w:styleId="99">
    <w:name w:val="List Paragraph"/>
    <w:basedOn w:val="1"/>
    <w:autoRedefine/>
    <w:qFormat/>
    <w:uiPriority w:val="34"/>
    <w:pPr>
      <w:ind w:firstLine="420" w:firstLineChars="200"/>
    </w:pPr>
  </w:style>
  <w:style w:type="paragraph" w:customStyle="1" w:styleId="10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01">
    <w:name w:val="默认段落字体 Para Char Char Char Char Char Char Char Char Char1 Char Char Char Char"/>
    <w:basedOn w:val="1"/>
    <w:autoRedefine/>
    <w:qFormat/>
    <w:uiPriority w:val="0"/>
    <w:rPr>
      <w:rFonts w:ascii="Tahoma" w:hAnsi="Tahoma"/>
      <w:sz w:val="24"/>
      <w:szCs w:val="20"/>
    </w:rPr>
  </w:style>
  <w:style w:type="paragraph" w:customStyle="1" w:styleId="102">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3">
    <w:name w:val="Plain Text"/>
    <w:basedOn w:val="1"/>
    <w:autoRedefine/>
    <w:qFormat/>
    <w:uiPriority w:val="0"/>
    <w:rPr>
      <w:rFonts w:ascii="宋体" w:hAnsi="Courier New" w:cs="Century"/>
      <w:szCs w:val="21"/>
    </w:rPr>
  </w:style>
  <w:style w:type="paragraph" w:customStyle="1" w:styleId="104">
    <w:name w:val="Table Paragraph"/>
    <w:basedOn w:val="1"/>
    <w:autoRedefine/>
    <w:qFormat/>
    <w:uiPriority w:val="1"/>
    <w:pPr>
      <w:jc w:val="left"/>
    </w:pPr>
    <w:rPr>
      <w:rFonts w:ascii="Calibri" w:hAnsi="Calibri" w:eastAsia="宋体" w:cs="Times New Roman"/>
      <w:kern w:val="0"/>
      <w:sz w:val="22"/>
      <w:szCs w:val="22"/>
      <w:lang w:eastAsia="en-US"/>
    </w:rPr>
  </w:style>
  <w:style w:type="paragraph" w:customStyle="1" w:styleId="105">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06">
    <w:name w:val="表格"/>
    <w:basedOn w:val="1"/>
    <w:autoRedefine/>
    <w:qFormat/>
    <w:uiPriority w:val="0"/>
    <w:pPr>
      <w:spacing w:line="400" w:lineRule="exact"/>
    </w:pPr>
    <w:rPr>
      <w:sz w:val="24"/>
    </w:rPr>
  </w:style>
  <w:style w:type="paragraph" w:customStyle="1" w:styleId="107">
    <w:name w:val="样式 首行缩进:  2 字符"/>
    <w:basedOn w:val="1"/>
    <w:autoRedefine/>
    <w:qFormat/>
    <w:uiPriority w:val="0"/>
    <w:pPr>
      <w:spacing w:line="400" w:lineRule="exact"/>
      <w:ind w:firstLine="200" w:firstLineChars="200"/>
    </w:pPr>
    <w:rPr>
      <w:rFonts w:cs="宋体"/>
      <w:sz w:val="24"/>
    </w:rPr>
  </w:style>
  <w:style w:type="paragraph" w:customStyle="1" w:styleId="108">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9">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10">
    <w:name w:val="正文首行缩进两字符"/>
    <w:basedOn w:val="1"/>
    <w:autoRedefine/>
    <w:qFormat/>
    <w:uiPriority w:val="0"/>
    <w:pPr>
      <w:spacing w:line="360" w:lineRule="auto"/>
      <w:ind w:firstLine="200" w:firstLineChars="200"/>
    </w:pPr>
  </w:style>
  <w:style w:type="paragraph" w:customStyle="1" w:styleId="111">
    <w:name w:val="正文段"/>
    <w:basedOn w:val="1"/>
    <w:autoRedefine/>
    <w:qFormat/>
    <w:uiPriority w:val="0"/>
    <w:pPr>
      <w:widowControl/>
      <w:snapToGrid w:val="0"/>
      <w:spacing w:after="50" w:afterLines="50"/>
      <w:ind w:firstLine="200" w:firstLineChars="200"/>
    </w:pPr>
    <w:rPr>
      <w:kern w:val="0"/>
      <w:sz w:val="24"/>
      <w:szCs w:val="20"/>
    </w:rPr>
  </w:style>
  <w:style w:type="table" w:customStyle="1" w:styleId="112">
    <w:name w:val="Table Normal"/>
    <w:autoRedefine/>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3">
    <w:name w:val="页脚 字符"/>
    <w:autoRedefine/>
    <w:qFormat/>
    <w:uiPriority w:val="99"/>
  </w:style>
  <w:style w:type="character" w:customStyle="1" w:styleId="114">
    <w:name w:val="正文2 Char Char"/>
    <w:link w:val="115"/>
    <w:autoRedefine/>
    <w:qFormat/>
    <w:uiPriority w:val="0"/>
    <w:rPr>
      <w:kern w:val="2"/>
      <w:sz w:val="24"/>
    </w:rPr>
  </w:style>
  <w:style w:type="paragraph" w:customStyle="1" w:styleId="115">
    <w:name w:val="正文2"/>
    <w:basedOn w:val="1"/>
    <w:link w:val="114"/>
    <w:autoRedefine/>
    <w:qFormat/>
    <w:uiPriority w:val="0"/>
    <w:pPr>
      <w:adjustRightInd w:val="0"/>
      <w:spacing w:before="156" w:line="360" w:lineRule="auto"/>
      <w:ind w:firstLine="510" w:firstLineChars="200"/>
    </w:pPr>
    <w:rPr>
      <w:sz w:val="24"/>
      <w:szCs w:val="20"/>
    </w:rPr>
  </w:style>
  <w:style w:type="paragraph" w:customStyle="1" w:styleId="116">
    <w:name w:val="_Style 112"/>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17">
    <w:name w:val="表格文字 Char1"/>
    <w:link w:val="118"/>
    <w:autoRedefine/>
    <w:qFormat/>
    <w:locked/>
    <w:uiPriority w:val="0"/>
    <w:rPr>
      <w:bCs/>
      <w:spacing w:val="10"/>
      <w:sz w:val="24"/>
    </w:rPr>
  </w:style>
  <w:style w:type="paragraph" w:customStyle="1" w:styleId="118">
    <w:name w:val="表格文字"/>
    <w:basedOn w:val="1"/>
    <w:next w:val="17"/>
    <w:link w:val="117"/>
    <w:autoRedefine/>
    <w:qFormat/>
    <w:uiPriority w:val="0"/>
    <w:pPr>
      <w:spacing w:before="25" w:after="25"/>
      <w:jc w:val="left"/>
    </w:pPr>
    <w:rPr>
      <w:bCs/>
      <w:spacing w:val="10"/>
      <w:kern w:val="0"/>
      <w:sz w:val="24"/>
      <w:szCs w:val="20"/>
    </w:rPr>
  </w:style>
  <w:style w:type="paragraph" w:customStyle="1" w:styleId="11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0">
    <w:name w:val="列出段落1"/>
    <w:basedOn w:val="1"/>
    <w:autoRedefine/>
    <w:qFormat/>
    <w:uiPriority w:val="0"/>
    <w:pPr>
      <w:ind w:firstLine="420" w:firstLineChars="200"/>
    </w:pPr>
    <w:rPr>
      <w:szCs w:val="21"/>
    </w:rPr>
  </w:style>
  <w:style w:type="paragraph" w:customStyle="1" w:styleId="121">
    <w:name w:val="Default"/>
    <w:next w:val="122"/>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2">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3">
    <w:name w:val="纯文本 Char2"/>
    <w:autoRedefine/>
    <w:qFormat/>
    <w:uiPriority w:val="0"/>
    <w:rPr>
      <w:rFonts w:ascii="宋体" w:hAnsi="Courier New" w:eastAsia="宋体" w:cs="Courier New"/>
      <w:szCs w:val="21"/>
    </w:rPr>
  </w:style>
  <w:style w:type="character" w:customStyle="1" w:styleId="124">
    <w:name w:val="font11"/>
    <w:basedOn w:val="48"/>
    <w:autoRedefine/>
    <w:qFormat/>
    <w:uiPriority w:val="0"/>
    <w:rPr>
      <w:rFonts w:hint="eastAsia" w:ascii="宋体" w:hAnsi="宋体" w:eastAsia="宋体" w:cs="宋体"/>
      <w:color w:val="000000"/>
      <w:sz w:val="24"/>
      <w:szCs w:val="24"/>
      <w:u w:val="none"/>
    </w:rPr>
  </w:style>
  <w:style w:type="paragraph" w:customStyle="1" w:styleId="125">
    <w:name w:val="p15"/>
    <w:basedOn w:val="1"/>
    <w:autoRedefine/>
    <w:qFormat/>
    <w:uiPriority w:val="0"/>
    <w:pPr>
      <w:widowControl/>
      <w:ind w:firstLine="420"/>
    </w:pPr>
    <w:rPr>
      <w:szCs w:val="21"/>
    </w:rPr>
  </w:style>
  <w:style w:type="paragraph" w:styleId="126">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7">
    <w:name w:val="BodyText"/>
    <w:basedOn w:val="1"/>
    <w:autoRedefine/>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character" w:customStyle="1" w:styleId="128">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84</Pages>
  <Words>45198</Words>
  <Characters>48290</Characters>
  <Lines>483</Lines>
  <Paragraphs>136</Paragraphs>
  <TotalTime>133</TotalTime>
  <ScaleCrop>false</ScaleCrop>
  <LinksUpToDate>false</LinksUpToDate>
  <CharactersWithSpaces>54070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2024-05-20T09:01:00Z</dcterms:created>
  <dc:creator>番茄花园</dc:creator>
  <cp:lastModifiedBy>everyone</cp:lastModifiedBy>
  <cp:lastPrinted>2025-12-01T03:39:08Z</cp:lastPrinted>
  <dcterms:modified xsi:type="dcterms:W3CDTF">2025-12-01T07:29:11Z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B1BC437453734CA1B0105FB2A1CB2666_13</vt:lpwstr>
  </property>
  <property fmtid="{D5CDD505-2E9C-101B-9397-08002B2CF9AE}" pid="4" name="KSOTemplateDocerSaveRecord">
    <vt:lpwstr>eyJoZGlkIjoiNmJhMzI2MjhkY2Y1OWM4MTE3MDMyODc5ZDA1MWQwNjQiLCJ1c2VySWQiOiI2MTI4OTUwMDYifQ==</vt:lpwstr>
  </property>
</Properties>
</file>