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D72CE">
      <w:pPr>
        <w:spacing w:before="240" w:beforeLines="100" w:after="120" w:afterLines="50" w:line="600" w:lineRule="exact"/>
        <w:ind w:firstLine="1040"/>
        <w:jc w:val="center"/>
        <w:rPr>
          <w:rFonts w:ascii="方正小标宋简体" w:hAnsi="宋体" w:eastAsia="方正小标宋简体"/>
          <w:color w:val="auto"/>
          <w:sz w:val="52"/>
          <w:szCs w:val="52"/>
          <w:highlight w:val="none"/>
        </w:rPr>
      </w:pPr>
    </w:p>
    <w:p w14:paraId="51320D78">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7A2DEF27">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方正小标宋简体" w:hAnsi="方正小标宋简体" w:eastAsia="方正小标宋简体" w:cs="方正小标宋简体"/>
          <w:b/>
          <w:color w:val="auto"/>
          <w:sz w:val="44"/>
          <w:szCs w:val="44"/>
          <w:highlight w:val="none"/>
        </w:rPr>
      </w:pPr>
    </w:p>
    <w:p w14:paraId="0426924D">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方正小标宋简体" w:hAnsi="方正小标宋简体" w:eastAsia="方正小标宋简体" w:cs="方正小标宋简体"/>
          <w:b/>
          <w:color w:val="auto"/>
          <w:sz w:val="44"/>
          <w:szCs w:val="44"/>
          <w:highlight w:val="none"/>
        </w:rPr>
      </w:pPr>
    </w:p>
    <w:p w14:paraId="70BB7F31">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0" w:firstLineChars="0"/>
        <w:jc w:val="center"/>
        <w:textAlignment w:val="auto"/>
        <w:rPr>
          <w:rFonts w:ascii="华文新魏" w:hAnsi="宋体" w:eastAsia="华文新魏"/>
          <w:color w:val="auto"/>
          <w:sz w:val="72"/>
          <w:szCs w:val="72"/>
          <w:highlight w:val="none"/>
        </w:rPr>
      </w:pPr>
      <w:r>
        <w:rPr>
          <w:rFonts w:hint="eastAsia" w:ascii="华文新魏" w:hAnsi="宋体" w:eastAsia="华文新魏"/>
          <w:color w:val="auto"/>
          <w:sz w:val="120"/>
          <w:szCs w:val="120"/>
          <w:highlight w:val="none"/>
        </w:rPr>
        <w:t>招 标 文 件</w:t>
      </w:r>
    </w:p>
    <w:p w14:paraId="0025133F">
      <w:pPr>
        <w:keepNext w:val="0"/>
        <w:keepLines w:val="0"/>
        <w:pageBreakBefore w:val="0"/>
        <w:widowControl w:val="0"/>
        <w:kinsoku/>
        <w:wordWrap/>
        <w:overflowPunct/>
        <w:topLinePunct w:val="0"/>
        <w:autoSpaceDE/>
        <w:autoSpaceDN/>
        <w:bidi w:val="0"/>
        <w:adjustRightInd/>
        <w:snapToGrid w:val="0"/>
        <w:spacing w:before="120" w:beforeLines="50" w:line="360" w:lineRule="auto"/>
        <w:ind w:firstLine="0" w:firstLineChars="0"/>
        <w:jc w:val="center"/>
        <w:textAlignment w:val="auto"/>
        <w:rPr>
          <w:rFonts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（全流程电子化采购-远程异地评标）</w:t>
      </w:r>
    </w:p>
    <w:p w14:paraId="5ECC67DF">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ascii="仿宋_GB2312" w:hAnsi="宋体" w:eastAsia="仿宋_GB2312"/>
          <w:color w:val="auto"/>
          <w:sz w:val="30"/>
          <w:szCs w:val="72"/>
          <w:highlight w:val="none"/>
        </w:rPr>
      </w:pPr>
    </w:p>
    <w:p w14:paraId="34729965">
      <w:pPr>
        <w:pStyle w:val="23"/>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right"/>
        <w:textAlignment w:val="auto"/>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lang w:val="en-US" w:eastAsia="zh-CN"/>
        </w:rPr>
        <w:t xml:space="preserve"> </w:t>
      </w: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梧州市本级行政事业单位和团体组织、国有企业、医院能源（用电）费用托管项目（一期）</w:t>
      </w:r>
    </w:p>
    <w:p w14:paraId="1E460146">
      <w:pPr>
        <w:keepNext w:val="0"/>
        <w:keepLines w:val="0"/>
        <w:pageBreakBefore w:val="0"/>
        <w:widowControl w:val="0"/>
        <w:kinsoku/>
        <w:wordWrap/>
        <w:overflowPunct/>
        <w:topLinePunct w:val="0"/>
        <w:autoSpaceDE/>
        <w:autoSpaceDN/>
        <w:bidi w:val="0"/>
        <w:adjustRightInd/>
        <w:snapToGrid w:val="0"/>
        <w:spacing w:line="360" w:lineRule="auto"/>
        <w:ind w:left="1470" w:leftChars="700" w:firstLine="0" w:firstLineChars="0"/>
        <w:textAlignment w:val="auto"/>
        <w:rPr>
          <w:rFonts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WZZC2026-G3-990040-YZLZ</w:t>
      </w:r>
      <w:r>
        <w:rPr>
          <w:rFonts w:hint="eastAsia" w:ascii="仿宋_GB2312" w:hAnsi="宋体" w:eastAsia="仿宋_GB2312"/>
          <w:b/>
          <w:color w:val="auto"/>
          <w:sz w:val="30"/>
          <w:szCs w:val="48"/>
          <w:highlight w:val="none"/>
        </w:rPr>
        <w:t xml:space="preserve"> </w:t>
      </w:r>
    </w:p>
    <w:p w14:paraId="6F290D53">
      <w:pPr>
        <w:pStyle w:val="23"/>
        <w:keepNext w:val="0"/>
        <w:keepLines w:val="0"/>
        <w:pageBreakBefore w:val="0"/>
        <w:widowControl w:val="0"/>
        <w:kinsoku/>
        <w:wordWrap/>
        <w:overflowPunct/>
        <w:topLinePunct w:val="0"/>
        <w:autoSpaceDE/>
        <w:autoSpaceDN/>
        <w:bidi w:val="0"/>
        <w:adjustRightInd/>
        <w:snapToGrid w:val="0"/>
        <w:spacing w:line="360" w:lineRule="auto"/>
        <w:ind w:left="1470" w:leftChars="700" w:firstLine="0" w:firstLineChars="0"/>
        <w:textAlignment w:val="auto"/>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梧州市发展和改革委员会</w:t>
      </w:r>
      <w:r>
        <w:rPr>
          <w:rFonts w:hint="eastAsia" w:ascii="仿宋_GB2312" w:hAnsi="宋体" w:eastAsia="仿宋_GB2312"/>
          <w:b/>
          <w:bCs/>
          <w:color w:val="auto"/>
          <w:w w:val="95"/>
          <w:sz w:val="30"/>
          <w:szCs w:val="30"/>
          <w:highlight w:val="none"/>
        </w:rPr>
        <w:t xml:space="preserve"> </w:t>
      </w:r>
    </w:p>
    <w:p w14:paraId="18D2D9BA">
      <w:pPr>
        <w:pStyle w:val="23"/>
        <w:keepNext w:val="0"/>
        <w:keepLines w:val="0"/>
        <w:pageBreakBefore w:val="0"/>
        <w:widowControl w:val="0"/>
        <w:kinsoku/>
        <w:wordWrap/>
        <w:overflowPunct/>
        <w:topLinePunct w:val="0"/>
        <w:autoSpaceDE/>
        <w:autoSpaceDN/>
        <w:bidi w:val="0"/>
        <w:adjustRightInd/>
        <w:snapToGrid w:val="0"/>
        <w:spacing w:line="360" w:lineRule="auto"/>
        <w:ind w:left="1470" w:leftChars="700" w:firstLine="0" w:firstLineChars="0"/>
        <w:textAlignment w:val="auto"/>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4519E6C3">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ascii="仿宋_GB2312" w:hAnsi="宋体" w:eastAsia="仿宋_GB2312"/>
          <w:b/>
          <w:bCs/>
          <w:color w:val="auto"/>
          <w:w w:val="95"/>
          <w:sz w:val="30"/>
          <w:szCs w:val="30"/>
          <w:highlight w:val="none"/>
        </w:rPr>
      </w:pPr>
    </w:p>
    <w:p w14:paraId="20CF7958">
      <w:pPr>
        <w:pStyle w:val="23"/>
        <w:snapToGrid w:val="0"/>
        <w:spacing w:line="360" w:lineRule="auto"/>
        <w:ind w:firstLine="841" w:firstLineChars="294"/>
        <w:rPr>
          <w:rFonts w:ascii="仿宋_GB2312" w:hAnsi="宋体" w:eastAsia="仿宋_GB2312"/>
          <w:color w:val="auto"/>
          <w:highlight w:val="none"/>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eastAsia="zh-CN"/>
        </w:rPr>
        <w:t>2026年</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日</w:t>
      </w:r>
    </w:p>
    <w:p w14:paraId="6AF68566">
      <w:pPr>
        <w:spacing w:line="360" w:lineRule="auto"/>
        <w:ind w:firstLine="883"/>
        <w:jc w:val="center"/>
        <w:rPr>
          <w:rFonts w:ascii="宋体" w:hAnsi="宋体"/>
          <w:b/>
          <w:color w:val="auto"/>
          <w:sz w:val="44"/>
          <w:szCs w:val="44"/>
          <w:highlight w:val="none"/>
        </w:rPr>
        <w:sectPr>
          <w:headerReference r:id="rId3" w:type="first"/>
          <w:footerReference r:id="rId5" w:type="first"/>
          <w:footerReference r:id="rId4" w:type="default"/>
          <w:pgSz w:w="11911" w:h="16838"/>
          <w:pgMar w:top="1440" w:right="1803" w:bottom="1440" w:left="1803" w:header="720" w:footer="720" w:gutter="0"/>
          <w:pgNumType w:fmt="decimal" w:start="0"/>
          <w:cols w:space="0" w:num="1"/>
          <w:titlePg/>
          <w:rtlGutter w:val="0"/>
          <w:docGrid w:linePitch="286" w:charSpace="0"/>
        </w:sectPr>
      </w:pPr>
      <w:bookmarkStart w:id="150" w:name="_GoBack"/>
      <w:bookmarkEnd w:id="150"/>
    </w:p>
    <w:p w14:paraId="43A27C97">
      <w:pPr>
        <w:spacing w:line="360" w:lineRule="auto"/>
        <w:ind w:firstLine="883"/>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6EF24793">
      <w:pPr>
        <w:spacing w:line="400" w:lineRule="exact"/>
        <w:ind w:firstLine="883"/>
        <w:jc w:val="center"/>
        <w:rPr>
          <w:rFonts w:ascii="宋体" w:hAnsi="宋体"/>
          <w:b/>
          <w:color w:val="auto"/>
          <w:sz w:val="44"/>
          <w:szCs w:val="44"/>
          <w:highlight w:val="none"/>
        </w:rPr>
      </w:pPr>
    </w:p>
    <w:p w14:paraId="750DC67D">
      <w:pPr>
        <w:pStyle w:val="31"/>
        <w:tabs>
          <w:tab w:val="right" w:leader="dot" w:pos="8730"/>
          <w:tab w:val="clear" w:pos="8398"/>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"_Toc26956" </w:instrText>
      </w:r>
      <w:r>
        <w:rPr>
          <w:color w:val="auto"/>
          <w:highlight w:val="none"/>
        </w:rPr>
        <w:fldChar w:fldCharType="separate"/>
      </w:r>
      <w:r>
        <w:rPr>
          <w:rFonts w:hint="eastAsia"/>
          <w:color w:val="auto"/>
          <w:highlight w:val="none"/>
        </w:rPr>
        <w:t>第一章  招标公告（远程异地评标）</w:t>
      </w:r>
      <w:r>
        <w:rPr>
          <w:color w:val="auto"/>
          <w:highlight w:val="none"/>
        </w:rPr>
        <w:tab/>
      </w:r>
      <w:r>
        <w:rPr>
          <w:color w:val="auto"/>
          <w:highlight w:val="none"/>
        </w:rPr>
        <w:fldChar w:fldCharType="begin"/>
      </w:r>
      <w:r>
        <w:rPr>
          <w:color w:val="auto"/>
          <w:highlight w:val="none"/>
        </w:rPr>
        <w:instrText xml:space="preserve"> PAGEREF _Toc26956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6A9DA8C">
      <w:pPr>
        <w:pStyle w:val="31"/>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 HYPERLINK \l "_Toc27979" </w:instrText>
      </w:r>
      <w:r>
        <w:rPr>
          <w:color w:val="auto"/>
          <w:highlight w:val="none"/>
        </w:rPr>
        <w:fldChar w:fldCharType="separate"/>
      </w:r>
      <w:r>
        <w:rPr>
          <w:rFonts w:hint="eastAsia"/>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_Toc27979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191F446">
      <w:pPr>
        <w:pStyle w:val="31"/>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 HYPERLINK \l "_Toc25688" </w:instrText>
      </w:r>
      <w:r>
        <w:rPr>
          <w:color w:val="auto"/>
          <w:highlight w:val="none"/>
        </w:rPr>
        <w:fldChar w:fldCharType="separate"/>
      </w:r>
      <w:r>
        <w:rPr>
          <w:rFonts w:hint="eastAsia"/>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1B17C98">
      <w:pPr>
        <w:pStyle w:val="31"/>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 HYPERLINK \l "_Toc15687" </w:instrText>
      </w:r>
      <w:r>
        <w:rPr>
          <w:color w:val="auto"/>
          <w:highlight w:val="none"/>
        </w:rPr>
        <w:fldChar w:fldCharType="separate"/>
      </w:r>
      <w:r>
        <w:rPr>
          <w:rFonts w:hint="eastAsia"/>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_Toc15687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404B63DA">
      <w:pPr>
        <w:pStyle w:val="31"/>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 HYPERLINK \l "_Toc25250" </w:instrText>
      </w:r>
      <w:r>
        <w:rPr>
          <w:color w:val="auto"/>
          <w:highlight w:val="none"/>
        </w:rPr>
        <w:fldChar w:fldCharType="separate"/>
      </w:r>
      <w:r>
        <w:rPr>
          <w:rFonts w:hint="eastAsia"/>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_Toc25250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CCAA1EB">
      <w:pPr>
        <w:pStyle w:val="31"/>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5063ABEE">
      <w:pPr>
        <w:tabs>
          <w:tab w:val="right" w:leader="dot" w:pos="8789"/>
        </w:tabs>
        <w:snapToGrid w:val="0"/>
        <w:spacing w:line="500" w:lineRule="atLeast"/>
        <w:rPr>
          <w:rFonts w:ascii="仿宋_GB2312" w:hAnsi="宋体" w:eastAsia="仿宋_GB2312"/>
          <w:color w:val="auto"/>
          <w:sz w:val="24"/>
          <w:highlight w:val="none"/>
        </w:rPr>
      </w:pPr>
      <w:r>
        <w:rPr>
          <w:rFonts w:ascii="仿宋_GB2312" w:hAnsi="宋体" w:eastAsia="仿宋_GB2312"/>
          <w:color w:val="auto"/>
          <w:highlight w:val="none"/>
        </w:rPr>
        <w:fldChar w:fldCharType="end"/>
      </w:r>
    </w:p>
    <w:p w14:paraId="680C80F1">
      <w:pPr>
        <w:spacing w:before="120" w:beforeLines="50" w:line="480" w:lineRule="exact"/>
        <w:ind w:firstLine="600"/>
        <w:rPr>
          <w:rFonts w:ascii="仿宋_GB2312" w:hAnsi="宋体" w:eastAsia="仿宋_GB2312"/>
          <w:color w:val="auto"/>
          <w:sz w:val="30"/>
          <w:highlight w:val="none"/>
        </w:rPr>
      </w:pPr>
    </w:p>
    <w:p w14:paraId="1E21DA19">
      <w:pPr>
        <w:rPr>
          <w:color w:val="auto"/>
          <w:highlight w:val="none"/>
        </w:rPr>
      </w:pPr>
    </w:p>
    <w:p w14:paraId="409EC1D2">
      <w:pPr>
        <w:spacing w:before="120" w:beforeLines="50" w:line="480" w:lineRule="exact"/>
        <w:ind w:firstLine="600"/>
        <w:rPr>
          <w:rFonts w:ascii="仿宋_GB2312" w:hAnsi="宋体" w:eastAsia="仿宋_GB2312"/>
          <w:color w:val="auto"/>
          <w:sz w:val="30"/>
          <w:highlight w:val="none"/>
        </w:rPr>
      </w:pPr>
    </w:p>
    <w:p w14:paraId="276493F5">
      <w:pPr>
        <w:spacing w:before="120" w:beforeLines="50" w:line="480" w:lineRule="exact"/>
        <w:ind w:firstLine="600"/>
        <w:rPr>
          <w:rFonts w:ascii="仿宋_GB2312" w:hAnsi="宋体" w:eastAsia="仿宋_GB2312"/>
          <w:color w:val="auto"/>
          <w:sz w:val="30"/>
          <w:highlight w:val="none"/>
        </w:rPr>
      </w:pPr>
    </w:p>
    <w:p w14:paraId="7EB7E078">
      <w:pPr>
        <w:pStyle w:val="15"/>
        <w:ind w:firstLine="422"/>
        <w:rPr>
          <w:rFonts w:ascii="宋体" w:hAnsi="宋体" w:cs="宋体"/>
          <w:b/>
          <w:bCs/>
          <w:color w:val="auto"/>
          <w:highlight w:val="none"/>
        </w:rPr>
      </w:pPr>
      <w:bookmarkStart w:id="0" w:name="_Toc254970630"/>
      <w:bookmarkStart w:id="1" w:name="_Toc254970489"/>
    </w:p>
    <w:p w14:paraId="323C29EB">
      <w:pPr>
        <w:pStyle w:val="2"/>
        <w:keepNext w:val="0"/>
        <w:keepLines w:val="0"/>
        <w:tabs>
          <w:tab w:val="left" w:pos="0"/>
          <w:tab w:val="left" w:pos="3165"/>
          <w:tab w:val="center" w:pos="4153"/>
        </w:tabs>
        <w:autoSpaceDE w:val="0"/>
        <w:autoSpaceDN w:val="0"/>
        <w:adjustRightInd w:val="0"/>
        <w:spacing w:before="0" w:after="0" w:line="360" w:lineRule="auto"/>
        <w:ind w:firstLine="883"/>
        <w:jc w:val="center"/>
        <w:rPr>
          <w:color w:val="auto"/>
          <w:highlight w:val="none"/>
        </w:rPr>
        <w:sectPr>
          <w:footerReference r:id="rId7" w:type="first"/>
          <w:footerReference r:id="rId6" w:type="default"/>
          <w:pgSz w:w="11911" w:h="16838"/>
          <w:pgMar w:top="1440" w:right="1803" w:bottom="1440" w:left="1803" w:header="720" w:footer="720" w:gutter="0"/>
          <w:pgNumType w:fmt="decimal" w:start="1"/>
          <w:cols w:space="0" w:num="1"/>
          <w:titlePg/>
          <w:rtlGutter w:val="0"/>
          <w:docGrid w:linePitch="286" w:charSpace="0"/>
        </w:sectPr>
      </w:pPr>
      <w:bookmarkStart w:id="2" w:name="_Toc26956"/>
    </w:p>
    <w:p w14:paraId="73C1E140">
      <w:pPr>
        <w:pStyle w:val="2"/>
        <w:keepNext w:val="0"/>
        <w:keepLines w:val="0"/>
        <w:tabs>
          <w:tab w:val="left" w:pos="0"/>
          <w:tab w:val="left" w:pos="3165"/>
          <w:tab w:val="center" w:pos="4153"/>
        </w:tabs>
        <w:autoSpaceDE w:val="0"/>
        <w:autoSpaceDN w:val="0"/>
        <w:adjustRightInd w:val="0"/>
        <w:spacing w:before="0" w:after="0" w:line="360" w:lineRule="auto"/>
        <w:ind w:firstLine="883"/>
        <w:jc w:val="center"/>
        <w:rPr>
          <w:color w:val="auto"/>
          <w:highlight w:val="none"/>
        </w:rPr>
      </w:pPr>
      <w:r>
        <w:rPr>
          <w:rFonts w:hint="eastAsia"/>
          <w:color w:val="auto"/>
          <w:highlight w:val="none"/>
        </w:rPr>
        <w:t>第一章</w:t>
      </w:r>
      <w:bookmarkEnd w:id="0"/>
      <w:bookmarkEnd w:id="1"/>
      <w:bookmarkStart w:id="3" w:name="_Toc35393789"/>
      <w:bookmarkStart w:id="4" w:name="_Toc28359001"/>
      <w:r>
        <w:rPr>
          <w:rFonts w:hint="eastAsia"/>
          <w:color w:val="auto"/>
          <w:highlight w:val="none"/>
        </w:rPr>
        <w:t xml:space="preserve"> 招标公告</w:t>
      </w:r>
      <w:bookmarkEnd w:id="2"/>
      <w:bookmarkEnd w:id="3"/>
      <w:bookmarkEnd w:id="4"/>
      <w:r>
        <w:rPr>
          <w:rFonts w:hint="eastAsia"/>
          <w:color w:val="auto"/>
          <w:highlight w:val="none"/>
        </w:rPr>
        <w:t>（远程异地评标）</w:t>
      </w:r>
    </w:p>
    <w:p w14:paraId="5D18DE7D">
      <w:pPr>
        <w:spacing w:line="360" w:lineRule="auto"/>
        <w:rPr>
          <w:rFonts w:ascii="宋体" w:hAnsi="宋体"/>
          <w:color w:val="auto"/>
          <w:szCs w:val="21"/>
          <w:highlight w:val="none"/>
        </w:rPr>
      </w:pPr>
    </w:p>
    <w:p w14:paraId="6CEDB88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473A116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梧州市本级行政事业单位和团体组织、国有企业、医院能源（用电）费用托管项目（一期）</w:t>
      </w:r>
      <w:r>
        <w:rPr>
          <w:rFonts w:hint="eastAsia" w:ascii="宋体" w:hAnsi="宋体"/>
          <w:color w:val="auto"/>
          <w:szCs w:val="21"/>
          <w:highlight w:val="none"/>
        </w:rPr>
        <w:t>招标项目的潜在投标人应在广西政府采购云平台（https://www.gcy.zfcg.gxzf.gov.cn/）获取（下载）招标文件，并于</w:t>
      </w:r>
      <w:r>
        <w:rPr>
          <w:rFonts w:hint="eastAsia" w:ascii="宋体" w:hAnsi="宋体"/>
          <w:color w:val="auto"/>
          <w:szCs w:val="21"/>
          <w:highlight w:val="none"/>
          <w:u w:val="single"/>
          <w:lang w:eastAsia="zh-CN"/>
        </w:rPr>
        <w:t>2026年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568CAEBB">
      <w:pPr>
        <w:spacing w:line="360" w:lineRule="auto"/>
        <w:ind w:firstLine="482"/>
        <w:rPr>
          <w:rFonts w:ascii="黑体" w:hAnsi="黑体" w:eastAsia="黑体"/>
          <w:b/>
          <w:bCs/>
          <w:color w:val="auto"/>
          <w:sz w:val="24"/>
          <w:highlight w:val="none"/>
        </w:rPr>
      </w:pPr>
      <w:bookmarkStart w:id="5" w:name="_Toc28359002"/>
      <w:bookmarkStart w:id="6" w:name="_Toc35393790"/>
      <w:bookmarkStart w:id="7" w:name="_Toc28359079"/>
      <w:bookmarkStart w:id="8" w:name="_Toc35393621"/>
      <w:bookmarkStart w:id="9" w:name="_Hlk24379207"/>
      <w:r>
        <w:rPr>
          <w:rFonts w:hint="eastAsia" w:ascii="黑体" w:hAnsi="黑体" w:eastAsia="黑体"/>
          <w:b/>
          <w:bCs/>
          <w:color w:val="auto"/>
          <w:sz w:val="24"/>
          <w:highlight w:val="none"/>
        </w:rPr>
        <w:t>一、项目基本情况</w:t>
      </w:r>
      <w:bookmarkEnd w:id="5"/>
      <w:bookmarkEnd w:id="6"/>
      <w:bookmarkEnd w:id="7"/>
      <w:bookmarkEnd w:id="8"/>
    </w:p>
    <w:bookmarkEnd w:id="9"/>
    <w:p w14:paraId="671AE36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WZZC2026-G3-990040-YZLZ</w:t>
      </w:r>
    </w:p>
    <w:p w14:paraId="14320472">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梧州市本级行政事业单位和团体组织、国有企业、医院能源（用电）费用托管项目（一期）</w:t>
      </w:r>
    </w:p>
    <w:p w14:paraId="7A1B018C">
      <w:pPr>
        <w:spacing w:line="360" w:lineRule="auto"/>
        <w:ind w:firstLine="420" w:firstLineChars="200"/>
        <w:rPr>
          <w:rFonts w:ascii="宋体" w:hAnsi="宋体"/>
          <w:color w:val="auto"/>
          <w:szCs w:val="21"/>
          <w:highlight w:val="none"/>
          <w:u w:val="single"/>
        </w:rPr>
      </w:pPr>
      <w:r>
        <w:rPr>
          <w:rFonts w:hint="eastAsia"/>
          <w:color w:val="auto"/>
          <w:highlight w:val="none"/>
        </w:rPr>
        <w:t>预算总金额</w:t>
      </w:r>
      <w:r>
        <w:rPr>
          <w:rFonts w:hint="eastAsia" w:ascii="宋体" w:hAnsi="宋体"/>
          <w:color w:val="auto"/>
          <w:szCs w:val="21"/>
          <w:highlight w:val="none"/>
        </w:rPr>
        <w:t>：</w:t>
      </w:r>
      <w:r>
        <w:rPr>
          <w:rFonts w:hint="eastAsia" w:ascii="宋体" w:hAnsi="宋体"/>
          <w:color w:val="auto"/>
          <w:szCs w:val="21"/>
          <w:highlight w:val="none"/>
          <w:lang w:eastAsia="zh-CN"/>
        </w:rPr>
        <w:t>60000000.00</w:t>
      </w:r>
      <w:r>
        <w:rPr>
          <w:rFonts w:hint="eastAsia" w:ascii="宋体" w:hAnsi="宋体"/>
          <w:color w:val="auto"/>
          <w:szCs w:val="21"/>
          <w:highlight w:val="none"/>
        </w:rPr>
        <w:t>元</w:t>
      </w:r>
    </w:p>
    <w:p w14:paraId="35D139E1">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折扣≤99%</w:t>
      </w:r>
    </w:p>
    <w:p w14:paraId="2FA1BA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1399"/>
        <w:gridCol w:w="893"/>
        <w:gridCol w:w="5949"/>
      </w:tblGrid>
      <w:tr w14:paraId="1BD7F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44CDAB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rPr>
              <w:t>分标；预算金额：</w:t>
            </w:r>
            <w:r>
              <w:rPr>
                <w:rFonts w:hint="eastAsia" w:ascii="宋体" w:hAnsi="宋体"/>
                <w:color w:val="auto"/>
                <w:szCs w:val="21"/>
                <w:highlight w:val="none"/>
                <w:lang w:eastAsia="zh-CN"/>
              </w:rPr>
              <w:t>60000000.00</w:t>
            </w:r>
            <w:r>
              <w:rPr>
                <w:rFonts w:hint="eastAsia" w:ascii="宋体" w:hAnsi="宋体"/>
                <w:color w:val="auto"/>
                <w:szCs w:val="21"/>
                <w:highlight w:val="none"/>
              </w:rPr>
              <w:t>元</w:t>
            </w:r>
          </w:p>
        </w:tc>
      </w:tr>
      <w:tr w14:paraId="35463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6AE78A4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399" w:type="dxa"/>
            <w:tcBorders>
              <w:top w:val="single" w:color="auto" w:sz="4" w:space="0"/>
              <w:left w:val="single" w:color="auto" w:sz="4" w:space="0"/>
              <w:bottom w:val="single" w:color="auto" w:sz="4" w:space="0"/>
              <w:right w:val="single" w:color="auto" w:sz="4" w:space="0"/>
            </w:tcBorders>
            <w:vAlign w:val="center"/>
          </w:tcPr>
          <w:p w14:paraId="4DCDDE1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893" w:type="dxa"/>
            <w:tcBorders>
              <w:top w:val="single" w:color="auto" w:sz="4" w:space="0"/>
              <w:left w:val="single" w:color="auto" w:sz="4" w:space="0"/>
              <w:bottom w:val="single" w:color="auto" w:sz="4" w:space="0"/>
              <w:right w:val="single" w:color="auto" w:sz="4" w:space="0"/>
            </w:tcBorders>
            <w:vAlign w:val="center"/>
          </w:tcPr>
          <w:p w14:paraId="5662057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w:t>
            </w:r>
          </w:p>
          <w:p w14:paraId="333F2E6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5949" w:type="dxa"/>
            <w:tcBorders>
              <w:top w:val="single" w:color="auto" w:sz="4" w:space="0"/>
              <w:left w:val="single" w:color="auto" w:sz="4" w:space="0"/>
              <w:bottom w:val="single" w:color="auto" w:sz="4" w:space="0"/>
              <w:right w:val="single" w:color="auto" w:sz="4" w:space="0"/>
            </w:tcBorders>
            <w:vAlign w:val="center"/>
          </w:tcPr>
          <w:p w14:paraId="05B8809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2447F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3379752B">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1399" w:type="dxa"/>
            <w:tcBorders>
              <w:top w:val="single" w:color="auto" w:sz="4" w:space="0"/>
              <w:left w:val="single" w:color="auto" w:sz="4" w:space="0"/>
              <w:bottom w:val="single" w:color="auto" w:sz="4" w:space="0"/>
              <w:right w:val="single" w:color="auto" w:sz="4" w:space="0"/>
            </w:tcBorders>
            <w:vAlign w:val="center"/>
          </w:tcPr>
          <w:p w14:paraId="3E181E6C">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梧州市本级行政事业单位和团体组织、国有企业、医院能源（用电）费用托管项目（一期）</w:t>
            </w:r>
          </w:p>
        </w:tc>
        <w:tc>
          <w:tcPr>
            <w:tcW w:w="893" w:type="dxa"/>
            <w:tcBorders>
              <w:top w:val="single" w:color="auto" w:sz="4" w:space="0"/>
              <w:left w:val="single" w:color="auto" w:sz="4" w:space="0"/>
              <w:bottom w:val="single" w:color="auto" w:sz="4" w:space="0"/>
              <w:right w:val="single" w:color="auto" w:sz="4" w:space="0"/>
            </w:tcBorders>
            <w:vAlign w:val="center"/>
          </w:tcPr>
          <w:p w14:paraId="68E400D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5949" w:type="dxa"/>
            <w:tcBorders>
              <w:top w:val="single" w:color="auto" w:sz="4" w:space="0"/>
              <w:left w:val="single" w:color="auto" w:sz="4" w:space="0"/>
              <w:bottom w:val="single" w:color="auto" w:sz="4" w:space="0"/>
              <w:right w:val="single" w:color="auto" w:sz="4" w:space="0"/>
            </w:tcBorders>
            <w:vAlign w:val="center"/>
          </w:tcPr>
          <w:p w14:paraId="7FBF9B3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为贯彻落实国家“双碳”战略目标及公共机构节能政策，根据《广西壮族自治区开展公共机构绿色低碳引领行动促进碳达峰工作方案的通知》《自治区机关事务管理局等7部门联合印发</w:t>
            </w:r>
            <w:r>
              <w:rPr>
                <w:rFonts w:hint="eastAsia" w:ascii="宋体" w:hAnsi="宋体"/>
                <w:color w:val="auto"/>
                <w:szCs w:val="21"/>
                <w:highlight w:val="none"/>
                <w:lang w:val="en-US" w:eastAsia="zh-CN"/>
              </w:rPr>
              <w:t>&lt;</w:t>
            </w:r>
            <w:r>
              <w:rPr>
                <w:rFonts w:hint="eastAsia" w:ascii="宋体" w:hAnsi="宋体"/>
                <w:color w:val="auto"/>
                <w:szCs w:val="21"/>
                <w:highlight w:val="none"/>
              </w:rPr>
              <w:t>关于鼓励和支持广西公共机构采用市场化机制实施节能降碳行动的指导意见</w:t>
            </w:r>
            <w:r>
              <w:rPr>
                <w:rFonts w:hint="eastAsia" w:ascii="宋体" w:hAnsi="宋体"/>
                <w:color w:val="auto"/>
                <w:szCs w:val="21"/>
                <w:highlight w:val="none"/>
                <w:lang w:val="en-US" w:eastAsia="zh-CN"/>
              </w:rPr>
              <w:t>&gt;</w:t>
            </w:r>
            <w:r>
              <w:rPr>
                <w:rFonts w:hint="eastAsia" w:ascii="宋体" w:hAnsi="宋体"/>
                <w:color w:val="auto"/>
                <w:szCs w:val="21"/>
                <w:highlight w:val="none"/>
              </w:rPr>
              <w:t>的通知》等文件精神，拟对梧州市本级符合推进能源费用托管条件的各类公共机构及国有企业实施能源（用电）费用托管运营管理服务，具体详见采购需求。</w:t>
            </w:r>
          </w:p>
        </w:tc>
      </w:tr>
    </w:tbl>
    <w:p w14:paraId="3D9654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eastAsia="宋体" w:cs="宋体"/>
          <w:color w:val="auto"/>
          <w:sz w:val="21"/>
          <w:szCs w:val="21"/>
          <w:highlight w:val="none"/>
          <w:lang w:val="en-US" w:eastAsia="zh-CN"/>
        </w:rPr>
        <w:t>本项目服务期限为一年，自合同生效之日起计算。整体服务划分为两个阶段：第一阶段为节能改造期，自合同生效之日起，原则上不超过</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个月；第二阶段为能源托管运营期，自改造工作完成并经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书面确认之日起，直至一年服务期满为止</w:t>
      </w:r>
      <w:r>
        <w:rPr>
          <w:rFonts w:hint="eastAsia" w:ascii="宋体" w:hAnsi="宋体"/>
          <w:color w:val="auto"/>
          <w:szCs w:val="21"/>
          <w:highlight w:val="none"/>
        </w:rPr>
        <w:t>。</w:t>
      </w:r>
    </w:p>
    <w:p w14:paraId="19A953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val="en-US" w:eastAsia="zh-CN"/>
        </w:rPr>
        <w:t>否</w:t>
      </w:r>
      <w:r>
        <w:rPr>
          <w:rFonts w:hint="eastAsia" w:ascii="宋体" w:hAnsi="宋体"/>
          <w:color w:val="auto"/>
          <w:szCs w:val="21"/>
          <w:highlight w:val="none"/>
        </w:rPr>
        <w:t>）接受联合体投标。</w:t>
      </w:r>
    </w:p>
    <w:p w14:paraId="58CC4226">
      <w:pPr>
        <w:spacing w:line="360" w:lineRule="auto"/>
        <w:ind w:firstLine="482"/>
        <w:rPr>
          <w:rFonts w:ascii="黑体" w:hAnsi="黑体" w:eastAsia="黑体"/>
          <w:b/>
          <w:bCs/>
          <w:color w:val="auto"/>
          <w:sz w:val="24"/>
          <w:highlight w:val="none"/>
        </w:rPr>
      </w:pPr>
      <w:bookmarkStart w:id="10" w:name="_Toc28359003"/>
      <w:bookmarkStart w:id="11" w:name="_Toc35393791"/>
      <w:bookmarkStart w:id="12" w:name="_Toc28359080"/>
      <w:bookmarkStart w:id="13" w:name="_Toc35393622"/>
      <w:r>
        <w:rPr>
          <w:rFonts w:hint="eastAsia" w:ascii="黑体" w:hAnsi="黑体" w:eastAsia="黑体"/>
          <w:b/>
          <w:bCs/>
          <w:color w:val="auto"/>
          <w:sz w:val="24"/>
          <w:highlight w:val="none"/>
        </w:rPr>
        <w:t>二、申请人的资格要求：</w:t>
      </w:r>
      <w:bookmarkEnd w:id="10"/>
      <w:bookmarkEnd w:id="11"/>
      <w:bookmarkEnd w:id="12"/>
      <w:bookmarkEnd w:id="13"/>
    </w:p>
    <w:p w14:paraId="7E5DEAFF">
      <w:pPr>
        <w:spacing w:line="360" w:lineRule="auto"/>
        <w:ind w:firstLine="420" w:firstLineChars="200"/>
        <w:rPr>
          <w:rFonts w:ascii="宋体" w:hAnsi="宋体"/>
          <w:color w:val="auto"/>
          <w:szCs w:val="21"/>
          <w:highlight w:val="none"/>
        </w:rPr>
      </w:pPr>
      <w:bookmarkStart w:id="14" w:name="_Hlk51746371"/>
      <w:bookmarkStart w:id="15" w:name="_Toc35393623"/>
      <w:bookmarkStart w:id="16" w:name="_Toc28359004"/>
      <w:bookmarkStart w:id="17" w:name="_Toc28359081"/>
      <w:bookmarkStart w:id="18" w:name="_Toc35393792"/>
      <w:r>
        <w:rPr>
          <w:rFonts w:hint="eastAsia" w:ascii="宋体" w:hAnsi="宋体"/>
          <w:color w:val="auto"/>
          <w:szCs w:val="21"/>
          <w:highlight w:val="none"/>
        </w:rPr>
        <w:t>1.满足《中华人民共和国政府采购法》第二十二条规定；</w:t>
      </w:r>
    </w:p>
    <w:p w14:paraId="12A58A3A">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属于专门面向中小企业采购的项目，服务的承接单位为符合政策要求的中型或小型或微型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w:t>
      </w:r>
    </w:p>
    <w:p w14:paraId="0B2F5C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eastAsia"/>
          <w:color w:val="auto"/>
          <w:highlight w:val="none"/>
        </w:rPr>
        <w:t>无</w:t>
      </w:r>
      <w:r>
        <w:rPr>
          <w:rFonts w:hint="eastAsia" w:ascii="宋体" w:hAnsi="宋体"/>
          <w:color w:val="auto"/>
          <w:szCs w:val="21"/>
          <w:highlight w:val="none"/>
        </w:rPr>
        <w:t>。</w:t>
      </w:r>
    </w:p>
    <w:bookmarkEnd w:id="14"/>
    <w:p w14:paraId="2552108C">
      <w:pPr>
        <w:spacing w:line="360" w:lineRule="auto"/>
        <w:ind w:firstLine="482"/>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70BFA961">
      <w:pPr>
        <w:spacing w:line="360" w:lineRule="auto"/>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 xml:space="preserve"> </w:t>
      </w:r>
      <w:r>
        <w:rPr>
          <w:rFonts w:hint="eastAsia" w:ascii="宋体" w:hAnsi="宋体" w:cs="宋体"/>
          <w:bCs/>
          <w:color w:val="auto"/>
          <w:kern w:val="0"/>
          <w:szCs w:val="21"/>
          <w:highlight w:val="none"/>
          <w:u w:val="single"/>
          <w:lang w:eastAsia="zh-CN"/>
        </w:rPr>
        <w:t>2026年</w:t>
      </w:r>
      <w:r>
        <w:rPr>
          <w:rFonts w:hint="eastAsia" w:ascii="宋体" w:hAnsi="宋体" w:cs="宋体"/>
          <w:bCs/>
          <w:color w:val="auto"/>
          <w:kern w:val="0"/>
          <w:szCs w:val="21"/>
          <w:highlight w:val="none"/>
          <w:u w:val="single"/>
          <w:lang w:val="en-US" w:eastAsia="zh-CN"/>
        </w:rPr>
        <w:t>3</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eastAsia="zh-CN"/>
        </w:rPr>
        <w:t>2026年</w:t>
      </w:r>
      <w:r>
        <w:rPr>
          <w:rFonts w:hint="eastAsia" w:ascii="宋体" w:hAnsi="宋体" w:cs="宋体"/>
          <w:bCs/>
          <w:color w:val="auto"/>
          <w:kern w:val="0"/>
          <w:szCs w:val="21"/>
          <w:highlight w:val="none"/>
          <w:u w:val="single"/>
          <w:lang w:val="en-US" w:eastAsia="zh-CN"/>
        </w:rPr>
        <w:t>3</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13</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，每天上午8：00至12：00，下午15：00至18：00（北京时间，法定节假日除外）。</w:t>
      </w:r>
    </w:p>
    <w:p w14:paraId="46C38EC0">
      <w:pPr>
        <w:spacing w:line="360" w:lineRule="auto"/>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10F41034">
      <w:pPr>
        <w:spacing w:line="360" w:lineRule="auto"/>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3D41EF8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kern w:val="0"/>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06B23D04">
      <w:pPr>
        <w:spacing w:line="360" w:lineRule="auto"/>
        <w:ind w:firstLine="482"/>
        <w:rPr>
          <w:rFonts w:ascii="黑体" w:hAnsi="黑体" w:eastAsia="黑体"/>
          <w:b/>
          <w:bCs/>
          <w:color w:val="auto"/>
          <w:sz w:val="24"/>
          <w:highlight w:val="none"/>
        </w:rPr>
      </w:pPr>
      <w:bookmarkStart w:id="19" w:name="_Toc28359082"/>
      <w:bookmarkStart w:id="20" w:name="_Toc28359005"/>
      <w:bookmarkStart w:id="21" w:name="_Toc35393624"/>
      <w:bookmarkStart w:id="22" w:name="_Toc35393793"/>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57BF87F5">
      <w:pPr>
        <w:spacing w:line="360" w:lineRule="auto"/>
        <w:ind w:firstLine="420" w:firstLineChars="200"/>
        <w:rPr>
          <w:rFonts w:ascii="宋体" w:hAnsi="宋体" w:cs="宋体"/>
          <w:color w:val="auto"/>
          <w:szCs w:val="21"/>
          <w:highlight w:val="none"/>
          <w:u w:val="single"/>
        </w:rPr>
      </w:pPr>
      <w:bookmarkStart w:id="23" w:name="_Toc35393794"/>
      <w:bookmarkStart w:id="24" w:name="_Toc28359007"/>
      <w:bookmarkStart w:id="25" w:name="_Toc28359084"/>
      <w:bookmarkStart w:id="26" w:name="_Toc35393625"/>
      <w:r>
        <w:rPr>
          <w:rFonts w:hint="eastAsia" w:ascii="宋体" w:hAnsi="宋体"/>
          <w:bCs/>
          <w:color w:val="auto"/>
          <w:szCs w:val="21"/>
          <w:highlight w:val="none"/>
          <w:u w:val="single"/>
          <w:lang w:eastAsia="zh-CN"/>
        </w:rPr>
        <w:t>2026年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w:t>
      </w:r>
    </w:p>
    <w:p w14:paraId="3224A8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地点：广西政府采购云平台（https://www.gcy.zfcg.gxzf.gov.cn/）</w:t>
      </w:r>
    </w:p>
    <w:p w14:paraId="5B036D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投标地点：广西政府采购云平台（https://www.gcy.zfcg.gxzf.gov.cn/）</w:t>
      </w:r>
    </w:p>
    <w:p w14:paraId="2F7E59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开标地点：</w:t>
      </w:r>
      <w:r>
        <w:rPr>
          <w:rFonts w:hint="eastAsia"/>
          <w:color w:val="auto"/>
          <w:highlight w:val="none"/>
        </w:rPr>
        <w:t>广西壮族自治区梧州市长洲区三龙大道72号红岭大厦8楼政采类(开标室)</w:t>
      </w:r>
    </w:p>
    <w:p w14:paraId="018DE9A2">
      <w:pPr>
        <w:spacing w:line="360" w:lineRule="auto"/>
        <w:ind w:firstLine="482"/>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6FC38E0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E4FBC68">
      <w:pPr>
        <w:spacing w:line="360" w:lineRule="auto"/>
        <w:ind w:firstLine="482"/>
        <w:rPr>
          <w:rFonts w:ascii="黑体" w:hAnsi="黑体" w:eastAsia="黑体"/>
          <w:b/>
          <w:bCs/>
          <w:color w:val="auto"/>
          <w:sz w:val="24"/>
          <w:highlight w:val="none"/>
        </w:rPr>
      </w:pPr>
      <w:bookmarkStart w:id="27" w:name="_Toc35393626"/>
      <w:bookmarkStart w:id="28" w:name="_Toc35393795"/>
      <w:r>
        <w:rPr>
          <w:rFonts w:hint="eastAsia" w:ascii="黑体" w:hAnsi="黑体" w:eastAsia="黑体"/>
          <w:b/>
          <w:bCs/>
          <w:color w:val="auto"/>
          <w:sz w:val="24"/>
          <w:highlight w:val="none"/>
        </w:rPr>
        <w:t>六、其他补充事宜</w:t>
      </w:r>
      <w:bookmarkEnd w:id="27"/>
      <w:bookmarkEnd w:id="28"/>
    </w:p>
    <w:p w14:paraId="674C236F">
      <w:pPr>
        <w:spacing w:line="360" w:lineRule="auto"/>
        <w:ind w:firstLine="420" w:firstLineChars="200"/>
        <w:rPr>
          <w:rFonts w:ascii="宋体" w:hAnsi="宋体" w:cs="宋体"/>
          <w:color w:val="auto"/>
          <w:kern w:val="0"/>
          <w:szCs w:val="21"/>
          <w:highlight w:val="none"/>
        </w:rPr>
      </w:pPr>
      <w:bookmarkStart w:id="29" w:name="_Hlk37429585"/>
      <w:bookmarkStart w:id="30" w:name="_Hlk37429595"/>
      <w:bookmarkStart w:id="31" w:name="_Toc35393796"/>
      <w:bookmarkStart w:id="32" w:name="_Toc28359085"/>
      <w:bookmarkStart w:id="33" w:name="_Toc28359008"/>
      <w:bookmarkStart w:id="34" w:name="_Toc35393627"/>
      <w:r>
        <w:rPr>
          <w:rFonts w:hint="eastAsia" w:ascii="宋体" w:hAnsi="宋体" w:cs="宋体"/>
          <w:color w:val="auto"/>
          <w:kern w:val="0"/>
          <w:szCs w:val="21"/>
          <w:highlight w:val="none"/>
        </w:rPr>
        <w:t>1.网上查询地址</w:t>
      </w:r>
    </w:p>
    <w:p w14:paraId="3C52D980">
      <w:pPr>
        <w:spacing w:line="360" w:lineRule="auto"/>
        <w:ind w:left="210" w:leftChars="100" w:firstLine="424" w:firstLineChars="202"/>
        <w:rPr>
          <w:rFonts w:ascii="宋体" w:hAnsi="宋体" w:cs="宋体"/>
          <w:iCs/>
          <w:color w:val="auto"/>
          <w:kern w:val="0"/>
          <w:szCs w:val="21"/>
          <w:highlight w:val="none"/>
        </w:rPr>
      </w:pPr>
      <w:r>
        <w:rPr>
          <w:rFonts w:ascii="宋体" w:hAnsi="宋体" w:cs="宋体"/>
          <w:iCs/>
          <w:color w:val="auto"/>
          <w:kern w:val="0"/>
          <w:szCs w:val="21"/>
          <w:highlight w:val="none"/>
        </w:rPr>
        <w:t>http：</w:t>
      </w:r>
      <w:r>
        <w:rPr>
          <w:rFonts w:hint="eastAsia" w:ascii="宋体" w:hAnsi="宋体" w:cs="宋体"/>
          <w:iCs/>
          <w:color w:val="auto"/>
          <w:kern w:val="0"/>
          <w:szCs w:val="21"/>
          <w:highlight w:val="none"/>
        </w:rPr>
        <w:t>//</w:t>
      </w:r>
      <w:r>
        <w:rPr>
          <w:color w:val="auto"/>
          <w:highlight w:val="none"/>
        </w:rPr>
        <w:fldChar w:fldCharType="begin"/>
      </w:r>
      <w:r>
        <w:rPr>
          <w:color w:val="auto"/>
          <w:highlight w:val="none"/>
        </w:rPr>
        <w:instrText xml:space="preserve"> HYPERLINK "http://www.ccgp.gov.cn（中国政府采购网）、zfcg.gxzf.gov.cn（广西壮族自治区政府采购网）" </w:instrText>
      </w:r>
      <w:r>
        <w:rPr>
          <w:color w:val="auto"/>
          <w:highlight w:val="none"/>
        </w:rPr>
        <w:fldChar w:fldCharType="separate"/>
      </w:r>
      <w:r>
        <w:rPr>
          <w:rStyle w:val="53"/>
          <w:rFonts w:hint="eastAsia" w:ascii="宋体" w:hAnsi="宋体" w:cs="宋体"/>
          <w:iCs/>
          <w:color w:val="auto"/>
          <w:kern w:val="0"/>
          <w:szCs w:val="21"/>
          <w:highlight w:val="none"/>
          <w:u w:val="none"/>
        </w:rPr>
        <w:t>www.ccgp.gov.cn（中国政府采购网）、</w:t>
      </w:r>
      <w:r>
        <w:rPr>
          <w:rFonts w:ascii="宋体" w:hAnsi="宋体" w:cs="宋体"/>
          <w:iCs/>
          <w:color w:val="auto"/>
          <w:kern w:val="0"/>
          <w:szCs w:val="21"/>
          <w:highlight w:val="none"/>
        </w:rPr>
        <w:t>http：</w:t>
      </w:r>
      <w:r>
        <w:rPr>
          <w:rFonts w:hint="eastAsia" w:ascii="宋体" w:hAnsi="宋体" w:cs="宋体"/>
          <w:iCs/>
          <w:color w:val="auto"/>
          <w:kern w:val="0"/>
          <w:szCs w:val="21"/>
          <w:highlight w:val="none"/>
        </w:rPr>
        <w:t>//</w:t>
      </w:r>
      <w:r>
        <w:rPr>
          <w:rStyle w:val="53"/>
          <w:rFonts w:hint="eastAsia" w:ascii="宋体" w:hAnsi="宋体" w:cs="宋体"/>
          <w:iCs/>
          <w:color w:val="auto"/>
          <w:kern w:val="0"/>
          <w:szCs w:val="21"/>
          <w:highlight w:val="none"/>
          <w:u w:val="none"/>
        </w:rPr>
        <w:t>zfcg.gxzf.gov.cn（广西壮族自治区政府采购网）</w:t>
      </w:r>
      <w:r>
        <w:rPr>
          <w:rStyle w:val="53"/>
          <w:rFonts w:hint="eastAsia" w:ascii="宋体" w:hAnsi="宋体" w:cs="宋体"/>
          <w:iCs/>
          <w:color w:val="auto"/>
          <w:kern w:val="0"/>
          <w:szCs w:val="21"/>
          <w:highlight w:val="none"/>
          <w:u w:val="none"/>
        </w:rPr>
        <w:fldChar w:fldCharType="end"/>
      </w:r>
      <w:r>
        <w:rPr>
          <w:rFonts w:hint="eastAsia" w:ascii="宋体" w:hAnsi="宋体" w:cs="宋体"/>
          <w:iCs/>
          <w:color w:val="auto"/>
          <w:kern w:val="0"/>
          <w:szCs w:val="21"/>
          <w:highlight w:val="none"/>
        </w:rPr>
        <w:t>、</w:t>
      </w:r>
      <w:r>
        <w:rPr>
          <w:rFonts w:hint="eastAsia" w:ascii="宋体" w:hAnsi="宋体" w:cs="宋体"/>
          <w:color w:val="auto"/>
          <w:kern w:val="0"/>
          <w:szCs w:val="21"/>
          <w:highlight w:val="none"/>
        </w:rPr>
        <w:t>http://117.141.250.58:10030/web/cgw/index.ptl（梧州市政府采购网）</w:t>
      </w:r>
      <w:r>
        <w:rPr>
          <w:rFonts w:hint="eastAsia" w:ascii="宋体" w:hAnsi="宋体" w:cs="宋体"/>
          <w:color w:val="auto"/>
          <w:kern w:val="0"/>
          <w:szCs w:val="21"/>
          <w:highlight w:val="none"/>
          <w:lang w:eastAsia="zh-CN"/>
        </w:rPr>
        <w:t>、</w:t>
      </w:r>
      <w:r>
        <w:rPr>
          <w:rFonts w:hint="eastAsia" w:ascii="宋体" w:hAnsi="宋体" w:cs="宋体"/>
          <w:iCs/>
          <w:color w:val="auto"/>
          <w:kern w:val="0"/>
          <w:szCs w:val="21"/>
          <w:highlight w:val="none"/>
        </w:rPr>
        <w:t>http://ggzy.jgswj.gxzf.gov.cn/wzggzy/（全国公共资源交易平台·梧州）</w:t>
      </w:r>
    </w:p>
    <w:bookmarkEnd w:id="29"/>
    <w:bookmarkEnd w:id="30"/>
    <w:p w14:paraId="314DDFAE">
      <w:pPr>
        <w:spacing w:line="360" w:lineRule="auto"/>
        <w:ind w:firstLine="424" w:firstLineChars="202"/>
        <w:rPr>
          <w:rFonts w:ascii="宋体" w:hAnsi="宋体" w:cs="宋体"/>
          <w:iCs/>
          <w:color w:val="auto"/>
          <w:kern w:val="0"/>
          <w:szCs w:val="21"/>
          <w:highlight w:val="none"/>
        </w:rPr>
      </w:pPr>
      <w:bookmarkStart w:id="35" w:name="_Hlk37429674"/>
      <w:r>
        <w:rPr>
          <w:rFonts w:hint="eastAsia" w:ascii="宋体" w:hAnsi="宋体"/>
          <w:iCs/>
          <w:color w:val="auto"/>
          <w:szCs w:val="21"/>
          <w:highlight w:val="none"/>
        </w:rPr>
        <w:t>2</w:t>
      </w:r>
      <w:r>
        <w:rPr>
          <w:rFonts w:ascii="宋体" w:hAnsi="宋体"/>
          <w:iCs/>
          <w:color w:val="auto"/>
          <w:szCs w:val="21"/>
          <w:highlight w:val="none"/>
        </w:rPr>
        <w:t>.</w:t>
      </w:r>
      <w:r>
        <w:rPr>
          <w:rFonts w:hint="eastAsia" w:ascii="宋体" w:hAnsi="宋体" w:cs="宋体"/>
          <w:iCs/>
          <w:color w:val="auto"/>
          <w:kern w:val="0"/>
          <w:szCs w:val="21"/>
          <w:highlight w:val="none"/>
        </w:rPr>
        <w:t>本项目需要落实的政府采购政策</w:t>
      </w:r>
    </w:p>
    <w:p w14:paraId="26D16FDB">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170F163B">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5478543">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6AD75E2C">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02CE348B">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bookmarkEnd w:id="35"/>
    <w:p w14:paraId="48A9189C">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3.投标人</w:t>
      </w:r>
      <w:r>
        <w:rPr>
          <w:rFonts w:hint="eastAsia" w:ascii="宋体" w:hAnsi="宋体"/>
          <w:color w:val="auto"/>
          <w:szCs w:val="21"/>
          <w:highlight w:val="none"/>
        </w:rPr>
        <w:t>投标注意事项</w:t>
      </w:r>
    </w:p>
    <w:p w14:paraId="096DCB7D">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”查看电子投标具体操作流程。</w:t>
      </w:r>
    </w:p>
    <w:p w14:paraId="745EA460">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
          <w:color w:val="auto"/>
          <w:kern w:val="0"/>
          <w:szCs w:val="21"/>
          <w:highlight w:val="none"/>
        </w:rPr>
        <w:t>如在操作过程中遇到问题或者需要技术支持，请致电客服热线：95763或者0771-3381253</w:t>
      </w:r>
      <w:r>
        <w:rPr>
          <w:rFonts w:hint="eastAsia" w:ascii="宋体" w:hAnsi="宋体"/>
          <w:b/>
          <w:color w:val="auto"/>
          <w:szCs w:val="21"/>
          <w:highlight w:val="none"/>
        </w:rPr>
        <w:t>）</w:t>
      </w:r>
      <w:r>
        <w:rPr>
          <w:rFonts w:hint="eastAsia" w:ascii="宋体" w:hAnsi="宋体"/>
          <w:color w:val="auto"/>
          <w:szCs w:val="21"/>
          <w:highlight w:val="none"/>
        </w:rPr>
        <w:t>。</w:t>
      </w:r>
    </w:p>
    <w:p w14:paraId="0B6BFCB7">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38C4920C">
      <w:pPr>
        <w:spacing w:line="360" w:lineRule="auto"/>
        <w:ind w:firstLine="424" w:firstLineChars="202"/>
        <w:rPr>
          <w:rFonts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6D5740C1">
      <w:pPr>
        <w:spacing w:line="360" w:lineRule="auto"/>
        <w:ind w:firstLine="424" w:firstLineChars="202"/>
        <w:rPr>
          <w:rFonts w:ascii="宋体" w:hAnsi="宋体"/>
          <w:bCs/>
          <w:color w:val="auto"/>
          <w:szCs w:val="21"/>
          <w:highlight w:val="none"/>
        </w:rPr>
      </w:pPr>
      <w:r>
        <w:rPr>
          <w:rFonts w:hint="eastAsia" w:ascii="宋体" w:hAnsi="宋体"/>
          <w:bCs/>
          <w:color w:val="auto"/>
          <w:szCs w:val="21"/>
          <w:highlight w:val="none"/>
        </w:rPr>
        <w:t>4.本项目为远程异地全流程电子评标。</w:t>
      </w:r>
    </w:p>
    <w:p w14:paraId="6F1FC4CF">
      <w:pPr>
        <w:spacing w:line="360" w:lineRule="auto"/>
        <w:ind w:firstLine="482"/>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1"/>
      <w:bookmarkEnd w:id="32"/>
      <w:bookmarkEnd w:id="33"/>
      <w:bookmarkEnd w:id="34"/>
    </w:p>
    <w:p w14:paraId="01ACC94D">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1.采购人信息</w:t>
      </w:r>
    </w:p>
    <w:p w14:paraId="602C73E7">
      <w:pPr>
        <w:spacing w:line="360" w:lineRule="auto"/>
        <w:ind w:firstLine="424" w:firstLineChars="202"/>
        <w:jc w:val="left"/>
        <w:rPr>
          <w:rFonts w:hint="eastAsia" w:ascii="宋体" w:hAnsi="宋体" w:eastAsia="宋体"/>
          <w:color w:val="auto"/>
          <w:szCs w:val="21"/>
          <w:highlight w:val="none"/>
          <w:lang w:eastAsia="zh-CN"/>
        </w:rPr>
      </w:pPr>
      <w:bookmarkStart w:id="36" w:name="_Toc28359009"/>
      <w:bookmarkStart w:id="37" w:name="_Toc28359086"/>
      <w:r>
        <w:rPr>
          <w:rFonts w:hint="eastAsia" w:ascii="宋体" w:hAnsi="宋体"/>
          <w:color w:val="auto"/>
          <w:szCs w:val="21"/>
          <w:highlight w:val="none"/>
        </w:rPr>
        <w:t>名 称：</w:t>
      </w:r>
      <w:r>
        <w:rPr>
          <w:rFonts w:hint="eastAsia" w:ascii="宋体" w:hAnsi="宋体"/>
          <w:color w:val="auto"/>
          <w:szCs w:val="21"/>
          <w:highlight w:val="none"/>
          <w:lang w:eastAsia="zh-CN"/>
        </w:rPr>
        <w:t>梧州市发展和改革委员会</w:t>
      </w:r>
    </w:p>
    <w:p w14:paraId="207E223B">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地 址：广西壮族自治区梧州市长洲区新兴三路1号</w:t>
      </w:r>
    </w:p>
    <w:p w14:paraId="55D10C15">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eastAsia="zh-CN"/>
        </w:rPr>
        <w:t>：</w:t>
      </w:r>
      <w:r>
        <w:rPr>
          <w:rFonts w:hint="eastAsia" w:ascii="宋体" w:hAnsi="宋体"/>
          <w:color w:val="auto"/>
          <w:szCs w:val="21"/>
          <w:highlight w:val="none"/>
        </w:rPr>
        <w:t>杨媚，0774-3845509</w:t>
      </w:r>
    </w:p>
    <w:p w14:paraId="355A3EB4">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6"/>
      <w:bookmarkEnd w:id="37"/>
    </w:p>
    <w:p w14:paraId="78E6B4D1">
      <w:pPr>
        <w:spacing w:line="360" w:lineRule="auto"/>
        <w:ind w:firstLine="424" w:firstLineChars="202"/>
        <w:rPr>
          <w:rFonts w:ascii="宋体" w:hAnsi="宋体"/>
          <w:color w:val="auto"/>
          <w:szCs w:val="21"/>
          <w:highlight w:val="none"/>
        </w:rPr>
      </w:pPr>
      <w:bookmarkStart w:id="38" w:name="_Toc28359087"/>
      <w:bookmarkStart w:id="39" w:name="_Toc28359010"/>
      <w:r>
        <w:rPr>
          <w:rFonts w:hint="eastAsia" w:ascii="宋体" w:hAnsi="宋体"/>
          <w:color w:val="auto"/>
          <w:szCs w:val="21"/>
          <w:highlight w:val="none"/>
        </w:rPr>
        <w:t>名 称：云之龙咨询集团有限公司　</w:t>
      </w:r>
    </w:p>
    <w:p w14:paraId="55B6908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地 址：梧州市新兴三路30号神冠豪都B栋1单元1008号房</w:t>
      </w:r>
    </w:p>
    <w:p w14:paraId="4D0A72DC">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lang w:eastAsia="zh-CN"/>
        </w:rPr>
        <w:t>周子然、陈丽莹</w:t>
      </w:r>
      <w:r>
        <w:rPr>
          <w:rFonts w:hint="eastAsia" w:ascii="宋体" w:hAnsi="宋体"/>
          <w:color w:val="auto"/>
          <w:szCs w:val="21"/>
          <w:highlight w:val="none"/>
        </w:rPr>
        <w:t>，0774-3859935</w:t>
      </w:r>
    </w:p>
    <w:p w14:paraId="57916805">
      <w:pPr>
        <w:spacing w:line="360" w:lineRule="auto"/>
        <w:ind w:firstLine="424" w:firstLineChars="202"/>
        <w:rPr>
          <w:rFonts w:ascii="宋体" w:hAnsi="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8"/>
      <w:bookmarkEnd w:id="39"/>
    </w:p>
    <w:p w14:paraId="609500E0">
      <w:pPr>
        <w:pStyle w:val="23"/>
        <w:spacing w:line="360" w:lineRule="auto"/>
        <w:ind w:firstLine="424" w:firstLineChars="202"/>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lang w:eastAsia="zh-CN"/>
        </w:rPr>
        <w:t>周子然、陈丽莹</w:t>
      </w:r>
    </w:p>
    <w:p w14:paraId="512292B8">
      <w:pPr>
        <w:tabs>
          <w:tab w:val="left" w:pos="3990"/>
        </w:tabs>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电　话：0774-3859935</w:t>
      </w:r>
    </w:p>
    <w:p w14:paraId="5B5922C9">
      <w:pPr>
        <w:spacing w:line="360" w:lineRule="auto"/>
        <w:ind w:firstLine="424" w:firstLineChars="202"/>
        <w:rPr>
          <w:rFonts w:ascii="宋体" w:hAnsi="宋体" w:cs="宋体"/>
          <w:color w:val="auto"/>
          <w:szCs w:val="21"/>
          <w:highlight w:val="none"/>
        </w:rPr>
      </w:pPr>
    </w:p>
    <w:p w14:paraId="2076DB37">
      <w:pPr>
        <w:spacing w:line="360" w:lineRule="auto"/>
        <w:ind w:firstLine="424" w:firstLineChars="202"/>
        <w:rPr>
          <w:color w:val="auto"/>
          <w:highlight w:val="none"/>
        </w:rPr>
      </w:pPr>
      <w:r>
        <w:rPr>
          <w:rFonts w:hint="eastAsia" w:ascii="宋体" w:hAnsi="宋体" w:cs="宋体"/>
          <w:color w:val="auto"/>
          <w:szCs w:val="21"/>
          <w:highlight w:val="none"/>
        </w:rPr>
        <w:t>附件：采购需求</w:t>
      </w:r>
    </w:p>
    <w:p w14:paraId="3665CC97">
      <w:pPr>
        <w:pStyle w:val="2"/>
        <w:keepNext w:val="0"/>
        <w:keepLines w:val="0"/>
        <w:tabs>
          <w:tab w:val="left" w:pos="0"/>
          <w:tab w:val="left" w:pos="3165"/>
          <w:tab w:val="center" w:pos="4153"/>
        </w:tabs>
        <w:autoSpaceDE w:val="0"/>
        <w:autoSpaceDN w:val="0"/>
        <w:adjustRightInd w:val="0"/>
        <w:spacing w:before="0" w:after="0" w:line="360" w:lineRule="auto"/>
        <w:ind w:firstLine="482"/>
        <w:jc w:val="center"/>
        <w:rPr>
          <w:color w:val="auto"/>
          <w:highlight w:val="none"/>
        </w:rPr>
      </w:pPr>
      <w:r>
        <w:rPr>
          <w:rFonts w:ascii="仿宋_GB2312" w:hAnsi="宋体" w:eastAsia="仿宋_GB2312"/>
          <w:color w:val="auto"/>
          <w:sz w:val="24"/>
          <w:szCs w:val="20"/>
          <w:highlight w:val="none"/>
        </w:rPr>
        <w:br w:type="page"/>
      </w:r>
      <w:bookmarkStart w:id="40" w:name="_Toc27979"/>
      <w:r>
        <w:rPr>
          <w:rFonts w:hint="eastAsia"/>
          <w:color w:val="auto"/>
          <w:highlight w:val="none"/>
        </w:rPr>
        <w:t>第二章  采购需求</w:t>
      </w:r>
      <w:bookmarkEnd w:id="40"/>
    </w:p>
    <w:p w14:paraId="4713A36A">
      <w:pPr>
        <w:spacing w:line="360" w:lineRule="auto"/>
        <w:jc w:val="left"/>
        <w:rPr>
          <w:rFonts w:ascii="宋体" w:hAnsi="宋体" w:cs="宋体"/>
          <w:color w:val="auto"/>
          <w:szCs w:val="21"/>
          <w:highlight w:val="none"/>
        </w:rPr>
      </w:pPr>
      <w:bookmarkStart w:id="41" w:name="_Toc254970631"/>
      <w:bookmarkStart w:id="42" w:name="_Toc254970490"/>
    </w:p>
    <w:p w14:paraId="7D6DF1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377C5443">
      <w:pPr>
        <w:spacing w:line="360" w:lineRule="auto"/>
        <w:ind w:firstLine="420" w:firstLineChars="200"/>
        <w:jc w:val="left"/>
        <w:rPr>
          <w:color w:val="auto"/>
          <w:highlight w:val="none"/>
        </w:rPr>
      </w:pPr>
      <w:r>
        <w:rPr>
          <w:rFonts w:hint="eastAsia"/>
          <w:color w:val="auto"/>
          <w:highlight w:val="none"/>
        </w:rPr>
        <w:t>1. 为落实政府采购政策需满足的要求</w:t>
      </w:r>
    </w:p>
    <w:p w14:paraId="4393F9C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本招标文件所称中小企业必须符合《政府采购促进中小企业发展管理办法》（财库〔2020〕46号）的规定。</w:t>
      </w:r>
    </w:p>
    <w:p w14:paraId="2F13A3B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92054B">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5253F923">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w:t>
      </w:r>
    </w:p>
    <w:p w14:paraId="429B215C">
      <w:pPr>
        <w:spacing w:line="360" w:lineRule="auto"/>
        <w:ind w:firstLine="424" w:firstLineChars="202"/>
        <w:jc w:val="left"/>
        <w:rPr>
          <w:rStyle w:val="54"/>
          <w:color w:val="auto"/>
          <w:highlight w:val="none"/>
        </w:rPr>
      </w:pPr>
      <w:r>
        <w:rPr>
          <w:rFonts w:hint="eastAsia" w:ascii="宋体" w:hAnsi="宋体" w:cs="宋体"/>
          <w:color w:val="auto"/>
          <w:szCs w:val="21"/>
          <w:highlight w:val="none"/>
        </w:rPr>
        <w:t>4.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b/>
          <w:bCs/>
          <w:color w:val="auto"/>
          <w:szCs w:val="21"/>
          <w:highlight w:val="none"/>
        </w:rPr>
        <w:t>否则将作无效响应处理</w:t>
      </w:r>
      <w:r>
        <w:rPr>
          <w:rFonts w:hint="eastAsia" w:ascii="宋体" w:hAnsi="宋体"/>
          <w:color w:val="auto"/>
          <w:szCs w:val="21"/>
          <w:highlight w:val="none"/>
        </w:rPr>
        <w:t>。</w:t>
      </w:r>
      <w:r>
        <w:rPr>
          <w:rFonts w:hint="eastAsia"/>
          <w:color w:val="auto"/>
          <w:highlight w:val="none"/>
        </w:rPr>
        <w:t>对于重要技术条款或技术参数应当在投标文件中提供技术支持资料，技术支持资料以招标文件中规定的形式为准，</w:t>
      </w:r>
      <w:r>
        <w:rPr>
          <w:rFonts w:hint="eastAsia"/>
          <w:b/>
          <w:bCs/>
          <w:color w:val="auto"/>
          <w:highlight w:val="none"/>
        </w:rPr>
        <w:t>否则将视为无效技术支持资料</w:t>
      </w:r>
      <w:r>
        <w:rPr>
          <w:rFonts w:hint="eastAsia"/>
          <w:color w:val="auto"/>
          <w:highlight w:val="none"/>
        </w:rPr>
        <w:t>。</w:t>
      </w:r>
    </w:p>
    <w:p w14:paraId="77DA5EFE">
      <w:pPr>
        <w:spacing w:line="360" w:lineRule="auto"/>
        <w:ind w:firstLine="308" w:firstLineChars="147"/>
        <w:jc w:val="left"/>
        <w:rPr>
          <w:color w:val="auto"/>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color w:val="auto"/>
          <w:highlight w:val="none"/>
        </w:rPr>
        <w:t>投标人</w:t>
      </w:r>
      <w:r>
        <w:rPr>
          <w:color w:val="auto"/>
          <w:highlight w:val="none"/>
        </w:rPr>
        <w:t>必须自行为其</w:t>
      </w:r>
      <w:r>
        <w:rPr>
          <w:rFonts w:hint="eastAsia"/>
          <w:color w:val="auto"/>
          <w:highlight w:val="none"/>
        </w:rPr>
        <w:t>投标</w:t>
      </w:r>
      <w:r>
        <w:rPr>
          <w:color w:val="auto"/>
          <w:highlight w:val="none"/>
        </w:rPr>
        <w:t>产品侵犯</w:t>
      </w:r>
      <w:r>
        <w:rPr>
          <w:rFonts w:hint="eastAsia"/>
          <w:color w:val="auto"/>
          <w:highlight w:val="none"/>
        </w:rPr>
        <w:t>他人的知识产权或者专利成果的行为</w:t>
      </w:r>
      <w:r>
        <w:rPr>
          <w:color w:val="auto"/>
          <w:highlight w:val="none"/>
        </w:rPr>
        <w:t>承担相应法律责任</w:t>
      </w:r>
      <w:r>
        <w:rPr>
          <w:rFonts w:hint="eastAsia"/>
          <w:color w:val="auto"/>
          <w:highlight w:val="none"/>
        </w:rPr>
        <w:t>。</w:t>
      </w:r>
    </w:p>
    <w:p w14:paraId="50601518">
      <w:pPr>
        <w:spacing w:line="360" w:lineRule="auto"/>
        <w:ind w:firstLine="308" w:firstLineChars="147"/>
        <w:jc w:val="left"/>
        <w:rPr>
          <w:color w:val="auto"/>
          <w:highlight w:val="none"/>
        </w:rPr>
      </w:pPr>
      <w:r>
        <w:rPr>
          <w:rFonts w:hint="eastAsia" w:ascii="宋体" w:hAnsi="宋体" w:cs="宋体"/>
          <w:color w:val="auto"/>
          <w:highlight w:val="none"/>
        </w:rPr>
        <w:t>6.所属行业依照</w:t>
      </w:r>
      <w:r>
        <w:rPr>
          <w:rFonts w:hint="eastAsia"/>
          <w:color w:val="auto"/>
          <w:highlight w:val="none"/>
        </w:rPr>
        <w:t>《中小企业划型标准规定》（工信部联企业〔2011〕300号）及《国民经济行业分类》（GB/T4754-2017）的有关规定执行。本项目标的所属行业均为</w:t>
      </w:r>
      <w:r>
        <w:rPr>
          <w:rFonts w:hint="eastAsia"/>
          <w:b/>
          <w:bCs/>
          <w:color w:val="auto"/>
          <w:highlight w:val="none"/>
        </w:rPr>
        <w:t>“</w:t>
      </w:r>
      <w:r>
        <w:rPr>
          <w:rFonts w:hint="eastAsia"/>
          <w:b/>
          <w:bCs/>
          <w:color w:val="auto"/>
          <w:szCs w:val="21"/>
          <w:highlight w:val="none"/>
        </w:rPr>
        <w:t>其他未列明行业</w:t>
      </w:r>
      <w:r>
        <w:rPr>
          <w:rFonts w:hint="eastAsia"/>
          <w:b/>
          <w:bCs/>
          <w:color w:val="auto"/>
          <w:highlight w:val="none"/>
        </w:rPr>
        <w:t>”</w:t>
      </w:r>
      <w:r>
        <w:rPr>
          <w:rFonts w:hint="eastAsia"/>
          <w:color w:val="auto"/>
          <w:highlight w:val="none"/>
        </w:rPr>
        <w:t>。</w:t>
      </w:r>
    </w:p>
    <w:p w14:paraId="6F04152A">
      <w:pPr>
        <w:spacing w:line="360" w:lineRule="auto"/>
        <w:ind w:firstLine="308" w:firstLineChars="147"/>
        <w:jc w:val="left"/>
        <w:rPr>
          <w:color w:val="auto"/>
          <w:highlight w:val="none"/>
        </w:rPr>
      </w:pPr>
      <w:r>
        <w:rPr>
          <w:rFonts w:hint="eastAsia"/>
          <w:color w:val="auto"/>
          <w:highlight w:val="none"/>
        </w:rPr>
        <w:t>7.采购需求中出现的相关国家标准、行业标准、地方标准，若项目执行后续出现新标准的，以新标准代替旧标准。</w:t>
      </w:r>
    </w:p>
    <w:p w14:paraId="0A8FE16B">
      <w:pPr>
        <w:spacing w:line="360" w:lineRule="auto"/>
        <w:ind w:firstLine="308" w:firstLineChars="147"/>
        <w:jc w:val="left"/>
        <w:rPr>
          <w:color w:val="auto"/>
          <w:highlight w:val="none"/>
        </w:rPr>
      </w:pPr>
    </w:p>
    <w:p w14:paraId="07367F8B">
      <w:pPr>
        <w:spacing w:line="360" w:lineRule="auto"/>
        <w:jc w:val="left"/>
        <w:rPr>
          <w:rFonts w:hint="eastAsia" w:ascii="宋体" w:hAnsi="宋体" w:eastAsia="宋体" w:cs="Arial"/>
          <w:bCs/>
          <w:color w:val="auto"/>
          <w:szCs w:val="21"/>
          <w:highlight w:val="none"/>
          <w:u w:val="single"/>
          <w:lang w:eastAsia="zh-CN"/>
        </w:rPr>
      </w:pPr>
      <w:r>
        <w:rPr>
          <w:rFonts w:hint="eastAsia" w:ascii="宋体" w:hAnsi="宋体" w:cs="Arial"/>
          <w:bCs/>
          <w:color w:val="auto"/>
          <w:szCs w:val="21"/>
          <w:highlight w:val="none"/>
          <w:u w:val="single"/>
        </w:rPr>
        <w:t>1</w:t>
      </w:r>
      <w:r>
        <w:rPr>
          <w:rFonts w:hint="eastAsia" w:ascii="宋体" w:hAnsi="宋体"/>
          <w:b/>
          <w:color w:val="auto"/>
          <w:szCs w:val="21"/>
          <w:highlight w:val="none"/>
        </w:rPr>
        <w:t>分标，采购预算：</w:t>
      </w:r>
      <w:r>
        <w:rPr>
          <w:rFonts w:hint="eastAsia" w:ascii="宋体" w:hAnsi="宋体"/>
          <w:b/>
          <w:color w:val="auto"/>
          <w:szCs w:val="21"/>
          <w:highlight w:val="none"/>
          <w:lang w:eastAsia="zh-CN"/>
        </w:rPr>
        <w:t>6000万元</w:t>
      </w:r>
    </w:p>
    <w:bookmarkEnd w:id="41"/>
    <w:bookmarkEnd w:id="42"/>
    <w:tbl>
      <w:tblPr>
        <w:tblStyle w:val="45"/>
        <w:tblW w:w="8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2"/>
        <w:gridCol w:w="1119"/>
        <w:gridCol w:w="276"/>
        <w:gridCol w:w="778"/>
        <w:gridCol w:w="844"/>
        <w:gridCol w:w="4920"/>
      </w:tblGrid>
      <w:tr w14:paraId="2D2F5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43" w:type="dxa"/>
            <w:noWrap w:val="0"/>
            <w:vAlign w:val="center"/>
          </w:tcPr>
          <w:p w14:paraId="203C648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22" w:type="dxa"/>
            <w:noWrap w:val="0"/>
            <w:vAlign w:val="center"/>
          </w:tcPr>
          <w:p w14:paraId="5148714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标的的名称</w:t>
            </w:r>
          </w:p>
        </w:tc>
        <w:tc>
          <w:tcPr>
            <w:tcW w:w="1058" w:type="dxa"/>
            <w:gridSpan w:val="2"/>
            <w:tcBorders>
              <w:right w:val="single" w:color="auto" w:sz="4" w:space="0"/>
            </w:tcBorders>
            <w:noWrap w:val="0"/>
            <w:vAlign w:val="center"/>
          </w:tcPr>
          <w:p w14:paraId="3207FA4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所属行业</w:t>
            </w:r>
          </w:p>
        </w:tc>
        <w:tc>
          <w:tcPr>
            <w:tcW w:w="847" w:type="dxa"/>
            <w:tcBorders>
              <w:right w:val="single" w:color="auto" w:sz="4" w:space="0"/>
            </w:tcBorders>
            <w:noWrap w:val="0"/>
            <w:vAlign w:val="center"/>
          </w:tcPr>
          <w:p w14:paraId="0F36081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数量及单位</w:t>
            </w:r>
          </w:p>
        </w:tc>
        <w:tc>
          <w:tcPr>
            <w:tcW w:w="4909" w:type="dxa"/>
            <w:tcBorders>
              <w:left w:val="single" w:color="auto" w:sz="4" w:space="0"/>
            </w:tcBorders>
            <w:noWrap w:val="0"/>
            <w:vAlign w:val="center"/>
          </w:tcPr>
          <w:p w14:paraId="0A3433CA">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w:t>
            </w:r>
          </w:p>
        </w:tc>
      </w:tr>
      <w:tr w14:paraId="0DAA4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3" w:type="dxa"/>
            <w:noWrap w:val="0"/>
            <w:vAlign w:val="center"/>
          </w:tcPr>
          <w:p w14:paraId="5CFCF73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22" w:type="dxa"/>
            <w:noWrap w:val="0"/>
            <w:vAlign w:val="center"/>
          </w:tcPr>
          <w:p w14:paraId="42FB1E8E">
            <w:pPr>
              <w:spacing w:line="36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梧州市本级行政事业单位和团体组织、国有企业、医院能源（用电）费用托管项目（一期）</w:t>
            </w:r>
          </w:p>
        </w:tc>
        <w:tc>
          <w:tcPr>
            <w:tcW w:w="1058" w:type="dxa"/>
            <w:gridSpan w:val="2"/>
            <w:tcBorders>
              <w:right w:val="single" w:color="auto" w:sz="4" w:space="0"/>
            </w:tcBorders>
            <w:noWrap w:val="0"/>
            <w:vAlign w:val="center"/>
          </w:tcPr>
          <w:p w14:paraId="5B46743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847" w:type="dxa"/>
            <w:tcBorders>
              <w:right w:val="single" w:color="auto" w:sz="4" w:space="0"/>
            </w:tcBorders>
            <w:noWrap w:val="0"/>
            <w:vAlign w:val="center"/>
          </w:tcPr>
          <w:p w14:paraId="0450FCF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4909" w:type="dxa"/>
            <w:tcBorders>
              <w:left w:val="single" w:color="auto" w:sz="4" w:space="0"/>
            </w:tcBorders>
            <w:noWrap w:val="0"/>
            <w:vAlign w:val="center"/>
          </w:tcPr>
          <w:p w14:paraId="74DD5E89">
            <w:pPr>
              <w:pStyle w:val="108"/>
              <w:numPr>
                <w:ilvl w:val="0"/>
                <w:numId w:val="3"/>
              </w:num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项目概述</w:t>
            </w:r>
          </w:p>
          <w:p w14:paraId="39FECA7C">
            <w:pPr>
              <w:pStyle w:val="108"/>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项目概况</w:t>
            </w:r>
          </w:p>
          <w:p w14:paraId="788F5A04">
            <w:pPr>
              <w:pStyle w:val="10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为贯彻落实国家“双碳”战略目标及公共机构节能政策，根据《广西壮族自治区开展公共机构绿色低碳引领行动促进碳达峰工作方案的通知》</w:t>
            </w:r>
            <w:r>
              <w:rPr>
                <w:rFonts w:hint="eastAsia" w:ascii="宋体" w:hAnsi="宋体" w:eastAsia="宋体" w:cs="宋体"/>
                <w:color w:val="auto"/>
                <w:sz w:val="21"/>
                <w:szCs w:val="21"/>
                <w:highlight w:val="none"/>
                <w:lang w:val="en-US" w:eastAsia="zh-CN"/>
              </w:rPr>
              <w:t>《自治区机关事务管理局等7部门联合印发</w:t>
            </w:r>
            <w:r>
              <w:rPr>
                <w:rFonts w:hint="eastAsia" w:ascii="宋体" w:hAnsi="宋体" w:cs="宋体"/>
                <w:color w:val="auto"/>
                <w:sz w:val="21"/>
                <w:szCs w:val="21"/>
                <w:highlight w:val="none"/>
                <w:lang w:val="en-US" w:eastAsia="zh-CN"/>
              </w:rPr>
              <w:t>&lt;</w:t>
            </w:r>
            <w:r>
              <w:rPr>
                <w:rFonts w:hint="eastAsia" w:ascii="宋体" w:hAnsi="宋体" w:eastAsia="宋体" w:cs="宋体"/>
                <w:color w:val="auto"/>
                <w:sz w:val="21"/>
                <w:szCs w:val="21"/>
                <w:highlight w:val="none"/>
                <w:lang w:val="en-US" w:eastAsia="zh-CN"/>
              </w:rPr>
              <w:t>关于鼓励和支持广西公共机构采用市场化机制实施节能降碳行动的指导意见</w:t>
            </w:r>
            <w:r>
              <w:rPr>
                <w:rFonts w:hint="eastAsia" w:ascii="宋体" w:hAnsi="宋体" w:cs="宋体"/>
                <w:color w:val="auto"/>
                <w:sz w:val="21"/>
                <w:szCs w:val="21"/>
                <w:highlight w:val="none"/>
                <w:lang w:val="en-US" w:eastAsia="zh-CN"/>
              </w:rPr>
              <w:t>&gt;</w:t>
            </w:r>
            <w:r>
              <w:rPr>
                <w:rFonts w:hint="eastAsia" w:ascii="宋体" w:hAnsi="宋体" w:eastAsia="宋体" w:cs="宋体"/>
                <w:color w:val="auto"/>
                <w:sz w:val="21"/>
                <w:szCs w:val="21"/>
                <w:highlight w:val="none"/>
                <w:lang w:val="en-US" w:eastAsia="zh-CN"/>
              </w:rPr>
              <w:t>的通知》</w:t>
            </w:r>
            <w:r>
              <w:rPr>
                <w:rFonts w:hint="eastAsia" w:ascii="宋体" w:hAnsi="宋体" w:eastAsia="宋体" w:cs="宋体"/>
                <w:color w:val="auto"/>
                <w:sz w:val="21"/>
                <w:szCs w:val="21"/>
                <w:highlight w:val="none"/>
              </w:rPr>
              <w:t>等文件精神，拟对梧州市本级符合推进能源费用托管条件的各类公共机构</w:t>
            </w:r>
            <w:r>
              <w:rPr>
                <w:rFonts w:hint="eastAsia" w:ascii="宋体" w:hAnsi="宋体" w:eastAsia="宋体" w:cs="宋体"/>
                <w:color w:val="auto"/>
                <w:sz w:val="21"/>
                <w:szCs w:val="21"/>
                <w:highlight w:val="none"/>
                <w:lang w:val="en-US" w:eastAsia="zh-CN"/>
              </w:rPr>
              <w:t>及国有企业</w:t>
            </w:r>
            <w:r>
              <w:rPr>
                <w:rFonts w:hint="eastAsia" w:ascii="宋体" w:hAnsi="宋体" w:eastAsia="宋体" w:cs="宋体"/>
                <w:color w:val="auto"/>
                <w:sz w:val="21"/>
                <w:szCs w:val="21"/>
                <w:highlight w:val="none"/>
              </w:rPr>
              <w:t>实施能源（用电）费用托管运营管理服务。</w:t>
            </w:r>
          </w:p>
          <w:p w14:paraId="58052725">
            <w:pPr>
              <w:pStyle w:val="108"/>
              <w:numPr>
                <w:ilvl w:val="0"/>
                <w:numId w:val="0"/>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项目范围与规模</w:t>
            </w:r>
          </w:p>
          <w:p w14:paraId="0308AD80">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本项目计划对市本级行政事业单位、团体组织及国有企业实施用电系统托管，托管范围包括空调系统、照明系统、办公设备系统、动力系统、热水系统及特殊用能设备等。</w:t>
            </w:r>
            <w:r>
              <w:rPr>
                <w:rFonts w:hint="eastAsia" w:ascii="宋体" w:hAnsi="宋体" w:eastAsia="宋体" w:cs="宋体"/>
                <w:b w:val="0"/>
                <w:bCs w:val="0"/>
                <w:color w:val="auto"/>
                <w:sz w:val="21"/>
                <w:szCs w:val="21"/>
                <w:highlight w:val="none"/>
                <w:lang w:val="en-US" w:eastAsia="zh-CN"/>
              </w:rPr>
              <w:t>托管基准为2025年度用电量及电费</w:t>
            </w:r>
            <w:r>
              <w:rPr>
                <w:rFonts w:hint="eastAsia" w:ascii="宋体" w:hAnsi="宋体" w:cs="宋体"/>
                <w:b w:val="0"/>
                <w:bCs w:val="0"/>
                <w:color w:val="auto"/>
                <w:sz w:val="21"/>
                <w:szCs w:val="21"/>
                <w:highlight w:val="none"/>
                <w:lang w:val="en-US" w:eastAsia="zh-CN"/>
              </w:rPr>
              <w:t>：</w:t>
            </w:r>
          </w:p>
          <w:p w14:paraId="0E3A6D99">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（1）基准期：项目实施前1年（2025年）</w:t>
            </w:r>
          </w:p>
          <w:p w14:paraId="78A5C1C5">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（2）能源消耗基准：91,138,802.36 kWh/年</w:t>
            </w:r>
          </w:p>
          <w:p w14:paraId="3018E776">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（3）能源费用基准：61,577,230.38 元/年</w:t>
            </w:r>
            <w:r>
              <w:rPr>
                <w:rFonts w:hint="eastAsia" w:ascii="宋体" w:hAnsi="宋体" w:cs="宋体"/>
                <w:b w:val="0"/>
                <w:bCs w:val="0"/>
                <w:color w:val="auto"/>
                <w:sz w:val="21"/>
                <w:szCs w:val="21"/>
                <w:highlight w:val="none"/>
                <w:lang w:val="en-US" w:eastAsia="zh-CN"/>
              </w:rPr>
              <w:t>。</w:t>
            </w:r>
          </w:p>
          <w:p w14:paraId="10429925">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p>
          <w:p w14:paraId="69B30783">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snapToGrid w:val="0"/>
                <w:color w:val="auto"/>
                <w:sz w:val="21"/>
                <w:szCs w:val="21"/>
                <w:highlight w:val="none"/>
              </w:rPr>
              <w:t>托管的能源资源系统范围</w:t>
            </w:r>
            <w:r>
              <w:rPr>
                <w:rFonts w:hint="eastAsia" w:ascii="宋体" w:hAnsi="宋体" w:cs="宋体"/>
                <w:b/>
                <w:bCs/>
                <w:snapToGrid w:val="0"/>
                <w:color w:val="auto"/>
                <w:sz w:val="21"/>
                <w:szCs w:val="21"/>
                <w:highlight w:val="none"/>
                <w:lang w:eastAsia="zh-CN"/>
              </w:rPr>
              <w:t>：</w:t>
            </w:r>
            <w:r>
              <w:rPr>
                <w:rFonts w:hint="eastAsia" w:ascii="宋体" w:hAnsi="宋体" w:cs="宋体"/>
                <w:b/>
                <w:bCs/>
                <w:snapToGrid w:val="0"/>
                <w:color w:val="auto"/>
                <w:sz w:val="21"/>
                <w:szCs w:val="21"/>
                <w:highlight w:val="none"/>
                <w:lang w:val="en-US" w:eastAsia="zh-CN"/>
              </w:rPr>
              <w:t>详见附件1。</w:t>
            </w:r>
          </w:p>
          <w:p w14:paraId="64B4FFA4">
            <w:pPr>
              <w:autoSpaceDE w:val="0"/>
              <w:autoSpaceDN w:val="0"/>
              <w:adjustRightInd w:val="0"/>
              <w:snapToGrid w:val="0"/>
              <w:spacing w:line="480" w:lineRule="exact"/>
              <w:jc w:val="center"/>
              <w:textAlignment w:val="baseline"/>
              <w:rPr>
                <w:rFonts w:hint="eastAsia" w:ascii="宋体" w:hAnsi="宋体" w:eastAsia="宋体" w:cs="宋体"/>
                <w:b/>
                <w:bCs/>
                <w:snapToGrid w:val="0"/>
                <w:color w:val="auto"/>
                <w:spacing w:val="17"/>
                <w:sz w:val="21"/>
                <w:szCs w:val="21"/>
                <w:highlight w:val="none"/>
                <w:lang w:eastAsia="en-US"/>
              </w:rPr>
            </w:pPr>
            <w:r>
              <w:rPr>
                <w:rFonts w:hint="eastAsia" w:ascii="宋体" w:hAnsi="宋体" w:eastAsia="宋体" w:cs="宋体"/>
                <w:b/>
                <w:bCs/>
                <w:snapToGrid w:val="0"/>
                <w:color w:val="auto"/>
                <w:spacing w:val="17"/>
                <w:sz w:val="21"/>
                <w:szCs w:val="21"/>
                <w:highlight w:val="none"/>
                <w:lang w:eastAsia="en-US"/>
              </w:rPr>
              <w:t>改造边界范围</w:t>
            </w:r>
          </w:p>
          <w:tbl>
            <w:tblPr>
              <w:tblStyle w:val="109"/>
              <w:tblW w:w="4694" w:type="dxa"/>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1158"/>
              <w:gridCol w:w="3536"/>
            </w:tblGrid>
            <w:tr w14:paraId="4769780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1158" w:type="dxa"/>
                  <w:tcBorders>
                    <w:bottom w:val="single" w:color="231F20" w:sz="2" w:space="0"/>
                    <w:right w:val="single" w:color="231F20" w:sz="2" w:space="0"/>
                  </w:tcBorders>
                  <w:vAlign w:val="center"/>
                </w:tcPr>
                <w:p w14:paraId="47617150">
                  <w:pPr>
                    <w:autoSpaceDE w:val="0"/>
                    <w:autoSpaceDN w:val="0"/>
                    <w:adjustRightInd w:val="0"/>
                    <w:snapToGrid w:val="0"/>
                    <w:spacing w:line="480" w:lineRule="exact"/>
                    <w:jc w:val="center"/>
                    <w:textAlignment w:val="baseline"/>
                    <w:rPr>
                      <w:rFonts w:hint="default" w:asciiTheme="minorEastAsia" w:hAnsiTheme="minorEastAsia" w:eastAsiaTheme="minorEastAsia" w:cstheme="minorEastAsia"/>
                      <w:snapToGrid w:val="0"/>
                      <w:color w:val="auto"/>
                      <w:sz w:val="21"/>
                      <w:szCs w:val="21"/>
                      <w:highlight w:val="none"/>
                      <w:lang w:val="en-US" w:eastAsia="zh-CN"/>
                    </w:rPr>
                  </w:pPr>
                  <w:r>
                    <w:rPr>
                      <w:rFonts w:hint="eastAsia" w:asciiTheme="minorEastAsia" w:hAnsiTheme="minorEastAsia" w:eastAsiaTheme="minorEastAsia" w:cstheme="minorEastAsia"/>
                      <w:snapToGrid w:val="0"/>
                      <w:color w:val="auto"/>
                      <w:sz w:val="21"/>
                      <w:szCs w:val="21"/>
                      <w:highlight w:val="none"/>
                      <w:lang w:val="en-US" w:eastAsia="zh-CN"/>
                    </w:rPr>
                    <w:t>改造边界</w:t>
                  </w:r>
                </w:p>
              </w:tc>
              <w:tc>
                <w:tcPr>
                  <w:tcW w:w="3536" w:type="dxa"/>
                  <w:tcBorders>
                    <w:left w:val="single" w:color="231F20" w:sz="2" w:space="0"/>
                    <w:bottom w:val="single" w:color="231F20" w:sz="2" w:space="0"/>
                  </w:tcBorders>
                  <w:vAlign w:val="center"/>
                </w:tcPr>
                <w:p w14:paraId="7FE68AB6">
                  <w:pPr>
                    <w:autoSpaceDE w:val="0"/>
                    <w:autoSpaceDN w:val="0"/>
                    <w:adjustRightInd w:val="0"/>
                    <w:snapToGrid w:val="0"/>
                    <w:spacing w:line="480" w:lineRule="exact"/>
                    <w:jc w:val="both"/>
                    <w:textAlignment w:val="baseline"/>
                    <w:rPr>
                      <w:rFonts w:asciiTheme="minorEastAsia" w:hAnsiTheme="minorEastAsia" w:eastAsiaTheme="minorEastAsia" w:cstheme="minorEastAsia"/>
                      <w:snapToGrid w:val="0"/>
                      <w:color w:val="auto"/>
                      <w:sz w:val="21"/>
                      <w:szCs w:val="21"/>
                      <w:highlight w:val="none"/>
                      <w:lang w:eastAsia="en-US"/>
                    </w:rPr>
                  </w:pPr>
                  <w:r>
                    <w:rPr>
                      <w:rFonts w:hint="eastAsia" w:asciiTheme="minorEastAsia" w:hAnsiTheme="minorEastAsia" w:eastAsiaTheme="minorEastAsia" w:cstheme="minorEastAsia"/>
                      <w:snapToGrid w:val="0"/>
                      <w:color w:val="auto"/>
                      <w:sz w:val="21"/>
                      <w:szCs w:val="21"/>
                      <w:highlight w:val="none"/>
                      <w:lang w:val="en-US" w:eastAsia="zh-CN"/>
                    </w:rPr>
                    <w:t>梧州市本级行政事业单位、团体组织、医院用电系统</w:t>
                  </w:r>
                </w:p>
              </w:tc>
            </w:tr>
            <w:tr w14:paraId="7E4FA99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5" w:hRule="atLeast"/>
              </w:trPr>
              <w:tc>
                <w:tcPr>
                  <w:tcW w:w="1158" w:type="dxa"/>
                  <w:tcBorders>
                    <w:top w:val="single" w:color="231F20" w:sz="2" w:space="0"/>
                    <w:bottom w:val="single" w:color="231F20" w:sz="2" w:space="0"/>
                    <w:right w:val="single" w:color="231F20" w:sz="2" w:space="0"/>
                  </w:tcBorders>
                  <w:vAlign w:val="center"/>
                </w:tcPr>
                <w:p w14:paraId="4BF024F9">
                  <w:pPr>
                    <w:autoSpaceDE w:val="0"/>
                    <w:autoSpaceDN w:val="0"/>
                    <w:adjustRightInd w:val="0"/>
                    <w:snapToGrid w:val="0"/>
                    <w:spacing w:line="480" w:lineRule="exact"/>
                    <w:jc w:val="center"/>
                    <w:textAlignment w:val="baseline"/>
                    <w:rPr>
                      <w:rFonts w:hint="default" w:asciiTheme="minorEastAsia" w:hAnsiTheme="minorEastAsia" w:eastAsiaTheme="minorEastAsia" w:cstheme="minorEastAsia"/>
                      <w:snapToGrid w:val="0"/>
                      <w:color w:val="auto"/>
                      <w:sz w:val="21"/>
                      <w:szCs w:val="21"/>
                      <w:highlight w:val="none"/>
                      <w:lang w:val="en-US" w:eastAsia="zh-CN"/>
                    </w:rPr>
                  </w:pPr>
                  <w:r>
                    <w:rPr>
                      <w:rFonts w:hint="eastAsia" w:asciiTheme="minorEastAsia" w:hAnsiTheme="minorEastAsia" w:eastAsiaTheme="minorEastAsia" w:cstheme="minorEastAsia"/>
                      <w:snapToGrid w:val="0"/>
                      <w:color w:val="auto"/>
                      <w:sz w:val="21"/>
                      <w:szCs w:val="21"/>
                      <w:highlight w:val="none"/>
                      <w:lang w:val="en-US" w:eastAsia="zh-CN"/>
                    </w:rPr>
                    <w:t>改造范围</w:t>
                  </w:r>
                </w:p>
              </w:tc>
              <w:tc>
                <w:tcPr>
                  <w:tcW w:w="3536" w:type="dxa"/>
                  <w:tcBorders>
                    <w:top w:val="single" w:color="231F20" w:sz="2" w:space="0"/>
                    <w:left w:val="single" w:color="231F20" w:sz="2" w:space="0"/>
                    <w:bottom w:val="single" w:color="231F20" w:sz="2" w:space="0"/>
                  </w:tcBorders>
                  <w:vAlign w:val="center"/>
                </w:tcPr>
                <w:p w14:paraId="056721E9">
                  <w:pPr>
                    <w:autoSpaceDE w:val="0"/>
                    <w:autoSpaceDN w:val="0"/>
                    <w:adjustRightInd w:val="0"/>
                    <w:snapToGrid w:val="0"/>
                    <w:spacing w:line="480" w:lineRule="exact"/>
                    <w:jc w:val="both"/>
                    <w:textAlignment w:val="baseline"/>
                    <w:rPr>
                      <w:rFonts w:asciiTheme="minorEastAsia" w:hAnsiTheme="minorEastAsia" w:eastAsiaTheme="minorEastAsia" w:cstheme="minorEastAsia"/>
                      <w:snapToGrid w:val="0"/>
                      <w:color w:val="auto"/>
                      <w:sz w:val="21"/>
                      <w:szCs w:val="21"/>
                      <w:highlight w:val="none"/>
                      <w:lang w:eastAsia="en-US"/>
                    </w:rPr>
                  </w:pPr>
                  <w:r>
                    <w:rPr>
                      <w:rFonts w:hint="eastAsia" w:asciiTheme="minorEastAsia" w:hAnsiTheme="minorEastAsia" w:eastAsiaTheme="minorEastAsia" w:cstheme="minorEastAsia"/>
                      <w:snapToGrid w:val="0"/>
                      <w:color w:val="auto"/>
                      <w:sz w:val="21"/>
                      <w:szCs w:val="21"/>
                      <w:highlight w:val="none"/>
                      <w:lang w:val="en-US" w:eastAsia="zh-CN"/>
                    </w:rPr>
                    <w:t>包括空调系统、照明系统、办公设备系统、动力系统、热水系统及特殊用能设备等</w:t>
                  </w:r>
                </w:p>
              </w:tc>
            </w:tr>
          </w:tbl>
          <w:p w14:paraId="1BCB9ECD">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p>
          <w:p w14:paraId="57E9B8FD">
            <w:pPr>
              <w:pStyle w:val="108"/>
              <w:numPr>
                <w:ilvl w:val="0"/>
                <w:numId w:val="0"/>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项目运营目标</w:t>
            </w:r>
          </w:p>
          <w:p w14:paraId="0EB2CC98">
            <w:pPr>
              <w:pStyle w:val="108"/>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在托管服务周期（</w:t>
            </w:r>
            <w:r>
              <w:rPr>
                <w:rFonts w:hint="eastAsia" w:ascii="宋体" w:hAnsi="宋体" w:cs="宋体"/>
                <w:b w:val="0"/>
                <w:bCs w:val="0"/>
                <w:color w:val="auto"/>
                <w:sz w:val="21"/>
                <w:szCs w:val="21"/>
                <w:highlight w:val="none"/>
                <w:lang w:val="en-US" w:eastAsia="zh-CN"/>
              </w:rPr>
              <w:t>一年</w:t>
            </w:r>
            <w:r>
              <w:rPr>
                <w:rFonts w:hint="eastAsia" w:ascii="宋体" w:hAnsi="宋体" w:eastAsia="宋体" w:cs="宋体"/>
                <w:b w:val="0"/>
                <w:bCs w:val="0"/>
                <w:color w:val="auto"/>
                <w:sz w:val="21"/>
                <w:szCs w:val="21"/>
                <w:highlight w:val="none"/>
                <w:lang w:val="en-US" w:eastAsia="zh-CN"/>
              </w:rPr>
              <w:t>）届满后</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年度实际能耗量，相比基准值，其节能率不低于5%。</w:t>
            </w:r>
          </w:p>
          <w:p w14:paraId="475FFF2E">
            <w:pPr>
              <w:pStyle w:val="108"/>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构建</w:t>
            </w:r>
            <w:r>
              <w:rPr>
                <w:rFonts w:hint="eastAsia" w:ascii="宋体" w:hAnsi="宋体" w:eastAsia="宋体" w:cs="宋体"/>
                <w:b w:val="0"/>
                <w:bCs w:val="0"/>
                <w:color w:val="auto"/>
                <w:sz w:val="21"/>
                <w:szCs w:val="21"/>
                <w:highlight w:val="none"/>
                <w:lang w:val="en-US" w:eastAsia="zh-CN"/>
              </w:rPr>
              <w:t>梧州市</w:t>
            </w:r>
            <w:r>
              <w:rPr>
                <w:rFonts w:hint="eastAsia" w:ascii="宋体" w:hAnsi="宋体" w:eastAsia="宋体" w:cs="宋体"/>
                <w:b w:val="0"/>
                <w:bCs w:val="0"/>
                <w:color w:val="auto"/>
                <w:sz w:val="21"/>
                <w:szCs w:val="21"/>
                <w:highlight w:val="none"/>
                <w:lang w:val="en-US" w:eastAsia="zh-CN"/>
              </w:rPr>
              <w:t>公共机构“智慧综合能碳管理运营平台”，推动精细化、智能化能源与碳排放管控。</w:t>
            </w:r>
          </w:p>
          <w:p w14:paraId="6AD21B39">
            <w:pPr>
              <w:pStyle w:val="108"/>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促进相关产业发展，助力地方经济，提供就业岗位。</w:t>
            </w:r>
          </w:p>
          <w:p w14:paraId="55E656EB">
            <w:pPr>
              <w:pStyle w:val="108"/>
              <w:numPr>
                <w:ilvl w:val="0"/>
                <w:numId w:val="0"/>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服务的性质及运营方式</w:t>
            </w:r>
          </w:p>
          <w:p w14:paraId="048F327E">
            <w:pPr>
              <w:pStyle w:val="108"/>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服务性质：</w:t>
            </w:r>
            <w:r>
              <w:rPr>
                <w:rFonts w:hint="eastAsia" w:ascii="宋体" w:hAnsi="宋体" w:eastAsia="宋体" w:cs="宋体"/>
                <w:b w:val="0"/>
                <w:bCs w:val="0"/>
                <w:color w:val="auto"/>
                <w:sz w:val="21"/>
                <w:szCs w:val="21"/>
                <w:highlight w:val="none"/>
                <w:lang w:val="en-US" w:eastAsia="zh-CN"/>
              </w:rPr>
              <w:t>能源费用托管服务。中标人对运营目标负责</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相比基准值</w:t>
            </w:r>
            <w:r>
              <w:rPr>
                <w:rFonts w:hint="eastAsia" w:ascii="宋体" w:hAnsi="宋体" w:eastAsia="宋体" w:cs="宋体"/>
                <w:b w:val="0"/>
                <w:bCs w:val="0"/>
                <w:color w:val="auto"/>
                <w:sz w:val="21"/>
                <w:szCs w:val="21"/>
                <w:highlight w:val="none"/>
                <w:lang w:val="en-US" w:eastAsia="zh-CN"/>
              </w:rPr>
              <w:t>不低于5%</w:t>
            </w:r>
            <w:r>
              <w:rPr>
                <w:rFonts w:hint="eastAsia" w:ascii="宋体" w:hAnsi="宋体" w:eastAsia="宋体" w:cs="宋体"/>
                <w:b w:val="0"/>
                <w:bCs w:val="0"/>
                <w:color w:val="auto"/>
                <w:sz w:val="21"/>
                <w:szCs w:val="21"/>
                <w:highlight w:val="none"/>
                <w:lang w:val="en-US" w:eastAsia="zh-CN"/>
              </w:rPr>
              <w:t>的年节能率考核目标。</w:t>
            </w:r>
          </w:p>
          <w:p w14:paraId="3032A524">
            <w:pPr>
              <w:pStyle w:val="108"/>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运营方式：</w:t>
            </w:r>
            <w:r>
              <w:rPr>
                <w:rFonts w:hint="eastAsia" w:ascii="宋体" w:hAnsi="宋体" w:eastAsia="宋体" w:cs="宋体"/>
                <w:b w:val="0"/>
                <w:bCs w:val="0"/>
                <w:color w:val="auto"/>
                <w:sz w:val="21"/>
                <w:szCs w:val="21"/>
                <w:highlight w:val="none"/>
                <w:lang w:val="en-US" w:eastAsia="zh-CN"/>
              </w:rPr>
              <w:t>中标人负责整体运营，运营权不得转包或分包。</w:t>
            </w:r>
          </w:p>
          <w:p w14:paraId="7CD86432">
            <w:pPr>
              <w:pStyle w:val="108"/>
              <w:numPr>
                <w:ilvl w:val="0"/>
                <w:numId w:val="3"/>
              </w:num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服务内容及要求</w:t>
            </w:r>
          </w:p>
          <w:p w14:paraId="3BBC82FE">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能源费用托管的总体要求</w:t>
            </w:r>
          </w:p>
          <w:p w14:paraId="41814DD9">
            <w:pPr>
              <w:pStyle w:val="108"/>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以2025年度用电量及电费作为托管基准。</w:t>
            </w:r>
          </w:p>
          <w:p w14:paraId="443C3693">
            <w:pPr>
              <w:pStyle w:val="108"/>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节能考核</w:t>
            </w:r>
          </w:p>
          <w:p w14:paraId="425DEDA3">
            <w:pPr>
              <w:pStyle w:val="108"/>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考核周期：项目运营期（自节能改造期满起算）为一个完整考核周期，节能改造期自合同生效之日起不超过3个月。</w:t>
            </w:r>
          </w:p>
          <w:p w14:paraId="4E6D17F7">
            <w:pPr>
              <w:pStyle w:val="108"/>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考核与支付：运营期届满后，双方确认实际年节能率。若节能率不低于5%，采购人应在确认后10个工作日内全额支付最后一期（月）托管费用。</w:t>
            </w:r>
          </w:p>
          <w:p w14:paraId="5FD65442">
            <w:pPr>
              <w:pStyle w:val="108"/>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违约责任：若实际年节能率低于5%，采购人有权直接从最后一期应付费用中扣减50万元，扣减后余额应于10个工作日内支付。</w:t>
            </w:r>
          </w:p>
          <w:p w14:paraId="442B4FC0">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梧州市</w:t>
            </w:r>
            <w:r>
              <w:rPr>
                <w:rFonts w:hint="eastAsia" w:ascii="宋体" w:hAnsi="宋体" w:eastAsia="宋体" w:cs="宋体"/>
                <w:b/>
                <w:bCs/>
                <w:color w:val="auto"/>
                <w:sz w:val="21"/>
                <w:szCs w:val="21"/>
                <w:highlight w:val="none"/>
                <w:lang w:val="en-US" w:eastAsia="zh-CN"/>
              </w:rPr>
              <w:t>公共机构能源诊断</w:t>
            </w:r>
          </w:p>
          <w:p w14:paraId="29C8C3D9">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根据《公共机构节能条例》《公共机构能源诊断技术导则》等核心法规和标准，对梧州市</w:t>
            </w:r>
            <w:r>
              <w:rPr>
                <w:rFonts w:hint="eastAsia" w:ascii="宋体" w:hAnsi="宋体" w:eastAsia="宋体" w:cs="宋体"/>
                <w:b w:val="0"/>
                <w:bCs w:val="0"/>
                <w:color w:val="auto"/>
                <w:sz w:val="21"/>
                <w:szCs w:val="21"/>
                <w:highlight w:val="none"/>
                <w:lang w:val="en-US" w:eastAsia="zh-CN"/>
              </w:rPr>
              <w:t>本级行政事业单位和团体组织、医院</w:t>
            </w:r>
            <w:r>
              <w:rPr>
                <w:rFonts w:hint="eastAsia" w:ascii="宋体" w:hAnsi="宋体" w:eastAsia="宋体" w:cs="宋体"/>
                <w:b w:val="0"/>
                <w:bCs w:val="0"/>
                <w:color w:val="auto"/>
                <w:sz w:val="21"/>
                <w:szCs w:val="21"/>
                <w:highlight w:val="none"/>
                <w:lang w:val="en-US" w:eastAsia="zh-CN"/>
              </w:rPr>
              <w:t>开展能源诊断工作。本次诊断旨在系统分析建筑分项能耗构成，评估能源利用结构与综合效率，识别运行管理中存在的主要薄弱环节，为提升能源利用效率、实施低成本节能改造提供科学依据与决策支持。</w:t>
            </w:r>
          </w:p>
          <w:p w14:paraId="3FCE5B61">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梧州市</w:t>
            </w:r>
            <w:r>
              <w:rPr>
                <w:rFonts w:hint="eastAsia" w:ascii="宋体" w:hAnsi="宋体" w:eastAsia="宋体" w:cs="宋体"/>
                <w:b/>
                <w:bCs/>
                <w:color w:val="auto"/>
                <w:sz w:val="21"/>
                <w:szCs w:val="21"/>
                <w:highlight w:val="none"/>
                <w:lang w:val="en-US" w:eastAsia="zh-CN"/>
              </w:rPr>
              <w:t>公共机构“智慧综合能碳管理运营平台”建设</w:t>
            </w:r>
          </w:p>
          <w:p w14:paraId="1051ED68">
            <w:pPr>
              <w:pStyle w:val="108"/>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平台需整合空调智能管控、照明智能管控、办公设备智能管控、能源精细化管控、智能动态补偿等核心系统。</w:t>
            </w:r>
          </w:p>
          <w:p w14:paraId="60F14B5A">
            <w:pPr>
              <w:pStyle w:val="108"/>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运用计算机及物联网技术，将梧州市本级已部署分项能耗计量装置的单位（含行政机关、学校、医院等）接入“能源精细化管控系统”，实现对其分项能耗数据的实时采集、动态分析与智能预警。</w:t>
            </w:r>
          </w:p>
          <w:p w14:paraId="21E135FE">
            <w:pPr>
              <w:pStyle w:val="108"/>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通过平台化集中监控与AI人工智能技术，实现对楼宇内照明、空调、办公设备等用能终端的规模化统一管理与动态预警。系统</w:t>
            </w:r>
            <w:r>
              <w:rPr>
                <w:rFonts w:hint="eastAsia" w:ascii="宋体" w:hAnsi="宋体" w:eastAsia="宋体" w:cs="宋体"/>
                <w:b w:val="0"/>
                <w:bCs w:val="0"/>
                <w:color w:val="auto"/>
                <w:sz w:val="21"/>
                <w:szCs w:val="21"/>
                <w:highlight w:val="none"/>
                <w:lang w:val="en-US" w:eastAsia="zh-CN"/>
              </w:rPr>
              <w:t>须</w:t>
            </w:r>
            <w:r>
              <w:rPr>
                <w:rFonts w:hint="eastAsia" w:ascii="宋体" w:hAnsi="宋体" w:eastAsia="宋体" w:cs="宋体"/>
                <w:b w:val="0"/>
                <w:bCs w:val="0"/>
                <w:color w:val="auto"/>
                <w:sz w:val="21"/>
                <w:szCs w:val="21"/>
                <w:highlight w:val="none"/>
                <w:lang w:val="en-US" w:eastAsia="zh-CN"/>
              </w:rPr>
              <w:t>支持自然语言交互功能，使管理员能够通过语音指令即可完成全楼能耗设备的调节与策略部署，无需依赖传统电脑端手动操作，从而打造一个高效、智能的“AI楼宇管家”，全面提升能效管理水平与运营自动化程度。</w:t>
            </w:r>
          </w:p>
          <w:p w14:paraId="498C2DE5">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现场智能调控装置部署</w:t>
            </w:r>
          </w:p>
          <w:p w14:paraId="3B5E17E5">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在托管单位现场部署智能化调控设备与装置，系统化构建能源精细管理基础。具体实施内容包括但不限于：照明智能控制及调光模块、空调智能控制器、办公设备智能插座控制器、水泵变频控制器、无功补偿及谐波抑制装置等。通过对主要用能系统的集中调控与优化，实现能源消耗的实时监测，策略化管理支持基于时间、温度与光照等多维条件的自动调节与联动控制。</w:t>
            </w:r>
          </w:p>
          <w:p w14:paraId="2F247267">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建筑绿色化节能改造</w:t>
            </w:r>
          </w:p>
          <w:p w14:paraId="75023AD9">
            <w:pPr>
              <w:pStyle w:val="108"/>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中标人须全面挖掘各机构节能潜力，系统性开展综合性节能改造。主要实施内容包括：高效节能照明系统替换、空调及热水系统整体能效提升、重点动力设备（如水泵、电梯等）节能改造与优化、</w:t>
            </w:r>
          </w:p>
          <w:p w14:paraId="7FB4BD4A">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负荷侧功率因数动态优化与补偿、分布式光伏发电系统建设等。通过对建筑用能系统的整体升级与优化，有效降低能源消耗，提升能源利用效率，实现可持续的节能降碳目标。</w:t>
            </w:r>
          </w:p>
          <w:p w14:paraId="09A105C9">
            <w:pPr>
              <w:pStyle w:val="108"/>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改造方案需经采购人批准，确保技术先进、稳定可靠。</w:t>
            </w:r>
          </w:p>
          <w:p w14:paraId="6F6205D0">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精细化能源管理服务</w:t>
            </w:r>
          </w:p>
          <w:p w14:paraId="06758C65">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标人须在梧州组建专业能源管理团队，建立并实施覆盖用能监控、诊断与优化的全周期管理制度。在不降低室内环境舒适度的前提下，基于人工智能与数据模型，构建动态、自适应的用能调控策略，对暖通空调、照明、办公设备等主要用能系统实施精细化、弹性化运行管控，实现能源消耗的实时监测、异常预警与策略优化，保障并持续提升节能效果。</w:t>
            </w:r>
          </w:p>
          <w:p w14:paraId="0E43FC39">
            <w:pPr>
              <w:pStyle w:val="108"/>
              <w:numPr>
                <w:ilvl w:val="0"/>
                <w:numId w:val="3"/>
              </w:num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项目用能边界变化核定</w:t>
            </w:r>
          </w:p>
          <w:p w14:paraId="02F63353">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在服务期内，若发生托管项目边界范围发生变化，如用能设备和其它用能项的增减、建筑用能区域改扩建、供能条件变化的调整、相关政策的调整等情况，双方依据国家机关事务管理局《公共机构能源费用托管实施规程》（JS/T 301—2024），“8 项目调整”章节的内容进行结算，双方签订补充协议约定完成上年度结算</w:t>
            </w:r>
            <w:r>
              <w:rPr>
                <w:rFonts w:hint="eastAsia" w:ascii="宋体" w:hAnsi="宋体" w:eastAsia="宋体" w:cs="宋体"/>
                <w:color w:val="auto"/>
                <w:sz w:val="21"/>
                <w:szCs w:val="21"/>
                <w:highlight w:val="none"/>
                <w:lang w:eastAsia="zh-CN"/>
              </w:rPr>
              <w:t>。</w:t>
            </w:r>
          </w:p>
        </w:tc>
      </w:tr>
      <w:tr w14:paraId="26C2B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579" w:type="dxa"/>
            <w:gridSpan w:val="6"/>
            <w:tcBorders>
              <w:top w:val="single" w:color="auto" w:sz="4" w:space="0"/>
              <w:left w:val="single" w:color="auto" w:sz="4" w:space="0"/>
              <w:bottom w:val="single" w:color="auto" w:sz="4" w:space="0"/>
              <w:right w:val="single" w:color="auto" w:sz="4" w:space="0"/>
            </w:tcBorders>
            <w:noWrap w:val="0"/>
            <w:vAlign w:val="top"/>
          </w:tcPr>
          <w:p w14:paraId="79FEBD5E">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▲一、商务要求</w:t>
            </w:r>
          </w:p>
        </w:tc>
      </w:tr>
      <w:tr w14:paraId="2876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042" w:type="dxa"/>
            <w:gridSpan w:val="3"/>
            <w:tcBorders>
              <w:top w:val="single" w:color="auto" w:sz="4" w:space="0"/>
              <w:left w:val="single" w:color="auto" w:sz="4" w:space="0"/>
              <w:bottom w:val="single" w:color="auto" w:sz="4" w:space="0"/>
              <w:right w:val="single" w:color="auto" w:sz="4" w:space="0"/>
            </w:tcBorders>
            <w:noWrap w:val="0"/>
            <w:vAlign w:val="center"/>
          </w:tcPr>
          <w:p w14:paraId="42F9ED06">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服务期限（合同履行期限）及地点</w:t>
            </w:r>
          </w:p>
        </w:tc>
        <w:tc>
          <w:tcPr>
            <w:tcW w:w="6537" w:type="dxa"/>
            <w:gridSpan w:val="3"/>
            <w:tcBorders>
              <w:top w:val="single" w:color="auto" w:sz="4" w:space="0"/>
              <w:left w:val="single" w:color="auto" w:sz="4" w:space="0"/>
              <w:bottom w:val="single" w:color="auto" w:sz="4" w:space="0"/>
              <w:right w:val="single" w:color="auto" w:sz="4" w:space="0"/>
            </w:tcBorders>
            <w:noWrap w:val="0"/>
            <w:vAlign w:val="center"/>
          </w:tcPr>
          <w:p w14:paraId="00DABB40">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服务期限</w:t>
            </w:r>
            <w:r>
              <w:rPr>
                <w:rFonts w:hint="eastAsia" w:ascii="宋体" w:hAnsi="宋体" w:eastAsia="宋体" w:cs="宋体"/>
                <w:b/>
                <w:bCs w:val="0"/>
                <w:color w:val="auto"/>
                <w:sz w:val="21"/>
                <w:szCs w:val="21"/>
                <w:highlight w:val="none"/>
              </w:rPr>
              <w:t>：</w:t>
            </w:r>
            <w:r>
              <w:rPr>
                <w:rFonts w:hint="eastAsia" w:ascii="宋体" w:hAnsi="宋体" w:eastAsia="宋体" w:cs="宋体"/>
                <w:color w:val="auto"/>
                <w:sz w:val="21"/>
                <w:szCs w:val="21"/>
                <w:highlight w:val="none"/>
                <w:lang w:val="en-US" w:eastAsia="zh-CN"/>
              </w:rPr>
              <w:t>本项目服务期限为一年，自合同生效之日起计算。整体服务划分为两个阶段：第一阶段为节能改造期，自合同生效之日起，原则上不超过</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个月；第二阶段为能源托管运营期，自改造工作完成并经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书面确认之日起，直至一年服务期满为止</w:t>
            </w:r>
            <w:r>
              <w:rPr>
                <w:rFonts w:hint="eastAsia" w:ascii="宋体" w:hAnsi="宋体" w:eastAsia="宋体" w:cs="宋体"/>
                <w:bCs/>
                <w:color w:val="auto"/>
                <w:sz w:val="21"/>
                <w:szCs w:val="21"/>
                <w:highlight w:val="none"/>
              </w:rPr>
              <w:t>。</w:t>
            </w:r>
          </w:p>
          <w:p w14:paraId="48CFB43F">
            <w:pPr>
              <w:pStyle w:val="108"/>
              <w:numPr>
                <w:ilvl w:val="0"/>
                <w:numId w:val="0"/>
              </w:numPr>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 w:val="21"/>
                <w:szCs w:val="21"/>
                <w:highlight w:val="none"/>
                <w:lang w:val="en-US" w:eastAsia="zh-CN"/>
              </w:rPr>
              <w:t>关键节点与交付要求</w:t>
            </w:r>
          </w:p>
          <w:p w14:paraId="232E27D5">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“智慧综合能碳管理运营平台” 的系统部署、调试及全部节能改造工程，须于合同生效后</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lang w:val="en-US" w:eastAsia="zh-CN"/>
              </w:rPr>
              <w:t>个月内</w:t>
            </w:r>
            <w:r>
              <w:rPr>
                <w:rFonts w:hint="eastAsia" w:ascii="宋体" w:hAnsi="宋体" w:eastAsia="宋体" w:cs="宋体"/>
                <w:b w:val="0"/>
                <w:bCs w:val="0"/>
                <w:color w:val="auto"/>
                <w:sz w:val="21"/>
                <w:szCs w:val="21"/>
                <w:highlight w:val="none"/>
                <w:lang w:val="en-US" w:eastAsia="zh-CN"/>
              </w:rPr>
              <w:t>完成并交付验收。若投标人承诺的工期短于上述期限，以投标承诺工期为准。</w:t>
            </w:r>
          </w:p>
          <w:p w14:paraId="326E05EB">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 w:val="21"/>
                <w:szCs w:val="21"/>
                <w:highlight w:val="none"/>
                <w:lang w:val="en-US" w:eastAsia="zh-CN"/>
              </w:rPr>
              <w:t>能源费用管理：</w:t>
            </w:r>
            <w:r>
              <w:rPr>
                <w:rFonts w:hint="eastAsia" w:ascii="宋体" w:hAnsi="宋体" w:eastAsia="宋体" w:cs="宋体"/>
                <w:b w:val="0"/>
                <w:bCs w:val="0"/>
                <w:color w:val="auto"/>
                <w:sz w:val="21"/>
                <w:szCs w:val="21"/>
                <w:highlight w:val="none"/>
                <w:lang w:val="en-US" w:eastAsia="zh-CN"/>
              </w:rPr>
              <w:t>在能源托管运营期内，中标人负责承担并按时支付约定范围内的全部能源费用。</w:t>
            </w:r>
          </w:p>
          <w:p w14:paraId="0727BA83">
            <w:pPr>
              <w:pStyle w:val="10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（3）</w:t>
            </w:r>
            <w:r>
              <w:rPr>
                <w:rFonts w:hint="eastAsia" w:ascii="宋体" w:hAnsi="宋体" w:eastAsia="宋体" w:cs="宋体"/>
                <w:b/>
                <w:bCs/>
                <w:color w:val="auto"/>
                <w:sz w:val="21"/>
                <w:szCs w:val="21"/>
                <w:highlight w:val="none"/>
                <w:lang w:val="en-US" w:eastAsia="zh-CN"/>
              </w:rPr>
              <w:t>设施运维保障：</w:t>
            </w:r>
            <w:r>
              <w:rPr>
                <w:rFonts w:hint="eastAsia" w:ascii="宋体" w:hAnsi="宋体" w:eastAsia="宋体" w:cs="宋体"/>
                <w:b w:val="0"/>
                <w:bCs w:val="0"/>
                <w:color w:val="auto"/>
                <w:sz w:val="21"/>
                <w:szCs w:val="21"/>
                <w:highlight w:val="none"/>
                <w:lang w:val="en-US" w:eastAsia="zh-CN"/>
              </w:rPr>
              <w:t>负责对改造范围内所有设备、系统进行日常巡检、维护、保养及必要维修，确保其安全、稳定、高效运行。</w:t>
            </w:r>
          </w:p>
          <w:p w14:paraId="4CD49666">
            <w:pPr>
              <w:spacing w:line="360" w:lineRule="auto"/>
              <w:ind w:firstLine="422"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（4）定期效果评估：</w:t>
            </w:r>
            <w:r>
              <w:rPr>
                <w:rFonts w:hint="eastAsia" w:ascii="宋体" w:hAnsi="宋体" w:eastAsia="宋体" w:cs="宋体"/>
                <w:b w:val="0"/>
                <w:bCs w:val="0"/>
                <w:color w:val="auto"/>
                <w:sz w:val="21"/>
                <w:szCs w:val="21"/>
                <w:highlight w:val="none"/>
                <w:lang w:val="en-US" w:eastAsia="zh-CN"/>
              </w:rPr>
              <w:t>运营期</w:t>
            </w:r>
            <w:r>
              <w:rPr>
                <w:rFonts w:hint="eastAsia" w:ascii="宋体" w:hAnsi="宋体" w:eastAsia="宋体" w:cs="宋体"/>
                <w:b w:val="0"/>
                <w:bCs w:val="0"/>
                <w:color w:val="auto"/>
                <w:sz w:val="21"/>
                <w:szCs w:val="21"/>
                <w:highlight w:val="none"/>
                <w:lang w:val="en-US" w:eastAsia="zh-CN"/>
              </w:rPr>
              <w:t>结束后的一个月内，向</w:t>
            </w:r>
            <w:r>
              <w:rPr>
                <w:rFonts w:hint="eastAsia" w:ascii="宋体" w:hAnsi="宋体" w:eastAsia="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提交该年度《能源管理效果评估报告》，内容需涵盖节能目标达成情况、运行数据分析、系统性能评估及优化建议。</w:t>
            </w:r>
          </w:p>
          <w:p w14:paraId="2197C2E3">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kern w:val="2"/>
                <w:sz w:val="21"/>
                <w:szCs w:val="21"/>
                <w:highlight w:val="none"/>
                <w:lang w:val="en-US" w:eastAsia="zh-CN" w:bidi="ar-SA"/>
              </w:rPr>
              <w:t>3.服务地点：梧州市。</w:t>
            </w:r>
          </w:p>
        </w:tc>
      </w:tr>
      <w:tr w14:paraId="0631B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noWrap w:val="0"/>
            <w:vAlign w:val="center"/>
          </w:tcPr>
          <w:p w14:paraId="2B3D8FD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合同签订时间</w:t>
            </w:r>
          </w:p>
        </w:tc>
        <w:tc>
          <w:tcPr>
            <w:tcW w:w="6537" w:type="dxa"/>
            <w:gridSpan w:val="3"/>
            <w:tcBorders>
              <w:top w:val="single" w:color="auto" w:sz="4" w:space="0"/>
              <w:left w:val="single" w:color="auto" w:sz="4" w:space="0"/>
              <w:bottom w:val="single" w:color="auto" w:sz="4" w:space="0"/>
              <w:right w:val="single" w:color="auto" w:sz="4" w:space="0"/>
            </w:tcBorders>
            <w:noWrap w:val="0"/>
            <w:vAlign w:val="center"/>
          </w:tcPr>
          <w:p w14:paraId="5316B431">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日内</w:t>
            </w:r>
          </w:p>
        </w:tc>
      </w:tr>
      <w:tr w14:paraId="5DB44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noWrap w:val="0"/>
            <w:vAlign w:val="center"/>
          </w:tcPr>
          <w:p w14:paraId="69BB7F2C">
            <w:pPr>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费用与支付</w:t>
            </w:r>
          </w:p>
        </w:tc>
        <w:tc>
          <w:tcPr>
            <w:tcW w:w="6537" w:type="dxa"/>
            <w:gridSpan w:val="3"/>
            <w:tcBorders>
              <w:top w:val="single" w:color="auto" w:sz="4" w:space="0"/>
              <w:left w:val="single" w:color="auto" w:sz="4" w:space="0"/>
              <w:bottom w:val="single" w:color="auto" w:sz="4" w:space="0"/>
              <w:right w:val="single" w:color="auto" w:sz="4" w:space="0"/>
            </w:tcBorders>
            <w:noWrap w:val="0"/>
            <w:vAlign w:val="center"/>
          </w:tcPr>
          <w:p w14:paraId="5022AA7B">
            <w:pPr>
              <w:numPr>
                <w:ilvl w:val="0"/>
                <w:numId w:val="0"/>
              </w:numPr>
              <w:tabs>
                <w:tab w:val="left" w:pos="180"/>
                <w:tab w:val="left" w:pos="1620"/>
              </w:tabs>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报价方式：</w:t>
            </w:r>
            <w:r>
              <w:rPr>
                <w:rFonts w:hint="eastAsia" w:ascii="宋体" w:hAnsi="宋体" w:eastAsia="宋体" w:cs="宋体"/>
                <w:b/>
                <w:bCs/>
                <w:color w:val="auto"/>
                <w:sz w:val="21"/>
                <w:szCs w:val="21"/>
                <w:highlight w:val="none"/>
              </w:rPr>
              <w:t>按</w:t>
            </w:r>
            <w:r>
              <w:rPr>
                <w:rFonts w:hint="eastAsia" w:ascii="宋体" w:hAnsi="宋体" w:eastAsia="宋体" w:cs="宋体"/>
                <w:b/>
                <w:bCs/>
                <w:color w:val="auto"/>
                <w:sz w:val="21"/>
                <w:szCs w:val="21"/>
                <w:highlight w:val="none"/>
                <w:lang w:val="en-US" w:eastAsia="zh-CN"/>
              </w:rPr>
              <w:t>折扣</w:t>
            </w:r>
            <w:r>
              <w:rPr>
                <w:rFonts w:hint="eastAsia" w:ascii="宋体" w:hAnsi="宋体" w:eastAsia="宋体" w:cs="宋体"/>
                <w:b/>
                <w:bCs/>
                <w:color w:val="auto"/>
                <w:sz w:val="21"/>
                <w:szCs w:val="21"/>
                <w:highlight w:val="none"/>
              </w:rPr>
              <w:t>报价，</w:t>
            </w:r>
            <w:r>
              <w:rPr>
                <w:rFonts w:hint="eastAsia" w:ascii="宋体" w:hAnsi="宋体" w:eastAsia="宋体" w:cs="宋体"/>
                <w:b/>
                <w:bCs/>
                <w:color w:val="auto"/>
                <w:sz w:val="21"/>
                <w:szCs w:val="21"/>
                <w:highlight w:val="none"/>
                <w:lang w:val="en-US" w:eastAsia="zh-CN"/>
              </w:rPr>
              <w:t>折扣报价须≤99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，否则按无效投标处理</w:t>
            </w:r>
            <w:r>
              <w:rPr>
                <w:rFonts w:hint="eastAsia" w:ascii="宋体" w:hAnsi="宋体" w:eastAsia="宋体" w:cs="宋体"/>
                <w:color w:val="auto"/>
                <w:sz w:val="21"/>
                <w:szCs w:val="21"/>
                <w:highlight w:val="none"/>
              </w:rPr>
              <w:t>。</w:t>
            </w:r>
          </w:p>
          <w:p w14:paraId="26179EED">
            <w:pPr>
              <w:numPr>
                <w:ilvl w:val="0"/>
                <w:numId w:val="0"/>
              </w:numPr>
              <w:tabs>
                <w:tab w:val="left" w:pos="180"/>
                <w:tab w:val="left" w:pos="1620"/>
              </w:tabs>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费用包干：</w:t>
            </w:r>
            <w:r>
              <w:rPr>
                <w:rFonts w:hint="eastAsia" w:ascii="宋体" w:hAnsi="宋体" w:eastAsia="宋体" w:cs="宋体"/>
                <w:color w:val="auto"/>
                <w:sz w:val="21"/>
                <w:szCs w:val="21"/>
                <w:highlight w:val="none"/>
              </w:rPr>
              <w:t>在项目用能边界不变的情况下，项目的托管运营管理服务费用</w:t>
            </w:r>
            <w:r>
              <w:rPr>
                <w:rFonts w:hint="eastAsia" w:ascii="宋体" w:hAnsi="宋体" w:eastAsia="宋体" w:cs="宋体"/>
                <w:color w:val="auto"/>
                <w:sz w:val="21"/>
                <w:szCs w:val="21"/>
                <w:highlight w:val="none"/>
                <w:lang w:val="en-US" w:eastAsia="zh-CN"/>
              </w:rPr>
              <w:t>实行包干制，</w:t>
            </w:r>
            <w:r>
              <w:rPr>
                <w:rFonts w:hint="eastAsia" w:ascii="宋体" w:hAnsi="宋体" w:eastAsia="宋体" w:cs="宋体"/>
                <w:color w:val="auto"/>
                <w:sz w:val="21"/>
                <w:szCs w:val="21"/>
                <w:highlight w:val="none"/>
              </w:rPr>
              <w:t>报价应包含平台建设费、能源托管电费、全部节能改造设备及安装费、运维费、培训费及招投标环节的费用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负责投入人员、服务人员的工资、劳保、社会保险费（包括养老、失业、工伤、生育、医疗）、福利待遇、基本装备、服装、劳务费用及住房公积金等；其他管理费用、税费、奖金、企业利润等。除此之外，采购人无需向中标人或服务人员个人支付任何费用。投入人员在本项目服务场所工作期间发生工伤（亡）、患职业病、因病或非因工死亡，由中标人负责</w:t>
            </w:r>
            <w:r>
              <w:rPr>
                <w:rFonts w:hint="eastAsia" w:ascii="宋体" w:hAnsi="宋体" w:eastAsia="宋体" w:cs="宋体"/>
                <w:color w:val="auto"/>
                <w:sz w:val="21"/>
                <w:szCs w:val="21"/>
                <w:highlight w:val="none"/>
                <w:lang w:eastAsia="zh-CN"/>
              </w:rPr>
              <w:t>。</w:t>
            </w:r>
          </w:p>
          <w:p w14:paraId="2F71B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3.付款方式：</w:t>
            </w:r>
          </w:p>
          <w:p w14:paraId="6A47E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（1）改造期：按</w:t>
            </w:r>
            <w:r>
              <w:rPr>
                <w:rFonts w:hint="eastAsia" w:ascii="宋体" w:hAnsi="宋体" w:eastAsia="宋体" w:cs="宋体"/>
                <w:b w:val="0"/>
                <w:bCs/>
                <w:color w:val="auto"/>
                <w:sz w:val="21"/>
                <w:szCs w:val="21"/>
                <w:highlight w:val="none"/>
                <w:lang w:val="en-US" w:eastAsia="zh-CN"/>
              </w:rPr>
              <w:t>月度</w:t>
            </w:r>
            <w:r>
              <w:rPr>
                <w:rFonts w:hint="eastAsia" w:ascii="宋体" w:hAnsi="宋体" w:eastAsia="宋体" w:cs="宋体"/>
                <w:b w:val="0"/>
                <w:bCs/>
                <w:color w:val="auto"/>
                <w:sz w:val="21"/>
                <w:szCs w:val="21"/>
                <w:highlight w:val="none"/>
                <w:lang w:val="en-US" w:eastAsia="zh-CN"/>
              </w:rPr>
              <w:t>据实结算。</w:t>
            </w:r>
          </w:p>
          <w:p w14:paraId="6688BA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（2）运营期：</w:t>
            </w:r>
            <w:r>
              <w:rPr>
                <w:rFonts w:hint="eastAsia" w:ascii="宋体" w:hAnsi="宋体" w:eastAsia="宋体" w:cs="宋体"/>
                <w:color w:val="auto"/>
                <w:sz w:val="21"/>
                <w:szCs w:val="21"/>
                <w:highlight w:val="none"/>
              </w:rPr>
              <w:t>托管运营管理服务费用</w:t>
            </w:r>
            <w:r>
              <w:rPr>
                <w:rFonts w:hint="eastAsia" w:ascii="宋体" w:hAnsi="宋体" w:eastAsia="宋体" w:cs="宋体"/>
                <w:color w:val="auto"/>
                <w:sz w:val="21"/>
                <w:szCs w:val="21"/>
                <w:highlight w:val="none"/>
                <w:lang w:val="en-US" w:eastAsia="zh-CN"/>
              </w:rPr>
              <w:t>=采购预算金额×中标折扣（如中标折扣为95%，则</w:t>
            </w:r>
            <w:r>
              <w:rPr>
                <w:rFonts w:hint="eastAsia" w:ascii="宋体" w:hAnsi="宋体" w:eastAsia="宋体" w:cs="宋体"/>
                <w:color w:val="auto"/>
                <w:sz w:val="21"/>
                <w:szCs w:val="21"/>
                <w:highlight w:val="none"/>
              </w:rPr>
              <w:t>托管运营管理服务费用</w:t>
            </w:r>
            <w:r>
              <w:rPr>
                <w:rFonts w:hint="eastAsia" w:ascii="宋体" w:hAnsi="宋体" w:eastAsia="宋体" w:cs="宋体"/>
                <w:color w:val="auto"/>
                <w:sz w:val="21"/>
                <w:szCs w:val="21"/>
                <w:highlight w:val="none"/>
                <w:lang w:val="en-US" w:eastAsia="zh-CN"/>
              </w:rPr>
              <w:t>为</w:t>
            </w:r>
            <w:r>
              <w:rPr>
                <w:rFonts w:hint="eastAsia" w:ascii="宋体" w:hAnsi="宋体" w:cs="宋体"/>
                <w:color w:val="auto"/>
                <w:sz w:val="21"/>
                <w:szCs w:val="21"/>
                <w:highlight w:val="none"/>
                <w:lang w:val="en-US" w:eastAsia="zh-CN"/>
              </w:rPr>
              <w:t>6000</w:t>
            </w:r>
            <w:r>
              <w:rPr>
                <w:rFonts w:hint="eastAsia" w:ascii="宋体" w:hAnsi="宋体" w:eastAsia="宋体" w:cs="宋体"/>
                <w:color w:val="auto"/>
                <w:sz w:val="21"/>
                <w:szCs w:val="21"/>
                <w:highlight w:val="none"/>
                <w:lang w:val="en-US" w:eastAsia="zh-CN"/>
              </w:rPr>
              <w:t>万元×95%=</w:t>
            </w:r>
            <w:r>
              <w:rPr>
                <w:rFonts w:hint="eastAsia" w:ascii="宋体" w:hAnsi="宋体" w:cs="宋体"/>
                <w:color w:val="auto"/>
                <w:sz w:val="21"/>
                <w:szCs w:val="21"/>
                <w:highlight w:val="none"/>
                <w:lang w:val="en-US" w:eastAsia="zh-CN"/>
              </w:rPr>
              <w:t>5700</w:t>
            </w:r>
            <w:r>
              <w:rPr>
                <w:rFonts w:hint="eastAsia" w:ascii="宋体" w:hAnsi="宋体" w:eastAsia="宋体" w:cs="宋体"/>
                <w:color w:val="auto"/>
                <w:sz w:val="21"/>
                <w:szCs w:val="21"/>
                <w:highlight w:val="none"/>
                <w:lang w:val="en-US" w:eastAsia="zh-CN"/>
              </w:rPr>
              <w:t>万元）</w:t>
            </w:r>
            <w:r>
              <w:rPr>
                <w:rFonts w:hint="eastAsia" w:ascii="宋体" w:hAnsi="宋体" w:eastAsia="宋体" w:cs="宋体"/>
                <w:b w:val="0"/>
                <w:bCs/>
                <w:color w:val="auto"/>
                <w:sz w:val="21"/>
                <w:szCs w:val="21"/>
                <w:highlight w:val="none"/>
                <w:lang w:val="en-US" w:eastAsia="zh-CN"/>
              </w:rPr>
              <w:t>，按</w:t>
            </w:r>
            <w:r>
              <w:rPr>
                <w:rFonts w:hint="eastAsia" w:ascii="宋体" w:hAnsi="宋体" w:eastAsia="宋体" w:cs="宋体"/>
                <w:b w:val="0"/>
                <w:bCs/>
                <w:color w:val="auto"/>
                <w:sz w:val="21"/>
                <w:szCs w:val="21"/>
                <w:highlight w:val="none"/>
                <w:lang w:val="en-US" w:eastAsia="zh-CN"/>
              </w:rPr>
              <w:t>月度</w:t>
            </w:r>
            <w:r>
              <w:rPr>
                <w:rFonts w:hint="eastAsia" w:ascii="宋体" w:hAnsi="宋体" w:eastAsia="宋体" w:cs="宋体"/>
                <w:b w:val="0"/>
                <w:bCs/>
                <w:color w:val="auto"/>
                <w:sz w:val="21"/>
                <w:szCs w:val="21"/>
                <w:highlight w:val="none"/>
                <w:lang w:val="en-US" w:eastAsia="zh-CN"/>
              </w:rPr>
              <w:t>平均支付。</w:t>
            </w:r>
          </w:p>
          <w:p w14:paraId="7838F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（3）运营期届满后，双方共同确认实际年节能率</w:t>
            </w:r>
            <w:r>
              <w:rPr>
                <w:rFonts w:hint="eastAsia" w:ascii="宋体" w:hAnsi="宋体" w:cs="宋体"/>
                <w:b w:val="0"/>
                <w:bCs/>
                <w:color w:val="auto"/>
                <w:sz w:val="21"/>
                <w:szCs w:val="21"/>
                <w:highlight w:val="none"/>
                <w:lang w:val="en-US" w:eastAsia="zh-CN"/>
              </w:rPr>
              <w:t>，若节能率达到或超过5%，采购人应于确认后10个工作日内，全额支付最后一期（月）托管费用；若节能率低于5%，采购人有权从最后一期应付费用中直接扣减50万元，余款于10个工作日内支付</w:t>
            </w:r>
            <w:r>
              <w:rPr>
                <w:rFonts w:hint="eastAsia" w:ascii="宋体" w:hAnsi="宋体" w:eastAsia="宋体" w:cs="宋体"/>
                <w:b w:val="0"/>
                <w:bCs/>
                <w:color w:val="auto"/>
                <w:sz w:val="21"/>
                <w:szCs w:val="21"/>
                <w:highlight w:val="none"/>
                <w:lang w:val="en-US" w:eastAsia="zh-CN"/>
              </w:rPr>
              <w:t>。</w:t>
            </w:r>
          </w:p>
          <w:p w14:paraId="3EF2D6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中标人于每</w:t>
            </w:r>
            <w:r>
              <w:rPr>
                <w:rFonts w:hint="eastAsia" w:ascii="宋体" w:hAnsi="宋体" w:cs="宋体"/>
                <w:b w:val="0"/>
                <w:bCs/>
                <w:color w:val="auto"/>
                <w:sz w:val="21"/>
                <w:szCs w:val="21"/>
                <w:highlight w:val="none"/>
                <w:lang w:val="en-US" w:eastAsia="zh-CN"/>
              </w:rPr>
              <w:t>月度</w:t>
            </w:r>
            <w:r>
              <w:rPr>
                <w:rFonts w:hint="eastAsia" w:ascii="宋体" w:hAnsi="宋体" w:eastAsia="宋体" w:cs="宋体"/>
                <w:color w:val="auto"/>
                <w:sz w:val="21"/>
                <w:szCs w:val="21"/>
                <w:highlight w:val="none"/>
              </w:rPr>
              <w:t>末提交请款函并按采购人要求开具发票。</w:t>
            </w:r>
          </w:p>
        </w:tc>
      </w:tr>
      <w:tr w14:paraId="4E160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noWrap w:val="0"/>
            <w:vAlign w:val="center"/>
          </w:tcPr>
          <w:p w14:paraId="0AA2D032">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培训要求</w:t>
            </w:r>
          </w:p>
        </w:tc>
        <w:tc>
          <w:tcPr>
            <w:tcW w:w="6537" w:type="dxa"/>
            <w:gridSpan w:val="3"/>
            <w:tcBorders>
              <w:top w:val="single" w:color="auto" w:sz="4" w:space="0"/>
              <w:left w:val="single" w:color="auto" w:sz="4" w:space="0"/>
              <w:bottom w:val="single" w:color="auto" w:sz="4" w:space="0"/>
              <w:right w:val="single" w:color="auto" w:sz="4" w:space="0"/>
            </w:tcBorders>
            <w:noWrap w:val="0"/>
            <w:vAlign w:val="center"/>
          </w:tcPr>
          <w:p w14:paraId="71C93B55">
            <w:p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rPr>
              <w:t>采购人提供不少于1次能源管理专题培训</w:t>
            </w:r>
          </w:p>
        </w:tc>
      </w:tr>
      <w:tr w14:paraId="3CEDA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noWrap w:val="0"/>
            <w:vAlign w:val="center"/>
          </w:tcPr>
          <w:p w14:paraId="6CB0DE3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故障响应</w:t>
            </w:r>
          </w:p>
        </w:tc>
        <w:tc>
          <w:tcPr>
            <w:tcW w:w="6537" w:type="dxa"/>
            <w:gridSpan w:val="3"/>
            <w:tcBorders>
              <w:top w:val="single" w:color="auto" w:sz="4" w:space="0"/>
              <w:left w:val="single" w:color="auto" w:sz="4" w:space="0"/>
              <w:bottom w:val="single" w:color="auto" w:sz="4" w:space="0"/>
              <w:right w:val="single" w:color="auto" w:sz="4" w:space="0"/>
            </w:tcBorders>
            <w:noWrap w:val="0"/>
            <w:vAlign w:val="center"/>
          </w:tcPr>
          <w:p w14:paraId="5C8FC8CB">
            <w:pPr>
              <w:tabs>
                <w:tab w:val="left" w:pos="180"/>
                <w:tab w:val="left" w:pos="1620"/>
              </w:tabs>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中标人投入设备发生故障须立即响应，12小时内到场，24小时内修复。重要系统若8小时内无法修复，须在8小时内提供备用设备</w:t>
            </w:r>
            <w:r>
              <w:rPr>
                <w:rFonts w:hint="eastAsia" w:ascii="宋体" w:hAnsi="宋体" w:eastAsia="宋体" w:cs="宋体"/>
                <w:color w:val="auto"/>
                <w:sz w:val="21"/>
                <w:szCs w:val="21"/>
                <w:highlight w:val="none"/>
                <w:lang w:eastAsia="zh-CN"/>
              </w:rPr>
              <w:t>。</w:t>
            </w:r>
          </w:p>
        </w:tc>
      </w:tr>
      <w:tr w14:paraId="74E9F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noWrap w:val="0"/>
            <w:vAlign w:val="center"/>
          </w:tcPr>
          <w:p w14:paraId="17743998">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期满移交</w:t>
            </w:r>
          </w:p>
        </w:tc>
        <w:tc>
          <w:tcPr>
            <w:tcW w:w="6537" w:type="dxa"/>
            <w:gridSpan w:val="3"/>
            <w:tcBorders>
              <w:top w:val="single" w:color="auto" w:sz="4" w:space="0"/>
              <w:left w:val="single" w:color="auto" w:sz="4" w:space="0"/>
              <w:bottom w:val="single" w:color="auto" w:sz="4" w:space="0"/>
              <w:right w:val="single" w:color="auto" w:sz="4" w:space="0"/>
            </w:tcBorders>
            <w:noWrap w:val="0"/>
            <w:vAlign w:val="center"/>
          </w:tcPr>
          <w:p w14:paraId="46CD423F">
            <w:pPr>
              <w:tabs>
                <w:tab w:val="left" w:pos="180"/>
                <w:tab w:val="left" w:pos="1620"/>
              </w:tabs>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在合同期限内，采购人及用能单位原设备的日常运营管理、维护保养及其所产生的费用仍由采购人及用能单位承担，项目中标人投入改造的新设备的运营管理及故障维修及其所产生的费用由中标人承担</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合同期满后，中标人投资形成的所有有形资产及相关文件资料须</w:t>
            </w:r>
            <w:r>
              <w:rPr>
                <w:rFonts w:hint="eastAsia" w:ascii="宋体" w:hAnsi="宋体" w:cs="宋体"/>
                <w:color w:val="auto"/>
                <w:sz w:val="21"/>
                <w:szCs w:val="21"/>
                <w:highlight w:val="none"/>
                <w:lang w:val="en-US" w:eastAsia="zh-CN"/>
              </w:rPr>
              <w:t>无条件</w:t>
            </w:r>
            <w:r>
              <w:rPr>
                <w:rFonts w:hint="eastAsia" w:ascii="宋体" w:hAnsi="宋体" w:eastAsia="宋体" w:cs="宋体"/>
                <w:color w:val="auto"/>
                <w:sz w:val="21"/>
                <w:szCs w:val="21"/>
                <w:highlight w:val="none"/>
              </w:rPr>
              <w:t>移交给采购人，并共同完成系统全面检修</w:t>
            </w:r>
            <w:r>
              <w:rPr>
                <w:rFonts w:hint="eastAsia" w:ascii="宋体" w:hAnsi="宋体" w:eastAsia="宋体" w:cs="宋体"/>
                <w:color w:val="auto"/>
                <w:sz w:val="21"/>
                <w:szCs w:val="21"/>
                <w:highlight w:val="none"/>
                <w:lang w:eastAsia="zh-CN"/>
              </w:rPr>
              <w:t>。</w:t>
            </w:r>
          </w:p>
        </w:tc>
      </w:tr>
      <w:tr w14:paraId="2B3AE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42" w:type="dxa"/>
            <w:gridSpan w:val="3"/>
            <w:tcBorders>
              <w:top w:val="single" w:color="auto" w:sz="4" w:space="0"/>
              <w:left w:val="single" w:color="auto" w:sz="4" w:space="0"/>
              <w:bottom w:val="single" w:color="auto" w:sz="4" w:space="0"/>
              <w:right w:val="single" w:color="auto" w:sz="4" w:space="0"/>
            </w:tcBorders>
            <w:noWrap w:val="0"/>
            <w:vAlign w:val="center"/>
          </w:tcPr>
          <w:p w14:paraId="694166F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验收标准</w:t>
            </w:r>
          </w:p>
        </w:tc>
        <w:tc>
          <w:tcPr>
            <w:tcW w:w="6537" w:type="dxa"/>
            <w:gridSpan w:val="3"/>
            <w:tcBorders>
              <w:top w:val="single" w:color="auto" w:sz="4" w:space="0"/>
              <w:left w:val="single" w:color="auto" w:sz="4" w:space="0"/>
              <w:bottom w:val="single" w:color="auto" w:sz="4" w:space="0"/>
              <w:right w:val="single" w:color="auto" w:sz="4" w:space="0"/>
            </w:tcBorders>
            <w:noWrap w:val="0"/>
            <w:vAlign w:val="center"/>
          </w:tcPr>
          <w:p w14:paraId="143EECA3">
            <w:p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1.依据合同及现行</w:t>
            </w:r>
            <w:r>
              <w:rPr>
                <w:rFonts w:hint="eastAsia" w:ascii="宋体" w:hAnsi="宋体" w:eastAsia="宋体" w:cs="宋体"/>
                <w:color w:val="auto"/>
                <w:sz w:val="21"/>
                <w:szCs w:val="21"/>
                <w:highlight w:val="none"/>
              </w:rPr>
              <w:t>国家相关标准、行业标准、地方标准或者其他标准</w:t>
            </w:r>
            <w:r>
              <w:rPr>
                <w:rFonts w:hint="eastAsia" w:ascii="宋体" w:hAnsi="宋体" w:eastAsia="宋体" w:cs="宋体"/>
                <w:color w:val="auto"/>
                <w:sz w:val="21"/>
                <w:szCs w:val="21"/>
                <w:highlight w:val="none"/>
              </w:rPr>
              <w:t>、规范验收。</w:t>
            </w:r>
          </w:p>
          <w:p w14:paraId="49970464">
            <w:p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2.验收不通过须整改至通过，费用由中标人承担。</w:t>
            </w:r>
          </w:p>
          <w:p w14:paraId="16E284CC">
            <w:pPr>
              <w:tabs>
                <w:tab w:val="left" w:pos="180"/>
                <w:tab w:val="left" w:pos="162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3.验收费用由中标人负责。</w:t>
            </w:r>
          </w:p>
        </w:tc>
      </w:tr>
      <w:tr w14:paraId="09224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79" w:type="dxa"/>
            <w:gridSpan w:val="6"/>
            <w:tcBorders>
              <w:top w:val="single" w:color="auto" w:sz="4" w:space="0"/>
              <w:left w:val="single" w:color="auto" w:sz="4" w:space="0"/>
              <w:bottom w:val="single" w:color="auto" w:sz="4" w:space="0"/>
              <w:right w:val="single" w:color="auto" w:sz="4" w:space="0"/>
            </w:tcBorders>
            <w:noWrap w:val="0"/>
            <w:vAlign w:val="center"/>
          </w:tcPr>
          <w:p w14:paraId="03895C3F">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en-US" w:eastAsia="zh-CN"/>
              </w:rPr>
              <w:t>其他说明</w:t>
            </w:r>
          </w:p>
        </w:tc>
      </w:tr>
      <w:tr w14:paraId="038CF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79" w:type="dxa"/>
            <w:gridSpan w:val="6"/>
            <w:tcBorders>
              <w:top w:val="single" w:color="auto" w:sz="4" w:space="0"/>
              <w:left w:val="single" w:color="auto" w:sz="4" w:space="0"/>
              <w:bottom w:val="single" w:color="auto" w:sz="4" w:space="0"/>
              <w:right w:val="single" w:color="auto" w:sz="4" w:space="0"/>
            </w:tcBorders>
            <w:noWrap w:val="0"/>
            <w:vAlign w:val="center"/>
          </w:tcPr>
          <w:p w14:paraId="0877D871">
            <w:pPr>
              <w:numPr>
                <w:ilvl w:val="0"/>
                <w:numId w:val="0"/>
              </w:numPr>
              <w:tabs>
                <w:tab w:val="left" w:pos="180"/>
                <w:tab w:val="left" w:pos="1620"/>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1.核心要求</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在投标文件中提供详细的</w:t>
            </w:r>
            <w:r>
              <w:rPr>
                <w:rFonts w:hint="eastAsia" w:ascii="宋体" w:hAnsi="宋体" w:eastAsia="宋体" w:cs="宋体"/>
                <w:color w:val="auto"/>
                <w:sz w:val="21"/>
                <w:szCs w:val="21"/>
                <w:highlight w:val="none"/>
                <w:lang w:val="en-US" w:eastAsia="zh-CN"/>
              </w:rPr>
              <w:t>项目服务实施方案和服务承诺方案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项目服务实施方案</w:t>
            </w:r>
            <w:r>
              <w:rPr>
                <w:rFonts w:hint="eastAsia" w:ascii="宋体" w:hAnsi="宋体" w:eastAsia="宋体" w:cs="宋体"/>
                <w:color w:val="auto"/>
                <w:sz w:val="21"/>
                <w:szCs w:val="21"/>
                <w:highlight w:val="none"/>
              </w:rPr>
              <w:t>包括但不限于</w:t>
            </w:r>
            <w:r>
              <w:rPr>
                <w:rFonts w:hint="eastAsia" w:ascii="宋体" w:hAnsi="宋体" w:eastAsia="宋体" w:cs="宋体"/>
                <w:color w:val="auto"/>
                <w:sz w:val="21"/>
                <w:szCs w:val="21"/>
                <w:highlight w:val="none"/>
                <w:lang w:val="en-US" w:eastAsia="zh-CN"/>
              </w:rPr>
              <w:t>能源诊断方案、技术方案、工作进度及保障措施方案、维护方案等。</w:t>
            </w:r>
            <w:r>
              <w:rPr>
                <w:rFonts w:hint="eastAsia" w:ascii="宋体" w:hAnsi="宋体" w:eastAsia="宋体" w:cs="宋体"/>
                <w:color w:val="auto"/>
                <w:sz w:val="21"/>
                <w:szCs w:val="21"/>
                <w:highlight w:val="none"/>
                <w:lang w:val="en-US" w:eastAsia="zh-CN"/>
              </w:rPr>
              <w:t>服务承诺方案</w:t>
            </w:r>
            <w:r>
              <w:rPr>
                <w:rFonts w:hint="eastAsia" w:ascii="宋体" w:hAnsi="宋体" w:eastAsia="宋体" w:cs="宋体"/>
                <w:color w:val="auto"/>
                <w:sz w:val="21"/>
                <w:szCs w:val="21"/>
                <w:highlight w:val="none"/>
              </w:rPr>
              <w:t>包括但不限于运维服务要求、故障定义后的响应要求</w:t>
            </w:r>
            <w:r>
              <w:rPr>
                <w:rFonts w:hint="eastAsia" w:ascii="宋体" w:hAnsi="宋体" w:eastAsia="宋体" w:cs="宋体"/>
                <w:color w:val="auto"/>
                <w:sz w:val="21"/>
                <w:szCs w:val="21"/>
                <w:highlight w:val="none"/>
                <w:lang w:val="en-US" w:eastAsia="zh-CN"/>
              </w:rPr>
              <w:t>等。</w:t>
            </w:r>
          </w:p>
          <w:p w14:paraId="27F37933">
            <w:pPr>
              <w:numPr>
                <w:ilvl w:val="0"/>
                <w:numId w:val="0"/>
              </w:numPr>
              <w:tabs>
                <w:tab w:val="left" w:pos="180"/>
                <w:tab w:val="left" w:pos="1620"/>
              </w:tabs>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2.评审依据：</w:t>
            </w:r>
            <w:r>
              <w:rPr>
                <w:rFonts w:hint="eastAsia" w:ascii="宋体" w:hAnsi="宋体" w:eastAsia="宋体" w:cs="宋体"/>
                <w:color w:val="auto"/>
                <w:sz w:val="21"/>
                <w:szCs w:val="21"/>
                <w:highlight w:val="none"/>
                <w:lang w:val="en-US" w:eastAsia="zh-CN"/>
              </w:rPr>
              <w:t>评委</w:t>
            </w:r>
            <w:r>
              <w:rPr>
                <w:rFonts w:hint="eastAsia" w:ascii="宋体" w:hAnsi="宋体" w:eastAsia="宋体" w:cs="宋体"/>
                <w:color w:val="auto"/>
                <w:sz w:val="21"/>
                <w:szCs w:val="21"/>
                <w:highlight w:val="none"/>
                <w:lang w:val="en-US" w:eastAsia="zh-CN"/>
              </w:rPr>
              <w:t>将根据投标人提供的能源诊断方案</w:t>
            </w:r>
            <w:r>
              <w:rPr>
                <w:rFonts w:hint="eastAsia" w:ascii="宋体" w:hAnsi="宋体" w:cs="宋体"/>
                <w:color w:val="auto"/>
                <w:sz w:val="21"/>
                <w:szCs w:val="21"/>
                <w:highlight w:val="none"/>
                <w:lang w:val="en-US" w:eastAsia="zh-CN"/>
              </w:rPr>
              <w:t>（包括</w:t>
            </w:r>
            <w:r>
              <w:rPr>
                <w:rFonts w:hint="eastAsia" w:ascii="宋体" w:hAnsi="宋体" w:eastAsia="宋体" w:cs="宋体"/>
                <w:color w:val="auto"/>
                <w:sz w:val="21"/>
                <w:szCs w:val="21"/>
                <w:highlight w:val="none"/>
              </w:rPr>
              <w:t>诊断程序、方法或内容</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、技术方案</w:t>
            </w:r>
            <w:r>
              <w:rPr>
                <w:rFonts w:hint="eastAsia" w:ascii="宋体" w:hAnsi="宋体" w:cs="宋体"/>
                <w:color w:val="auto"/>
                <w:sz w:val="21"/>
                <w:szCs w:val="21"/>
                <w:highlight w:val="none"/>
                <w:lang w:val="en-US" w:eastAsia="zh-CN"/>
              </w:rPr>
              <w:t>【包括</w:t>
            </w:r>
            <w:r>
              <w:rPr>
                <w:rFonts w:hint="eastAsia" w:ascii="宋体" w:hAnsi="宋体" w:eastAsia="宋体" w:cs="宋体"/>
                <w:color w:val="auto"/>
                <w:sz w:val="21"/>
                <w:szCs w:val="21"/>
                <w:highlight w:val="none"/>
              </w:rPr>
              <w:t>如照明系统节能改造、空调系统节能改造、办公系统节能改造、动力设备（电梯、水泵等）节能改造、供配电系统改造、智慧综合能碳管理运营平台建设等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、工作进度及保障措施</w:t>
            </w:r>
            <w:r>
              <w:rPr>
                <w:rFonts w:hint="eastAsia" w:ascii="宋体" w:hAnsi="宋体" w:cs="宋体"/>
                <w:color w:val="auto"/>
                <w:sz w:val="21"/>
                <w:szCs w:val="21"/>
                <w:highlight w:val="none"/>
                <w:lang w:val="en-US" w:eastAsia="zh-CN"/>
              </w:rPr>
              <w:t>（包括</w:t>
            </w:r>
            <w:r>
              <w:rPr>
                <w:rFonts w:hint="eastAsia" w:ascii="宋体" w:hAnsi="宋体" w:eastAsia="宋体" w:cs="宋体"/>
                <w:color w:val="auto"/>
                <w:sz w:val="21"/>
                <w:szCs w:val="21"/>
                <w:highlight w:val="none"/>
              </w:rPr>
              <w:t>保证工期的措施，进度计划表</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、维护方案</w:t>
            </w:r>
            <w:r>
              <w:rPr>
                <w:rFonts w:hint="eastAsia" w:ascii="宋体" w:hAnsi="宋体" w:cs="宋体"/>
                <w:color w:val="auto"/>
                <w:sz w:val="21"/>
                <w:szCs w:val="21"/>
                <w:highlight w:val="none"/>
                <w:lang w:val="en-US" w:eastAsia="zh-CN"/>
              </w:rPr>
              <w:t>(包括</w:t>
            </w:r>
            <w:r>
              <w:rPr>
                <w:rFonts w:hint="eastAsia" w:ascii="宋体" w:hAnsi="宋体" w:eastAsia="宋体" w:cs="宋体"/>
                <w:b w:val="0"/>
                <w:bCs w:val="0"/>
                <w:color w:val="auto"/>
                <w:sz w:val="21"/>
                <w:szCs w:val="21"/>
                <w:highlight w:val="none"/>
              </w:rPr>
              <w:t>维护服务要求、故障定义及响应要求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运行维护流程</w:t>
            </w:r>
            <w:r>
              <w:rPr>
                <w:rFonts w:hint="eastAsia" w:ascii="宋体" w:hAnsi="宋体" w:cs="宋体"/>
                <w:b w:val="0"/>
                <w:bCs w:val="0"/>
                <w:color w:val="auto"/>
                <w:sz w:val="21"/>
                <w:szCs w:val="21"/>
                <w:highlight w:val="none"/>
                <w:lang w:val="en-US" w:eastAsia="zh-CN"/>
              </w:rPr>
              <w:t>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服务承诺</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包括基础的运维服务要求、故障定义后的响应承诺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等进行综合评审。</w:t>
            </w:r>
          </w:p>
        </w:tc>
      </w:tr>
    </w:tbl>
    <w:p w14:paraId="14A4B240">
      <w:pPr>
        <w:rPr>
          <w:rFonts w:ascii="黑体" w:hAnsi="黑体" w:eastAsia="黑体" w:cs="黑体"/>
          <w:color w:val="auto"/>
          <w:sz w:val="32"/>
          <w:szCs w:val="32"/>
          <w:highlight w:val="none"/>
        </w:rPr>
      </w:pPr>
      <w:r>
        <w:rPr>
          <w:rFonts w:hint="eastAsia" w:ascii="宋体" w:hAnsi="宋体" w:cs="Arial"/>
          <w:bCs/>
          <w:color w:val="auto"/>
          <w:szCs w:val="21"/>
          <w:highlight w:val="none"/>
          <w:u w:val="single"/>
        </w:rPr>
        <w:br w:type="page"/>
      </w:r>
    </w:p>
    <w:p w14:paraId="483D7F4A">
      <w:pPr>
        <w:rPr>
          <w:rFonts w:ascii="黑体" w:hAnsi="黑体" w:eastAsia="黑体" w:cs="黑体"/>
          <w:color w:val="auto"/>
          <w:sz w:val="32"/>
          <w:szCs w:val="32"/>
          <w:highlight w:val="none"/>
        </w:rPr>
        <w:sectPr>
          <w:footerReference r:id="rId9" w:type="first"/>
          <w:footerReference r:id="rId8" w:type="default"/>
          <w:pgSz w:w="11911" w:h="16838"/>
          <w:pgMar w:top="1440" w:right="1803" w:bottom="1440" w:left="1803" w:header="720" w:footer="720" w:gutter="0"/>
          <w:pgNumType w:fmt="decimal" w:start="1"/>
          <w:cols w:space="0" w:num="1"/>
          <w:titlePg/>
          <w:rtlGutter w:val="0"/>
          <w:docGrid w:linePitch="286" w:charSpace="0"/>
        </w:sectPr>
      </w:pPr>
    </w:p>
    <w:p w14:paraId="243E43D6">
      <w:pPr>
        <w:rPr>
          <w:rFonts w:ascii="黑体" w:hAnsi="黑体" w:eastAsia="黑体" w:cs="黑体"/>
          <w:color w:val="auto"/>
          <w:sz w:val="32"/>
          <w:szCs w:val="32"/>
          <w:highlight w:val="none"/>
        </w:rPr>
      </w:pPr>
      <w:r>
        <w:rPr>
          <w:rFonts w:hint="eastAsia" w:ascii="黑体" w:hAnsi="黑体" w:eastAsia="黑体" w:cs="黑体"/>
          <w:b/>
          <w:bCs/>
          <w:color w:val="auto"/>
          <w:sz w:val="32"/>
          <w:szCs w:val="32"/>
          <w:highlight w:val="none"/>
          <w:lang w:val="en-US" w:eastAsia="zh-CN"/>
        </w:rPr>
        <w:t>附件1：托管的能源资源系统范围</w:t>
      </w:r>
    </w:p>
    <w:tbl>
      <w:tblPr>
        <w:tblStyle w:val="45"/>
        <w:tblW w:w="131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
        <w:gridCol w:w="1116"/>
        <w:gridCol w:w="1682"/>
        <w:gridCol w:w="1236"/>
        <w:gridCol w:w="1507"/>
        <w:gridCol w:w="1321"/>
        <w:gridCol w:w="1476"/>
        <w:gridCol w:w="1476"/>
        <w:gridCol w:w="1476"/>
        <w:gridCol w:w="1360"/>
      </w:tblGrid>
      <w:tr w14:paraId="472E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028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A41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责任部门</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E3A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单位名称</w:t>
            </w:r>
          </w:p>
        </w:tc>
        <w:tc>
          <w:tcPr>
            <w:tcW w:w="123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3B3EE92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总建筑面积</w:t>
            </w:r>
            <w:r>
              <w:rPr>
                <w:rStyle w:val="145"/>
                <w:rFonts w:eastAsia="宋体"/>
                <w:color w:val="auto"/>
                <w:highlight w:val="none"/>
                <w:lang w:val="en-US" w:eastAsia="zh-CN" w:bidi="ar"/>
              </w:rPr>
              <w:br w:type="textWrapping"/>
            </w:r>
            <w:r>
              <w:rPr>
                <w:rStyle w:val="124"/>
                <w:color w:val="auto"/>
                <w:highlight w:val="none"/>
                <w:lang w:val="en-US" w:eastAsia="zh-CN" w:bidi="ar"/>
              </w:rPr>
              <w:t>（平方米）</w:t>
            </w:r>
          </w:p>
        </w:tc>
        <w:tc>
          <w:tcPr>
            <w:tcW w:w="1507"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79F2151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建筑年代（如有多栋楼，分别列出）</w:t>
            </w:r>
          </w:p>
        </w:tc>
        <w:tc>
          <w:tcPr>
            <w:tcW w:w="1321"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22F710E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结构形式（如有多种结构，分别列出）</w:t>
            </w:r>
          </w:p>
        </w:tc>
        <w:tc>
          <w:tcPr>
            <w:tcW w:w="147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08A5FBD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45"/>
                <w:rFonts w:eastAsia="宋体"/>
                <w:color w:val="auto"/>
                <w:highlight w:val="none"/>
                <w:lang w:val="en-US" w:eastAsia="zh-CN" w:bidi="ar"/>
              </w:rPr>
              <w:t>2025</w:t>
            </w:r>
            <w:r>
              <w:rPr>
                <w:rStyle w:val="124"/>
                <w:color w:val="auto"/>
                <w:highlight w:val="none"/>
                <w:lang w:val="en-US" w:eastAsia="zh-CN" w:bidi="ar"/>
              </w:rPr>
              <w:t>年用能人数</w:t>
            </w:r>
          </w:p>
        </w:tc>
        <w:tc>
          <w:tcPr>
            <w:tcW w:w="1476" w:type="dxa"/>
            <w:tcBorders>
              <w:top w:val="single" w:color="000000" w:sz="4" w:space="0"/>
              <w:left w:val="single" w:color="000000" w:sz="4" w:space="0"/>
              <w:bottom w:val="single" w:color="000000" w:sz="4" w:space="0"/>
              <w:right w:val="single" w:color="000000" w:sz="4" w:space="0"/>
            </w:tcBorders>
            <w:shd w:val="clear" w:color="auto" w:fill="A8EAE4"/>
            <w:vAlign w:val="center"/>
          </w:tcPr>
          <w:p w14:paraId="3AC64F9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45"/>
                <w:rFonts w:eastAsia="宋体"/>
                <w:color w:val="auto"/>
                <w:highlight w:val="none"/>
                <w:lang w:val="en-US" w:eastAsia="zh-CN" w:bidi="ar"/>
              </w:rPr>
              <w:t>2025</w:t>
            </w:r>
            <w:r>
              <w:rPr>
                <w:rStyle w:val="124"/>
                <w:color w:val="auto"/>
                <w:highlight w:val="none"/>
                <w:lang w:val="en-US" w:eastAsia="zh-CN" w:bidi="ar"/>
              </w:rPr>
              <w:t>年用电量</w:t>
            </w:r>
            <w:r>
              <w:rPr>
                <w:rStyle w:val="145"/>
                <w:rFonts w:eastAsia="宋体"/>
                <w:color w:val="auto"/>
                <w:highlight w:val="none"/>
                <w:lang w:val="en-US" w:eastAsia="zh-CN" w:bidi="ar"/>
              </w:rPr>
              <w:br w:type="textWrapping"/>
            </w:r>
            <w:r>
              <w:rPr>
                <w:rStyle w:val="124"/>
                <w:color w:val="auto"/>
                <w:highlight w:val="none"/>
                <w:lang w:val="en-US" w:eastAsia="zh-CN" w:bidi="ar"/>
              </w:rPr>
              <w:t>（千瓦时）</w:t>
            </w:r>
          </w:p>
        </w:tc>
        <w:tc>
          <w:tcPr>
            <w:tcW w:w="1476" w:type="dxa"/>
            <w:tcBorders>
              <w:top w:val="single" w:color="000000" w:sz="4" w:space="0"/>
              <w:left w:val="single" w:color="000000" w:sz="4" w:space="0"/>
              <w:bottom w:val="single" w:color="000000" w:sz="4" w:space="0"/>
              <w:right w:val="single" w:color="000000" w:sz="4" w:space="0"/>
            </w:tcBorders>
            <w:shd w:val="clear" w:color="auto" w:fill="A8EAE4"/>
            <w:vAlign w:val="center"/>
          </w:tcPr>
          <w:p w14:paraId="11066E3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45"/>
                <w:rFonts w:eastAsia="宋体"/>
                <w:color w:val="auto"/>
                <w:highlight w:val="none"/>
                <w:lang w:val="en-US" w:eastAsia="zh-CN" w:bidi="ar"/>
              </w:rPr>
              <w:t>2025</w:t>
            </w:r>
            <w:r>
              <w:rPr>
                <w:rStyle w:val="124"/>
                <w:color w:val="auto"/>
                <w:highlight w:val="none"/>
                <w:lang w:val="en-US" w:eastAsia="zh-CN" w:bidi="ar"/>
              </w:rPr>
              <w:t>年电费</w:t>
            </w:r>
            <w:r>
              <w:rPr>
                <w:rStyle w:val="145"/>
                <w:rFonts w:eastAsia="宋体"/>
                <w:color w:val="auto"/>
                <w:highlight w:val="none"/>
                <w:lang w:val="en-US" w:eastAsia="zh-CN" w:bidi="ar"/>
              </w:rPr>
              <w:br w:type="textWrapping"/>
            </w:r>
            <w:r>
              <w:rPr>
                <w:rStyle w:val="124"/>
                <w:color w:val="auto"/>
                <w:highlight w:val="none"/>
                <w:lang w:val="en-US" w:eastAsia="zh-CN" w:bidi="ar"/>
              </w:rPr>
              <w:t>（元）</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5C8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备注</w:t>
            </w:r>
          </w:p>
        </w:tc>
      </w:tr>
      <w:tr w14:paraId="3BEA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AC6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66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市卫生健康委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6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梧州市人民医院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E2D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160564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9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住院楼：</w:t>
            </w:r>
            <w:r>
              <w:rPr>
                <w:rStyle w:val="127"/>
                <w:rFonts w:eastAsia="宋体"/>
                <w:color w:val="auto"/>
                <w:highlight w:val="none"/>
                <w:lang w:val="en-US" w:eastAsia="zh-CN" w:bidi="ar"/>
              </w:rPr>
              <w:t xml:space="preserve">2012.  </w:t>
            </w:r>
            <w:r>
              <w:rPr>
                <w:rStyle w:val="122"/>
                <w:color w:val="auto"/>
                <w:highlight w:val="none"/>
                <w:lang w:val="en-US" w:eastAsia="zh-CN" w:bidi="ar"/>
              </w:rPr>
              <w:t>门诊医技楼：</w:t>
            </w:r>
            <w:r>
              <w:rPr>
                <w:rStyle w:val="127"/>
                <w:rFonts w:eastAsia="宋体"/>
                <w:color w:val="auto"/>
                <w:highlight w:val="none"/>
                <w:lang w:val="en-US" w:eastAsia="zh-CN" w:bidi="ar"/>
              </w:rPr>
              <w:t xml:space="preserve">2013   </w:t>
            </w:r>
            <w:r>
              <w:rPr>
                <w:rStyle w:val="122"/>
                <w:color w:val="auto"/>
                <w:highlight w:val="none"/>
                <w:lang w:val="en-US" w:eastAsia="zh-CN" w:bidi="ar"/>
              </w:rPr>
              <w:t>儿科楼：</w:t>
            </w:r>
            <w:r>
              <w:rPr>
                <w:rStyle w:val="127"/>
                <w:rFonts w:eastAsia="宋体"/>
                <w:color w:val="auto"/>
                <w:highlight w:val="none"/>
                <w:lang w:val="en-US" w:eastAsia="zh-CN" w:bidi="ar"/>
              </w:rPr>
              <w:t>2015     5</w:t>
            </w:r>
            <w:r>
              <w:rPr>
                <w:rStyle w:val="122"/>
                <w:color w:val="auto"/>
                <w:highlight w:val="none"/>
                <w:lang w:val="en-US" w:eastAsia="zh-CN" w:bidi="ar"/>
              </w:rPr>
              <w:t>号楼：</w:t>
            </w:r>
            <w:r>
              <w:rPr>
                <w:rStyle w:val="127"/>
                <w:rFonts w:eastAsia="宋体"/>
                <w:color w:val="auto"/>
                <w:highlight w:val="none"/>
                <w:lang w:val="en-US" w:eastAsia="zh-CN" w:bidi="ar"/>
              </w:rPr>
              <w:t xml:space="preserve">2014   </w:t>
            </w:r>
            <w:r>
              <w:rPr>
                <w:rStyle w:val="122"/>
                <w:color w:val="auto"/>
                <w:highlight w:val="none"/>
                <w:lang w:val="en-US" w:eastAsia="zh-CN" w:bidi="ar"/>
              </w:rPr>
              <w:t>公共租赁房</w:t>
            </w:r>
            <w:r>
              <w:rPr>
                <w:rStyle w:val="127"/>
                <w:rFonts w:eastAsia="宋体"/>
                <w:color w:val="auto"/>
                <w:highlight w:val="none"/>
                <w:lang w:val="en-US" w:eastAsia="zh-CN" w:bidi="ar"/>
              </w:rPr>
              <w:t>2013</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C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DDF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6044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9C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12806788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9F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9241288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E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用能人数为日均值</w:t>
            </w:r>
          </w:p>
        </w:tc>
      </w:tr>
      <w:tr w14:paraId="58A4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077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1D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市卫生健康委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4E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梧州市工人医院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49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167870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2E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旧院区</w:t>
            </w:r>
            <w:r>
              <w:rPr>
                <w:rStyle w:val="131"/>
                <w:rFonts w:eastAsia="宋体"/>
                <w:color w:val="auto"/>
                <w:highlight w:val="none"/>
                <w:lang w:val="en-US" w:eastAsia="zh-CN" w:bidi="ar"/>
              </w:rPr>
              <w:t>1903</w:t>
            </w:r>
            <w:r>
              <w:rPr>
                <w:rStyle w:val="122"/>
                <w:color w:val="auto"/>
                <w:highlight w:val="none"/>
                <w:lang w:val="en-US" w:eastAsia="zh-CN" w:bidi="ar"/>
              </w:rPr>
              <w:t>年，</w:t>
            </w:r>
            <w:r>
              <w:rPr>
                <w:rStyle w:val="131"/>
                <w:rFonts w:eastAsia="宋体"/>
                <w:color w:val="auto"/>
                <w:highlight w:val="none"/>
                <w:lang w:val="en-US" w:eastAsia="zh-CN" w:bidi="ar"/>
              </w:rPr>
              <w:br w:type="textWrapping"/>
            </w:r>
            <w:r>
              <w:rPr>
                <w:rStyle w:val="122"/>
                <w:color w:val="auto"/>
                <w:highlight w:val="none"/>
                <w:lang w:val="en-US" w:eastAsia="zh-CN" w:bidi="ar"/>
              </w:rPr>
              <w:t>北山院区</w:t>
            </w:r>
            <w:r>
              <w:rPr>
                <w:rStyle w:val="131"/>
                <w:rFonts w:eastAsia="宋体"/>
                <w:color w:val="auto"/>
                <w:highlight w:val="none"/>
                <w:lang w:val="en-US" w:eastAsia="zh-CN" w:bidi="ar"/>
              </w:rPr>
              <w:t>2018</w:t>
            </w:r>
            <w:r>
              <w:rPr>
                <w:rStyle w:val="122"/>
                <w:color w:val="auto"/>
                <w:highlight w:val="none"/>
                <w:lang w:val="en-US" w:eastAsia="zh-CN" w:bidi="ar"/>
              </w:rPr>
              <w:t>年，</w:t>
            </w:r>
            <w:r>
              <w:rPr>
                <w:rStyle w:val="131"/>
                <w:rFonts w:eastAsia="宋体"/>
                <w:color w:val="auto"/>
                <w:highlight w:val="none"/>
                <w:lang w:val="en-US" w:eastAsia="zh-CN" w:bidi="ar"/>
              </w:rPr>
              <w:br w:type="textWrapping"/>
            </w:r>
            <w:r>
              <w:rPr>
                <w:rStyle w:val="122"/>
                <w:color w:val="auto"/>
                <w:highlight w:val="none"/>
                <w:lang w:val="en-US" w:eastAsia="zh-CN" w:bidi="ar"/>
              </w:rPr>
              <w:t>门诊住院综合楼</w:t>
            </w:r>
            <w:r>
              <w:rPr>
                <w:rStyle w:val="131"/>
                <w:rFonts w:eastAsia="宋体"/>
                <w:color w:val="auto"/>
                <w:highlight w:val="none"/>
                <w:lang w:val="en-US" w:eastAsia="zh-CN" w:bidi="ar"/>
              </w:rPr>
              <w:t>2023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39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EF4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74034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A68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22745407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D5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16440068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D6A8">
            <w:pPr>
              <w:jc w:val="center"/>
              <w:rPr>
                <w:rFonts w:hint="default" w:ascii="Times New Roman" w:hAnsi="Times New Roman" w:eastAsia="宋体" w:cs="Times New Roman"/>
                <w:i w:val="0"/>
                <w:iCs w:val="0"/>
                <w:color w:val="auto"/>
                <w:sz w:val="22"/>
                <w:szCs w:val="22"/>
                <w:highlight w:val="none"/>
                <w:u w:val="none"/>
              </w:rPr>
            </w:pPr>
          </w:p>
        </w:tc>
      </w:tr>
      <w:tr w14:paraId="35D0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36B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5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梧州职业学院</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C6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梧州职业学院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094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288507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399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2008</w:t>
            </w:r>
            <w:r>
              <w:rPr>
                <w:rStyle w:val="122"/>
                <w:color w:val="auto"/>
                <w:highlight w:val="none"/>
                <w:lang w:val="en-US" w:eastAsia="zh-CN" w:bidi="ar"/>
              </w:rPr>
              <w:t>年</w:t>
            </w:r>
            <w:r>
              <w:rPr>
                <w:rStyle w:val="131"/>
                <w:rFonts w:eastAsia="宋体"/>
                <w:color w:val="auto"/>
                <w:highlight w:val="none"/>
                <w:lang w:val="en-US" w:eastAsia="zh-CN" w:bidi="ar"/>
              </w:rPr>
              <w:t>5</w:t>
            </w:r>
            <w:r>
              <w:rPr>
                <w:rStyle w:val="122"/>
                <w:color w:val="auto"/>
                <w:highlight w:val="none"/>
                <w:lang w:val="en-US" w:eastAsia="zh-CN" w:bidi="ar"/>
              </w:rPr>
              <w:t>栋；</w:t>
            </w:r>
            <w:r>
              <w:rPr>
                <w:rStyle w:val="131"/>
                <w:rFonts w:eastAsia="宋体"/>
                <w:color w:val="auto"/>
                <w:highlight w:val="none"/>
                <w:lang w:val="en-US" w:eastAsia="zh-CN" w:bidi="ar"/>
              </w:rPr>
              <w:t>2009</w:t>
            </w:r>
            <w:r>
              <w:rPr>
                <w:rStyle w:val="122"/>
                <w:color w:val="auto"/>
                <w:highlight w:val="none"/>
                <w:lang w:val="en-US" w:eastAsia="zh-CN" w:bidi="ar"/>
              </w:rPr>
              <w:t>年</w:t>
            </w:r>
            <w:r>
              <w:rPr>
                <w:rStyle w:val="131"/>
                <w:rFonts w:eastAsia="宋体"/>
                <w:color w:val="auto"/>
                <w:highlight w:val="none"/>
                <w:lang w:val="en-US" w:eastAsia="zh-CN" w:bidi="ar"/>
              </w:rPr>
              <w:t>2</w:t>
            </w:r>
            <w:r>
              <w:rPr>
                <w:rStyle w:val="122"/>
                <w:color w:val="auto"/>
                <w:highlight w:val="none"/>
                <w:lang w:val="en-US" w:eastAsia="zh-CN" w:bidi="ar"/>
              </w:rPr>
              <w:t>栋；</w:t>
            </w:r>
            <w:r>
              <w:rPr>
                <w:rStyle w:val="131"/>
                <w:rFonts w:eastAsia="宋体"/>
                <w:color w:val="auto"/>
                <w:highlight w:val="none"/>
                <w:lang w:val="en-US" w:eastAsia="zh-CN" w:bidi="ar"/>
              </w:rPr>
              <w:t>2010</w:t>
            </w:r>
            <w:r>
              <w:rPr>
                <w:rStyle w:val="122"/>
                <w:color w:val="auto"/>
                <w:highlight w:val="none"/>
                <w:lang w:val="en-US" w:eastAsia="zh-CN" w:bidi="ar"/>
              </w:rPr>
              <w:t>年</w:t>
            </w:r>
            <w:r>
              <w:rPr>
                <w:rStyle w:val="131"/>
                <w:rFonts w:eastAsia="宋体"/>
                <w:color w:val="auto"/>
                <w:highlight w:val="none"/>
                <w:lang w:val="en-US" w:eastAsia="zh-CN" w:bidi="ar"/>
              </w:rPr>
              <w:t>1</w:t>
            </w:r>
            <w:r>
              <w:rPr>
                <w:rStyle w:val="122"/>
                <w:color w:val="auto"/>
                <w:highlight w:val="none"/>
                <w:lang w:val="en-US" w:eastAsia="zh-CN" w:bidi="ar"/>
              </w:rPr>
              <w:t>栋；</w:t>
            </w:r>
            <w:r>
              <w:rPr>
                <w:rStyle w:val="131"/>
                <w:rFonts w:eastAsia="宋体"/>
                <w:color w:val="auto"/>
                <w:highlight w:val="none"/>
                <w:lang w:val="en-US" w:eastAsia="zh-CN" w:bidi="ar"/>
              </w:rPr>
              <w:t>2012</w:t>
            </w:r>
            <w:r>
              <w:rPr>
                <w:rStyle w:val="122"/>
                <w:color w:val="auto"/>
                <w:highlight w:val="none"/>
                <w:lang w:val="en-US" w:eastAsia="zh-CN" w:bidi="ar"/>
              </w:rPr>
              <w:t>年</w:t>
            </w:r>
            <w:r>
              <w:rPr>
                <w:rStyle w:val="131"/>
                <w:rFonts w:eastAsia="宋体"/>
                <w:color w:val="auto"/>
                <w:highlight w:val="none"/>
                <w:lang w:val="en-US" w:eastAsia="zh-CN" w:bidi="ar"/>
              </w:rPr>
              <w:t>8</w:t>
            </w:r>
            <w:r>
              <w:rPr>
                <w:rStyle w:val="122"/>
                <w:color w:val="auto"/>
                <w:highlight w:val="none"/>
                <w:lang w:val="en-US" w:eastAsia="zh-CN" w:bidi="ar"/>
              </w:rPr>
              <w:t>栋；</w:t>
            </w:r>
            <w:r>
              <w:rPr>
                <w:rStyle w:val="131"/>
                <w:rFonts w:eastAsia="宋体"/>
                <w:color w:val="auto"/>
                <w:highlight w:val="none"/>
                <w:lang w:val="en-US" w:eastAsia="zh-CN" w:bidi="ar"/>
              </w:rPr>
              <w:t>2013</w:t>
            </w:r>
            <w:r>
              <w:rPr>
                <w:rStyle w:val="122"/>
                <w:color w:val="auto"/>
                <w:highlight w:val="none"/>
                <w:lang w:val="en-US" w:eastAsia="zh-CN" w:bidi="ar"/>
              </w:rPr>
              <w:t>年</w:t>
            </w:r>
            <w:r>
              <w:rPr>
                <w:rStyle w:val="131"/>
                <w:rFonts w:eastAsia="宋体"/>
                <w:color w:val="auto"/>
                <w:highlight w:val="none"/>
                <w:lang w:val="en-US" w:eastAsia="zh-CN" w:bidi="ar"/>
              </w:rPr>
              <w:t>6</w:t>
            </w:r>
            <w:r>
              <w:rPr>
                <w:rStyle w:val="122"/>
                <w:color w:val="auto"/>
                <w:highlight w:val="none"/>
                <w:lang w:val="en-US" w:eastAsia="zh-CN" w:bidi="ar"/>
              </w:rPr>
              <w:t>栋；</w:t>
            </w:r>
            <w:r>
              <w:rPr>
                <w:rStyle w:val="131"/>
                <w:rFonts w:eastAsia="宋体"/>
                <w:color w:val="auto"/>
                <w:highlight w:val="none"/>
                <w:lang w:val="en-US" w:eastAsia="zh-CN" w:bidi="ar"/>
              </w:rPr>
              <w:t>2016</w:t>
            </w:r>
            <w:r>
              <w:rPr>
                <w:rStyle w:val="122"/>
                <w:color w:val="auto"/>
                <w:highlight w:val="none"/>
                <w:lang w:val="en-US" w:eastAsia="zh-CN" w:bidi="ar"/>
              </w:rPr>
              <w:t>年</w:t>
            </w:r>
            <w:r>
              <w:rPr>
                <w:rStyle w:val="131"/>
                <w:rFonts w:eastAsia="宋体"/>
                <w:color w:val="auto"/>
                <w:highlight w:val="none"/>
                <w:lang w:val="en-US" w:eastAsia="zh-CN" w:bidi="ar"/>
              </w:rPr>
              <w:t>6</w:t>
            </w:r>
            <w:r>
              <w:rPr>
                <w:rStyle w:val="122"/>
                <w:color w:val="auto"/>
                <w:highlight w:val="none"/>
                <w:lang w:val="en-US" w:eastAsia="zh-CN" w:bidi="ar"/>
              </w:rPr>
              <w:t>栋；</w:t>
            </w:r>
            <w:r>
              <w:rPr>
                <w:rStyle w:val="131"/>
                <w:rFonts w:eastAsia="宋体"/>
                <w:color w:val="auto"/>
                <w:highlight w:val="none"/>
                <w:lang w:val="en-US" w:eastAsia="zh-CN" w:bidi="ar"/>
              </w:rPr>
              <w:t>2018</w:t>
            </w:r>
            <w:r>
              <w:rPr>
                <w:rStyle w:val="122"/>
                <w:color w:val="auto"/>
                <w:highlight w:val="none"/>
                <w:lang w:val="en-US" w:eastAsia="zh-CN" w:bidi="ar"/>
              </w:rPr>
              <w:t>年</w:t>
            </w:r>
            <w:r>
              <w:rPr>
                <w:rStyle w:val="131"/>
                <w:rFonts w:eastAsia="宋体"/>
                <w:color w:val="auto"/>
                <w:highlight w:val="none"/>
                <w:lang w:val="en-US" w:eastAsia="zh-CN" w:bidi="ar"/>
              </w:rPr>
              <w:t>1</w:t>
            </w:r>
            <w:r>
              <w:rPr>
                <w:rStyle w:val="122"/>
                <w:color w:val="auto"/>
                <w:highlight w:val="none"/>
                <w:lang w:val="en-US" w:eastAsia="zh-CN" w:bidi="ar"/>
              </w:rPr>
              <w:t>栋；</w:t>
            </w:r>
            <w:r>
              <w:rPr>
                <w:rStyle w:val="131"/>
                <w:rFonts w:eastAsia="宋体"/>
                <w:color w:val="auto"/>
                <w:highlight w:val="none"/>
                <w:lang w:val="en-US" w:eastAsia="zh-CN" w:bidi="ar"/>
              </w:rPr>
              <w:t>2019</w:t>
            </w:r>
            <w:r>
              <w:rPr>
                <w:rStyle w:val="122"/>
                <w:color w:val="auto"/>
                <w:highlight w:val="none"/>
                <w:lang w:val="en-US" w:eastAsia="zh-CN" w:bidi="ar"/>
              </w:rPr>
              <w:t>年</w:t>
            </w:r>
            <w:r>
              <w:rPr>
                <w:rStyle w:val="131"/>
                <w:rFonts w:eastAsia="宋体"/>
                <w:color w:val="auto"/>
                <w:highlight w:val="none"/>
                <w:lang w:val="en-US" w:eastAsia="zh-CN" w:bidi="ar"/>
              </w:rPr>
              <w:t>1</w:t>
            </w:r>
            <w:r>
              <w:rPr>
                <w:rStyle w:val="122"/>
                <w:color w:val="auto"/>
                <w:highlight w:val="none"/>
                <w:lang w:val="en-US" w:eastAsia="zh-CN" w:bidi="ar"/>
              </w:rPr>
              <w:t>栋；</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24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框架剪力墙结构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94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14867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C5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9784645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AB2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5323353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DBF7">
            <w:pPr>
              <w:jc w:val="center"/>
              <w:rPr>
                <w:rFonts w:hint="default" w:ascii="Times New Roman" w:hAnsi="Times New Roman" w:eastAsia="宋体" w:cs="Times New Roman"/>
                <w:i w:val="0"/>
                <w:iCs w:val="0"/>
                <w:color w:val="auto"/>
                <w:sz w:val="22"/>
                <w:szCs w:val="22"/>
                <w:highlight w:val="none"/>
                <w:u w:val="none"/>
              </w:rPr>
            </w:pPr>
          </w:p>
        </w:tc>
      </w:tr>
      <w:tr w14:paraId="1B22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BC2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F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B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709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41048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DE9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2017</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5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AB3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1195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0F0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6665440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CC6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4802014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750D">
            <w:pPr>
              <w:jc w:val="center"/>
              <w:rPr>
                <w:rFonts w:hint="default" w:ascii="Times New Roman" w:hAnsi="Times New Roman" w:eastAsia="宋体" w:cs="Times New Roman"/>
                <w:i w:val="0"/>
                <w:iCs w:val="0"/>
                <w:color w:val="auto"/>
                <w:sz w:val="22"/>
                <w:szCs w:val="22"/>
                <w:highlight w:val="none"/>
                <w:u w:val="none"/>
              </w:rPr>
            </w:pPr>
          </w:p>
        </w:tc>
      </w:tr>
      <w:tr w14:paraId="6A79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4FA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3D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市卫生健康委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4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梧州市中医医院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E0F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56507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B8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27"/>
                <w:rFonts w:eastAsia="宋体"/>
                <w:color w:val="auto"/>
                <w:highlight w:val="none"/>
                <w:lang w:val="en-US" w:eastAsia="zh-CN" w:bidi="ar"/>
              </w:rPr>
              <w:t>2000</w:t>
            </w:r>
            <w:r>
              <w:rPr>
                <w:rStyle w:val="118"/>
                <w:color w:val="auto"/>
                <w:highlight w:val="none"/>
                <w:lang w:val="en-US" w:eastAsia="zh-CN" w:bidi="ar"/>
              </w:rPr>
              <w:t>，</w:t>
            </w:r>
            <w:r>
              <w:rPr>
                <w:rStyle w:val="127"/>
                <w:rFonts w:eastAsia="宋体"/>
                <w:color w:val="auto"/>
                <w:highlight w:val="none"/>
                <w:lang w:val="en-US" w:eastAsia="zh-CN" w:bidi="ar"/>
              </w:rPr>
              <w:t>2009</w:t>
            </w:r>
            <w:r>
              <w:rPr>
                <w:rStyle w:val="118"/>
                <w:color w:val="auto"/>
                <w:highlight w:val="none"/>
                <w:lang w:val="en-US" w:eastAsia="zh-CN" w:bidi="ar"/>
              </w:rPr>
              <w:t>、</w:t>
            </w:r>
            <w:r>
              <w:rPr>
                <w:rStyle w:val="127"/>
                <w:rFonts w:eastAsia="宋体"/>
                <w:color w:val="auto"/>
                <w:highlight w:val="none"/>
                <w:lang w:val="en-US" w:eastAsia="zh-CN" w:bidi="ar"/>
              </w:rPr>
              <w:t>2012</w:t>
            </w:r>
            <w:r>
              <w:rPr>
                <w:rStyle w:val="118"/>
                <w:color w:val="auto"/>
                <w:highlight w:val="none"/>
                <w:lang w:val="en-US" w:eastAsia="zh-CN" w:bidi="ar"/>
              </w:rPr>
              <w:t>、</w:t>
            </w:r>
            <w:r>
              <w:rPr>
                <w:rStyle w:val="127"/>
                <w:rFonts w:eastAsia="宋体"/>
                <w:color w:val="auto"/>
                <w:highlight w:val="none"/>
                <w:lang w:val="en-US" w:eastAsia="zh-CN" w:bidi="ar"/>
              </w:rPr>
              <w:t>2023</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3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钢筋混凝土</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691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4182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010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5607517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438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4052210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7E5">
            <w:pPr>
              <w:jc w:val="center"/>
              <w:rPr>
                <w:rFonts w:hint="default" w:ascii="Times New Roman" w:hAnsi="Times New Roman" w:eastAsia="宋体" w:cs="Times New Roman"/>
                <w:i w:val="0"/>
                <w:iCs w:val="0"/>
                <w:color w:val="auto"/>
                <w:sz w:val="22"/>
                <w:szCs w:val="22"/>
                <w:highlight w:val="none"/>
                <w:u w:val="none"/>
              </w:rPr>
            </w:pPr>
          </w:p>
        </w:tc>
      </w:tr>
      <w:tr w14:paraId="6983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BD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5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F3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梧州高级中学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574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82636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5E5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2012</w:t>
            </w:r>
            <w:r>
              <w:rPr>
                <w:rStyle w:val="122"/>
                <w:color w:val="auto"/>
                <w:highlight w:val="none"/>
                <w:lang w:val="en-US" w:eastAsia="zh-CN" w:bidi="ar"/>
              </w:rPr>
              <w:t>年投入使用：办公楼、实验楼、图书馆、体育馆、高峰楼、堂奥楼、教师宿舍、学生宿舍</w:t>
            </w:r>
            <w:r>
              <w:rPr>
                <w:rStyle w:val="131"/>
                <w:rFonts w:eastAsia="宋体"/>
                <w:color w:val="auto"/>
                <w:highlight w:val="none"/>
                <w:lang w:val="en-US" w:eastAsia="zh-CN" w:bidi="ar"/>
              </w:rPr>
              <w:t>ABC</w:t>
            </w:r>
            <w:r>
              <w:rPr>
                <w:rStyle w:val="122"/>
                <w:color w:val="auto"/>
                <w:highlight w:val="none"/>
                <w:lang w:val="en-US" w:eastAsia="zh-CN" w:bidi="ar"/>
              </w:rPr>
              <w:t>栋；</w:t>
            </w:r>
            <w:r>
              <w:rPr>
                <w:rStyle w:val="131"/>
                <w:rFonts w:eastAsia="宋体"/>
                <w:color w:val="auto"/>
                <w:highlight w:val="none"/>
                <w:lang w:val="en-US" w:eastAsia="zh-CN" w:bidi="ar"/>
              </w:rPr>
              <w:t>2018</w:t>
            </w:r>
            <w:r>
              <w:rPr>
                <w:rStyle w:val="122"/>
                <w:color w:val="auto"/>
                <w:highlight w:val="none"/>
                <w:lang w:val="en-US" w:eastAsia="zh-CN" w:bidi="ar"/>
              </w:rPr>
              <w:t>年德学楼、</w:t>
            </w:r>
            <w:r>
              <w:rPr>
                <w:rStyle w:val="131"/>
                <w:rFonts w:eastAsia="宋体"/>
                <w:color w:val="auto"/>
                <w:highlight w:val="none"/>
                <w:lang w:val="en-US" w:eastAsia="zh-CN" w:bidi="ar"/>
              </w:rPr>
              <w:t>D</w:t>
            </w:r>
            <w:r>
              <w:rPr>
                <w:rStyle w:val="122"/>
                <w:color w:val="auto"/>
                <w:highlight w:val="none"/>
                <w:lang w:val="en-US" w:eastAsia="zh-CN" w:bidi="ar"/>
              </w:rPr>
              <w:t>栋学生宿舍；</w:t>
            </w:r>
            <w:r>
              <w:rPr>
                <w:rStyle w:val="131"/>
                <w:rFonts w:eastAsia="宋体"/>
                <w:color w:val="auto"/>
                <w:highlight w:val="none"/>
                <w:lang w:val="en-US" w:eastAsia="zh-CN" w:bidi="ar"/>
              </w:rPr>
              <w:t>2025</w:t>
            </w:r>
            <w:r>
              <w:rPr>
                <w:rStyle w:val="122"/>
                <w:color w:val="auto"/>
                <w:highlight w:val="none"/>
                <w:lang w:val="en-US" w:eastAsia="zh-CN" w:bidi="ar"/>
              </w:rPr>
              <w:t>年</w:t>
            </w:r>
            <w:r>
              <w:rPr>
                <w:rStyle w:val="131"/>
                <w:rFonts w:eastAsia="宋体"/>
                <w:color w:val="auto"/>
                <w:highlight w:val="none"/>
                <w:lang w:val="en-US" w:eastAsia="zh-CN" w:bidi="ar"/>
              </w:rPr>
              <w:t>2#</w:t>
            </w:r>
            <w:r>
              <w:rPr>
                <w:rStyle w:val="122"/>
                <w:color w:val="auto"/>
                <w:highlight w:val="none"/>
                <w:lang w:val="en-US" w:eastAsia="zh-CN" w:bidi="ar"/>
              </w:rPr>
              <w:t>实验楼；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B4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钢筋混凝土结构</w:t>
            </w:r>
            <w:r>
              <w:rPr>
                <w:rStyle w:val="131"/>
                <w:rFonts w:eastAsia="宋体"/>
                <w:color w:val="auto"/>
                <w:highlight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8B0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2846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0F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3197309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5B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1739656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B6FA">
            <w:pPr>
              <w:jc w:val="center"/>
              <w:rPr>
                <w:rFonts w:hint="default" w:ascii="Times New Roman" w:hAnsi="Times New Roman" w:eastAsia="宋体" w:cs="Times New Roman"/>
                <w:i w:val="0"/>
                <w:iCs w:val="0"/>
                <w:color w:val="auto"/>
                <w:sz w:val="22"/>
                <w:szCs w:val="22"/>
                <w:highlight w:val="none"/>
                <w:u w:val="none"/>
              </w:rPr>
            </w:pPr>
          </w:p>
        </w:tc>
      </w:tr>
      <w:tr w14:paraId="3385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333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市市场监管局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F2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梧州市食品药品检验所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849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14567.07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C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粤桂综合实验楼：</w:t>
            </w:r>
            <w:r>
              <w:rPr>
                <w:rStyle w:val="131"/>
                <w:rFonts w:eastAsia="宋体"/>
                <w:color w:val="auto"/>
                <w:highlight w:val="none"/>
                <w:lang w:val="en-US" w:eastAsia="zh-CN" w:bidi="ar"/>
              </w:rPr>
              <w:t>2019-10-31</w:t>
            </w:r>
            <w:r>
              <w:rPr>
                <w:rStyle w:val="131"/>
                <w:rFonts w:eastAsia="宋体"/>
                <w:color w:val="auto"/>
                <w:highlight w:val="none"/>
                <w:lang w:val="en-US" w:eastAsia="zh-CN" w:bidi="ar"/>
              </w:rPr>
              <w:br w:type="textWrapping"/>
            </w:r>
            <w:r>
              <w:rPr>
                <w:rStyle w:val="122"/>
                <w:color w:val="auto"/>
                <w:highlight w:val="none"/>
                <w:lang w:val="en-US" w:eastAsia="zh-CN" w:bidi="ar"/>
              </w:rPr>
              <w:t>综合实验楼：</w:t>
            </w:r>
            <w:r>
              <w:rPr>
                <w:rStyle w:val="131"/>
                <w:rFonts w:eastAsia="宋体"/>
                <w:color w:val="auto"/>
                <w:highlight w:val="none"/>
                <w:lang w:val="en-US" w:eastAsia="zh-CN" w:bidi="ar"/>
              </w:rPr>
              <w:t>2009-10-31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F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B76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124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663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1332586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6C5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968968.95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5F6B">
            <w:pPr>
              <w:jc w:val="center"/>
              <w:rPr>
                <w:rFonts w:hint="default" w:ascii="Times New Roman" w:hAnsi="Times New Roman" w:eastAsia="宋体" w:cs="Times New Roman"/>
                <w:i w:val="0"/>
                <w:iCs w:val="0"/>
                <w:color w:val="auto"/>
                <w:sz w:val="22"/>
                <w:szCs w:val="22"/>
                <w:highlight w:val="none"/>
                <w:u w:val="none"/>
              </w:rPr>
            </w:pPr>
          </w:p>
        </w:tc>
      </w:tr>
      <w:tr w14:paraId="5DCB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43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AE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F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梧州市公安局交通警察支队</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C1B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3463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401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1995</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8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C3D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599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2A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1482132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713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1069620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5FAD">
            <w:pPr>
              <w:jc w:val="center"/>
              <w:rPr>
                <w:rFonts w:hint="default" w:ascii="Times New Roman" w:hAnsi="Times New Roman" w:eastAsia="宋体" w:cs="Times New Roman"/>
                <w:i w:val="0"/>
                <w:iCs w:val="0"/>
                <w:color w:val="auto"/>
                <w:sz w:val="22"/>
                <w:szCs w:val="22"/>
                <w:highlight w:val="none"/>
                <w:u w:val="none"/>
              </w:rPr>
            </w:pPr>
          </w:p>
        </w:tc>
      </w:tr>
      <w:tr w14:paraId="1805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192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33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B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广西梧州市第十八中学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888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48637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8E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东区办公楼</w:t>
            </w:r>
            <w:r>
              <w:rPr>
                <w:rStyle w:val="131"/>
                <w:rFonts w:eastAsia="宋体"/>
                <w:color w:val="auto"/>
                <w:highlight w:val="none"/>
                <w:lang w:val="en-US" w:eastAsia="zh-CN" w:bidi="ar"/>
              </w:rPr>
              <w:t>2010</w:t>
            </w:r>
            <w:r>
              <w:rPr>
                <w:rStyle w:val="122"/>
                <w:color w:val="auto"/>
                <w:highlight w:val="none"/>
                <w:lang w:val="en-US" w:eastAsia="zh-CN" w:bidi="ar"/>
              </w:rPr>
              <w:t>年；西区办公楼</w:t>
            </w:r>
            <w:r>
              <w:rPr>
                <w:rStyle w:val="131"/>
                <w:rFonts w:eastAsia="宋体"/>
                <w:color w:val="auto"/>
                <w:highlight w:val="none"/>
                <w:lang w:val="en-US" w:eastAsia="zh-CN" w:bidi="ar"/>
              </w:rPr>
              <w:t>1998</w:t>
            </w:r>
            <w:r>
              <w:rPr>
                <w:rStyle w:val="122"/>
                <w:color w:val="auto"/>
                <w:highlight w:val="none"/>
                <w:lang w:val="en-US" w:eastAsia="zh-CN" w:bidi="ar"/>
              </w:rPr>
              <w:t>年；科学综合楼</w:t>
            </w:r>
            <w:r>
              <w:rPr>
                <w:rStyle w:val="131"/>
                <w:rFonts w:eastAsia="宋体"/>
                <w:color w:val="auto"/>
                <w:highlight w:val="none"/>
                <w:lang w:val="en-US" w:eastAsia="zh-CN" w:bidi="ar"/>
              </w:rPr>
              <w:t>2009</w:t>
            </w:r>
            <w:r>
              <w:rPr>
                <w:rStyle w:val="122"/>
                <w:color w:val="auto"/>
                <w:highlight w:val="none"/>
                <w:lang w:val="en-US" w:eastAsia="zh-CN" w:bidi="ar"/>
              </w:rPr>
              <w:t>年；东区综合楼</w:t>
            </w:r>
            <w:r>
              <w:rPr>
                <w:rStyle w:val="131"/>
                <w:rFonts w:eastAsia="宋体"/>
                <w:color w:val="auto"/>
                <w:highlight w:val="none"/>
                <w:lang w:val="en-US" w:eastAsia="zh-CN" w:bidi="ar"/>
              </w:rPr>
              <w:t>2012</w:t>
            </w:r>
            <w:r>
              <w:rPr>
                <w:rStyle w:val="122"/>
                <w:color w:val="auto"/>
                <w:highlight w:val="none"/>
                <w:lang w:val="en-US" w:eastAsia="zh-CN" w:bidi="ar"/>
              </w:rPr>
              <w:t>年；</w:t>
            </w:r>
            <w:r>
              <w:rPr>
                <w:rStyle w:val="131"/>
                <w:rFonts w:eastAsia="宋体"/>
                <w:color w:val="auto"/>
                <w:highlight w:val="none"/>
                <w:lang w:val="en-US" w:eastAsia="zh-CN" w:bidi="ar"/>
              </w:rPr>
              <w:t>1</w:t>
            </w:r>
            <w:r>
              <w:rPr>
                <w:rStyle w:val="122"/>
                <w:color w:val="auto"/>
                <w:highlight w:val="none"/>
                <w:lang w:val="en-US" w:eastAsia="zh-CN" w:bidi="ar"/>
              </w:rPr>
              <w:t>号教学楼</w:t>
            </w:r>
            <w:r>
              <w:rPr>
                <w:rStyle w:val="131"/>
                <w:rFonts w:eastAsia="宋体"/>
                <w:color w:val="auto"/>
                <w:highlight w:val="none"/>
                <w:lang w:val="en-US" w:eastAsia="zh-CN" w:bidi="ar"/>
              </w:rPr>
              <w:t>2003</w:t>
            </w:r>
            <w:r>
              <w:rPr>
                <w:rStyle w:val="122"/>
                <w:color w:val="auto"/>
                <w:highlight w:val="none"/>
                <w:lang w:val="en-US" w:eastAsia="zh-CN" w:bidi="ar"/>
              </w:rPr>
              <w:t>年；</w:t>
            </w:r>
            <w:r>
              <w:rPr>
                <w:rStyle w:val="131"/>
                <w:rFonts w:eastAsia="宋体"/>
                <w:color w:val="auto"/>
                <w:highlight w:val="none"/>
                <w:lang w:val="en-US" w:eastAsia="zh-CN" w:bidi="ar"/>
              </w:rPr>
              <w:t>2</w:t>
            </w:r>
            <w:r>
              <w:rPr>
                <w:rStyle w:val="122"/>
                <w:color w:val="auto"/>
                <w:highlight w:val="none"/>
                <w:lang w:val="en-US" w:eastAsia="zh-CN" w:bidi="ar"/>
              </w:rPr>
              <w:t>号楼学楼</w:t>
            </w:r>
            <w:r>
              <w:rPr>
                <w:rStyle w:val="131"/>
                <w:rFonts w:eastAsia="宋体"/>
                <w:color w:val="auto"/>
                <w:highlight w:val="none"/>
                <w:lang w:val="en-US" w:eastAsia="zh-CN" w:bidi="ar"/>
              </w:rPr>
              <w:t>1987</w:t>
            </w:r>
            <w:r>
              <w:rPr>
                <w:rStyle w:val="122"/>
                <w:color w:val="auto"/>
                <w:highlight w:val="none"/>
                <w:lang w:val="en-US" w:eastAsia="zh-CN" w:bidi="ar"/>
              </w:rPr>
              <w:t>年；</w:t>
            </w:r>
            <w:r>
              <w:rPr>
                <w:rStyle w:val="131"/>
                <w:rFonts w:eastAsia="宋体"/>
                <w:color w:val="auto"/>
                <w:highlight w:val="none"/>
                <w:lang w:val="en-US" w:eastAsia="zh-CN" w:bidi="ar"/>
              </w:rPr>
              <w:t>3</w:t>
            </w:r>
            <w:r>
              <w:rPr>
                <w:rStyle w:val="122"/>
                <w:color w:val="auto"/>
                <w:highlight w:val="none"/>
                <w:lang w:val="en-US" w:eastAsia="zh-CN" w:bidi="ar"/>
              </w:rPr>
              <w:t>号教学楼东部</w:t>
            </w:r>
            <w:r>
              <w:rPr>
                <w:rStyle w:val="131"/>
                <w:rFonts w:eastAsia="宋体"/>
                <w:color w:val="auto"/>
                <w:highlight w:val="none"/>
                <w:lang w:val="en-US" w:eastAsia="zh-CN" w:bidi="ar"/>
              </w:rPr>
              <w:t>1980</w:t>
            </w:r>
            <w:r>
              <w:rPr>
                <w:rStyle w:val="122"/>
                <w:color w:val="auto"/>
                <w:highlight w:val="none"/>
                <w:lang w:val="en-US" w:eastAsia="zh-CN" w:bidi="ar"/>
              </w:rPr>
              <w:t>年西部</w:t>
            </w:r>
            <w:r>
              <w:rPr>
                <w:rStyle w:val="131"/>
                <w:rFonts w:eastAsia="宋体"/>
                <w:color w:val="auto"/>
                <w:highlight w:val="none"/>
                <w:lang w:val="en-US" w:eastAsia="zh-CN" w:bidi="ar"/>
              </w:rPr>
              <w:t>1991</w:t>
            </w:r>
            <w:r>
              <w:rPr>
                <w:rStyle w:val="122"/>
                <w:color w:val="auto"/>
                <w:highlight w:val="none"/>
                <w:lang w:val="en-US" w:eastAsia="zh-CN" w:bidi="ar"/>
              </w:rPr>
              <w:t>年；</w:t>
            </w:r>
            <w:r>
              <w:rPr>
                <w:rStyle w:val="131"/>
                <w:rFonts w:eastAsia="宋体"/>
                <w:color w:val="auto"/>
                <w:highlight w:val="none"/>
                <w:lang w:val="en-US" w:eastAsia="zh-CN" w:bidi="ar"/>
              </w:rPr>
              <w:t>4</w:t>
            </w:r>
            <w:r>
              <w:rPr>
                <w:rStyle w:val="122"/>
                <w:color w:val="auto"/>
                <w:highlight w:val="none"/>
                <w:lang w:val="en-US" w:eastAsia="zh-CN" w:bidi="ar"/>
              </w:rPr>
              <w:t>号教学楼</w:t>
            </w:r>
            <w:r>
              <w:rPr>
                <w:rStyle w:val="131"/>
                <w:rFonts w:eastAsia="宋体"/>
                <w:color w:val="auto"/>
                <w:highlight w:val="none"/>
                <w:lang w:val="en-US" w:eastAsia="zh-CN" w:bidi="ar"/>
              </w:rPr>
              <w:t>2021</w:t>
            </w:r>
            <w:r>
              <w:rPr>
                <w:rStyle w:val="122"/>
                <w:color w:val="auto"/>
                <w:highlight w:val="none"/>
                <w:lang w:val="en-US" w:eastAsia="zh-CN" w:bidi="ar"/>
              </w:rPr>
              <w:t>年；</w:t>
            </w:r>
            <w:r>
              <w:rPr>
                <w:rStyle w:val="131"/>
                <w:rFonts w:eastAsia="宋体"/>
                <w:color w:val="auto"/>
                <w:highlight w:val="none"/>
                <w:lang w:val="en-US" w:eastAsia="zh-CN" w:bidi="ar"/>
              </w:rPr>
              <w:t>5</w:t>
            </w:r>
            <w:r>
              <w:rPr>
                <w:rStyle w:val="122"/>
                <w:color w:val="auto"/>
                <w:highlight w:val="none"/>
                <w:lang w:val="en-US" w:eastAsia="zh-CN" w:bidi="ar"/>
              </w:rPr>
              <w:t>号教学楼</w:t>
            </w:r>
            <w:r>
              <w:rPr>
                <w:rStyle w:val="131"/>
                <w:rFonts w:eastAsia="宋体"/>
                <w:color w:val="auto"/>
                <w:highlight w:val="none"/>
                <w:lang w:val="en-US" w:eastAsia="zh-CN" w:bidi="ar"/>
              </w:rPr>
              <w:t>1985</w:t>
            </w:r>
            <w:r>
              <w:rPr>
                <w:rStyle w:val="122"/>
                <w:color w:val="auto"/>
                <w:highlight w:val="none"/>
                <w:lang w:val="en-US" w:eastAsia="zh-CN" w:bidi="ar"/>
              </w:rPr>
              <w:t>年；</w:t>
            </w:r>
            <w:r>
              <w:rPr>
                <w:rStyle w:val="131"/>
                <w:rFonts w:eastAsia="宋体"/>
                <w:color w:val="auto"/>
                <w:highlight w:val="none"/>
                <w:lang w:val="en-US" w:eastAsia="zh-CN" w:bidi="ar"/>
              </w:rPr>
              <w:t>6</w:t>
            </w:r>
            <w:r>
              <w:rPr>
                <w:rStyle w:val="122"/>
                <w:color w:val="auto"/>
                <w:highlight w:val="none"/>
                <w:lang w:val="en-US" w:eastAsia="zh-CN" w:bidi="ar"/>
              </w:rPr>
              <w:t>号教学楼</w:t>
            </w:r>
            <w:r>
              <w:rPr>
                <w:rStyle w:val="131"/>
                <w:rFonts w:eastAsia="宋体"/>
                <w:color w:val="auto"/>
                <w:highlight w:val="none"/>
                <w:lang w:val="en-US" w:eastAsia="zh-CN" w:bidi="ar"/>
              </w:rPr>
              <w:t>1987</w:t>
            </w:r>
            <w:r>
              <w:rPr>
                <w:rStyle w:val="122"/>
                <w:color w:val="auto"/>
                <w:highlight w:val="none"/>
                <w:lang w:val="en-US" w:eastAsia="zh-CN" w:bidi="ar"/>
              </w:rPr>
              <w:t>年；</w:t>
            </w:r>
            <w:r>
              <w:rPr>
                <w:rStyle w:val="131"/>
                <w:rFonts w:eastAsia="宋体"/>
                <w:color w:val="auto"/>
                <w:highlight w:val="none"/>
                <w:lang w:val="en-US" w:eastAsia="zh-CN" w:bidi="ar"/>
              </w:rPr>
              <w:t>7</w:t>
            </w:r>
            <w:r>
              <w:rPr>
                <w:rStyle w:val="122"/>
                <w:color w:val="auto"/>
                <w:highlight w:val="none"/>
                <w:lang w:val="en-US" w:eastAsia="zh-CN" w:bidi="ar"/>
              </w:rPr>
              <w:t>号教学楼</w:t>
            </w:r>
            <w:r>
              <w:rPr>
                <w:rStyle w:val="131"/>
                <w:rFonts w:eastAsia="宋体"/>
                <w:color w:val="auto"/>
                <w:highlight w:val="none"/>
                <w:lang w:val="en-US" w:eastAsia="zh-CN" w:bidi="ar"/>
              </w:rPr>
              <w:t>1995</w:t>
            </w:r>
            <w:r>
              <w:rPr>
                <w:rStyle w:val="122"/>
                <w:color w:val="auto"/>
                <w:highlight w:val="none"/>
                <w:lang w:val="en-US" w:eastAsia="zh-CN" w:bidi="ar"/>
              </w:rPr>
              <w:t>年；</w:t>
            </w:r>
            <w:r>
              <w:rPr>
                <w:rStyle w:val="131"/>
                <w:rFonts w:eastAsia="宋体"/>
                <w:color w:val="auto"/>
                <w:highlight w:val="none"/>
                <w:lang w:val="en-US" w:eastAsia="zh-CN" w:bidi="ar"/>
              </w:rPr>
              <w:t>1</w:t>
            </w:r>
            <w:r>
              <w:rPr>
                <w:rStyle w:val="122"/>
                <w:color w:val="auto"/>
                <w:highlight w:val="none"/>
                <w:lang w:val="en-US" w:eastAsia="zh-CN" w:bidi="ar"/>
              </w:rPr>
              <w:t>号学生公寓</w:t>
            </w:r>
            <w:r>
              <w:rPr>
                <w:rStyle w:val="131"/>
                <w:rFonts w:eastAsia="宋体"/>
                <w:color w:val="auto"/>
                <w:highlight w:val="none"/>
                <w:lang w:val="en-US" w:eastAsia="zh-CN" w:bidi="ar"/>
              </w:rPr>
              <w:t>2010</w:t>
            </w:r>
            <w:r>
              <w:rPr>
                <w:rStyle w:val="122"/>
                <w:color w:val="auto"/>
                <w:highlight w:val="none"/>
                <w:lang w:val="en-US" w:eastAsia="zh-CN" w:bidi="ar"/>
              </w:rPr>
              <w:t>年；</w:t>
            </w:r>
            <w:r>
              <w:rPr>
                <w:rStyle w:val="131"/>
                <w:rFonts w:eastAsia="宋体"/>
                <w:color w:val="auto"/>
                <w:highlight w:val="none"/>
                <w:lang w:val="en-US" w:eastAsia="zh-CN" w:bidi="ar"/>
              </w:rPr>
              <w:t>2</w:t>
            </w:r>
            <w:r>
              <w:rPr>
                <w:rStyle w:val="122"/>
                <w:color w:val="auto"/>
                <w:highlight w:val="none"/>
                <w:lang w:val="en-US" w:eastAsia="zh-CN" w:bidi="ar"/>
              </w:rPr>
              <w:t>号学生公寓</w:t>
            </w:r>
            <w:r>
              <w:rPr>
                <w:rStyle w:val="131"/>
                <w:rFonts w:eastAsia="宋体"/>
                <w:color w:val="auto"/>
                <w:highlight w:val="none"/>
                <w:lang w:val="en-US" w:eastAsia="zh-CN" w:bidi="ar"/>
              </w:rPr>
              <w:t>2007</w:t>
            </w:r>
            <w:r>
              <w:rPr>
                <w:rStyle w:val="122"/>
                <w:color w:val="auto"/>
                <w:highlight w:val="none"/>
                <w:lang w:val="en-US" w:eastAsia="zh-CN" w:bidi="ar"/>
              </w:rPr>
              <w:t>年；</w:t>
            </w:r>
            <w:r>
              <w:rPr>
                <w:rStyle w:val="131"/>
                <w:rFonts w:eastAsia="宋体"/>
                <w:color w:val="auto"/>
                <w:highlight w:val="none"/>
                <w:lang w:val="en-US" w:eastAsia="zh-CN" w:bidi="ar"/>
              </w:rPr>
              <w:t>3</w:t>
            </w:r>
            <w:r>
              <w:rPr>
                <w:rStyle w:val="122"/>
                <w:color w:val="auto"/>
                <w:highlight w:val="none"/>
                <w:lang w:val="en-US" w:eastAsia="zh-CN" w:bidi="ar"/>
              </w:rPr>
              <w:t>号学生公寓</w:t>
            </w:r>
            <w:r>
              <w:rPr>
                <w:rStyle w:val="131"/>
                <w:rFonts w:eastAsia="宋体"/>
                <w:color w:val="auto"/>
                <w:highlight w:val="none"/>
                <w:lang w:val="en-US" w:eastAsia="zh-CN" w:bidi="ar"/>
              </w:rPr>
              <w:t>1996</w:t>
            </w:r>
            <w:r>
              <w:rPr>
                <w:rStyle w:val="122"/>
                <w:color w:val="auto"/>
                <w:highlight w:val="none"/>
                <w:lang w:val="en-US" w:eastAsia="zh-CN" w:bidi="ar"/>
              </w:rPr>
              <w:t>年；</w:t>
            </w:r>
            <w:r>
              <w:rPr>
                <w:rStyle w:val="131"/>
                <w:rFonts w:eastAsia="宋体"/>
                <w:color w:val="auto"/>
                <w:highlight w:val="none"/>
                <w:lang w:val="en-US" w:eastAsia="zh-CN" w:bidi="ar"/>
              </w:rPr>
              <w:t>4</w:t>
            </w:r>
            <w:r>
              <w:rPr>
                <w:rStyle w:val="122"/>
                <w:color w:val="auto"/>
                <w:highlight w:val="none"/>
                <w:lang w:val="en-US" w:eastAsia="zh-CN" w:bidi="ar"/>
              </w:rPr>
              <w:t>号学生公寓</w:t>
            </w:r>
            <w:r>
              <w:rPr>
                <w:rStyle w:val="131"/>
                <w:rFonts w:eastAsia="宋体"/>
                <w:color w:val="auto"/>
                <w:highlight w:val="none"/>
                <w:lang w:val="en-US" w:eastAsia="zh-CN" w:bidi="ar"/>
              </w:rPr>
              <w:t>2001</w:t>
            </w:r>
            <w:r>
              <w:rPr>
                <w:rStyle w:val="122"/>
                <w:color w:val="auto"/>
                <w:highlight w:val="none"/>
                <w:lang w:val="en-US" w:eastAsia="zh-CN" w:bidi="ar"/>
              </w:rPr>
              <w:t>年；</w:t>
            </w:r>
            <w:r>
              <w:rPr>
                <w:rStyle w:val="131"/>
                <w:rFonts w:eastAsia="宋体"/>
                <w:color w:val="auto"/>
                <w:highlight w:val="none"/>
                <w:lang w:val="en-US" w:eastAsia="zh-CN" w:bidi="ar"/>
              </w:rPr>
              <w:t>5</w:t>
            </w:r>
            <w:r>
              <w:rPr>
                <w:rStyle w:val="122"/>
                <w:color w:val="auto"/>
                <w:highlight w:val="none"/>
                <w:lang w:val="en-US" w:eastAsia="zh-CN" w:bidi="ar"/>
              </w:rPr>
              <w:t>号学生公寓</w:t>
            </w:r>
            <w:r>
              <w:rPr>
                <w:rStyle w:val="131"/>
                <w:rFonts w:eastAsia="宋体"/>
                <w:color w:val="auto"/>
                <w:highlight w:val="none"/>
                <w:lang w:val="en-US" w:eastAsia="zh-CN" w:bidi="ar"/>
              </w:rPr>
              <w:t>2023</w:t>
            </w:r>
            <w:r>
              <w:rPr>
                <w:rStyle w:val="122"/>
                <w:color w:val="auto"/>
                <w:highlight w:val="none"/>
                <w:lang w:val="en-US" w:eastAsia="zh-CN" w:bidi="ar"/>
              </w:rPr>
              <w:t>年；</w:t>
            </w:r>
            <w:r>
              <w:rPr>
                <w:rStyle w:val="131"/>
                <w:rFonts w:eastAsia="宋体"/>
                <w:color w:val="auto"/>
                <w:highlight w:val="none"/>
                <w:lang w:val="en-US" w:eastAsia="zh-CN" w:bidi="ar"/>
              </w:rPr>
              <w:t>6</w:t>
            </w:r>
            <w:r>
              <w:rPr>
                <w:rStyle w:val="122"/>
                <w:color w:val="auto"/>
                <w:highlight w:val="none"/>
                <w:lang w:val="en-US" w:eastAsia="zh-CN" w:bidi="ar"/>
              </w:rPr>
              <w:t>号学生公寓</w:t>
            </w:r>
            <w:r>
              <w:rPr>
                <w:rStyle w:val="131"/>
                <w:rFonts w:eastAsia="宋体"/>
                <w:color w:val="auto"/>
                <w:highlight w:val="none"/>
                <w:lang w:val="en-US" w:eastAsia="zh-CN" w:bidi="ar"/>
              </w:rPr>
              <w:t>1985</w:t>
            </w:r>
            <w:r>
              <w:rPr>
                <w:rStyle w:val="122"/>
                <w:color w:val="auto"/>
                <w:highlight w:val="none"/>
                <w:lang w:val="en-US" w:eastAsia="zh-CN" w:bidi="ar"/>
              </w:rPr>
              <w:t>年；</w:t>
            </w:r>
            <w:r>
              <w:rPr>
                <w:rStyle w:val="131"/>
                <w:rFonts w:eastAsia="宋体"/>
                <w:color w:val="auto"/>
                <w:highlight w:val="none"/>
                <w:lang w:val="en-US" w:eastAsia="zh-CN" w:bidi="ar"/>
              </w:rPr>
              <w:t>7</w:t>
            </w:r>
            <w:r>
              <w:rPr>
                <w:rStyle w:val="122"/>
                <w:color w:val="auto"/>
                <w:highlight w:val="none"/>
                <w:lang w:val="en-US" w:eastAsia="zh-CN" w:bidi="ar"/>
              </w:rPr>
              <w:t>号学生公寓</w:t>
            </w:r>
            <w:r>
              <w:rPr>
                <w:rStyle w:val="131"/>
                <w:rFonts w:eastAsia="宋体"/>
                <w:color w:val="auto"/>
                <w:highlight w:val="none"/>
                <w:lang w:val="en-US" w:eastAsia="zh-CN" w:bidi="ar"/>
              </w:rPr>
              <w:t>2010</w:t>
            </w:r>
            <w:r>
              <w:rPr>
                <w:rStyle w:val="122"/>
                <w:color w:val="auto"/>
                <w:highlight w:val="none"/>
                <w:lang w:val="en-US" w:eastAsia="zh-CN" w:bidi="ar"/>
              </w:rPr>
              <w:t>年；</w:t>
            </w:r>
            <w:r>
              <w:rPr>
                <w:rStyle w:val="131"/>
                <w:rFonts w:eastAsia="宋体"/>
                <w:color w:val="auto"/>
                <w:highlight w:val="none"/>
                <w:lang w:val="en-US" w:eastAsia="zh-CN" w:bidi="ar"/>
              </w:rPr>
              <w:t>8</w:t>
            </w:r>
            <w:r>
              <w:rPr>
                <w:rStyle w:val="122"/>
                <w:color w:val="auto"/>
                <w:highlight w:val="none"/>
                <w:lang w:val="en-US" w:eastAsia="zh-CN" w:bidi="ar"/>
              </w:rPr>
              <w:t>号学生公寓</w:t>
            </w:r>
            <w:r>
              <w:rPr>
                <w:rStyle w:val="131"/>
                <w:rFonts w:eastAsia="宋体"/>
                <w:color w:val="auto"/>
                <w:highlight w:val="none"/>
                <w:lang w:val="en-US" w:eastAsia="zh-CN" w:bidi="ar"/>
              </w:rPr>
              <w:t>2010</w:t>
            </w:r>
            <w:r>
              <w:rPr>
                <w:rStyle w:val="122"/>
                <w:color w:val="auto"/>
                <w:highlight w:val="none"/>
                <w:lang w:val="en-US" w:eastAsia="zh-CN" w:bidi="ar"/>
              </w:rPr>
              <w:t>年；</w:t>
            </w:r>
            <w:r>
              <w:rPr>
                <w:rStyle w:val="131"/>
                <w:rFonts w:eastAsia="宋体"/>
                <w:color w:val="auto"/>
                <w:highlight w:val="none"/>
                <w:lang w:val="en-US" w:eastAsia="zh-CN" w:bidi="ar"/>
              </w:rPr>
              <w:t>9</w:t>
            </w:r>
            <w:r>
              <w:rPr>
                <w:rStyle w:val="122"/>
                <w:color w:val="auto"/>
                <w:highlight w:val="none"/>
                <w:lang w:val="en-US" w:eastAsia="zh-CN" w:bidi="ar"/>
              </w:rPr>
              <w:t>号学生公寓</w:t>
            </w:r>
            <w:r>
              <w:rPr>
                <w:rStyle w:val="131"/>
                <w:rFonts w:eastAsia="宋体"/>
                <w:color w:val="auto"/>
                <w:highlight w:val="none"/>
                <w:lang w:val="en-US" w:eastAsia="zh-CN" w:bidi="ar"/>
              </w:rPr>
              <w:t>1987</w:t>
            </w:r>
            <w:r>
              <w:rPr>
                <w:rStyle w:val="122"/>
                <w:color w:val="auto"/>
                <w:highlight w:val="none"/>
                <w:lang w:val="en-US" w:eastAsia="zh-CN" w:bidi="ar"/>
              </w:rPr>
              <w:t>年；西区食堂</w:t>
            </w:r>
            <w:r>
              <w:rPr>
                <w:rStyle w:val="131"/>
                <w:rFonts w:eastAsia="宋体"/>
                <w:color w:val="auto"/>
                <w:highlight w:val="none"/>
                <w:lang w:val="en-US" w:eastAsia="zh-CN" w:bidi="ar"/>
              </w:rPr>
              <w:t>1990</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6F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东区办公楼框架；西区办公楼框架；科学综合楼框架；东区综合楼框架；</w:t>
            </w:r>
            <w:r>
              <w:rPr>
                <w:rStyle w:val="131"/>
                <w:rFonts w:eastAsia="宋体"/>
                <w:color w:val="auto"/>
                <w:highlight w:val="none"/>
                <w:lang w:val="en-US" w:eastAsia="zh-CN" w:bidi="ar"/>
              </w:rPr>
              <w:t>1</w:t>
            </w:r>
            <w:r>
              <w:rPr>
                <w:rStyle w:val="122"/>
                <w:color w:val="auto"/>
                <w:highlight w:val="none"/>
                <w:lang w:val="en-US" w:eastAsia="zh-CN" w:bidi="ar"/>
              </w:rPr>
              <w:t>号教学楼框架；</w:t>
            </w:r>
            <w:r>
              <w:rPr>
                <w:rStyle w:val="131"/>
                <w:rFonts w:eastAsia="宋体"/>
                <w:color w:val="auto"/>
                <w:highlight w:val="none"/>
                <w:lang w:val="en-US" w:eastAsia="zh-CN" w:bidi="ar"/>
              </w:rPr>
              <w:t>2</w:t>
            </w:r>
            <w:r>
              <w:rPr>
                <w:rStyle w:val="122"/>
                <w:color w:val="auto"/>
                <w:highlight w:val="none"/>
                <w:lang w:val="en-US" w:eastAsia="zh-CN" w:bidi="ar"/>
              </w:rPr>
              <w:t>号楼学楼砖混；</w:t>
            </w:r>
            <w:r>
              <w:rPr>
                <w:rStyle w:val="131"/>
                <w:rFonts w:eastAsia="宋体"/>
                <w:color w:val="auto"/>
                <w:highlight w:val="none"/>
                <w:lang w:val="en-US" w:eastAsia="zh-CN" w:bidi="ar"/>
              </w:rPr>
              <w:t>3</w:t>
            </w:r>
            <w:r>
              <w:rPr>
                <w:rStyle w:val="122"/>
                <w:color w:val="auto"/>
                <w:highlight w:val="none"/>
                <w:lang w:val="en-US" w:eastAsia="zh-CN" w:bidi="ar"/>
              </w:rPr>
              <w:t>号教学楼东部砖混、西部砖混；</w:t>
            </w:r>
            <w:r>
              <w:rPr>
                <w:rStyle w:val="131"/>
                <w:rFonts w:eastAsia="宋体"/>
                <w:color w:val="auto"/>
                <w:highlight w:val="none"/>
                <w:lang w:val="en-US" w:eastAsia="zh-CN" w:bidi="ar"/>
              </w:rPr>
              <w:t>4</w:t>
            </w:r>
            <w:r>
              <w:rPr>
                <w:rStyle w:val="122"/>
                <w:color w:val="auto"/>
                <w:highlight w:val="none"/>
                <w:lang w:val="en-US" w:eastAsia="zh-CN" w:bidi="ar"/>
              </w:rPr>
              <w:t>号教学楼框架；</w:t>
            </w:r>
            <w:r>
              <w:rPr>
                <w:rStyle w:val="131"/>
                <w:rFonts w:eastAsia="宋体"/>
                <w:color w:val="auto"/>
                <w:highlight w:val="none"/>
                <w:lang w:val="en-US" w:eastAsia="zh-CN" w:bidi="ar"/>
              </w:rPr>
              <w:t>5</w:t>
            </w:r>
            <w:r>
              <w:rPr>
                <w:rStyle w:val="122"/>
                <w:color w:val="auto"/>
                <w:highlight w:val="none"/>
                <w:lang w:val="en-US" w:eastAsia="zh-CN" w:bidi="ar"/>
              </w:rPr>
              <w:t>号教学楼砖混；</w:t>
            </w:r>
            <w:r>
              <w:rPr>
                <w:rStyle w:val="131"/>
                <w:rFonts w:eastAsia="宋体"/>
                <w:color w:val="auto"/>
                <w:highlight w:val="none"/>
                <w:lang w:val="en-US" w:eastAsia="zh-CN" w:bidi="ar"/>
              </w:rPr>
              <w:t>6</w:t>
            </w:r>
            <w:r>
              <w:rPr>
                <w:rStyle w:val="122"/>
                <w:color w:val="auto"/>
                <w:highlight w:val="none"/>
                <w:lang w:val="en-US" w:eastAsia="zh-CN" w:bidi="ar"/>
              </w:rPr>
              <w:t>号教学楼砖混；</w:t>
            </w:r>
            <w:r>
              <w:rPr>
                <w:rStyle w:val="131"/>
                <w:rFonts w:eastAsia="宋体"/>
                <w:color w:val="auto"/>
                <w:highlight w:val="none"/>
                <w:lang w:val="en-US" w:eastAsia="zh-CN" w:bidi="ar"/>
              </w:rPr>
              <w:t>7</w:t>
            </w:r>
            <w:r>
              <w:rPr>
                <w:rStyle w:val="122"/>
                <w:color w:val="auto"/>
                <w:highlight w:val="none"/>
                <w:lang w:val="en-US" w:eastAsia="zh-CN" w:bidi="ar"/>
              </w:rPr>
              <w:t>号教学楼砖混；</w:t>
            </w:r>
            <w:r>
              <w:rPr>
                <w:rStyle w:val="131"/>
                <w:rFonts w:eastAsia="宋体"/>
                <w:color w:val="auto"/>
                <w:highlight w:val="none"/>
                <w:lang w:val="en-US" w:eastAsia="zh-CN" w:bidi="ar"/>
              </w:rPr>
              <w:t>1</w:t>
            </w:r>
            <w:r>
              <w:rPr>
                <w:rStyle w:val="122"/>
                <w:color w:val="auto"/>
                <w:highlight w:val="none"/>
                <w:lang w:val="en-US" w:eastAsia="zh-CN" w:bidi="ar"/>
              </w:rPr>
              <w:t>号学生公寓框架；</w:t>
            </w:r>
            <w:r>
              <w:rPr>
                <w:rStyle w:val="131"/>
                <w:rFonts w:eastAsia="宋体"/>
                <w:color w:val="auto"/>
                <w:highlight w:val="none"/>
                <w:lang w:val="en-US" w:eastAsia="zh-CN" w:bidi="ar"/>
              </w:rPr>
              <w:t>2</w:t>
            </w:r>
            <w:r>
              <w:rPr>
                <w:rStyle w:val="122"/>
                <w:color w:val="auto"/>
                <w:highlight w:val="none"/>
                <w:lang w:val="en-US" w:eastAsia="zh-CN" w:bidi="ar"/>
              </w:rPr>
              <w:t>号学生公寓框架；</w:t>
            </w:r>
            <w:r>
              <w:rPr>
                <w:rStyle w:val="131"/>
                <w:rFonts w:eastAsia="宋体"/>
                <w:color w:val="auto"/>
                <w:highlight w:val="none"/>
                <w:lang w:val="en-US" w:eastAsia="zh-CN" w:bidi="ar"/>
              </w:rPr>
              <w:t>3</w:t>
            </w:r>
            <w:r>
              <w:rPr>
                <w:rStyle w:val="122"/>
                <w:color w:val="auto"/>
                <w:highlight w:val="none"/>
                <w:lang w:val="en-US" w:eastAsia="zh-CN" w:bidi="ar"/>
              </w:rPr>
              <w:t>号学生公寓砖混；</w:t>
            </w:r>
            <w:r>
              <w:rPr>
                <w:rStyle w:val="131"/>
                <w:rFonts w:eastAsia="宋体"/>
                <w:color w:val="auto"/>
                <w:highlight w:val="none"/>
                <w:lang w:val="en-US" w:eastAsia="zh-CN" w:bidi="ar"/>
              </w:rPr>
              <w:t>4</w:t>
            </w:r>
            <w:r>
              <w:rPr>
                <w:rStyle w:val="122"/>
                <w:color w:val="auto"/>
                <w:highlight w:val="none"/>
                <w:lang w:val="en-US" w:eastAsia="zh-CN" w:bidi="ar"/>
              </w:rPr>
              <w:t>号学生公寓框架；</w:t>
            </w:r>
            <w:r>
              <w:rPr>
                <w:rStyle w:val="131"/>
                <w:rFonts w:eastAsia="宋体"/>
                <w:color w:val="auto"/>
                <w:highlight w:val="none"/>
                <w:lang w:val="en-US" w:eastAsia="zh-CN" w:bidi="ar"/>
              </w:rPr>
              <w:t>5</w:t>
            </w:r>
            <w:r>
              <w:rPr>
                <w:rStyle w:val="122"/>
                <w:color w:val="auto"/>
                <w:highlight w:val="none"/>
                <w:lang w:val="en-US" w:eastAsia="zh-CN" w:bidi="ar"/>
              </w:rPr>
              <w:t>号学生公寓</w:t>
            </w:r>
            <w:r>
              <w:rPr>
                <w:rStyle w:val="131"/>
                <w:rFonts w:eastAsia="宋体"/>
                <w:color w:val="auto"/>
                <w:highlight w:val="none"/>
                <w:lang w:val="en-US" w:eastAsia="zh-CN" w:bidi="ar"/>
              </w:rPr>
              <w:t>2023</w:t>
            </w:r>
            <w:r>
              <w:rPr>
                <w:rStyle w:val="122"/>
                <w:color w:val="auto"/>
                <w:highlight w:val="none"/>
                <w:lang w:val="en-US" w:eastAsia="zh-CN" w:bidi="ar"/>
              </w:rPr>
              <w:t>年；</w:t>
            </w:r>
            <w:r>
              <w:rPr>
                <w:rStyle w:val="131"/>
                <w:rFonts w:eastAsia="宋体"/>
                <w:color w:val="auto"/>
                <w:highlight w:val="none"/>
                <w:lang w:val="en-US" w:eastAsia="zh-CN" w:bidi="ar"/>
              </w:rPr>
              <w:t>6</w:t>
            </w:r>
            <w:r>
              <w:rPr>
                <w:rStyle w:val="122"/>
                <w:color w:val="auto"/>
                <w:highlight w:val="none"/>
                <w:lang w:val="en-US" w:eastAsia="zh-CN" w:bidi="ar"/>
              </w:rPr>
              <w:t>号学生公寓砖混；</w:t>
            </w:r>
            <w:r>
              <w:rPr>
                <w:rStyle w:val="131"/>
                <w:rFonts w:eastAsia="宋体"/>
                <w:color w:val="auto"/>
                <w:highlight w:val="none"/>
                <w:lang w:val="en-US" w:eastAsia="zh-CN" w:bidi="ar"/>
              </w:rPr>
              <w:t>7</w:t>
            </w:r>
            <w:r>
              <w:rPr>
                <w:rStyle w:val="122"/>
                <w:color w:val="auto"/>
                <w:highlight w:val="none"/>
                <w:lang w:val="en-US" w:eastAsia="zh-CN" w:bidi="ar"/>
              </w:rPr>
              <w:t>号学生公寓砖混；</w:t>
            </w:r>
            <w:r>
              <w:rPr>
                <w:rStyle w:val="131"/>
                <w:rFonts w:eastAsia="宋体"/>
                <w:color w:val="auto"/>
                <w:highlight w:val="none"/>
                <w:lang w:val="en-US" w:eastAsia="zh-CN" w:bidi="ar"/>
              </w:rPr>
              <w:t>8</w:t>
            </w:r>
            <w:r>
              <w:rPr>
                <w:rStyle w:val="122"/>
                <w:color w:val="auto"/>
                <w:highlight w:val="none"/>
                <w:lang w:val="en-US" w:eastAsia="zh-CN" w:bidi="ar"/>
              </w:rPr>
              <w:t>号学生公寓砖混；</w:t>
            </w:r>
            <w:r>
              <w:rPr>
                <w:rStyle w:val="131"/>
                <w:rFonts w:eastAsia="宋体"/>
                <w:color w:val="auto"/>
                <w:highlight w:val="none"/>
                <w:lang w:val="en-US" w:eastAsia="zh-CN" w:bidi="ar"/>
              </w:rPr>
              <w:t>9</w:t>
            </w:r>
            <w:r>
              <w:rPr>
                <w:rStyle w:val="122"/>
                <w:color w:val="auto"/>
                <w:highlight w:val="none"/>
                <w:lang w:val="en-US" w:eastAsia="zh-CN" w:bidi="ar"/>
              </w:rPr>
              <w:t>号学生公寓砖混；西区食堂框架。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5D4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4134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A02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1561383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C2A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849548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BDE1">
            <w:pPr>
              <w:jc w:val="center"/>
              <w:rPr>
                <w:rFonts w:hint="default" w:ascii="Times New Roman" w:hAnsi="Times New Roman" w:eastAsia="宋体" w:cs="Times New Roman"/>
                <w:i w:val="0"/>
                <w:iCs w:val="0"/>
                <w:color w:val="auto"/>
                <w:sz w:val="22"/>
                <w:szCs w:val="22"/>
                <w:highlight w:val="none"/>
                <w:u w:val="none"/>
              </w:rPr>
            </w:pPr>
          </w:p>
        </w:tc>
      </w:tr>
      <w:tr w14:paraId="20B8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6B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48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9E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广西梧州市第一中学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A96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58906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93A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1928</w:t>
            </w:r>
            <w:r>
              <w:rPr>
                <w:rStyle w:val="122"/>
                <w:color w:val="auto"/>
                <w:highlight w:val="none"/>
                <w:lang w:val="en-US" w:eastAsia="zh-CN" w:bidi="ar"/>
              </w:rPr>
              <w:t>年：初中部宿舍楼三舍、初中部宿舍楼二舍、初中部图书馆</w:t>
            </w:r>
            <w:r>
              <w:rPr>
                <w:rStyle w:val="131"/>
                <w:rFonts w:eastAsia="宋体"/>
                <w:color w:val="auto"/>
                <w:highlight w:val="none"/>
                <w:lang w:val="en-US" w:eastAsia="zh-CN" w:bidi="ar"/>
              </w:rPr>
              <w:t xml:space="preserve"> </w:t>
            </w:r>
            <w:r>
              <w:rPr>
                <w:rStyle w:val="122"/>
                <w:color w:val="auto"/>
                <w:highlight w:val="none"/>
                <w:lang w:val="en-US" w:eastAsia="zh-CN" w:bidi="ar"/>
              </w:rPr>
              <w:t>；</w:t>
            </w:r>
            <w:r>
              <w:rPr>
                <w:rStyle w:val="131"/>
                <w:rFonts w:eastAsia="宋体"/>
                <w:color w:val="auto"/>
                <w:highlight w:val="none"/>
                <w:lang w:val="en-US" w:eastAsia="zh-CN" w:bidi="ar"/>
              </w:rPr>
              <w:t>1985</w:t>
            </w:r>
            <w:r>
              <w:rPr>
                <w:rStyle w:val="122"/>
                <w:color w:val="auto"/>
                <w:highlight w:val="none"/>
                <w:lang w:val="en-US" w:eastAsia="zh-CN" w:bidi="ar"/>
              </w:rPr>
              <w:t>年：梧州市大学路</w:t>
            </w:r>
            <w:r>
              <w:rPr>
                <w:rStyle w:val="131"/>
                <w:rFonts w:eastAsia="宋体"/>
                <w:color w:val="auto"/>
                <w:highlight w:val="none"/>
                <w:lang w:val="en-US" w:eastAsia="zh-CN" w:bidi="ar"/>
              </w:rPr>
              <w:t>36</w:t>
            </w:r>
            <w:r>
              <w:rPr>
                <w:rStyle w:val="122"/>
                <w:color w:val="auto"/>
                <w:highlight w:val="none"/>
                <w:lang w:val="en-US" w:eastAsia="zh-CN" w:bidi="ar"/>
              </w:rPr>
              <w:t>号新四舍；</w:t>
            </w:r>
            <w:r>
              <w:rPr>
                <w:rStyle w:val="131"/>
                <w:rFonts w:eastAsia="宋体"/>
                <w:color w:val="auto"/>
                <w:highlight w:val="none"/>
                <w:lang w:val="en-US" w:eastAsia="zh-CN" w:bidi="ar"/>
              </w:rPr>
              <w:t>1989</w:t>
            </w:r>
            <w:r>
              <w:rPr>
                <w:rStyle w:val="122"/>
                <w:color w:val="auto"/>
                <w:highlight w:val="none"/>
                <w:lang w:val="en-US" w:eastAsia="zh-CN" w:bidi="ar"/>
              </w:rPr>
              <w:t>年：初中部实验楼；</w:t>
            </w:r>
            <w:r>
              <w:rPr>
                <w:rStyle w:val="131"/>
                <w:rFonts w:eastAsia="宋体"/>
                <w:color w:val="auto"/>
                <w:highlight w:val="none"/>
                <w:lang w:val="en-US" w:eastAsia="zh-CN" w:bidi="ar"/>
              </w:rPr>
              <w:t>1993</w:t>
            </w:r>
            <w:r>
              <w:rPr>
                <w:rStyle w:val="122"/>
                <w:color w:val="auto"/>
                <w:highlight w:val="none"/>
                <w:lang w:val="en-US" w:eastAsia="zh-CN" w:bidi="ar"/>
              </w:rPr>
              <w:t>年：大学路</w:t>
            </w:r>
            <w:r>
              <w:rPr>
                <w:rStyle w:val="131"/>
                <w:rFonts w:eastAsia="宋体"/>
                <w:color w:val="auto"/>
                <w:highlight w:val="none"/>
                <w:lang w:val="en-US" w:eastAsia="zh-CN" w:bidi="ar"/>
              </w:rPr>
              <w:t>46-47</w:t>
            </w:r>
            <w:r>
              <w:rPr>
                <w:rStyle w:val="122"/>
                <w:color w:val="auto"/>
                <w:highlight w:val="none"/>
                <w:lang w:val="en-US" w:eastAsia="zh-CN" w:bidi="ar"/>
              </w:rPr>
              <w:t>号宿舍；</w:t>
            </w:r>
            <w:r>
              <w:rPr>
                <w:rStyle w:val="131"/>
                <w:rFonts w:eastAsia="宋体"/>
                <w:color w:val="auto"/>
                <w:highlight w:val="none"/>
                <w:lang w:val="en-US" w:eastAsia="zh-CN" w:bidi="ar"/>
              </w:rPr>
              <w:t>2002</w:t>
            </w:r>
            <w:r>
              <w:rPr>
                <w:rStyle w:val="122"/>
                <w:color w:val="auto"/>
                <w:highlight w:val="none"/>
                <w:lang w:val="en-US" w:eastAsia="zh-CN" w:bidi="ar"/>
              </w:rPr>
              <w:t>年：初中教学楼边厕所；</w:t>
            </w:r>
            <w:r>
              <w:rPr>
                <w:rStyle w:val="131"/>
                <w:rFonts w:eastAsia="宋体"/>
                <w:color w:val="auto"/>
                <w:highlight w:val="none"/>
                <w:lang w:val="en-US" w:eastAsia="zh-CN" w:bidi="ar"/>
              </w:rPr>
              <w:t>2007</w:t>
            </w:r>
            <w:r>
              <w:rPr>
                <w:rStyle w:val="122"/>
                <w:color w:val="auto"/>
                <w:highlight w:val="none"/>
                <w:lang w:val="en-US" w:eastAsia="zh-CN" w:bidi="ar"/>
              </w:rPr>
              <w:t>年：初中部新教学楼；</w:t>
            </w:r>
            <w:r>
              <w:rPr>
                <w:rStyle w:val="131"/>
                <w:rFonts w:eastAsia="宋体"/>
                <w:color w:val="auto"/>
                <w:highlight w:val="none"/>
                <w:lang w:val="en-US" w:eastAsia="zh-CN" w:bidi="ar"/>
              </w:rPr>
              <w:t>2014</w:t>
            </w:r>
            <w:r>
              <w:rPr>
                <w:rStyle w:val="122"/>
                <w:color w:val="auto"/>
                <w:highlight w:val="none"/>
                <w:lang w:val="en-US" w:eastAsia="zh-CN" w:bidi="ar"/>
              </w:rPr>
              <w:t>年：教研楼、体育馆、桂山楼、图书馆、加压水泵房、学生公寓、学生宿舍、高中实验楼、善学楼、办公楼、居住用房、公厕；</w:t>
            </w:r>
            <w:r>
              <w:rPr>
                <w:rStyle w:val="131"/>
                <w:rFonts w:eastAsia="宋体"/>
                <w:color w:val="auto"/>
                <w:highlight w:val="none"/>
                <w:lang w:val="en-US" w:eastAsia="zh-CN" w:bidi="ar"/>
              </w:rPr>
              <w:t>2016</w:t>
            </w:r>
            <w:r>
              <w:rPr>
                <w:rStyle w:val="122"/>
                <w:color w:val="auto"/>
                <w:highlight w:val="none"/>
                <w:lang w:val="en-US" w:eastAsia="zh-CN" w:bidi="ar"/>
              </w:rPr>
              <w:t>年：梧州学院西校区食堂、梧州学院西校区车库杂物房、梧州学院西校区电工房、梧州学院西校区学生宿舍</w:t>
            </w:r>
            <w:r>
              <w:rPr>
                <w:rStyle w:val="131"/>
                <w:rFonts w:eastAsia="宋体"/>
                <w:color w:val="auto"/>
                <w:highlight w:val="none"/>
                <w:lang w:val="en-US" w:eastAsia="zh-CN" w:bidi="ar"/>
              </w:rPr>
              <w:t>1#</w:t>
            </w:r>
            <w:r>
              <w:rPr>
                <w:rStyle w:val="122"/>
                <w:color w:val="auto"/>
                <w:highlight w:val="none"/>
                <w:lang w:val="en-US" w:eastAsia="zh-CN" w:bidi="ar"/>
              </w:rPr>
              <w:t>楼、梧州学院西校区实验楼、梧州学院西校区办公楼、教育用房</w:t>
            </w:r>
            <w:r>
              <w:rPr>
                <w:rStyle w:val="131"/>
                <w:rFonts w:eastAsia="宋体"/>
                <w:color w:val="auto"/>
                <w:highlight w:val="none"/>
                <w:lang w:val="en-US" w:eastAsia="zh-CN" w:bidi="ar"/>
              </w:rPr>
              <w:t xml:space="preserve">  </w:t>
            </w:r>
            <w:r>
              <w:rPr>
                <w:rStyle w:val="122"/>
                <w:color w:val="auto"/>
                <w:highlight w:val="none"/>
                <w:lang w:val="en-US" w:eastAsia="zh-CN" w:bidi="ar"/>
              </w:rPr>
              <w:t>；</w:t>
            </w:r>
            <w:r>
              <w:rPr>
                <w:rStyle w:val="131"/>
                <w:rFonts w:eastAsia="宋体"/>
                <w:color w:val="auto"/>
                <w:highlight w:val="none"/>
                <w:lang w:val="en-US" w:eastAsia="zh-CN" w:bidi="ar"/>
              </w:rPr>
              <w:t xml:space="preserve"> 2018</w:t>
            </w:r>
            <w:r>
              <w:rPr>
                <w:rStyle w:val="122"/>
                <w:color w:val="auto"/>
                <w:highlight w:val="none"/>
                <w:lang w:val="en-US" w:eastAsia="zh-CN" w:bidi="ar"/>
              </w:rPr>
              <w:t>：高中</w:t>
            </w:r>
            <w:r>
              <w:rPr>
                <w:rStyle w:val="131"/>
                <w:rFonts w:eastAsia="宋体"/>
                <w:color w:val="auto"/>
                <w:highlight w:val="none"/>
                <w:lang w:val="en-US" w:eastAsia="zh-CN" w:bidi="ar"/>
              </w:rPr>
              <w:t>2#</w:t>
            </w:r>
            <w:r>
              <w:rPr>
                <w:rStyle w:val="122"/>
                <w:color w:val="auto"/>
                <w:highlight w:val="none"/>
                <w:lang w:val="en-US" w:eastAsia="zh-CN" w:bidi="ar"/>
              </w:rPr>
              <w:t>教学楼（笃学楼）；</w:t>
            </w:r>
            <w:r>
              <w:rPr>
                <w:rStyle w:val="131"/>
                <w:rFonts w:eastAsia="宋体"/>
                <w:color w:val="auto"/>
                <w:highlight w:val="none"/>
                <w:lang w:val="en-US" w:eastAsia="zh-CN" w:bidi="ar"/>
              </w:rPr>
              <w:t xml:space="preserve"> 2021</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22"/>
                <w:color w:val="auto"/>
                <w:highlight w:val="none"/>
                <w:lang w:val="en-US" w:eastAsia="zh-CN" w:bidi="ar"/>
              </w:rPr>
              <w:t>梧州市第一中学新校区高中</w:t>
            </w:r>
            <w:r>
              <w:rPr>
                <w:rStyle w:val="131"/>
                <w:rFonts w:eastAsia="宋体"/>
                <w:color w:val="auto"/>
                <w:highlight w:val="none"/>
                <w:lang w:val="en-US" w:eastAsia="zh-CN" w:bidi="ar"/>
              </w:rPr>
              <w:t>1#</w:t>
            </w:r>
            <w:r>
              <w:rPr>
                <w:rStyle w:val="122"/>
                <w:color w:val="auto"/>
                <w:highlight w:val="none"/>
                <w:lang w:val="en-US" w:eastAsia="zh-CN" w:bidi="ar"/>
              </w:rPr>
              <w:t>、</w:t>
            </w:r>
            <w:r>
              <w:rPr>
                <w:rStyle w:val="131"/>
                <w:rFonts w:eastAsia="宋体"/>
                <w:color w:val="auto"/>
                <w:highlight w:val="none"/>
                <w:lang w:val="en-US" w:eastAsia="zh-CN" w:bidi="ar"/>
              </w:rPr>
              <w:t>2#</w:t>
            </w:r>
            <w:r>
              <w:rPr>
                <w:rStyle w:val="122"/>
                <w:color w:val="auto"/>
                <w:highlight w:val="none"/>
                <w:lang w:val="en-US" w:eastAsia="zh-CN" w:bidi="ar"/>
              </w:rPr>
              <w:t>学生宿舍楼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8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钢筋混凝土结构</w:t>
            </w:r>
            <w:r>
              <w:rPr>
                <w:rStyle w:val="131"/>
                <w:rFonts w:eastAsia="宋体"/>
                <w:color w:val="auto"/>
                <w:highlight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3CC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5069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38C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2057217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6DD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1058225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BA03">
            <w:pPr>
              <w:jc w:val="center"/>
              <w:rPr>
                <w:rFonts w:hint="default" w:ascii="Times New Roman" w:hAnsi="Times New Roman" w:eastAsia="宋体" w:cs="Times New Roman"/>
                <w:i w:val="0"/>
                <w:iCs w:val="0"/>
                <w:color w:val="auto"/>
                <w:sz w:val="22"/>
                <w:szCs w:val="22"/>
                <w:highlight w:val="none"/>
                <w:u w:val="none"/>
              </w:rPr>
            </w:pPr>
          </w:p>
        </w:tc>
      </w:tr>
      <w:tr w14:paraId="2E06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31D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5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市机关后勤中心</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1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梧州市机关后勤服务中心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0BB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15649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B0C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2006</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A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D83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1538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E81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402364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C50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292607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4A6A">
            <w:pPr>
              <w:jc w:val="center"/>
              <w:rPr>
                <w:rFonts w:hint="default" w:ascii="Times New Roman" w:hAnsi="Times New Roman" w:eastAsia="宋体" w:cs="Times New Roman"/>
                <w:i w:val="0"/>
                <w:iCs w:val="0"/>
                <w:color w:val="auto"/>
                <w:sz w:val="22"/>
                <w:szCs w:val="22"/>
                <w:highlight w:val="none"/>
                <w:u w:val="none"/>
              </w:rPr>
            </w:pPr>
          </w:p>
        </w:tc>
      </w:tr>
      <w:tr w14:paraId="5F2D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25A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6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5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梧州市公安局万秀区分局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4EE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3140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E7C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2020</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B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07D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482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1EF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993848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E9F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723398.98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737B">
            <w:pPr>
              <w:jc w:val="center"/>
              <w:rPr>
                <w:rFonts w:hint="default" w:ascii="Times New Roman" w:hAnsi="Times New Roman" w:eastAsia="宋体" w:cs="Times New Roman"/>
                <w:i w:val="0"/>
                <w:iCs w:val="0"/>
                <w:color w:val="auto"/>
                <w:sz w:val="22"/>
                <w:szCs w:val="22"/>
                <w:highlight w:val="none"/>
                <w:u w:val="none"/>
              </w:rPr>
            </w:pPr>
          </w:p>
        </w:tc>
      </w:tr>
      <w:tr w14:paraId="75BC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93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52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45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梧州市人民警察训练学校</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7E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27609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2FE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3</w:t>
            </w:r>
            <w:r>
              <w:rPr>
                <w:rStyle w:val="122"/>
                <w:color w:val="auto"/>
                <w:highlight w:val="none"/>
                <w:lang w:val="en-US" w:eastAsia="zh-CN" w:bidi="ar"/>
              </w:rPr>
              <w:t>号楼、射击馆、多功能报告厅、配电房：</w:t>
            </w:r>
            <w:r>
              <w:rPr>
                <w:rStyle w:val="131"/>
                <w:rFonts w:eastAsia="宋体"/>
                <w:color w:val="auto"/>
                <w:highlight w:val="none"/>
                <w:lang w:val="en-US" w:eastAsia="zh-CN" w:bidi="ar"/>
              </w:rPr>
              <w:t>2020</w:t>
            </w:r>
            <w:r>
              <w:rPr>
                <w:rStyle w:val="122"/>
                <w:color w:val="auto"/>
                <w:highlight w:val="none"/>
                <w:lang w:val="en-US" w:eastAsia="zh-CN" w:bidi="ar"/>
              </w:rPr>
              <w:t>年</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1</w:t>
            </w:r>
            <w:r>
              <w:rPr>
                <w:rStyle w:val="122"/>
                <w:color w:val="auto"/>
                <w:highlight w:val="none"/>
                <w:lang w:val="en-US" w:eastAsia="zh-CN" w:bidi="ar"/>
              </w:rPr>
              <w:t>号教学楼、</w:t>
            </w:r>
            <w:r>
              <w:rPr>
                <w:rStyle w:val="131"/>
                <w:rFonts w:eastAsia="宋体"/>
                <w:color w:val="auto"/>
                <w:highlight w:val="none"/>
                <w:lang w:val="en-US" w:eastAsia="zh-CN" w:bidi="ar"/>
              </w:rPr>
              <w:t>2</w:t>
            </w:r>
            <w:r>
              <w:rPr>
                <w:rStyle w:val="122"/>
                <w:color w:val="auto"/>
                <w:highlight w:val="none"/>
                <w:lang w:val="en-US" w:eastAsia="zh-CN" w:bidi="ar"/>
              </w:rPr>
              <w:t>号楼、警体馆、实战馆、健身馆、心理楼：</w:t>
            </w:r>
            <w:r>
              <w:rPr>
                <w:rStyle w:val="131"/>
                <w:rFonts w:eastAsia="宋体"/>
                <w:color w:val="auto"/>
                <w:highlight w:val="none"/>
                <w:lang w:val="en-US" w:eastAsia="zh-CN" w:bidi="ar"/>
              </w:rPr>
              <w:t>2000</w:t>
            </w:r>
            <w:r>
              <w:rPr>
                <w:rStyle w:val="122"/>
                <w:color w:val="auto"/>
                <w:highlight w:val="none"/>
                <w:lang w:val="en-US" w:eastAsia="zh-CN" w:bidi="ar"/>
              </w:rPr>
              <w:t>年以前</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2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混凝土钢筋结构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DD5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330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7E7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1071426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AC9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756586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96D9">
            <w:pPr>
              <w:jc w:val="center"/>
              <w:rPr>
                <w:rFonts w:hint="default" w:ascii="Times New Roman" w:hAnsi="Times New Roman" w:eastAsia="宋体" w:cs="Times New Roman"/>
                <w:i w:val="0"/>
                <w:iCs w:val="0"/>
                <w:color w:val="auto"/>
                <w:sz w:val="22"/>
                <w:szCs w:val="22"/>
                <w:highlight w:val="none"/>
                <w:u w:val="none"/>
              </w:rPr>
            </w:pPr>
          </w:p>
        </w:tc>
      </w:tr>
      <w:tr w14:paraId="61B4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CD3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C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9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梧州市公安局龙圩区分局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358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23378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CF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2020</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1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84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549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874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1134966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3C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815087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E10D">
            <w:pPr>
              <w:jc w:val="center"/>
              <w:rPr>
                <w:rFonts w:hint="default" w:ascii="Times New Roman" w:hAnsi="Times New Roman" w:eastAsia="宋体" w:cs="Times New Roman"/>
                <w:i w:val="0"/>
                <w:iCs w:val="0"/>
                <w:color w:val="auto"/>
                <w:sz w:val="22"/>
                <w:szCs w:val="22"/>
                <w:highlight w:val="none"/>
                <w:u w:val="none"/>
              </w:rPr>
            </w:pPr>
          </w:p>
        </w:tc>
      </w:tr>
      <w:tr w14:paraId="586D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D97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B4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市中级法院</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3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广西壮族自治区梧州市中级人民法院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763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19753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4EB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2006 </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87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149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338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09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1161320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F8F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833282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023E">
            <w:pPr>
              <w:jc w:val="center"/>
              <w:rPr>
                <w:rFonts w:hint="default" w:ascii="Times New Roman" w:hAnsi="Times New Roman" w:eastAsia="宋体" w:cs="Times New Roman"/>
                <w:i w:val="0"/>
                <w:iCs w:val="0"/>
                <w:color w:val="auto"/>
                <w:sz w:val="22"/>
                <w:szCs w:val="22"/>
                <w:highlight w:val="none"/>
                <w:u w:val="none"/>
              </w:rPr>
            </w:pPr>
          </w:p>
        </w:tc>
      </w:tr>
      <w:tr w14:paraId="1DCE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D8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D8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市检察院</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E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广西壮族自治区梧州市人民检察院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0EB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17401</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8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办公大楼</w:t>
            </w:r>
            <w:r>
              <w:rPr>
                <w:rStyle w:val="131"/>
                <w:rFonts w:eastAsia="宋体"/>
                <w:color w:val="auto"/>
                <w:highlight w:val="none"/>
                <w:lang w:val="en-US" w:eastAsia="zh-CN" w:bidi="ar"/>
              </w:rPr>
              <w:t>2007</w:t>
            </w:r>
            <w:r>
              <w:rPr>
                <w:rStyle w:val="122"/>
                <w:color w:val="auto"/>
                <w:highlight w:val="none"/>
                <w:lang w:val="en-US" w:eastAsia="zh-CN" w:bidi="ar"/>
              </w:rPr>
              <w:t>年、招待所食堂</w:t>
            </w:r>
            <w:r>
              <w:rPr>
                <w:rStyle w:val="131"/>
                <w:rFonts w:eastAsia="宋体"/>
                <w:color w:val="auto"/>
                <w:highlight w:val="none"/>
                <w:lang w:val="en-US" w:eastAsia="zh-CN" w:bidi="ar"/>
              </w:rPr>
              <w:t>2012</w:t>
            </w:r>
            <w:r>
              <w:rPr>
                <w:rStyle w:val="122"/>
                <w:color w:val="auto"/>
                <w:highlight w:val="none"/>
                <w:lang w:val="en-US" w:eastAsia="zh-CN" w:bidi="ar"/>
              </w:rPr>
              <w:t>年、</w:t>
            </w:r>
            <w:r>
              <w:rPr>
                <w:rStyle w:val="131"/>
                <w:rFonts w:eastAsia="宋体"/>
                <w:color w:val="auto"/>
                <w:highlight w:val="none"/>
                <w:lang w:val="en-US" w:eastAsia="zh-CN" w:bidi="ar"/>
              </w:rPr>
              <w:t>12309</w:t>
            </w:r>
            <w:r>
              <w:rPr>
                <w:rStyle w:val="122"/>
                <w:color w:val="auto"/>
                <w:highlight w:val="none"/>
                <w:lang w:val="en-US" w:eastAsia="zh-CN" w:bidi="ar"/>
              </w:rPr>
              <w:t>服务中心</w:t>
            </w:r>
            <w:r>
              <w:rPr>
                <w:rStyle w:val="131"/>
                <w:rFonts w:eastAsia="宋体"/>
                <w:color w:val="auto"/>
                <w:highlight w:val="none"/>
                <w:lang w:val="en-US" w:eastAsia="zh-CN" w:bidi="ar"/>
              </w:rPr>
              <w:t>2019</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CF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224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358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5E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1116825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BD7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806615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80CC">
            <w:pPr>
              <w:jc w:val="center"/>
              <w:rPr>
                <w:rFonts w:hint="default" w:ascii="Times New Roman" w:hAnsi="Times New Roman" w:eastAsia="宋体" w:cs="Times New Roman"/>
                <w:i w:val="0"/>
                <w:iCs w:val="0"/>
                <w:color w:val="auto"/>
                <w:sz w:val="22"/>
                <w:szCs w:val="22"/>
                <w:highlight w:val="none"/>
                <w:u w:val="none"/>
              </w:rPr>
            </w:pPr>
          </w:p>
        </w:tc>
      </w:tr>
      <w:tr w14:paraId="702B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A07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29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9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梧州市公安局长洲分局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BB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7084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C83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2017</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2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D80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515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40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1071719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F67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777145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9B80">
            <w:pPr>
              <w:jc w:val="center"/>
              <w:rPr>
                <w:rFonts w:hint="default" w:ascii="Times New Roman" w:hAnsi="Times New Roman" w:eastAsia="宋体" w:cs="Times New Roman"/>
                <w:i w:val="0"/>
                <w:iCs w:val="0"/>
                <w:color w:val="auto"/>
                <w:sz w:val="22"/>
                <w:szCs w:val="22"/>
                <w:highlight w:val="none"/>
                <w:u w:val="none"/>
              </w:rPr>
            </w:pPr>
          </w:p>
        </w:tc>
      </w:tr>
      <w:tr w14:paraId="6695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7B6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A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B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梧州市第八中学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DC8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55504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5F3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w:t>
            </w:r>
            <w:r>
              <w:rPr>
                <w:rStyle w:val="122"/>
                <w:color w:val="auto"/>
                <w:highlight w:val="none"/>
                <w:lang w:val="en-US" w:eastAsia="zh-CN" w:bidi="ar"/>
              </w:rPr>
              <w:t>宿舍楼；</w:t>
            </w:r>
            <w:r>
              <w:rPr>
                <w:rStyle w:val="131"/>
                <w:rFonts w:eastAsia="宋体"/>
                <w:color w:val="auto"/>
                <w:highlight w:val="none"/>
                <w:lang w:val="en-US" w:eastAsia="zh-CN" w:bidi="ar"/>
              </w:rPr>
              <w:t>2#</w:t>
            </w:r>
            <w:r>
              <w:rPr>
                <w:rStyle w:val="122"/>
                <w:color w:val="auto"/>
                <w:highlight w:val="none"/>
                <w:lang w:val="en-US" w:eastAsia="zh-CN" w:bidi="ar"/>
              </w:rPr>
              <w:t>宿舍楼；</w:t>
            </w:r>
            <w:r>
              <w:rPr>
                <w:rStyle w:val="131"/>
                <w:rFonts w:eastAsia="宋体"/>
                <w:color w:val="auto"/>
                <w:highlight w:val="none"/>
                <w:lang w:val="en-US" w:eastAsia="zh-CN" w:bidi="ar"/>
              </w:rPr>
              <w:t>3#</w:t>
            </w:r>
            <w:r>
              <w:rPr>
                <w:rStyle w:val="122"/>
                <w:color w:val="auto"/>
                <w:highlight w:val="none"/>
                <w:lang w:val="en-US" w:eastAsia="zh-CN" w:bidi="ar"/>
              </w:rPr>
              <w:t>宿舍楼；</w:t>
            </w:r>
            <w:r>
              <w:rPr>
                <w:rStyle w:val="131"/>
                <w:rFonts w:eastAsia="宋体"/>
                <w:color w:val="auto"/>
                <w:highlight w:val="none"/>
                <w:lang w:val="en-US" w:eastAsia="zh-CN" w:bidi="ar"/>
              </w:rPr>
              <w:t>4#</w:t>
            </w:r>
            <w:r>
              <w:rPr>
                <w:rStyle w:val="122"/>
                <w:color w:val="auto"/>
                <w:highlight w:val="none"/>
                <w:lang w:val="en-US" w:eastAsia="zh-CN" w:bidi="ar"/>
              </w:rPr>
              <w:t>宿舍楼；高中教学楼；初中教学楼；实验楼；旧教工宿舍</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0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旧教工教工宿舍砖混结构，其它钢筋混凝土结构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A5C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B3B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1166462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9A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634672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4420">
            <w:pPr>
              <w:jc w:val="center"/>
              <w:rPr>
                <w:rFonts w:hint="default" w:ascii="Times New Roman" w:hAnsi="Times New Roman" w:eastAsia="宋体" w:cs="Times New Roman"/>
                <w:i w:val="0"/>
                <w:iCs w:val="0"/>
                <w:color w:val="auto"/>
                <w:sz w:val="22"/>
                <w:szCs w:val="22"/>
                <w:highlight w:val="none"/>
                <w:u w:val="none"/>
              </w:rPr>
            </w:pPr>
          </w:p>
        </w:tc>
      </w:tr>
      <w:tr w14:paraId="7EF4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AE3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46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市行政审批局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1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梧州市行政审批局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66D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9683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75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2017 </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C68F">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116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1780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AD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759141.51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AD8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543843.26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08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数据包含（行政审批服务中心、公共资源交易中心）</w:t>
            </w:r>
          </w:p>
        </w:tc>
      </w:tr>
      <w:tr w14:paraId="7D0D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75C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5B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市财政局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3E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梧州市财政局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D4E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9455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8A0B">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A5E6">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00E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234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668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687924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44D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490237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D1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合署办公</w:t>
            </w:r>
          </w:p>
        </w:tc>
      </w:tr>
      <w:tr w14:paraId="1362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456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A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92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梧州市第七中学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CC4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25236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304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1986</w:t>
            </w:r>
            <w:r>
              <w:rPr>
                <w:rStyle w:val="122"/>
                <w:color w:val="auto"/>
                <w:highlight w:val="none"/>
                <w:lang w:val="en-US" w:eastAsia="zh-CN" w:bidi="ar"/>
              </w:rPr>
              <w:t>年实验仪器楼；</w:t>
            </w:r>
            <w:r>
              <w:rPr>
                <w:rStyle w:val="131"/>
                <w:rFonts w:eastAsia="宋体"/>
                <w:color w:val="auto"/>
                <w:highlight w:val="none"/>
                <w:lang w:val="en-US" w:eastAsia="zh-CN" w:bidi="ar"/>
              </w:rPr>
              <w:t>1995</w:t>
            </w:r>
            <w:r>
              <w:rPr>
                <w:rStyle w:val="122"/>
                <w:color w:val="auto"/>
                <w:highlight w:val="none"/>
                <w:lang w:val="en-US" w:eastAsia="zh-CN" w:bidi="ar"/>
              </w:rPr>
              <w:t>年男生宿舍</w:t>
            </w:r>
            <w:r>
              <w:rPr>
                <w:rStyle w:val="131"/>
                <w:rFonts w:eastAsia="宋体"/>
                <w:color w:val="auto"/>
                <w:highlight w:val="none"/>
                <w:lang w:val="en-US" w:eastAsia="zh-CN" w:bidi="ar"/>
              </w:rPr>
              <w:t>A</w:t>
            </w:r>
            <w:r>
              <w:rPr>
                <w:rStyle w:val="122"/>
                <w:color w:val="auto"/>
                <w:highlight w:val="none"/>
                <w:lang w:val="en-US" w:eastAsia="zh-CN" w:bidi="ar"/>
              </w:rPr>
              <w:t>栋；</w:t>
            </w:r>
            <w:r>
              <w:rPr>
                <w:rStyle w:val="131"/>
                <w:rFonts w:eastAsia="宋体"/>
                <w:color w:val="auto"/>
                <w:highlight w:val="none"/>
                <w:lang w:val="en-US" w:eastAsia="zh-CN" w:bidi="ar"/>
              </w:rPr>
              <w:t>1997</w:t>
            </w:r>
            <w:r>
              <w:rPr>
                <w:rStyle w:val="122"/>
                <w:color w:val="auto"/>
                <w:highlight w:val="none"/>
                <w:lang w:val="en-US" w:eastAsia="zh-CN" w:bidi="ar"/>
              </w:rPr>
              <w:t>年男生宿舍</w:t>
            </w:r>
            <w:r>
              <w:rPr>
                <w:rStyle w:val="131"/>
                <w:rFonts w:eastAsia="宋体"/>
                <w:color w:val="auto"/>
                <w:highlight w:val="none"/>
                <w:lang w:val="en-US" w:eastAsia="zh-CN" w:bidi="ar"/>
              </w:rPr>
              <w:t>B</w:t>
            </w:r>
            <w:r>
              <w:rPr>
                <w:rStyle w:val="122"/>
                <w:color w:val="auto"/>
                <w:highlight w:val="none"/>
                <w:lang w:val="en-US" w:eastAsia="zh-CN" w:bidi="ar"/>
              </w:rPr>
              <w:t>栋；</w:t>
            </w:r>
            <w:r>
              <w:rPr>
                <w:rStyle w:val="131"/>
                <w:rFonts w:eastAsia="宋体"/>
                <w:color w:val="auto"/>
                <w:highlight w:val="none"/>
                <w:lang w:val="en-US" w:eastAsia="zh-CN" w:bidi="ar"/>
              </w:rPr>
              <w:t>1999</w:t>
            </w:r>
            <w:r>
              <w:rPr>
                <w:rStyle w:val="122"/>
                <w:color w:val="auto"/>
                <w:highlight w:val="none"/>
                <w:lang w:val="en-US" w:eastAsia="zh-CN" w:bidi="ar"/>
              </w:rPr>
              <w:t>年实验楼；</w:t>
            </w:r>
            <w:r>
              <w:rPr>
                <w:rStyle w:val="131"/>
                <w:rFonts w:eastAsia="宋体"/>
                <w:color w:val="auto"/>
                <w:highlight w:val="none"/>
                <w:lang w:val="en-US" w:eastAsia="zh-CN" w:bidi="ar"/>
              </w:rPr>
              <w:t>2006</w:t>
            </w:r>
            <w:r>
              <w:rPr>
                <w:rStyle w:val="122"/>
                <w:color w:val="auto"/>
                <w:highlight w:val="none"/>
                <w:lang w:val="en-US" w:eastAsia="zh-CN" w:bidi="ar"/>
              </w:rPr>
              <w:t>年女生宿舍楼；</w:t>
            </w:r>
            <w:r>
              <w:rPr>
                <w:rStyle w:val="131"/>
                <w:rFonts w:eastAsia="宋体"/>
                <w:color w:val="auto"/>
                <w:highlight w:val="none"/>
                <w:lang w:val="en-US" w:eastAsia="zh-CN" w:bidi="ar"/>
              </w:rPr>
              <w:t>2008</w:t>
            </w:r>
            <w:r>
              <w:rPr>
                <w:rStyle w:val="122"/>
                <w:color w:val="auto"/>
                <w:highlight w:val="none"/>
                <w:lang w:val="en-US" w:eastAsia="zh-CN" w:bidi="ar"/>
              </w:rPr>
              <w:t>年办公楼；</w:t>
            </w:r>
            <w:r>
              <w:rPr>
                <w:rStyle w:val="131"/>
                <w:rFonts w:eastAsia="宋体"/>
                <w:color w:val="auto"/>
                <w:highlight w:val="none"/>
                <w:lang w:val="en-US" w:eastAsia="zh-CN" w:bidi="ar"/>
              </w:rPr>
              <w:t>2011</w:t>
            </w:r>
            <w:r>
              <w:rPr>
                <w:rStyle w:val="122"/>
                <w:color w:val="auto"/>
                <w:highlight w:val="none"/>
                <w:lang w:val="en-US" w:eastAsia="zh-CN" w:bidi="ar"/>
              </w:rPr>
              <w:t>年宿舍食堂综合楼；</w:t>
            </w:r>
            <w:r>
              <w:rPr>
                <w:rStyle w:val="131"/>
                <w:rFonts w:eastAsia="宋体"/>
                <w:color w:val="auto"/>
                <w:highlight w:val="none"/>
                <w:lang w:val="en-US" w:eastAsia="zh-CN" w:bidi="ar"/>
              </w:rPr>
              <w:t>2012</w:t>
            </w:r>
            <w:r>
              <w:rPr>
                <w:rStyle w:val="122"/>
                <w:color w:val="auto"/>
                <w:highlight w:val="none"/>
                <w:lang w:val="en-US" w:eastAsia="zh-CN" w:bidi="ar"/>
              </w:rPr>
              <w:t>年第一、二教学综合楼；</w:t>
            </w:r>
            <w:r>
              <w:rPr>
                <w:rStyle w:val="131"/>
                <w:rFonts w:eastAsia="宋体"/>
                <w:color w:val="auto"/>
                <w:highlight w:val="none"/>
                <w:lang w:val="en-US" w:eastAsia="zh-CN" w:bidi="ar"/>
              </w:rPr>
              <w:t>2017</w:t>
            </w:r>
            <w:r>
              <w:rPr>
                <w:rStyle w:val="122"/>
                <w:color w:val="auto"/>
                <w:highlight w:val="none"/>
                <w:lang w:val="en-US" w:eastAsia="zh-CN" w:bidi="ar"/>
              </w:rPr>
              <w:t>年第三教学综合楼。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2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钢筋混凝土结构</w:t>
            </w:r>
            <w:r>
              <w:rPr>
                <w:rStyle w:val="131"/>
                <w:rFonts w:eastAsia="宋体"/>
                <w:color w:val="auto"/>
                <w:highlight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FB2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1907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15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900259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F6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489831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1F72">
            <w:pPr>
              <w:jc w:val="center"/>
              <w:rPr>
                <w:rFonts w:hint="default" w:ascii="Times New Roman" w:hAnsi="Times New Roman" w:eastAsia="宋体" w:cs="Times New Roman"/>
                <w:i w:val="0"/>
                <w:iCs w:val="0"/>
                <w:color w:val="auto"/>
                <w:sz w:val="22"/>
                <w:szCs w:val="22"/>
                <w:highlight w:val="none"/>
                <w:u w:val="none"/>
              </w:rPr>
            </w:pPr>
          </w:p>
        </w:tc>
      </w:tr>
      <w:tr w14:paraId="2174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1B7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3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市政府办公室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1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梧州市人民政府办公室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6B4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6418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10A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1993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E46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5AC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483805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2E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349797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F7EF">
            <w:pPr>
              <w:jc w:val="center"/>
              <w:rPr>
                <w:rFonts w:hint="default" w:ascii="Times New Roman" w:hAnsi="Times New Roman" w:eastAsia="宋体" w:cs="Times New Roman"/>
                <w:i w:val="0"/>
                <w:iCs w:val="0"/>
                <w:color w:val="auto"/>
                <w:sz w:val="22"/>
                <w:szCs w:val="22"/>
                <w:highlight w:val="none"/>
                <w:u w:val="none"/>
              </w:rPr>
            </w:pPr>
          </w:p>
        </w:tc>
      </w:tr>
      <w:tr w14:paraId="4119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0CD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5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市纪委监委机关</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0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中共梧州市纪律检查委员会办公室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6F8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11902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A3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办公楼</w:t>
            </w:r>
            <w:r>
              <w:rPr>
                <w:rStyle w:val="131"/>
                <w:rFonts w:eastAsia="宋体"/>
                <w:color w:val="auto"/>
                <w:highlight w:val="none"/>
                <w:lang w:val="en-US" w:eastAsia="zh-CN" w:bidi="ar"/>
              </w:rPr>
              <w:br w:type="textWrapping"/>
            </w:r>
            <w:r>
              <w:rPr>
                <w:rStyle w:val="122"/>
                <w:color w:val="auto"/>
                <w:highlight w:val="none"/>
                <w:lang w:val="en-US" w:eastAsia="zh-CN" w:bidi="ar"/>
              </w:rPr>
              <w:t>业务楼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B6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钢筋混凝土</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4DE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320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D4B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647593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430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467658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2CFD">
            <w:pPr>
              <w:jc w:val="center"/>
              <w:rPr>
                <w:rFonts w:hint="default" w:ascii="Times New Roman" w:hAnsi="Times New Roman" w:eastAsia="宋体" w:cs="Times New Roman"/>
                <w:i w:val="0"/>
                <w:iCs w:val="0"/>
                <w:color w:val="auto"/>
                <w:sz w:val="22"/>
                <w:szCs w:val="22"/>
                <w:highlight w:val="none"/>
                <w:u w:val="none"/>
              </w:rPr>
            </w:pPr>
          </w:p>
        </w:tc>
      </w:tr>
      <w:tr w14:paraId="24D59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0A2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5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E3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广西梧州市第二中学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14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16316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4BB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w:t>
            </w:r>
            <w:r>
              <w:rPr>
                <w:rStyle w:val="122"/>
                <w:color w:val="auto"/>
                <w:highlight w:val="none"/>
                <w:lang w:val="en-US" w:eastAsia="zh-CN" w:bidi="ar"/>
              </w:rPr>
              <w:t>一号教学楼</w:t>
            </w:r>
            <w:r>
              <w:rPr>
                <w:rStyle w:val="131"/>
                <w:rFonts w:eastAsia="宋体"/>
                <w:color w:val="auto"/>
                <w:highlight w:val="none"/>
                <w:lang w:val="en-US" w:eastAsia="zh-CN" w:bidi="ar"/>
              </w:rPr>
              <w:t>1994</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2.</w:t>
            </w:r>
            <w:r>
              <w:rPr>
                <w:rStyle w:val="122"/>
                <w:color w:val="auto"/>
                <w:highlight w:val="none"/>
                <w:lang w:val="en-US" w:eastAsia="zh-CN" w:bidi="ar"/>
              </w:rPr>
              <w:t>二号教学楼</w:t>
            </w:r>
            <w:r>
              <w:rPr>
                <w:rStyle w:val="131"/>
                <w:rFonts w:eastAsia="宋体"/>
                <w:color w:val="auto"/>
                <w:highlight w:val="none"/>
                <w:lang w:val="en-US" w:eastAsia="zh-CN" w:bidi="ar"/>
              </w:rPr>
              <w:t>1980</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3.</w:t>
            </w:r>
            <w:r>
              <w:rPr>
                <w:rStyle w:val="122"/>
                <w:color w:val="auto"/>
                <w:highlight w:val="none"/>
                <w:lang w:val="en-US" w:eastAsia="zh-CN" w:bidi="ar"/>
              </w:rPr>
              <w:t>三号教学楼</w:t>
            </w:r>
            <w:r>
              <w:rPr>
                <w:rStyle w:val="131"/>
                <w:rFonts w:eastAsia="宋体"/>
                <w:color w:val="auto"/>
                <w:highlight w:val="none"/>
                <w:lang w:val="en-US" w:eastAsia="zh-CN" w:bidi="ar"/>
              </w:rPr>
              <w:t>2009</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4.DE</w:t>
            </w:r>
            <w:r>
              <w:rPr>
                <w:rStyle w:val="122"/>
                <w:color w:val="auto"/>
                <w:highlight w:val="none"/>
                <w:lang w:val="en-US" w:eastAsia="zh-CN" w:bidi="ar"/>
              </w:rPr>
              <w:t>宿舍楼</w:t>
            </w:r>
            <w:r>
              <w:rPr>
                <w:rStyle w:val="131"/>
                <w:rFonts w:eastAsia="宋体"/>
                <w:color w:val="auto"/>
                <w:highlight w:val="none"/>
                <w:lang w:val="en-US" w:eastAsia="zh-CN" w:bidi="ar"/>
              </w:rPr>
              <w:t>1997</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5.A</w:t>
            </w:r>
            <w:r>
              <w:rPr>
                <w:rStyle w:val="122"/>
                <w:color w:val="auto"/>
                <w:highlight w:val="none"/>
                <w:lang w:val="en-US" w:eastAsia="zh-CN" w:bidi="ar"/>
              </w:rPr>
              <w:t>栋女生宿舍楼</w:t>
            </w:r>
            <w:r>
              <w:rPr>
                <w:rStyle w:val="131"/>
                <w:rFonts w:eastAsia="宋体"/>
                <w:color w:val="auto"/>
                <w:highlight w:val="none"/>
                <w:lang w:val="en-US" w:eastAsia="zh-CN" w:bidi="ar"/>
              </w:rPr>
              <w:t>2004</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6.B3</w:t>
            </w:r>
            <w:r>
              <w:rPr>
                <w:rStyle w:val="122"/>
                <w:color w:val="auto"/>
                <w:highlight w:val="none"/>
                <w:lang w:val="en-US" w:eastAsia="zh-CN" w:bidi="ar"/>
              </w:rPr>
              <w:t>栋宿舍楼</w:t>
            </w:r>
            <w:r>
              <w:rPr>
                <w:rStyle w:val="131"/>
                <w:rFonts w:eastAsia="宋体"/>
                <w:color w:val="auto"/>
                <w:highlight w:val="none"/>
                <w:lang w:val="en-US" w:eastAsia="zh-CN" w:bidi="ar"/>
              </w:rPr>
              <w:t>1997</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7.B1B2</w:t>
            </w:r>
            <w:r>
              <w:rPr>
                <w:rStyle w:val="122"/>
                <w:color w:val="auto"/>
                <w:highlight w:val="none"/>
                <w:lang w:val="en-US" w:eastAsia="zh-CN" w:bidi="ar"/>
              </w:rPr>
              <w:t>栋宿舍楼</w:t>
            </w:r>
            <w:r>
              <w:rPr>
                <w:rStyle w:val="131"/>
                <w:rFonts w:eastAsia="宋体"/>
                <w:color w:val="auto"/>
                <w:highlight w:val="none"/>
                <w:lang w:val="en-US" w:eastAsia="zh-CN" w:bidi="ar"/>
              </w:rPr>
              <w:t>1988</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8.C</w:t>
            </w:r>
            <w:r>
              <w:rPr>
                <w:rStyle w:val="122"/>
                <w:color w:val="auto"/>
                <w:highlight w:val="none"/>
                <w:lang w:val="en-US" w:eastAsia="zh-CN" w:bidi="ar"/>
              </w:rPr>
              <w:t>栋宿舍楼</w:t>
            </w:r>
            <w:r>
              <w:rPr>
                <w:rStyle w:val="131"/>
                <w:rFonts w:eastAsia="宋体"/>
                <w:color w:val="auto"/>
                <w:highlight w:val="none"/>
                <w:lang w:val="en-US" w:eastAsia="zh-CN" w:bidi="ar"/>
              </w:rPr>
              <w:t>1988</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E6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建筑</w:t>
            </w:r>
            <w:r>
              <w:rPr>
                <w:rStyle w:val="131"/>
                <w:rFonts w:eastAsia="宋体"/>
                <w:color w:val="auto"/>
                <w:highlight w:val="none"/>
                <w:lang w:val="en-US" w:eastAsia="zh-CN" w:bidi="ar"/>
              </w:rPr>
              <w:t>1</w:t>
            </w:r>
            <w:r>
              <w:rPr>
                <w:rStyle w:val="122"/>
                <w:color w:val="auto"/>
                <w:highlight w:val="none"/>
                <w:lang w:val="en-US" w:eastAsia="zh-CN" w:bidi="ar"/>
              </w:rPr>
              <w:t>，</w:t>
            </w:r>
            <w:r>
              <w:rPr>
                <w:rStyle w:val="131"/>
                <w:rFonts w:eastAsia="宋体"/>
                <w:color w:val="auto"/>
                <w:highlight w:val="none"/>
                <w:lang w:val="en-US" w:eastAsia="zh-CN" w:bidi="ar"/>
              </w:rPr>
              <w:t>3</w:t>
            </w:r>
            <w:r>
              <w:rPr>
                <w:rStyle w:val="122"/>
                <w:color w:val="auto"/>
                <w:highlight w:val="none"/>
                <w:lang w:val="en-US" w:eastAsia="zh-CN" w:bidi="ar"/>
              </w:rPr>
              <w:t>，</w:t>
            </w:r>
            <w:r>
              <w:rPr>
                <w:rStyle w:val="131"/>
                <w:rFonts w:eastAsia="宋体"/>
                <w:color w:val="auto"/>
                <w:highlight w:val="none"/>
                <w:lang w:val="en-US" w:eastAsia="zh-CN" w:bidi="ar"/>
              </w:rPr>
              <w:t>4</w:t>
            </w:r>
            <w:r>
              <w:rPr>
                <w:rStyle w:val="122"/>
                <w:color w:val="auto"/>
                <w:highlight w:val="none"/>
                <w:lang w:val="en-US" w:eastAsia="zh-CN" w:bidi="ar"/>
              </w:rPr>
              <w:t>，</w:t>
            </w:r>
            <w:r>
              <w:rPr>
                <w:rStyle w:val="131"/>
                <w:rFonts w:eastAsia="宋体"/>
                <w:color w:val="auto"/>
                <w:highlight w:val="none"/>
                <w:lang w:val="en-US" w:eastAsia="zh-CN" w:bidi="ar"/>
              </w:rPr>
              <w:t>5</w:t>
            </w:r>
            <w:r>
              <w:rPr>
                <w:rStyle w:val="122"/>
                <w:color w:val="auto"/>
                <w:highlight w:val="none"/>
                <w:lang w:val="en-US" w:eastAsia="zh-CN" w:bidi="ar"/>
              </w:rPr>
              <w:t>框架结构</w:t>
            </w:r>
            <w:r>
              <w:rPr>
                <w:rStyle w:val="131"/>
                <w:rFonts w:eastAsia="宋体"/>
                <w:color w:val="auto"/>
                <w:highlight w:val="none"/>
                <w:lang w:val="en-US" w:eastAsia="zh-CN" w:bidi="ar"/>
              </w:rPr>
              <w:br w:type="textWrapping"/>
            </w:r>
            <w:r>
              <w:rPr>
                <w:rStyle w:val="122"/>
                <w:color w:val="auto"/>
                <w:highlight w:val="none"/>
                <w:lang w:val="en-US" w:eastAsia="zh-CN" w:bidi="ar"/>
              </w:rPr>
              <w:t>建筑</w:t>
            </w:r>
            <w:r>
              <w:rPr>
                <w:rStyle w:val="131"/>
                <w:rFonts w:eastAsia="宋体"/>
                <w:color w:val="auto"/>
                <w:highlight w:val="none"/>
                <w:lang w:val="en-US" w:eastAsia="zh-CN" w:bidi="ar"/>
              </w:rPr>
              <w:t>2</w:t>
            </w:r>
            <w:r>
              <w:rPr>
                <w:rStyle w:val="122"/>
                <w:color w:val="auto"/>
                <w:highlight w:val="none"/>
                <w:lang w:val="en-US" w:eastAsia="zh-CN" w:bidi="ar"/>
              </w:rPr>
              <w:t>，</w:t>
            </w:r>
            <w:r>
              <w:rPr>
                <w:rStyle w:val="131"/>
                <w:rFonts w:eastAsia="宋体"/>
                <w:color w:val="auto"/>
                <w:highlight w:val="none"/>
                <w:lang w:val="en-US" w:eastAsia="zh-CN" w:bidi="ar"/>
              </w:rPr>
              <w:t>6</w:t>
            </w:r>
            <w:r>
              <w:rPr>
                <w:rStyle w:val="122"/>
                <w:color w:val="auto"/>
                <w:highlight w:val="none"/>
                <w:lang w:val="en-US" w:eastAsia="zh-CN" w:bidi="ar"/>
              </w:rPr>
              <w:t>，</w:t>
            </w:r>
            <w:r>
              <w:rPr>
                <w:rStyle w:val="131"/>
                <w:rFonts w:eastAsia="宋体"/>
                <w:color w:val="auto"/>
                <w:highlight w:val="none"/>
                <w:lang w:val="en-US" w:eastAsia="zh-CN" w:bidi="ar"/>
              </w:rPr>
              <w:t>7</w:t>
            </w:r>
            <w:r>
              <w:rPr>
                <w:rStyle w:val="122"/>
                <w:color w:val="auto"/>
                <w:highlight w:val="none"/>
                <w:lang w:val="en-US" w:eastAsia="zh-CN" w:bidi="ar"/>
              </w:rPr>
              <w:t>，</w:t>
            </w:r>
            <w:r>
              <w:rPr>
                <w:rStyle w:val="131"/>
                <w:rFonts w:eastAsia="宋体"/>
                <w:color w:val="auto"/>
                <w:highlight w:val="none"/>
                <w:lang w:val="en-US" w:eastAsia="zh-CN" w:bidi="ar"/>
              </w:rPr>
              <w:t>8</w:t>
            </w:r>
            <w:r>
              <w:rPr>
                <w:rStyle w:val="122"/>
                <w:color w:val="auto"/>
                <w:highlight w:val="none"/>
                <w:lang w:val="en-US" w:eastAsia="zh-CN" w:bidi="ar"/>
              </w:rPr>
              <w:t>砖混结构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63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1399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5F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543370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002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295131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A567">
            <w:pPr>
              <w:jc w:val="center"/>
              <w:rPr>
                <w:rFonts w:hint="default" w:ascii="Times New Roman" w:hAnsi="Times New Roman" w:eastAsia="宋体" w:cs="Times New Roman"/>
                <w:i w:val="0"/>
                <w:iCs w:val="0"/>
                <w:color w:val="auto"/>
                <w:sz w:val="22"/>
                <w:szCs w:val="22"/>
                <w:highlight w:val="none"/>
                <w:u w:val="none"/>
              </w:rPr>
            </w:pPr>
          </w:p>
        </w:tc>
      </w:tr>
      <w:tr w14:paraId="5884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87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0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市卫生健康委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F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梧州市疾病预防控制中心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EFC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8543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FDE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27"/>
                <w:rFonts w:eastAsia="宋体"/>
                <w:color w:val="auto"/>
                <w:highlight w:val="none"/>
                <w:lang w:val="en-US" w:eastAsia="zh-CN" w:bidi="ar"/>
              </w:rPr>
              <w:t>1-4</w:t>
            </w:r>
            <w:r>
              <w:rPr>
                <w:rStyle w:val="122"/>
                <w:color w:val="auto"/>
                <w:highlight w:val="none"/>
                <w:lang w:val="en-US" w:eastAsia="zh-CN" w:bidi="ar"/>
              </w:rPr>
              <w:t>层</w:t>
            </w:r>
            <w:r>
              <w:rPr>
                <w:rStyle w:val="127"/>
                <w:rFonts w:eastAsia="宋体"/>
                <w:color w:val="auto"/>
                <w:highlight w:val="none"/>
                <w:lang w:val="en-US" w:eastAsia="zh-CN" w:bidi="ar"/>
              </w:rPr>
              <w:t>2003</w:t>
            </w:r>
            <w:r>
              <w:rPr>
                <w:rStyle w:val="122"/>
                <w:color w:val="auto"/>
                <w:highlight w:val="none"/>
                <w:lang w:val="en-US" w:eastAsia="zh-CN" w:bidi="ar"/>
              </w:rPr>
              <w:t>年</w:t>
            </w:r>
            <w:r>
              <w:rPr>
                <w:rStyle w:val="127"/>
                <w:rFonts w:eastAsia="宋体"/>
                <w:color w:val="auto"/>
                <w:highlight w:val="none"/>
                <w:lang w:val="en-US" w:eastAsia="zh-CN" w:bidi="ar"/>
              </w:rPr>
              <w:br w:type="textWrapping"/>
            </w:r>
            <w:r>
              <w:rPr>
                <w:rStyle w:val="127"/>
                <w:rFonts w:eastAsia="宋体"/>
                <w:color w:val="auto"/>
                <w:highlight w:val="none"/>
                <w:lang w:val="en-US" w:eastAsia="zh-CN" w:bidi="ar"/>
              </w:rPr>
              <w:t>5-8</w:t>
            </w:r>
            <w:r>
              <w:rPr>
                <w:rStyle w:val="122"/>
                <w:color w:val="auto"/>
                <w:highlight w:val="none"/>
                <w:lang w:val="en-US" w:eastAsia="zh-CN" w:bidi="ar"/>
              </w:rPr>
              <w:t>层</w:t>
            </w:r>
            <w:r>
              <w:rPr>
                <w:rStyle w:val="127"/>
                <w:rFonts w:eastAsia="宋体"/>
                <w:color w:val="auto"/>
                <w:highlight w:val="none"/>
                <w:lang w:val="en-US" w:eastAsia="zh-CN" w:bidi="ar"/>
              </w:rPr>
              <w:t>2009</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8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D45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350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236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461344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82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339337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C9C7">
            <w:pPr>
              <w:jc w:val="center"/>
              <w:rPr>
                <w:rFonts w:hint="default" w:ascii="Times New Roman" w:hAnsi="Times New Roman" w:eastAsia="宋体" w:cs="Times New Roman"/>
                <w:i w:val="0"/>
                <w:iCs w:val="0"/>
                <w:color w:val="auto"/>
                <w:sz w:val="22"/>
                <w:szCs w:val="22"/>
                <w:highlight w:val="none"/>
                <w:u w:val="none"/>
              </w:rPr>
            </w:pPr>
          </w:p>
        </w:tc>
      </w:tr>
      <w:tr w14:paraId="6DD9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20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B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5D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梧州市公安局刑事侦查支队</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E7C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791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B03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2003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41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62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F98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416763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E17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297847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CB3C">
            <w:pPr>
              <w:jc w:val="center"/>
              <w:rPr>
                <w:rFonts w:hint="default" w:ascii="Times New Roman" w:hAnsi="Times New Roman" w:eastAsia="宋体" w:cs="Times New Roman"/>
                <w:i w:val="0"/>
                <w:iCs w:val="0"/>
                <w:color w:val="auto"/>
                <w:sz w:val="22"/>
                <w:szCs w:val="22"/>
                <w:highlight w:val="none"/>
                <w:u w:val="none"/>
              </w:rPr>
            </w:pPr>
          </w:p>
        </w:tc>
      </w:tr>
      <w:tr w14:paraId="79EF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DC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1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梧州市第十七中学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3F4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32614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517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1#</w:t>
            </w:r>
            <w:r>
              <w:rPr>
                <w:rStyle w:val="122"/>
                <w:color w:val="auto"/>
                <w:highlight w:val="none"/>
                <w:lang w:val="en-US" w:eastAsia="zh-CN" w:bidi="ar"/>
              </w:rPr>
              <w:t>图书馆、</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2#</w:t>
            </w:r>
            <w:r>
              <w:rPr>
                <w:rStyle w:val="122"/>
                <w:color w:val="auto"/>
                <w:highlight w:val="none"/>
                <w:lang w:val="en-US" w:eastAsia="zh-CN" w:bidi="ar"/>
              </w:rPr>
              <w:t>教学楼、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3#</w:t>
            </w:r>
            <w:r>
              <w:rPr>
                <w:rStyle w:val="122"/>
                <w:color w:val="auto"/>
                <w:highlight w:val="none"/>
                <w:lang w:val="en-US" w:eastAsia="zh-CN" w:bidi="ar"/>
              </w:rPr>
              <w:t>教学楼、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4#</w:t>
            </w:r>
            <w:r>
              <w:rPr>
                <w:rStyle w:val="122"/>
                <w:color w:val="auto"/>
                <w:highlight w:val="none"/>
                <w:lang w:val="en-US" w:eastAsia="zh-CN" w:bidi="ar"/>
              </w:rPr>
              <w:t>教学楼、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5#</w:t>
            </w:r>
            <w:r>
              <w:rPr>
                <w:rStyle w:val="122"/>
                <w:color w:val="auto"/>
                <w:highlight w:val="none"/>
                <w:lang w:val="en-US" w:eastAsia="zh-CN" w:bidi="ar"/>
              </w:rPr>
              <w:t>综合楼、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6#</w:t>
            </w:r>
            <w:r>
              <w:rPr>
                <w:rStyle w:val="122"/>
                <w:color w:val="auto"/>
                <w:highlight w:val="none"/>
                <w:lang w:val="en-US" w:eastAsia="zh-CN" w:bidi="ar"/>
              </w:rPr>
              <w:t>教研楼、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7#</w:t>
            </w:r>
            <w:r>
              <w:rPr>
                <w:rStyle w:val="122"/>
                <w:color w:val="auto"/>
                <w:highlight w:val="none"/>
                <w:lang w:val="en-US" w:eastAsia="zh-CN" w:bidi="ar"/>
              </w:rPr>
              <w:t>食堂、</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8#</w:t>
            </w:r>
            <w:r>
              <w:rPr>
                <w:rStyle w:val="122"/>
                <w:color w:val="auto"/>
                <w:highlight w:val="none"/>
                <w:lang w:val="en-US" w:eastAsia="zh-CN" w:bidi="ar"/>
              </w:rPr>
              <w:t>宿舍楼、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9#</w:t>
            </w:r>
            <w:r>
              <w:rPr>
                <w:rStyle w:val="122"/>
                <w:color w:val="auto"/>
                <w:highlight w:val="none"/>
                <w:lang w:val="en-US" w:eastAsia="zh-CN" w:bidi="ar"/>
              </w:rPr>
              <w:t>宿舍楼、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10#</w:t>
            </w:r>
            <w:r>
              <w:rPr>
                <w:rStyle w:val="122"/>
                <w:color w:val="auto"/>
                <w:highlight w:val="none"/>
                <w:lang w:val="en-US" w:eastAsia="zh-CN" w:bidi="ar"/>
              </w:rPr>
              <w:t>宿舍楼、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11#</w:t>
            </w:r>
            <w:r>
              <w:rPr>
                <w:rStyle w:val="122"/>
                <w:color w:val="auto"/>
                <w:highlight w:val="none"/>
                <w:lang w:val="en-US" w:eastAsia="zh-CN" w:bidi="ar"/>
              </w:rPr>
              <w:t>学知塔、</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12#</w:t>
            </w:r>
            <w:r>
              <w:rPr>
                <w:rStyle w:val="122"/>
                <w:color w:val="auto"/>
                <w:highlight w:val="none"/>
                <w:lang w:val="en-US" w:eastAsia="zh-CN" w:bidi="ar"/>
              </w:rPr>
              <w:t>主大门门卫室、次大门、门卫室、</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13#</w:t>
            </w:r>
            <w:r>
              <w:rPr>
                <w:rStyle w:val="122"/>
                <w:color w:val="auto"/>
                <w:highlight w:val="none"/>
                <w:lang w:val="en-US" w:eastAsia="zh-CN" w:bidi="ar"/>
              </w:rPr>
              <w:t>设备房。</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B38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w:t>
            </w:r>
            <w:r>
              <w:rPr>
                <w:rStyle w:val="122"/>
                <w:color w:val="auto"/>
                <w:highlight w:val="none"/>
                <w:lang w:val="en-US" w:eastAsia="zh-CN" w:bidi="ar"/>
              </w:rPr>
              <w:t>图书馆、</w:t>
            </w:r>
            <w:r>
              <w:rPr>
                <w:rStyle w:val="131"/>
                <w:rFonts w:eastAsia="宋体"/>
                <w:color w:val="auto"/>
                <w:highlight w:val="none"/>
                <w:lang w:val="en-US" w:eastAsia="zh-CN" w:bidi="ar"/>
              </w:rPr>
              <w:t>2#</w:t>
            </w:r>
            <w:r>
              <w:rPr>
                <w:rStyle w:val="122"/>
                <w:color w:val="auto"/>
                <w:highlight w:val="none"/>
                <w:lang w:val="en-US" w:eastAsia="zh-CN" w:bidi="ar"/>
              </w:rPr>
              <w:t>教学楼、</w:t>
            </w:r>
            <w:r>
              <w:rPr>
                <w:rStyle w:val="131"/>
                <w:rFonts w:eastAsia="宋体"/>
                <w:color w:val="auto"/>
                <w:highlight w:val="none"/>
                <w:lang w:val="en-US" w:eastAsia="zh-CN" w:bidi="ar"/>
              </w:rPr>
              <w:t>3#</w:t>
            </w:r>
            <w:r>
              <w:rPr>
                <w:rStyle w:val="122"/>
                <w:color w:val="auto"/>
                <w:highlight w:val="none"/>
                <w:lang w:val="en-US" w:eastAsia="zh-CN" w:bidi="ar"/>
              </w:rPr>
              <w:t>教学楼、</w:t>
            </w:r>
            <w:r>
              <w:rPr>
                <w:rStyle w:val="131"/>
                <w:rFonts w:eastAsia="宋体"/>
                <w:color w:val="auto"/>
                <w:highlight w:val="none"/>
                <w:lang w:val="en-US" w:eastAsia="zh-CN" w:bidi="ar"/>
              </w:rPr>
              <w:t>4#</w:t>
            </w:r>
            <w:r>
              <w:rPr>
                <w:rStyle w:val="122"/>
                <w:color w:val="auto"/>
                <w:highlight w:val="none"/>
                <w:lang w:val="en-US" w:eastAsia="zh-CN" w:bidi="ar"/>
              </w:rPr>
              <w:t>教学楼、</w:t>
            </w:r>
            <w:r>
              <w:rPr>
                <w:rStyle w:val="131"/>
                <w:rFonts w:eastAsia="宋体"/>
                <w:color w:val="auto"/>
                <w:highlight w:val="none"/>
                <w:lang w:val="en-US" w:eastAsia="zh-CN" w:bidi="ar"/>
              </w:rPr>
              <w:t>6#</w:t>
            </w:r>
            <w:r>
              <w:rPr>
                <w:rStyle w:val="122"/>
                <w:color w:val="auto"/>
                <w:highlight w:val="none"/>
                <w:lang w:val="en-US" w:eastAsia="zh-CN" w:bidi="ar"/>
              </w:rPr>
              <w:t>教研楼、</w:t>
            </w:r>
            <w:r>
              <w:rPr>
                <w:rStyle w:val="131"/>
                <w:rFonts w:eastAsia="宋体"/>
                <w:color w:val="auto"/>
                <w:highlight w:val="none"/>
                <w:lang w:val="en-US" w:eastAsia="zh-CN" w:bidi="ar"/>
              </w:rPr>
              <w:t>7#</w:t>
            </w:r>
            <w:r>
              <w:rPr>
                <w:rStyle w:val="122"/>
                <w:color w:val="auto"/>
                <w:highlight w:val="none"/>
                <w:lang w:val="en-US" w:eastAsia="zh-CN" w:bidi="ar"/>
              </w:rPr>
              <w:t>食堂、</w:t>
            </w:r>
            <w:r>
              <w:rPr>
                <w:rStyle w:val="131"/>
                <w:rFonts w:eastAsia="宋体"/>
                <w:color w:val="auto"/>
                <w:highlight w:val="none"/>
                <w:lang w:val="en-US" w:eastAsia="zh-CN" w:bidi="ar"/>
              </w:rPr>
              <w:t>8#</w:t>
            </w:r>
            <w:r>
              <w:rPr>
                <w:rStyle w:val="122"/>
                <w:color w:val="auto"/>
                <w:highlight w:val="none"/>
                <w:lang w:val="en-US" w:eastAsia="zh-CN" w:bidi="ar"/>
              </w:rPr>
              <w:t>宿舍楼、</w:t>
            </w:r>
            <w:r>
              <w:rPr>
                <w:rStyle w:val="131"/>
                <w:rFonts w:eastAsia="宋体"/>
                <w:color w:val="auto"/>
                <w:highlight w:val="none"/>
                <w:lang w:val="en-US" w:eastAsia="zh-CN" w:bidi="ar"/>
              </w:rPr>
              <w:t>9#</w:t>
            </w:r>
            <w:r>
              <w:rPr>
                <w:rStyle w:val="122"/>
                <w:color w:val="auto"/>
                <w:highlight w:val="none"/>
                <w:lang w:val="en-US" w:eastAsia="zh-CN" w:bidi="ar"/>
              </w:rPr>
              <w:t>宿舍楼、</w:t>
            </w:r>
            <w:r>
              <w:rPr>
                <w:rStyle w:val="131"/>
                <w:rFonts w:eastAsia="宋体"/>
                <w:color w:val="auto"/>
                <w:highlight w:val="none"/>
                <w:lang w:val="en-US" w:eastAsia="zh-CN" w:bidi="ar"/>
              </w:rPr>
              <w:t>10#</w:t>
            </w:r>
            <w:r>
              <w:rPr>
                <w:rStyle w:val="122"/>
                <w:color w:val="auto"/>
                <w:highlight w:val="none"/>
                <w:lang w:val="en-US" w:eastAsia="zh-CN" w:bidi="ar"/>
              </w:rPr>
              <w:t>宿舍楼、</w:t>
            </w:r>
            <w:r>
              <w:rPr>
                <w:rStyle w:val="131"/>
                <w:rFonts w:eastAsia="宋体"/>
                <w:color w:val="auto"/>
                <w:highlight w:val="none"/>
                <w:lang w:val="en-US" w:eastAsia="zh-CN" w:bidi="ar"/>
              </w:rPr>
              <w:t>13#</w:t>
            </w:r>
            <w:r>
              <w:rPr>
                <w:rStyle w:val="122"/>
                <w:color w:val="auto"/>
                <w:highlight w:val="none"/>
                <w:lang w:val="en-US" w:eastAsia="zh-CN" w:bidi="ar"/>
              </w:rPr>
              <w:t>设备房、</w:t>
            </w:r>
            <w:r>
              <w:rPr>
                <w:rStyle w:val="131"/>
                <w:rFonts w:eastAsia="宋体"/>
                <w:color w:val="auto"/>
                <w:highlight w:val="none"/>
                <w:lang w:val="en-US" w:eastAsia="zh-CN" w:bidi="ar"/>
              </w:rPr>
              <w:t>12#</w:t>
            </w:r>
            <w:r>
              <w:rPr>
                <w:rStyle w:val="122"/>
                <w:color w:val="auto"/>
                <w:highlight w:val="none"/>
                <w:lang w:val="en-US" w:eastAsia="zh-CN" w:bidi="ar"/>
              </w:rPr>
              <w:t>次大门、门卫室为框架结构；</w:t>
            </w:r>
            <w:r>
              <w:rPr>
                <w:rStyle w:val="131"/>
                <w:rFonts w:eastAsia="宋体"/>
                <w:color w:val="auto"/>
                <w:highlight w:val="none"/>
                <w:lang w:val="en-US" w:eastAsia="zh-CN" w:bidi="ar"/>
              </w:rPr>
              <w:t>5#</w:t>
            </w:r>
            <w:r>
              <w:rPr>
                <w:rStyle w:val="122"/>
                <w:color w:val="auto"/>
                <w:highlight w:val="none"/>
                <w:lang w:val="en-US" w:eastAsia="zh-CN" w:bidi="ar"/>
              </w:rPr>
              <w:t>综合楼和主大门门卫室为框架结构</w:t>
            </w:r>
            <w:r>
              <w:rPr>
                <w:rStyle w:val="131"/>
                <w:rFonts w:eastAsia="宋体"/>
                <w:color w:val="auto"/>
                <w:highlight w:val="none"/>
                <w:lang w:val="en-US" w:eastAsia="zh-CN" w:bidi="ar"/>
              </w:rPr>
              <w:t>+</w:t>
            </w:r>
            <w:r>
              <w:rPr>
                <w:rStyle w:val="122"/>
                <w:color w:val="auto"/>
                <w:highlight w:val="none"/>
                <w:lang w:val="en-US" w:eastAsia="zh-CN" w:bidi="ar"/>
              </w:rPr>
              <w:t>钢结构；</w:t>
            </w:r>
            <w:r>
              <w:rPr>
                <w:rStyle w:val="131"/>
                <w:rFonts w:eastAsia="宋体"/>
                <w:color w:val="auto"/>
                <w:highlight w:val="none"/>
                <w:lang w:val="en-US" w:eastAsia="zh-CN" w:bidi="ar"/>
              </w:rPr>
              <w:t>11#</w:t>
            </w:r>
            <w:r>
              <w:rPr>
                <w:rStyle w:val="122"/>
                <w:color w:val="auto"/>
                <w:highlight w:val="none"/>
                <w:lang w:val="en-US" w:eastAsia="zh-CN" w:bidi="ar"/>
              </w:rPr>
              <w:t>学知塔为钢结构。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526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1994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7F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836070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099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454906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AE71">
            <w:pPr>
              <w:jc w:val="center"/>
              <w:rPr>
                <w:rFonts w:hint="default" w:ascii="Times New Roman" w:hAnsi="Times New Roman" w:eastAsia="宋体" w:cs="Times New Roman"/>
                <w:i w:val="0"/>
                <w:iCs w:val="0"/>
                <w:color w:val="auto"/>
                <w:sz w:val="22"/>
                <w:szCs w:val="22"/>
                <w:highlight w:val="none"/>
                <w:u w:val="none"/>
              </w:rPr>
            </w:pPr>
          </w:p>
        </w:tc>
      </w:tr>
      <w:tr w14:paraId="1852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B4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3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F3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梧州市公安局特巡警支队</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1BE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5400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5F0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2020</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F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B0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303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AF2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248714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39D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179817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B168">
            <w:pPr>
              <w:jc w:val="center"/>
              <w:rPr>
                <w:rFonts w:hint="default" w:ascii="Times New Roman" w:hAnsi="Times New Roman" w:eastAsia="宋体" w:cs="Times New Roman"/>
                <w:i w:val="0"/>
                <w:iCs w:val="0"/>
                <w:color w:val="auto"/>
                <w:sz w:val="22"/>
                <w:szCs w:val="22"/>
                <w:highlight w:val="none"/>
                <w:u w:val="none"/>
              </w:rPr>
            </w:pPr>
          </w:p>
        </w:tc>
      </w:tr>
      <w:tr w14:paraId="04C0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594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2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5D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梧州市第六中学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99A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14379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EDD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w:t>
            </w:r>
            <w:r>
              <w:rPr>
                <w:rStyle w:val="122"/>
                <w:color w:val="auto"/>
                <w:highlight w:val="none"/>
                <w:lang w:val="en-US" w:eastAsia="zh-CN" w:bidi="ar"/>
              </w:rPr>
              <w:t>旧教师宿舍</w:t>
            </w:r>
            <w:r>
              <w:rPr>
                <w:rStyle w:val="131"/>
                <w:rFonts w:eastAsia="宋体"/>
                <w:color w:val="auto"/>
                <w:highlight w:val="none"/>
                <w:lang w:val="en-US" w:eastAsia="zh-CN" w:bidi="ar"/>
              </w:rPr>
              <w:t>1988</w:t>
            </w:r>
            <w:r>
              <w:rPr>
                <w:rStyle w:val="122"/>
                <w:color w:val="auto"/>
                <w:highlight w:val="none"/>
                <w:lang w:val="en-US" w:eastAsia="zh-CN" w:bidi="ar"/>
              </w:rPr>
              <w:t>年；</w:t>
            </w:r>
            <w:r>
              <w:rPr>
                <w:rStyle w:val="131"/>
                <w:rFonts w:eastAsia="宋体"/>
                <w:color w:val="auto"/>
                <w:highlight w:val="none"/>
                <w:lang w:val="en-US" w:eastAsia="zh-CN" w:bidi="ar"/>
              </w:rPr>
              <w:t>2.</w:t>
            </w:r>
            <w:r>
              <w:rPr>
                <w:rStyle w:val="122"/>
                <w:color w:val="auto"/>
                <w:highlight w:val="none"/>
                <w:lang w:val="en-US" w:eastAsia="zh-CN" w:bidi="ar"/>
              </w:rPr>
              <w:t>初中教学楼</w:t>
            </w:r>
            <w:r>
              <w:rPr>
                <w:rStyle w:val="131"/>
                <w:rFonts w:eastAsia="宋体"/>
                <w:color w:val="auto"/>
                <w:highlight w:val="none"/>
                <w:lang w:val="en-US" w:eastAsia="zh-CN" w:bidi="ar"/>
              </w:rPr>
              <w:t>1988</w:t>
            </w:r>
            <w:r>
              <w:rPr>
                <w:rStyle w:val="122"/>
                <w:color w:val="auto"/>
                <w:highlight w:val="none"/>
                <w:lang w:val="en-US" w:eastAsia="zh-CN" w:bidi="ar"/>
              </w:rPr>
              <w:t>年；</w:t>
            </w:r>
            <w:r>
              <w:rPr>
                <w:rStyle w:val="131"/>
                <w:rFonts w:eastAsia="宋体"/>
                <w:color w:val="auto"/>
                <w:highlight w:val="none"/>
                <w:lang w:val="en-US" w:eastAsia="zh-CN" w:bidi="ar"/>
              </w:rPr>
              <w:t>3.</w:t>
            </w:r>
            <w:r>
              <w:rPr>
                <w:rStyle w:val="122"/>
                <w:color w:val="auto"/>
                <w:highlight w:val="none"/>
                <w:lang w:val="en-US" w:eastAsia="zh-CN" w:bidi="ar"/>
              </w:rPr>
              <w:t>办公楼、实验楼</w:t>
            </w:r>
            <w:r>
              <w:rPr>
                <w:rStyle w:val="131"/>
                <w:rFonts w:eastAsia="宋体"/>
                <w:color w:val="auto"/>
                <w:highlight w:val="none"/>
                <w:lang w:val="en-US" w:eastAsia="zh-CN" w:bidi="ar"/>
              </w:rPr>
              <w:t>1988</w:t>
            </w:r>
            <w:r>
              <w:rPr>
                <w:rStyle w:val="122"/>
                <w:color w:val="auto"/>
                <w:highlight w:val="none"/>
                <w:lang w:val="en-US" w:eastAsia="zh-CN" w:bidi="ar"/>
              </w:rPr>
              <w:t>年；</w:t>
            </w:r>
            <w:r>
              <w:rPr>
                <w:rStyle w:val="131"/>
                <w:rFonts w:eastAsia="宋体"/>
                <w:color w:val="auto"/>
                <w:highlight w:val="none"/>
                <w:lang w:val="en-US" w:eastAsia="zh-CN" w:bidi="ar"/>
              </w:rPr>
              <w:t>4.</w:t>
            </w:r>
            <w:r>
              <w:rPr>
                <w:rStyle w:val="122"/>
                <w:color w:val="auto"/>
                <w:highlight w:val="none"/>
                <w:lang w:val="en-US" w:eastAsia="zh-CN" w:bidi="ar"/>
              </w:rPr>
              <w:t>食堂</w:t>
            </w:r>
            <w:r>
              <w:rPr>
                <w:rStyle w:val="131"/>
                <w:rFonts w:eastAsia="宋体"/>
                <w:color w:val="auto"/>
                <w:highlight w:val="none"/>
                <w:lang w:val="en-US" w:eastAsia="zh-CN" w:bidi="ar"/>
              </w:rPr>
              <w:t>1988</w:t>
            </w:r>
            <w:r>
              <w:rPr>
                <w:rStyle w:val="122"/>
                <w:color w:val="auto"/>
                <w:highlight w:val="none"/>
                <w:lang w:val="en-US" w:eastAsia="zh-CN" w:bidi="ar"/>
              </w:rPr>
              <w:t>年；</w:t>
            </w:r>
            <w:r>
              <w:rPr>
                <w:rStyle w:val="131"/>
                <w:rFonts w:eastAsia="宋体"/>
                <w:color w:val="auto"/>
                <w:highlight w:val="none"/>
                <w:lang w:val="en-US" w:eastAsia="zh-CN" w:bidi="ar"/>
              </w:rPr>
              <w:t>5.1#</w:t>
            </w:r>
            <w:r>
              <w:rPr>
                <w:rStyle w:val="122"/>
                <w:color w:val="auto"/>
                <w:highlight w:val="none"/>
                <w:lang w:val="en-US" w:eastAsia="zh-CN" w:bidi="ar"/>
              </w:rPr>
              <w:t>宿舍楼</w:t>
            </w:r>
            <w:r>
              <w:rPr>
                <w:rStyle w:val="131"/>
                <w:rFonts w:eastAsia="宋体"/>
                <w:color w:val="auto"/>
                <w:highlight w:val="none"/>
                <w:lang w:val="en-US" w:eastAsia="zh-CN" w:bidi="ar"/>
              </w:rPr>
              <w:t>1999</w:t>
            </w:r>
            <w:r>
              <w:rPr>
                <w:rStyle w:val="122"/>
                <w:color w:val="auto"/>
                <w:highlight w:val="none"/>
                <w:lang w:val="en-US" w:eastAsia="zh-CN" w:bidi="ar"/>
              </w:rPr>
              <w:t>年；</w:t>
            </w:r>
            <w:r>
              <w:rPr>
                <w:rStyle w:val="131"/>
                <w:rFonts w:eastAsia="宋体"/>
                <w:color w:val="auto"/>
                <w:highlight w:val="none"/>
                <w:lang w:val="en-US" w:eastAsia="zh-CN" w:bidi="ar"/>
              </w:rPr>
              <w:t>6.2#</w:t>
            </w:r>
            <w:r>
              <w:rPr>
                <w:rStyle w:val="122"/>
                <w:color w:val="auto"/>
                <w:highlight w:val="none"/>
                <w:lang w:val="en-US" w:eastAsia="zh-CN" w:bidi="ar"/>
              </w:rPr>
              <w:t>宿舍楼</w:t>
            </w:r>
            <w:r>
              <w:rPr>
                <w:rStyle w:val="131"/>
                <w:rFonts w:eastAsia="宋体"/>
                <w:color w:val="auto"/>
                <w:highlight w:val="none"/>
                <w:lang w:val="en-US" w:eastAsia="zh-CN" w:bidi="ar"/>
              </w:rPr>
              <w:t>2010</w:t>
            </w:r>
            <w:r>
              <w:rPr>
                <w:rStyle w:val="122"/>
                <w:color w:val="auto"/>
                <w:highlight w:val="none"/>
                <w:lang w:val="en-US" w:eastAsia="zh-CN" w:bidi="ar"/>
              </w:rPr>
              <w:t>年；</w:t>
            </w:r>
            <w:r>
              <w:rPr>
                <w:rStyle w:val="131"/>
                <w:rFonts w:eastAsia="宋体"/>
                <w:color w:val="auto"/>
                <w:highlight w:val="none"/>
                <w:lang w:val="en-US" w:eastAsia="zh-CN" w:bidi="ar"/>
              </w:rPr>
              <w:t>7.3#</w:t>
            </w:r>
            <w:r>
              <w:rPr>
                <w:rStyle w:val="122"/>
                <w:color w:val="auto"/>
                <w:highlight w:val="none"/>
                <w:lang w:val="en-US" w:eastAsia="zh-CN" w:bidi="ar"/>
              </w:rPr>
              <w:t>宿舍楼</w:t>
            </w:r>
            <w:r>
              <w:rPr>
                <w:rStyle w:val="131"/>
                <w:rFonts w:eastAsia="宋体"/>
                <w:color w:val="auto"/>
                <w:highlight w:val="none"/>
                <w:lang w:val="en-US" w:eastAsia="zh-CN" w:bidi="ar"/>
              </w:rPr>
              <w:t>2017</w:t>
            </w:r>
            <w:r>
              <w:rPr>
                <w:rStyle w:val="122"/>
                <w:color w:val="auto"/>
                <w:highlight w:val="none"/>
                <w:lang w:val="en-US" w:eastAsia="zh-CN" w:bidi="ar"/>
              </w:rPr>
              <w:t>年；</w:t>
            </w:r>
            <w:r>
              <w:rPr>
                <w:rStyle w:val="131"/>
                <w:rFonts w:eastAsia="宋体"/>
                <w:color w:val="auto"/>
                <w:highlight w:val="none"/>
                <w:lang w:val="en-US" w:eastAsia="zh-CN" w:bidi="ar"/>
              </w:rPr>
              <w:t>8.4#</w:t>
            </w:r>
            <w:r>
              <w:rPr>
                <w:rStyle w:val="122"/>
                <w:color w:val="auto"/>
                <w:highlight w:val="none"/>
                <w:lang w:val="en-US" w:eastAsia="zh-CN" w:bidi="ar"/>
              </w:rPr>
              <w:t>宿舍楼</w:t>
            </w:r>
            <w:r>
              <w:rPr>
                <w:rStyle w:val="131"/>
                <w:rFonts w:eastAsia="宋体"/>
                <w:color w:val="auto"/>
                <w:highlight w:val="none"/>
                <w:lang w:val="en-US" w:eastAsia="zh-CN" w:bidi="ar"/>
              </w:rPr>
              <w:t>2021</w:t>
            </w:r>
            <w:r>
              <w:rPr>
                <w:rStyle w:val="122"/>
                <w:color w:val="auto"/>
                <w:highlight w:val="none"/>
                <w:lang w:val="en-US" w:eastAsia="zh-CN" w:bidi="ar"/>
              </w:rPr>
              <w:t>年；</w:t>
            </w:r>
            <w:r>
              <w:rPr>
                <w:rStyle w:val="131"/>
                <w:rFonts w:eastAsia="宋体"/>
                <w:color w:val="auto"/>
                <w:highlight w:val="none"/>
                <w:lang w:val="en-US" w:eastAsia="zh-CN" w:bidi="ar"/>
              </w:rPr>
              <w:t>9.11#</w:t>
            </w:r>
            <w:r>
              <w:rPr>
                <w:rStyle w:val="122"/>
                <w:color w:val="auto"/>
                <w:highlight w:val="none"/>
                <w:lang w:val="en-US" w:eastAsia="zh-CN" w:bidi="ar"/>
              </w:rPr>
              <w:t>综合教学楼</w:t>
            </w:r>
            <w:r>
              <w:rPr>
                <w:rStyle w:val="131"/>
                <w:rFonts w:eastAsia="宋体"/>
                <w:color w:val="auto"/>
                <w:highlight w:val="none"/>
                <w:lang w:val="en-US" w:eastAsia="zh-CN" w:bidi="ar"/>
              </w:rPr>
              <w:t>2019</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0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建筑</w:t>
            </w:r>
            <w:r>
              <w:rPr>
                <w:rStyle w:val="131"/>
                <w:rFonts w:eastAsia="宋体"/>
                <w:color w:val="auto"/>
                <w:highlight w:val="none"/>
                <w:lang w:val="en-US" w:eastAsia="zh-CN" w:bidi="ar"/>
              </w:rPr>
              <w:t>1.2.3.4</w:t>
            </w:r>
            <w:r>
              <w:rPr>
                <w:rStyle w:val="122"/>
                <w:color w:val="auto"/>
                <w:highlight w:val="none"/>
                <w:lang w:val="en-US" w:eastAsia="zh-CN" w:bidi="ar"/>
              </w:rPr>
              <w:t>砖混结构；建筑</w:t>
            </w:r>
            <w:r>
              <w:rPr>
                <w:rStyle w:val="131"/>
                <w:rFonts w:eastAsia="宋体"/>
                <w:color w:val="auto"/>
                <w:highlight w:val="none"/>
                <w:lang w:val="en-US" w:eastAsia="zh-CN" w:bidi="ar"/>
              </w:rPr>
              <w:t>5.6.7.8.9</w:t>
            </w:r>
            <w:r>
              <w:rPr>
                <w:rStyle w:val="122"/>
                <w:color w:val="auto"/>
                <w:highlight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8C4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1526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93E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321007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96E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176419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8B5A">
            <w:pPr>
              <w:jc w:val="center"/>
              <w:rPr>
                <w:rFonts w:hint="default" w:ascii="Times New Roman" w:hAnsi="Times New Roman" w:eastAsia="宋体" w:cs="Times New Roman"/>
                <w:i w:val="0"/>
                <w:iCs w:val="0"/>
                <w:color w:val="auto"/>
                <w:sz w:val="22"/>
                <w:szCs w:val="22"/>
                <w:highlight w:val="none"/>
                <w:u w:val="none"/>
              </w:rPr>
            </w:pPr>
          </w:p>
        </w:tc>
      </w:tr>
      <w:tr w14:paraId="37B0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FC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74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梧州市住房公积金管理中心</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A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梧州市住房公积金管理中心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FFC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8723.3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CC2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2020</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A4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钢筋混凝土框架结构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079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258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00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406794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F0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293607.72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8C6E">
            <w:pPr>
              <w:jc w:val="center"/>
              <w:rPr>
                <w:rFonts w:hint="default" w:ascii="Times New Roman" w:hAnsi="Times New Roman" w:eastAsia="宋体" w:cs="Times New Roman"/>
                <w:i w:val="0"/>
                <w:iCs w:val="0"/>
                <w:color w:val="auto"/>
                <w:sz w:val="22"/>
                <w:szCs w:val="22"/>
                <w:highlight w:val="none"/>
                <w:u w:val="none"/>
              </w:rPr>
            </w:pPr>
          </w:p>
        </w:tc>
      </w:tr>
      <w:tr w14:paraId="2ADA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23E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2C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7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广西梧州市第十五中学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C51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18419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FF4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2004</w:t>
            </w:r>
            <w:r>
              <w:rPr>
                <w:rStyle w:val="122"/>
                <w:color w:val="auto"/>
                <w:highlight w:val="none"/>
                <w:lang w:val="en-US" w:eastAsia="zh-CN" w:bidi="ar"/>
              </w:rPr>
              <w:t>年：教学综合楼</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2006</w:t>
            </w:r>
            <w:r>
              <w:rPr>
                <w:rStyle w:val="122"/>
                <w:color w:val="auto"/>
                <w:highlight w:val="none"/>
                <w:lang w:val="en-US" w:eastAsia="zh-CN" w:bidi="ar"/>
              </w:rPr>
              <w:t>年：食堂</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49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24B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1644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C0C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497360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A78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270614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1518">
            <w:pPr>
              <w:jc w:val="center"/>
              <w:rPr>
                <w:rFonts w:hint="default" w:ascii="Times New Roman" w:hAnsi="Times New Roman" w:eastAsia="宋体" w:cs="Times New Roman"/>
                <w:i w:val="0"/>
                <w:iCs w:val="0"/>
                <w:color w:val="auto"/>
                <w:sz w:val="22"/>
                <w:szCs w:val="22"/>
                <w:highlight w:val="none"/>
                <w:u w:val="none"/>
              </w:rPr>
            </w:pPr>
          </w:p>
        </w:tc>
      </w:tr>
      <w:tr w14:paraId="3FBC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0FF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83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市市场监管局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3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梧州市市场监督管理局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099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2144.17</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9E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2013.3</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A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FF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D18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1902889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36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1393831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41F5">
            <w:pPr>
              <w:jc w:val="center"/>
              <w:rPr>
                <w:rFonts w:hint="default" w:ascii="Times New Roman" w:hAnsi="Times New Roman" w:eastAsia="宋体" w:cs="Times New Roman"/>
                <w:i w:val="0"/>
                <w:iCs w:val="0"/>
                <w:color w:val="auto"/>
                <w:sz w:val="22"/>
                <w:szCs w:val="22"/>
                <w:highlight w:val="none"/>
                <w:u w:val="none"/>
              </w:rPr>
            </w:pPr>
          </w:p>
        </w:tc>
      </w:tr>
      <w:tr w14:paraId="43A9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4F3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CC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市市场监管局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5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梧州市产品质量检验所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C5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7910.27</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F65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2007.4</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89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A70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FC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215939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A9C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156363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7F18">
            <w:pPr>
              <w:jc w:val="center"/>
              <w:rPr>
                <w:rFonts w:hint="default" w:ascii="Times New Roman" w:hAnsi="Times New Roman" w:eastAsia="宋体" w:cs="Times New Roman"/>
                <w:i w:val="0"/>
                <w:iCs w:val="0"/>
                <w:color w:val="auto"/>
                <w:sz w:val="22"/>
                <w:szCs w:val="22"/>
                <w:highlight w:val="none"/>
                <w:u w:val="none"/>
              </w:rPr>
            </w:pPr>
          </w:p>
        </w:tc>
      </w:tr>
      <w:tr w14:paraId="2C8B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FB4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A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B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广西梧州市第十二中学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D8F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9711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FD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2022</w:t>
            </w:r>
            <w:r>
              <w:rPr>
                <w:rStyle w:val="122"/>
                <w:color w:val="auto"/>
                <w:highlight w:val="none"/>
                <w:lang w:val="en-US" w:eastAsia="zh-CN" w:bidi="ar"/>
              </w:rPr>
              <w:t>年食堂膳厅；</w:t>
            </w:r>
            <w:r>
              <w:rPr>
                <w:rStyle w:val="131"/>
                <w:rFonts w:eastAsia="宋体"/>
                <w:color w:val="auto"/>
                <w:highlight w:val="none"/>
                <w:lang w:val="en-US" w:eastAsia="zh-CN" w:bidi="ar"/>
              </w:rPr>
              <w:t>2019</w:t>
            </w:r>
            <w:r>
              <w:rPr>
                <w:rStyle w:val="122"/>
                <w:color w:val="auto"/>
                <w:highlight w:val="none"/>
                <w:lang w:val="en-US" w:eastAsia="zh-CN" w:bidi="ar"/>
              </w:rPr>
              <w:t>年教学综合楼；</w:t>
            </w:r>
            <w:r>
              <w:rPr>
                <w:rStyle w:val="131"/>
                <w:rFonts w:eastAsia="宋体"/>
                <w:color w:val="auto"/>
                <w:highlight w:val="none"/>
                <w:lang w:val="en-US" w:eastAsia="zh-CN" w:bidi="ar"/>
              </w:rPr>
              <w:t>2016</w:t>
            </w:r>
            <w:r>
              <w:rPr>
                <w:rStyle w:val="122"/>
                <w:color w:val="auto"/>
                <w:highlight w:val="none"/>
                <w:lang w:val="en-US" w:eastAsia="zh-CN" w:bidi="ar"/>
              </w:rPr>
              <w:t>年食堂楼；</w:t>
            </w:r>
            <w:r>
              <w:rPr>
                <w:rStyle w:val="131"/>
                <w:rFonts w:eastAsia="宋体"/>
                <w:color w:val="auto"/>
                <w:highlight w:val="none"/>
                <w:lang w:val="en-US" w:eastAsia="zh-CN" w:bidi="ar"/>
              </w:rPr>
              <w:t>2016</w:t>
            </w:r>
            <w:r>
              <w:rPr>
                <w:rStyle w:val="122"/>
                <w:color w:val="auto"/>
                <w:highlight w:val="none"/>
                <w:lang w:val="en-US" w:eastAsia="zh-CN" w:bidi="ar"/>
              </w:rPr>
              <w:t>年宿舍楼；</w:t>
            </w:r>
            <w:r>
              <w:rPr>
                <w:rStyle w:val="131"/>
                <w:rFonts w:eastAsia="宋体"/>
                <w:color w:val="auto"/>
                <w:highlight w:val="none"/>
                <w:lang w:val="en-US" w:eastAsia="zh-CN" w:bidi="ar"/>
              </w:rPr>
              <w:t>2014</w:t>
            </w:r>
            <w:r>
              <w:rPr>
                <w:rStyle w:val="122"/>
                <w:color w:val="auto"/>
                <w:highlight w:val="none"/>
                <w:lang w:val="en-US" w:eastAsia="zh-CN" w:bidi="ar"/>
              </w:rPr>
              <w:t>年宿舍楼；</w:t>
            </w:r>
            <w:r>
              <w:rPr>
                <w:rStyle w:val="131"/>
                <w:rFonts w:eastAsia="宋体"/>
                <w:color w:val="auto"/>
                <w:highlight w:val="none"/>
                <w:lang w:val="en-US" w:eastAsia="zh-CN" w:bidi="ar"/>
              </w:rPr>
              <w:t>1998</w:t>
            </w:r>
            <w:r>
              <w:rPr>
                <w:rStyle w:val="122"/>
                <w:color w:val="auto"/>
                <w:highlight w:val="none"/>
                <w:lang w:val="en-US" w:eastAsia="zh-CN" w:bidi="ar"/>
              </w:rPr>
              <w:t>年新教学楼；</w:t>
            </w:r>
            <w:r>
              <w:rPr>
                <w:rStyle w:val="131"/>
                <w:rFonts w:eastAsia="宋体"/>
                <w:color w:val="auto"/>
                <w:highlight w:val="none"/>
                <w:lang w:val="en-US" w:eastAsia="zh-CN" w:bidi="ar"/>
              </w:rPr>
              <w:t>1988</w:t>
            </w:r>
            <w:r>
              <w:rPr>
                <w:rStyle w:val="122"/>
                <w:color w:val="auto"/>
                <w:highlight w:val="none"/>
                <w:lang w:val="en-US" w:eastAsia="zh-CN" w:bidi="ar"/>
              </w:rPr>
              <w:t>年旧教学楼；</w:t>
            </w:r>
            <w:r>
              <w:rPr>
                <w:rStyle w:val="131"/>
                <w:rFonts w:eastAsia="宋体"/>
                <w:color w:val="auto"/>
                <w:highlight w:val="none"/>
                <w:lang w:val="en-US" w:eastAsia="zh-CN" w:bidi="ar"/>
              </w:rPr>
              <w:t>1985</w:t>
            </w:r>
            <w:r>
              <w:rPr>
                <w:rStyle w:val="122"/>
                <w:color w:val="auto"/>
                <w:highlight w:val="none"/>
                <w:lang w:val="en-US" w:eastAsia="zh-CN" w:bidi="ar"/>
              </w:rPr>
              <w:t>年实验楼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4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食堂膳厅钢结构；教学综合楼框架结构；食堂楼框架结构；宿舍楼框架结构；宿舍楼框架结构；新教学楼砖混结构；旧教学楼砖混结构；实验楼砖混结构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43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1512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53C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283056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A3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154010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3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13E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5B9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8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E0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广西梧州市第四中学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C0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13500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8BE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1992</w:t>
            </w:r>
            <w:r>
              <w:rPr>
                <w:rStyle w:val="122"/>
                <w:color w:val="auto"/>
                <w:highlight w:val="none"/>
                <w:lang w:val="en-US" w:eastAsia="zh-CN" w:bidi="ar"/>
              </w:rPr>
              <w:t>年办公综合大楼；</w:t>
            </w:r>
            <w:r>
              <w:rPr>
                <w:rStyle w:val="131"/>
                <w:rFonts w:eastAsia="宋体"/>
                <w:color w:val="auto"/>
                <w:highlight w:val="none"/>
                <w:lang w:val="en-US" w:eastAsia="zh-CN" w:bidi="ar"/>
              </w:rPr>
              <w:t>2000</w:t>
            </w:r>
            <w:r>
              <w:rPr>
                <w:rStyle w:val="122"/>
                <w:color w:val="auto"/>
                <w:highlight w:val="none"/>
                <w:lang w:val="en-US" w:eastAsia="zh-CN" w:bidi="ar"/>
              </w:rPr>
              <w:t>年四中科技楼一期</w:t>
            </w:r>
            <w:r>
              <w:rPr>
                <w:rStyle w:val="131"/>
                <w:rFonts w:eastAsia="宋体"/>
                <w:color w:val="auto"/>
                <w:highlight w:val="none"/>
                <w:lang w:val="en-US" w:eastAsia="zh-CN" w:bidi="ar"/>
              </w:rPr>
              <w:t>(B</w:t>
            </w:r>
            <w:r>
              <w:rPr>
                <w:rStyle w:val="122"/>
                <w:color w:val="auto"/>
                <w:highlight w:val="none"/>
                <w:lang w:val="en-US" w:eastAsia="zh-CN" w:bidi="ar"/>
              </w:rPr>
              <w:t>座</w:t>
            </w:r>
            <w:r>
              <w:rPr>
                <w:rStyle w:val="131"/>
                <w:rFonts w:eastAsia="宋体"/>
                <w:color w:val="auto"/>
                <w:highlight w:val="none"/>
                <w:lang w:val="en-US" w:eastAsia="zh-CN" w:bidi="ar"/>
              </w:rPr>
              <w:t>)</w:t>
            </w:r>
            <w:r>
              <w:rPr>
                <w:rStyle w:val="122"/>
                <w:color w:val="auto"/>
                <w:highlight w:val="none"/>
                <w:lang w:val="en-US" w:eastAsia="zh-CN" w:bidi="ar"/>
              </w:rPr>
              <w:t>；</w:t>
            </w:r>
            <w:r>
              <w:rPr>
                <w:rStyle w:val="131"/>
                <w:rFonts w:eastAsia="宋体"/>
                <w:color w:val="auto"/>
                <w:highlight w:val="none"/>
                <w:lang w:val="en-US" w:eastAsia="zh-CN" w:bidi="ar"/>
              </w:rPr>
              <w:t>2001</w:t>
            </w:r>
            <w:r>
              <w:rPr>
                <w:rStyle w:val="122"/>
                <w:color w:val="auto"/>
                <w:highlight w:val="none"/>
                <w:lang w:val="en-US" w:eastAsia="zh-CN" w:bidi="ar"/>
              </w:rPr>
              <w:t>年四中科教楼二期；</w:t>
            </w:r>
            <w:r>
              <w:rPr>
                <w:rStyle w:val="131"/>
                <w:rFonts w:eastAsia="宋体"/>
                <w:color w:val="auto"/>
                <w:highlight w:val="none"/>
                <w:lang w:val="en-US" w:eastAsia="zh-CN" w:bidi="ar"/>
              </w:rPr>
              <w:t>2010</w:t>
            </w:r>
            <w:r>
              <w:rPr>
                <w:rStyle w:val="122"/>
                <w:color w:val="auto"/>
                <w:highlight w:val="none"/>
                <w:lang w:val="en-US" w:eastAsia="zh-CN" w:bidi="ar"/>
              </w:rPr>
              <w:t>年教学楼；教辅用房</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77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钢筋混凝土结构</w:t>
            </w:r>
            <w:r>
              <w:rPr>
                <w:rStyle w:val="131"/>
                <w:rFonts w:eastAsia="宋体"/>
                <w:color w:val="auto"/>
                <w:highlight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DE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1638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B1F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342336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F7D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188288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C36A">
            <w:pPr>
              <w:jc w:val="center"/>
              <w:rPr>
                <w:rFonts w:hint="default" w:ascii="Times New Roman" w:hAnsi="Times New Roman" w:eastAsia="宋体" w:cs="Times New Roman"/>
                <w:i w:val="0"/>
                <w:iCs w:val="0"/>
                <w:color w:val="auto"/>
                <w:sz w:val="22"/>
                <w:szCs w:val="22"/>
                <w:highlight w:val="none"/>
                <w:u w:val="none"/>
              </w:rPr>
            </w:pPr>
          </w:p>
        </w:tc>
      </w:tr>
      <w:tr w14:paraId="7BD8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79C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10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市人大常委会办公室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E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梧州市人民代表大会常务委员会办公室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465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2722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4672">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E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钢筋混凝土</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F98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81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198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236114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D6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170455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E715">
            <w:pPr>
              <w:jc w:val="center"/>
              <w:rPr>
                <w:rFonts w:hint="default" w:ascii="Times New Roman" w:hAnsi="Times New Roman" w:eastAsia="宋体" w:cs="Times New Roman"/>
                <w:i w:val="0"/>
                <w:iCs w:val="0"/>
                <w:color w:val="auto"/>
                <w:sz w:val="22"/>
                <w:szCs w:val="22"/>
                <w:highlight w:val="none"/>
                <w:u w:val="none"/>
              </w:rPr>
            </w:pPr>
          </w:p>
        </w:tc>
      </w:tr>
      <w:tr w14:paraId="74D3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000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F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D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广西梧州市中小学生示范性综合实践基地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9A1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83688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9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综合楼，臻美楼，宏毅楼，饭堂，科技楼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5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钢筋混泥土结构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AB5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358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93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313992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0BA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169551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DB19">
            <w:pPr>
              <w:jc w:val="center"/>
              <w:rPr>
                <w:rFonts w:hint="default" w:ascii="Times New Roman" w:hAnsi="Times New Roman" w:eastAsia="宋体" w:cs="Times New Roman"/>
                <w:i w:val="0"/>
                <w:iCs w:val="0"/>
                <w:color w:val="auto"/>
                <w:sz w:val="22"/>
                <w:szCs w:val="22"/>
                <w:highlight w:val="none"/>
                <w:u w:val="none"/>
              </w:rPr>
            </w:pPr>
          </w:p>
        </w:tc>
      </w:tr>
      <w:tr w14:paraId="2D16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8E4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3E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2B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广西梧州市第十九中学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635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7101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C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教学楼、男生宿舍、女生宿舍、苏民纪念馆、科教楼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B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钢筋混泥土结构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91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812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5F1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313992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46C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169551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43B8">
            <w:pPr>
              <w:jc w:val="center"/>
              <w:rPr>
                <w:rFonts w:hint="default" w:ascii="Times New Roman" w:hAnsi="Times New Roman" w:eastAsia="宋体" w:cs="Times New Roman"/>
                <w:i w:val="0"/>
                <w:iCs w:val="0"/>
                <w:color w:val="auto"/>
                <w:sz w:val="22"/>
                <w:szCs w:val="22"/>
                <w:highlight w:val="none"/>
                <w:u w:val="none"/>
              </w:rPr>
            </w:pPr>
          </w:p>
        </w:tc>
      </w:tr>
      <w:tr w14:paraId="067C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241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E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D5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梧州市第十六中学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9F1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47490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6F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E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框剪结构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FF9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2127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CB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1460880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4B7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795617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E7B6">
            <w:pPr>
              <w:jc w:val="center"/>
              <w:rPr>
                <w:rFonts w:hint="default" w:ascii="Times New Roman" w:hAnsi="Times New Roman" w:eastAsia="宋体" w:cs="Times New Roman"/>
                <w:i w:val="0"/>
                <w:iCs w:val="0"/>
                <w:color w:val="auto"/>
                <w:sz w:val="22"/>
                <w:szCs w:val="22"/>
                <w:highlight w:val="none"/>
                <w:u w:val="none"/>
              </w:rPr>
            </w:pPr>
          </w:p>
        </w:tc>
      </w:tr>
      <w:tr w14:paraId="0F9E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B97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5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市人力资源社会保障局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18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梧州市人力资源和社会保障局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E4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1185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C9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1999 </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45D6">
            <w:pPr>
              <w:jc w:val="center"/>
              <w:rPr>
                <w:rFonts w:hint="default" w:ascii="Times New Roman" w:hAnsi="Times New Roman" w:eastAsia="宋体" w:cs="Times New Roman"/>
                <w:i w:val="0"/>
                <w:iCs w:val="0"/>
                <w:color w:val="auto"/>
                <w:sz w:val="24"/>
                <w:szCs w:val="24"/>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27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343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E3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261206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98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193477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A214">
            <w:pPr>
              <w:jc w:val="center"/>
              <w:rPr>
                <w:rFonts w:hint="default" w:ascii="Times New Roman" w:hAnsi="Times New Roman" w:eastAsia="宋体" w:cs="Times New Roman"/>
                <w:i w:val="0"/>
                <w:iCs w:val="0"/>
                <w:color w:val="auto"/>
                <w:sz w:val="24"/>
                <w:szCs w:val="24"/>
                <w:highlight w:val="none"/>
                <w:u w:val="none"/>
              </w:rPr>
            </w:pPr>
          </w:p>
        </w:tc>
      </w:tr>
      <w:tr w14:paraId="21FB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891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6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市交通运输局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7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梧州市交通运输局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CD3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6786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2E9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2008 </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5EC0">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E17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261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570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360485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86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266832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E8FB">
            <w:pPr>
              <w:jc w:val="center"/>
              <w:rPr>
                <w:rFonts w:hint="default" w:ascii="Times New Roman" w:hAnsi="Times New Roman" w:eastAsia="宋体" w:cs="Times New Roman"/>
                <w:i w:val="0"/>
                <w:iCs w:val="0"/>
                <w:color w:val="auto"/>
                <w:sz w:val="22"/>
                <w:szCs w:val="22"/>
                <w:highlight w:val="none"/>
                <w:u w:val="none"/>
              </w:rPr>
            </w:pPr>
          </w:p>
        </w:tc>
      </w:tr>
      <w:tr w14:paraId="2358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5BC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6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市政协办公室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8E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中国人民政治协商会议梧州市委员会办公室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5B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2394.46</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AA61">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24C6">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547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29A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21.0039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631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15.1631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1A18">
            <w:pPr>
              <w:jc w:val="center"/>
              <w:rPr>
                <w:rFonts w:hint="default" w:ascii="Times New Roman" w:hAnsi="Times New Roman" w:eastAsia="宋体" w:cs="Times New Roman"/>
                <w:i w:val="0"/>
                <w:iCs w:val="0"/>
                <w:color w:val="auto"/>
                <w:sz w:val="22"/>
                <w:szCs w:val="22"/>
                <w:highlight w:val="none"/>
                <w:u w:val="none"/>
              </w:rPr>
            </w:pPr>
          </w:p>
        </w:tc>
      </w:tr>
      <w:tr w14:paraId="59F9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54C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0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市发展改革委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A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梧州市发展和改革委员会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310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1671.44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53C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1993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5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E3A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00F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125992.02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53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91093.84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600A">
            <w:pPr>
              <w:jc w:val="center"/>
              <w:rPr>
                <w:rFonts w:hint="default" w:ascii="Times New Roman" w:hAnsi="Times New Roman" w:eastAsia="宋体" w:cs="Times New Roman"/>
                <w:i w:val="0"/>
                <w:iCs w:val="0"/>
                <w:color w:val="auto"/>
                <w:sz w:val="22"/>
                <w:szCs w:val="22"/>
                <w:highlight w:val="none"/>
                <w:u w:val="none"/>
              </w:rPr>
            </w:pPr>
          </w:p>
        </w:tc>
      </w:tr>
      <w:tr w14:paraId="6A3E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0F7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7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市统计局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0B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梧州市统计局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AC5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1358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8DF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1993 </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9C49">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DA1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2CB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130161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A5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94025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7A8A">
            <w:pPr>
              <w:jc w:val="center"/>
              <w:rPr>
                <w:rFonts w:hint="default" w:ascii="Times New Roman" w:hAnsi="Times New Roman" w:eastAsia="宋体" w:cs="Times New Roman"/>
                <w:i w:val="0"/>
                <w:iCs w:val="0"/>
                <w:color w:val="auto"/>
                <w:sz w:val="22"/>
                <w:szCs w:val="22"/>
                <w:highlight w:val="none"/>
                <w:u w:val="none"/>
              </w:rPr>
            </w:pPr>
          </w:p>
        </w:tc>
      </w:tr>
      <w:tr w14:paraId="1C52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FF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2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市委组织部</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E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中国共产党梧州市委员会组织部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E7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1788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D7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市委办公大楼</w:t>
            </w:r>
            <w:r>
              <w:rPr>
                <w:rStyle w:val="131"/>
                <w:rFonts w:eastAsia="宋体"/>
                <w:color w:val="auto"/>
                <w:highlight w:val="none"/>
                <w:lang w:val="en-US" w:eastAsia="zh-CN" w:bidi="ar"/>
              </w:rPr>
              <w:br w:type="textWrapping"/>
            </w:r>
            <w:r>
              <w:rPr>
                <w:rStyle w:val="122"/>
                <w:color w:val="auto"/>
                <w:highlight w:val="none"/>
                <w:lang w:val="en-US" w:eastAsia="zh-CN" w:bidi="ar"/>
              </w:rPr>
              <w:t>党群服务中心</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F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砖混结构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178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FF3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141135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FB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101888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0088">
            <w:pPr>
              <w:jc w:val="center"/>
              <w:rPr>
                <w:rFonts w:hint="default" w:ascii="Times New Roman" w:hAnsi="Times New Roman" w:eastAsia="宋体" w:cs="Times New Roman"/>
                <w:i w:val="0"/>
                <w:iCs w:val="0"/>
                <w:color w:val="auto"/>
                <w:sz w:val="22"/>
                <w:szCs w:val="22"/>
                <w:highlight w:val="none"/>
                <w:u w:val="none"/>
              </w:rPr>
            </w:pPr>
          </w:p>
        </w:tc>
      </w:tr>
      <w:tr w14:paraId="4105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983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0E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市应急局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6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梧州市应急管理局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9B9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523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9ACD">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0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办公楼</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B34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74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99255.495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7D2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76426.731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BB76">
            <w:pPr>
              <w:jc w:val="center"/>
              <w:rPr>
                <w:rFonts w:hint="default" w:ascii="Times New Roman" w:hAnsi="Times New Roman" w:eastAsia="宋体" w:cs="Times New Roman"/>
                <w:i w:val="0"/>
                <w:iCs w:val="0"/>
                <w:color w:val="auto"/>
                <w:sz w:val="22"/>
                <w:szCs w:val="22"/>
                <w:highlight w:val="none"/>
                <w:u w:val="none"/>
              </w:rPr>
            </w:pPr>
          </w:p>
        </w:tc>
      </w:tr>
      <w:tr w14:paraId="64D8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36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43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市委办公室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3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E75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999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D392">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0CC0">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55A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6F7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87592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17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63235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45E2">
            <w:pPr>
              <w:jc w:val="center"/>
              <w:rPr>
                <w:rFonts w:hint="default" w:ascii="Times New Roman" w:hAnsi="Times New Roman" w:eastAsia="宋体" w:cs="Times New Roman"/>
                <w:i w:val="0"/>
                <w:iCs w:val="0"/>
                <w:color w:val="auto"/>
                <w:sz w:val="22"/>
                <w:szCs w:val="22"/>
                <w:highlight w:val="none"/>
                <w:u w:val="none"/>
              </w:rPr>
            </w:pPr>
          </w:p>
        </w:tc>
      </w:tr>
      <w:tr w14:paraId="45E7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79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E6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市委宣传部</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1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中国共产党梧州市委员会宣传部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ACF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772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57B9">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D02C">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10C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5F3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67709.996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03C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48881.129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9E04">
            <w:pPr>
              <w:jc w:val="center"/>
              <w:rPr>
                <w:rFonts w:hint="default" w:ascii="Times New Roman" w:hAnsi="Times New Roman" w:eastAsia="宋体" w:cs="Times New Roman"/>
                <w:i w:val="0"/>
                <w:iCs w:val="0"/>
                <w:color w:val="auto"/>
                <w:sz w:val="22"/>
                <w:szCs w:val="22"/>
                <w:highlight w:val="none"/>
                <w:u w:val="none"/>
              </w:rPr>
            </w:pPr>
          </w:p>
        </w:tc>
      </w:tr>
      <w:tr w14:paraId="40EB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F6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BF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市委政法委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36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中国共产党梧州市委员会政法委员会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08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846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69D7">
            <w:pPr>
              <w:jc w:val="center"/>
              <w:rPr>
                <w:rFonts w:hint="default" w:ascii="Times New Roman" w:hAnsi="Times New Roman" w:eastAsia="宋体" w:cs="Times New Roman"/>
                <w:i w:val="0"/>
                <w:iCs w:val="0"/>
                <w:color w:val="auto"/>
                <w:sz w:val="24"/>
                <w:szCs w:val="24"/>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E1B3">
            <w:pPr>
              <w:jc w:val="center"/>
              <w:rPr>
                <w:rFonts w:hint="default" w:ascii="Times New Roman" w:hAnsi="Times New Roman" w:eastAsia="宋体" w:cs="Times New Roman"/>
                <w:i w:val="0"/>
                <w:iCs w:val="0"/>
                <w:color w:val="auto"/>
                <w:sz w:val="24"/>
                <w:szCs w:val="24"/>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E4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64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C5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74100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B44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53600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CC9E">
            <w:pPr>
              <w:jc w:val="center"/>
              <w:rPr>
                <w:rFonts w:hint="default" w:ascii="Times New Roman" w:hAnsi="Times New Roman" w:eastAsia="宋体" w:cs="Times New Roman"/>
                <w:i w:val="0"/>
                <w:iCs w:val="0"/>
                <w:color w:val="auto"/>
                <w:sz w:val="24"/>
                <w:szCs w:val="24"/>
                <w:highlight w:val="none"/>
                <w:u w:val="none"/>
              </w:rPr>
            </w:pPr>
          </w:p>
        </w:tc>
      </w:tr>
      <w:tr w14:paraId="2991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74B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F0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市委统战部</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CD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中国共产党梧州市委员会统一战线工作部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B3F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630.27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E6B8">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EEB">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77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6A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63500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EA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45842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280F">
            <w:pPr>
              <w:jc w:val="center"/>
              <w:rPr>
                <w:rFonts w:hint="default" w:ascii="Times New Roman" w:hAnsi="Times New Roman" w:eastAsia="宋体" w:cs="Times New Roman"/>
                <w:i w:val="0"/>
                <w:iCs w:val="0"/>
                <w:color w:val="auto"/>
                <w:sz w:val="22"/>
                <w:szCs w:val="22"/>
                <w:highlight w:val="none"/>
                <w:u w:val="none"/>
              </w:rPr>
            </w:pPr>
          </w:p>
        </w:tc>
      </w:tr>
      <w:tr w14:paraId="46FF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D5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4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市发展改革委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F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梧州市信息中心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1E8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155.14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C26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1993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7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66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017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392695.34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5F8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282948.72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2DF7">
            <w:pPr>
              <w:jc w:val="center"/>
              <w:rPr>
                <w:rFonts w:hint="default" w:ascii="Times New Roman" w:hAnsi="Times New Roman" w:eastAsia="宋体" w:cs="Times New Roman"/>
                <w:i w:val="0"/>
                <w:iCs w:val="0"/>
                <w:color w:val="auto"/>
                <w:sz w:val="22"/>
                <w:szCs w:val="22"/>
                <w:highlight w:val="none"/>
                <w:u w:val="none"/>
              </w:rPr>
            </w:pPr>
          </w:p>
        </w:tc>
      </w:tr>
      <w:tr w14:paraId="19F7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F4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B6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市督考办</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8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中国共产党梧州市委员会梧州市人民政府督查和绩效考评办公室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21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5AC5">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F6B3">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1FC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DD9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40851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5D8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29491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2896">
            <w:pPr>
              <w:jc w:val="center"/>
              <w:rPr>
                <w:rFonts w:hint="default" w:ascii="Times New Roman" w:hAnsi="Times New Roman" w:eastAsia="宋体" w:cs="Times New Roman"/>
                <w:i w:val="0"/>
                <w:iCs w:val="0"/>
                <w:color w:val="auto"/>
                <w:sz w:val="22"/>
                <w:szCs w:val="22"/>
                <w:highlight w:val="none"/>
                <w:u w:val="none"/>
              </w:rPr>
            </w:pPr>
          </w:p>
        </w:tc>
      </w:tr>
      <w:tr w14:paraId="3D00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D2C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2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市委编办</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73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中国共产党梧州市委员会机构编制委员会办公室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CB4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441.34</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312D">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0B31">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E2C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538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3.8714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1F7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2.7948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DA00">
            <w:pPr>
              <w:jc w:val="center"/>
              <w:rPr>
                <w:rFonts w:hint="default" w:ascii="Times New Roman" w:hAnsi="Times New Roman" w:eastAsia="宋体" w:cs="Times New Roman"/>
                <w:i w:val="0"/>
                <w:iCs w:val="0"/>
                <w:color w:val="auto"/>
                <w:sz w:val="22"/>
                <w:szCs w:val="22"/>
                <w:highlight w:val="none"/>
                <w:u w:val="none"/>
              </w:rPr>
            </w:pPr>
          </w:p>
        </w:tc>
      </w:tr>
      <w:tr w14:paraId="747E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29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A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市委政研室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8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中国共产党梧州市委员会政策研究室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D1B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288.90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294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0 </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C2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7EC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17.00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F8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25342.00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7B7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18295.00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B7A7">
            <w:pPr>
              <w:jc w:val="center"/>
              <w:rPr>
                <w:rFonts w:hint="default" w:ascii="Times New Roman" w:hAnsi="Times New Roman" w:eastAsia="宋体" w:cs="Times New Roman"/>
                <w:i w:val="0"/>
                <w:iCs w:val="0"/>
                <w:color w:val="auto"/>
                <w:sz w:val="22"/>
                <w:szCs w:val="22"/>
                <w:highlight w:val="none"/>
                <w:u w:val="none"/>
              </w:rPr>
            </w:pPr>
          </w:p>
        </w:tc>
      </w:tr>
      <w:tr w14:paraId="0169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B15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C6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市发展改革委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4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梧州市粮食和物资储备局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58F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896.00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9A2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27"/>
                <w:rFonts w:eastAsia="宋体"/>
                <w:color w:val="auto"/>
                <w:highlight w:val="none"/>
                <w:lang w:val="en-US" w:eastAsia="zh-CN" w:bidi="ar"/>
              </w:rPr>
              <w:t>1988</w:t>
            </w:r>
            <w:r>
              <w:rPr>
                <w:rStyle w:val="118"/>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E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576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EE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21118.00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F30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15563.02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867D">
            <w:pPr>
              <w:jc w:val="center"/>
              <w:rPr>
                <w:rFonts w:hint="default" w:ascii="Times New Roman" w:hAnsi="Times New Roman" w:eastAsia="宋体" w:cs="Times New Roman"/>
                <w:i w:val="0"/>
                <w:iCs w:val="0"/>
                <w:color w:val="auto"/>
                <w:sz w:val="22"/>
                <w:szCs w:val="22"/>
                <w:highlight w:val="none"/>
                <w:u w:val="none"/>
              </w:rPr>
            </w:pPr>
          </w:p>
        </w:tc>
      </w:tr>
      <w:tr w14:paraId="0CE9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520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9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市发展改革委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59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梧州市政府项目评审中心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CD5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272.45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045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1993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1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344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95B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1404775.00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4F7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1014910.83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054C">
            <w:pPr>
              <w:jc w:val="center"/>
              <w:rPr>
                <w:rFonts w:hint="default" w:ascii="Times New Roman" w:hAnsi="Times New Roman" w:eastAsia="宋体" w:cs="Times New Roman"/>
                <w:i w:val="0"/>
                <w:iCs w:val="0"/>
                <w:color w:val="auto"/>
                <w:sz w:val="22"/>
                <w:szCs w:val="22"/>
                <w:highlight w:val="none"/>
                <w:u w:val="none"/>
              </w:rPr>
            </w:pPr>
          </w:p>
        </w:tc>
      </w:tr>
      <w:tr w14:paraId="1EAE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6CE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EE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市妇联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D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梧州市妇女联合会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A37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205.95</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4D43">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0AE9">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F65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1D6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69767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C1A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50704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60EA">
            <w:pPr>
              <w:jc w:val="center"/>
              <w:rPr>
                <w:rFonts w:hint="default" w:ascii="Times New Roman" w:hAnsi="Times New Roman" w:eastAsia="宋体" w:cs="Times New Roman"/>
                <w:i w:val="0"/>
                <w:iCs w:val="0"/>
                <w:color w:val="auto"/>
                <w:sz w:val="22"/>
                <w:szCs w:val="22"/>
                <w:highlight w:val="none"/>
                <w:u w:val="none"/>
              </w:rPr>
            </w:pPr>
          </w:p>
        </w:tc>
      </w:tr>
      <w:tr w14:paraId="0167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2A4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F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市委市直机关工委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5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中国共产党梧州市委市直属机关工作委员会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CA1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212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C805">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62E4">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863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2D7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18612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CC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13436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E7C7">
            <w:pPr>
              <w:jc w:val="center"/>
              <w:rPr>
                <w:rFonts w:hint="default" w:ascii="Times New Roman" w:hAnsi="Times New Roman" w:eastAsia="宋体" w:cs="Times New Roman"/>
                <w:i w:val="0"/>
                <w:iCs w:val="0"/>
                <w:color w:val="auto"/>
                <w:sz w:val="22"/>
                <w:szCs w:val="22"/>
                <w:highlight w:val="none"/>
                <w:u w:val="none"/>
              </w:rPr>
            </w:pPr>
          </w:p>
        </w:tc>
      </w:tr>
      <w:tr w14:paraId="1722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C36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E9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团市委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CC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中国共产主义青年团梧州市委员会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907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195.87</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8B77">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6365">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CFB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311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17181.45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A2D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12403.597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F659">
            <w:pPr>
              <w:jc w:val="center"/>
              <w:rPr>
                <w:rFonts w:hint="default" w:ascii="Times New Roman" w:hAnsi="Times New Roman" w:eastAsia="宋体" w:cs="Times New Roman"/>
                <w:i w:val="0"/>
                <w:iCs w:val="0"/>
                <w:color w:val="auto"/>
                <w:sz w:val="22"/>
                <w:szCs w:val="22"/>
                <w:highlight w:val="none"/>
                <w:u w:val="none"/>
              </w:rPr>
            </w:pPr>
          </w:p>
        </w:tc>
      </w:tr>
      <w:tr w14:paraId="0F6F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DF0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08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市委党史研究室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9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中国共产党梧州市委员会党史研究室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670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64F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2003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3B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框架式</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9C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612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12249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A7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8843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EDDB">
            <w:pPr>
              <w:jc w:val="center"/>
              <w:rPr>
                <w:rFonts w:hint="default" w:ascii="Times New Roman" w:hAnsi="Times New Roman" w:eastAsia="宋体" w:cs="Times New Roman"/>
                <w:i w:val="0"/>
                <w:iCs w:val="0"/>
                <w:color w:val="auto"/>
                <w:sz w:val="22"/>
                <w:szCs w:val="22"/>
                <w:highlight w:val="none"/>
                <w:u w:val="none"/>
              </w:rPr>
            </w:pPr>
          </w:p>
        </w:tc>
      </w:tr>
      <w:tr w14:paraId="6AC2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C71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7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市发展改革委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A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梧州市价格认证中心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C4B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226.00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277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2016</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9D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08C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B9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8503.73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9F7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6036.09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E230">
            <w:pPr>
              <w:jc w:val="center"/>
              <w:rPr>
                <w:rFonts w:hint="default" w:ascii="Times New Roman" w:hAnsi="Times New Roman" w:eastAsia="宋体" w:cs="Times New Roman"/>
                <w:i w:val="0"/>
                <w:iCs w:val="0"/>
                <w:color w:val="auto"/>
                <w:sz w:val="22"/>
                <w:szCs w:val="22"/>
                <w:highlight w:val="none"/>
                <w:u w:val="none"/>
              </w:rPr>
            </w:pPr>
          </w:p>
        </w:tc>
      </w:tr>
      <w:tr w14:paraId="0B55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8FB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D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市发展改革委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E5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梧州市人民防空办公室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92F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1406.39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52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2005</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1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537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2F9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35977.00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E9F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26500.15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27A1">
            <w:pPr>
              <w:jc w:val="center"/>
              <w:rPr>
                <w:rFonts w:hint="default" w:ascii="Times New Roman" w:hAnsi="Times New Roman" w:eastAsia="宋体" w:cs="Times New Roman"/>
                <w:i w:val="0"/>
                <w:iCs w:val="0"/>
                <w:color w:val="auto"/>
                <w:sz w:val="22"/>
                <w:szCs w:val="22"/>
                <w:highlight w:val="none"/>
                <w:u w:val="none"/>
              </w:rPr>
            </w:pPr>
          </w:p>
        </w:tc>
      </w:tr>
      <w:tr w14:paraId="2E13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762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0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市委讲师团</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34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中国共产党梧州市委员会讲师团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426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81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DF60">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C037">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5E5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98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7105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159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5129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DB6D">
            <w:pPr>
              <w:jc w:val="center"/>
              <w:rPr>
                <w:rFonts w:hint="default" w:ascii="Times New Roman" w:hAnsi="Times New Roman" w:eastAsia="宋体" w:cs="Times New Roman"/>
                <w:i w:val="0"/>
                <w:iCs w:val="0"/>
                <w:color w:val="auto"/>
                <w:sz w:val="22"/>
                <w:szCs w:val="22"/>
                <w:highlight w:val="none"/>
                <w:u w:val="none"/>
              </w:rPr>
            </w:pPr>
          </w:p>
        </w:tc>
      </w:tr>
      <w:tr w14:paraId="2934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AAE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2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市社科联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9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梧州市社会科学界联合会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B4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75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5446">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EEA2">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57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CF2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6509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DB1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4699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F283">
            <w:pPr>
              <w:jc w:val="center"/>
              <w:rPr>
                <w:rFonts w:hint="default" w:ascii="Times New Roman" w:hAnsi="Times New Roman" w:eastAsia="宋体" w:cs="Times New Roman"/>
                <w:i w:val="0"/>
                <w:iCs w:val="0"/>
                <w:color w:val="auto"/>
                <w:sz w:val="22"/>
                <w:szCs w:val="22"/>
                <w:highlight w:val="none"/>
                <w:u w:val="none"/>
              </w:rPr>
            </w:pPr>
          </w:p>
        </w:tc>
      </w:tr>
      <w:tr w14:paraId="47ED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C96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F1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市委社会工作部</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B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中国共产党梧州市委员会社会工作部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26D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333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DB0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5F2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85F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31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E1C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28259.22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07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21897.60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A621">
            <w:pPr>
              <w:jc w:val="center"/>
              <w:rPr>
                <w:rFonts w:hint="default" w:ascii="Times New Roman" w:hAnsi="Times New Roman" w:eastAsia="宋体" w:cs="Times New Roman"/>
                <w:i w:val="0"/>
                <w:iCs w:val="0"/>
                <w:color w:val="auto"/>
                <w:sz w:val="22"/>
                <w:szCs w:val="22"/>
                <w:highlight w:val="none"/>
                <w:u w:val="none"/>
              </w:rPr>
            </w:pPr>
          </w:p>
        </w:tc>
      </w:tr>
    </w:tbl>
    <w:p w14:paraId="505C7AEE">
      <w:pPr>
        <w:rPr>
          <w:rFonts w:ascii="黑体" w:hAnsi="黑体" w:eastAsia="黑体" w:cs="黑体"/>
          <w:color w:val="auto"/>
          <w:sz w:val="32"/>
          <w:szCs w:val="32"/>
          <w:highlight w:val="none"/>
        </w:rPr>
      </w:pPr>
    </w:p>
    <w:p w14:paraId="0B3A3F26">
      <w:pPr>
        <w:widowControl/>
        <w:ind w:firstLine="640"/>
        <w:jc w:val="left"/>
        <w:rPr>
          <w:rFonts w:ascii="黑体" w:hAnsi="黑体" w:eastAsia="黑体" w:cs="黑体"/>
          <w:color w:val="auto"/>
          <w:sz w:val="32"/>
          <w:szCs w:val="32"/>
          <w:highlight w:val="none"/>
        </w:rPr>
        <w:sectPr>
          <w:pgSz w:w="16838" w:h="11911" w:orient="landscape"/>
          <w:pgMar w:top="1803" w:right="1440" w:bottom="1803" w:left="1440" w:header="720" w:footer="720" w:gutter="0"/>
          <w:pgNumType w:fmt="decimal" w:start="1"/>
          <w:cols w:space="0" w:num="1"/>
          <w:titlePg/>
          <w:rtlGutter w:val="0"/>
          <w:docGrid w:linePitch="286" w:charSpace="0"/>
        </w:sectPr>
      </w:pPr>
    </w:p>
    <w:p w14:paraId="3102E1D1">
      <w:pPr>
        <w:rPr>
          <w:rFonts w:hint="eastAsia" w:ascii="黑体" w:hAnsi="黑体" w:eastAsia="黑体" w:cs="黑体"/>
          <w:b/>
          <w:bCs/>
          <w:color w:val="auto"/>
          <w:sz w:val="32"/>
          <w:szCs w:val="32"/>
          <w:highlight w:val="none"/>
        </w:rPr>
      </w:pPr>
    </w:p>
    <w:p w14:paraId="61703B28">
      <w:pPr>
        <w:widowControl/>
        <w:jc w:val="left"/>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附件</w:t>
      </w:r>
      <w:r>
        <w:rPr>
          <w:rFonts w:hint="eastAsia" w:ascii="黑体" w:hAnsi="黑体" w:eastAsia="黑体" w:cs="黑体"/>
          <w:b/>
          <w:bCs/>
          <w:color w:val="auto"/>
          <w:sz w:val="32"/>
          <w:szCs w:val="32"/>
          <w:highlight w:val="none"/>
          <w:lang w:val="en-US" w:eastAsia="zh-CN"/>
        </w:rPr>
        <w:t>2</w:t>
      </w:r>
      <w:r>
        <w:rPr>
          <w:rFonts w:hint="eastAsia" w:ascii="黑体" w:hAnsi="黑体" w:eastAsia="黑体" w:cs="黑体"/>
          <w:b/>
          <w:bCs/>
          <w:color w:val="auto"/>
          <w:sz w:val="32"/>
          <w:szCs w:val="32"/>
          <w:highlight w:val="none"/>
        </w:rPr>
        <w:t>：</w:t>
      </w:r>
    </w:p>
    <w:p w14:paraId="7AD3D914">
      <w:pPr>
        <w:pStyle w:val="17"/>
        <w:ind w:firstLine="562"/>
        <w:jc w:val="center"/>
        <w:rPr>
          <w:b/>
          <w:color w:val="auto"/>
          <w:sz w:val="28"/>
          <w:szCs w:val="28"/>
          <w:highlight w:val="none"/>
        </w:rPr>
      </w:pPr>
      <w:r>
        <w:rPr>
          <w:rFonts w:hint="eastAsia"/>
          <w:b/>
          <w:color w:val="auto"/>
          <w:sz w:val="28"/>
          <w:szCs w:val="28"/>
          <w:highlight w:val="none"/>
        </w:rPr>
        <w:t>中小企业划型标准规定</w:t>
      </w:r>
    </w:p>
    <w:p w14:paraId="377539BC">
      <w:pPr>
        <w:pStyle w:val="17"/>
        <w:ind w:firstLine="480"/>
        <w:jc w:val="center"/>
        <w:rPr>
          <w:rFonts w:ascii="宋体" w:hAnsi="宋体"/>
          <w:color w:val="auto"/>
          <w:sz w:val="21"/>
          <w:szCs w:val="21"/>
          <w:highlight w:val="none"/>
        </w:rPr>
      </w:pPr>
      <w:r>
        <w:rPr>
          <w:rFonts w:hint="eastAsia" w:ascii="宋体" w:hAnsi="宋体"/>
          <w:color w:val="auto"/>
          <w:sz w:val="21"/>
          <w:szCs w:val="21"/>
          <w:highlight w:val="none"/>
        </w:rPr>
        <w:t>工信部联企业〔2011〕300号</w:t>
      </w:r>
    </w:p>
    <w:p w14:paraId="4AEEF119">
      <w:pPr>
        <w:pStyle w:val="17"/>
        <w:ind w:firstLine="480"/>
        <w:rPr>
          <w:color w:val="auto"/>
          <w:szCs w:val="21"/>
          <w:highlight w:val="none"/>
        </w:rPr>
      </w:pPr>
    </w:p>
    <w:p w14:paraId="018D7805">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国发〔2009〕36号</w:t>
      </w:r>
      <w:r>
        <w:rPr>
          <w:color w:val="auto"/>
          <w:szCs w:val="21"/>
          <w:highlight w:val="none"/>
        </w:rPr>
        <w:t>)</w:t>
      </w:r>
      <w:r>
        <w:rPr>
          <w:rFonts w:hint="eastAsia"/>
          <w:color w:val="auto"/>
          <w:szCs w:val="21"/>
          <w:highlight w:val="none"/>
        </w:rPr>
        <w:t>，制定本规定。</w:t>
      </w:r>
    </w:p>
    <w:p w14:paraId="01C9328B">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二、中小企业划分为中型、小型、微型三种类型，具体标准根据企业从业人员、营业收入、资产总额等指标，结合行业特点制定。</w:t>
      </w:r>
    </w:p>
    <w:p w14:paraId="169A4790">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BFD30A7">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四、各行业划型标准为：</w:t>
      </w:r>
    </w:p>
    <w:p w14:paraId="54D83E20">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46F31849">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44C79048">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04C6F5CF">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0763448F">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D58A346">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40DA9E80">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DDCBC90">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3B3EB69">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9AC598B">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9DDECE6">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F85FA88">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3E5DDE2A">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5C77D06A">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2C29714E">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3A36107A">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2CA32D55">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五、企业类型的划分以统计部门的统计数据为依据。</w:t>
      </w:r>
    </w:p>
    <w:p w14:paraId="2CE00C62">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六、本规定适用于在中华人民共和国境内依法设立的各类所有制和各种组织形式的企业。个体工商户和本规定以外的行业，参照本规定进行划型。</w:t>
      </w:r>
    </w:p>
    <w:p w14:paraId="2593ED76">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C1A3A6A">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八、本规定由工业和信息化部、国家统计局会同有关部门根据《国民经济行业分类》修订情况和企业发展变化情况适时修订。</w:t>
      </w:r>
    </w:p>
    <w:p w14:paraId="4E2F9FBD">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九、本规定由工业和信息化部、国家统计局会同有关部门负责解释。</w:t>
      </w:r>
    </w:p>
    <w:p w14:paraId="3E60B937">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1E499FFF">
      <w:pPr>
        <w:widowControl/>
        <w:ind w:firstLine="400"/>
        <w:rPr>
          <w:rFonts w:ascii="宋体" w:hAnsi="宋体" w:cs="宋体"/>
          <w:color w:val="auto"/>
          <w:sz w:val="20"/>
          <w:szCs w:val="20"/>
          <w:highlight w:val="none"/>
        </w:rPr>
        <w:sectPr>
          <w:pgSz w:w="11911" w:h="16838"/>
          <w:pgMar w:top="1440" w:right="1803" w:bottom="1440" w:left="1803" w:header="720" w:footer="720" w:gutter="0"/>
          <w:pgNumType w:fmt="decimal"/>
          <w:cols w:space="0" w:num="1"/>
          <w:titlePg/>
          <w:rtlGutter w:val="0"/>
          <w:docGrid w:linePitch="286" w:charSpace="0"/>
        </w:sectPr>
      </w:pPr>
    </w:p>
    <w:p w14:paraId="06726BB5">
      <w:pPr>
        <w:pStyle w:val="2"/>
        <w:keepNext w:val="0"/>
        <w:keepLines w:val="0"/>
        <w:tabs>
          <w:tab w:val="left" w:pos="0"/>
          <w:tab w:val="left" w:pos="3165"/>
          <w:tab w:val="center" w:pos="4153"/>
        </w:tabs>
        <w:autoSpaceDE w:val="0"/>
        <w:autoSpaceDN w:val="0"/>
        <w:adjustRightInd w:val="0"/>
        <w:spacing w:before="0" w:after="0" w:line="360" w:lineRule="auto"/>
        <w:ind w:firstLine="883"/>
        <w:jc w:val="center"/>
        <w:rPr>
          <w:color w:val="auto"/>
          <w:highlight w:val="none"/>
        </w:rPr>
      </w:pPr>
      <w:bookmarkStart w:id="43" w:name="_Toc25688"/>
      <w:r>
        <w:rPr>
          <w:rFonts w:hint="eastAsia"/>
          <w:color w:val="auto"/>
          <w:highlight w:val="none"/>
        </w:rPr>
        <w:t>第三章  投标人须知</w:t>
      </w:r>
      <w:bookmarkEnd w:id="43"/>
    </w:p>
    <w:p w14:paraId="672D11FE">
      <w:pPr>
        <w:ind w:firstLine="720"/>
        <w:jc w:val="center"/>
        <w:rPr>
          <w:color w:val="auto"/>
          <w:sz w:val="36"/>
          <w:szCs w:val="36"/>
          <w:highlight w:val="none"/>
        </w:rPr>
      </w:pPr>
      <w:bookmarkStart w:id="44" w:name="_Toc254970667"/>
      <w:bookmarkStart w:id="45" w:name="_Toc254970526"/>
      <w:r>
        <w:rPr>
          <w:rFonts w:hint="eastAsia"/>
          <w:color w:val="auto"/>
          <w:sz w:val="36"/>
          <w:szCs w:val="36"/>
          <w:highlight w:val="none"/>
        </w:rPr>
        <w:t>投标人须知前附表</w:t>
      </w:r>
      <w:bookmarkEnd w:id="44"/>
      <w:bookmarkEnd w:id="45"/>
    </w:p>
    <w:tbl>
      <w:tblPr>
        <w:tblStyle w:val="45"/>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6282A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 w:type="dxa"/>
            <w:tcBorders>
              <w:top w:val="single" w:color="auto" w:sz="4" w:space="0"/>
              <w:left w:val="single" w:color="auto" w:sz="4" w:space="0"/>
              <w:bottom w:val="single" w:color="auto" w:sz="4" w:space="0"/>
              <w:right w:val="single" w:color="auto" w:sz="4" w:space="0"/>
            </w:tcBorders>
            <w:vAlign w:val="center"/>
          </w:tcPr>
          <w:p w14:paraId="1E6E6B9A">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0DB5584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2BDC0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 w:type="dxa"/>
            <w:tcBorders>
              <w:top w:val="single" w:color="auto" w:sz="4" w:space="0"/>
              <w:left w:val="single" w:color="auto" w:sz="4" w:space="0"/>
              <w:bottom w:val="single" w:color="auto" w:sz="4" w:space="0"/>
              <w:right w:val="single" w:color="auto" w:sz="4" w:space="0"/>
            </w:tcBorders>
            <w:vAlign w:val="center"/>
          </w:tcPr>
          <w:p w14:paraId="4853F174">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vAlign w:val="center"/>
          </w:tcPr>
          <w:p w14:paraId="0A64D995">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0AA0A5D1">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64A9DC30">
            <w:pPr>
              <w:snapToGrid w:val="0"/>
              <w:spacing w:line="360" w:lineRule="auto"/>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BA3E1F8">
            <w:pPr>
              <w:snapToGrid w:val="0"/>
              <w:spacing w:line="360" w:lineRule="auto"/>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86C3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78" w:type="dxa"/>
            <w:tcBorders>
              <w:top w:val="single" w:color="auto" w:sz="4" w:space="0"/>
              <w:left w:val="single" w:color="auto" w:sz="4" w:space="0"/>
              <w:bottom w:val="single" w:color="auto" w:sz="4" w:space="0"/>
              <w:right w:val="single" w:color="auto" w:sz="4" w:space="0"/>
            </w:tcBorders>
            <w:vAlign w:val="center"/>
          </w:tcPr>
          <w:p w14:paraId="1ADDA66C">
            <w:pPr>
              <w:spacing w:line="360" w:lineRule="auto"/>
              <w:jc w:val="center"/>
              <w:rPr>
                <w:rFonts w:ascii="宋体" w:hAnsi="宋体"/>
                <w:color w:val="auto"/>
                <w:szCs w:val="21"/>
                <w:highlight w:val="none"/>
              </w:rPr>
            </w:pPr>
            <w:bookmarkStart w:id="46" w:name="_5"/>
            <w:bookmarkEnd w:id="46"/>
            <w:bookmarkStart w:id="47" w:name="_9.2"/>
            <w:bookmarkEnd w:id="47"/>
            <w:bookmarkStart w:id="48" w:name="_8.1"/>
            <w:bookmarkEnd w:id="48"/>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vAlign w:val="center"/>
          </w:tcPr>
          <w:p w14:paraId="2815D075">
            <w:pPr>
              <w:pStyle w:val="15"/>
              <w:spacing w:line="360" w:lineRule="auto"/>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1E4FE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59B9A3D">
            <w:pPr>
              <w:spacing w:line="360" w:lineRule="auto"/>
              <w:jc w:val="center"/>
              <w:rPr>
                <w:rFonts w:ascii="宋体" w:hAnsi="宋体"/>
                <w:color w:val="auto"/>
                <w:szCs w:val="21"/>
                <w:highlight w:val="none"/>
              </w:rPr>
            </w:pPr>
            <w:r>
              <w:rPr>
                <w:rFonts w:ascii="宋体" w:hAnsi="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vAlign w:val="center"/>
          </w:tcPr>
          <w:p w14:paraId="6DAA9E68">
            <w:pPr>
              <w:pStyle w:val="15"/>
              <w:spacing w:line="360" w:lineRule="auto"/>
              <w:rPr>
                <w:rFonts w:hint="eastAsia" w:ascii="宋体" w:hAnsi="宋体" w:eastAsia="宋体"/>
                <w:color w:val="auto"/>
                <w:szCs w:val="21"/>
                <w:highlight w:val="none"/>
                <w:lang w:eastAsia="zh-CN"/>
              </w:rPr>
            </w:pPr>
            <w:bookmarkStart w:id="49" w:name="_Hlk54105293"/>
            <w:r>
              <w:rPr>
                <w:rFonts w:hint="eastAsia" w:ascii="宋体" w:hAnsi="宋体"/>
                <w:color w:val="auto"/>
                <w:szCs w:val="21"/>
                <w:highlight w:val="none"/>
              </w:rPr>
              <w:t>如接受联合体投标，</w:t>
            </w:r>
            <w:bookmarkEnd w:id="49"/>
            <w:r>
              <w:rPr>
                <w:rFonts w:hint="eastAsia" w:ascii="宋体" w:hAnsi="宋体"/>
                <w:color w:val="auto"/>
                <w:szCs w:val="21"/>
                <w:highlight w:val="none"/>
              </w:rPr>
              <w:t>联合体投标要求如下：</w:t>
            </w:r>
            <w:r>
              <w:rPr>
                <w:rFonts w:hint="eastAsia" w:ascii="宋体" w:hAnsi="宋体"/>
                <w:color w:val="auto"/>
                <w:szCs w:val="21"/>
                <w:highlight w:val="none"/>
                <w:lang w:val="en-US" w:eastAsia="zh-CN"/>
              </w:rPr>
              <w:t>/</w:t>
            </w:r>
          </w:p>
        </w:tc>
      </w:tr>
      <w:tr w14:paraId="21865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2A7C47A">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vAlign w:val="center"/>
          </w:tcPr>
          <w:p w14:paraId="1430F7BB">
            <w:pPr>
              <w:pStyle w:val="15"/>
              <w:spacing w:line="360"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不允许分包</w:t>
            </w:r>
          </w:p>
          <w:p w14:paraId="455F1F89">
            <w:pPr>
              <w:pStyle w:val="15"/>
              <w:spacing w:line="360" w:lineRule="auto"/>
              <w:rPr>
                <w:rFonts w:ascii="宋体" w:hAnsi="宋体"/>
                <w:color w:val="auto"/>
                <w:szCs w:val="21"/>
                <w:highlight w:val="none"/>
              </w:rPr>
            </w:pPr>
            <w:r>
              <w:rPr>
                <w:rFonts w:hint="eastAsia" w:ascii="宋体" w:hAnsi="宋体"/>
                <w:color w:val="auto"/>
                <w:szCs w:val="21"/>
                <w:highlight w:val="none"/>
              </w:rPr>
              <w:t>□允许分包</w:t>
            </w:r>
          </w:p>
          <w:p w14:paraId="6D15F1C3">
            <w:pPr>
              <w:pStyle w:val="15"/>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 。</w:t>
            </w:r>
          </w:p>
          <w:p w14:paraId="6F18D78F">
            <w:pPr>
              <w:pStyle w:val="15"/>
              <w:spacing w:line="360" w:lineRule="auto"/>
              <w:jc w:val="both"/>
              <w:rPr>
                <w:rFonts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  。</w:t>
            </w:r>
          </w:p>
        </w:tc>
      </w:tr>
      <w:tr w14:paraId="4FCF0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14:paraId="644FDC98">
            <w:pPr>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vAlign w:val="center"/>
          </w:tcPr>
          <w:p w14:paraId="4F43A6A7">
            <w:pPr>
              <w:snapToGrid w:val="0"/>
              <w:spacing w:line="360"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不组织现场考察</w:t>
            </w:r>
          </w:p>
          <w:p w14:paraId="0F19D6D9">
            <w:pPr>
              <w:snapToGrid w:val="0"/>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671184EB">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963D757">
            <w:pPr>
              <w:snapToGrid w:val="0"/>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7A0310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14:paraId="6DED023A">
            <w:pPr>
              <w:spacing w:line="360" w:lineRule="auto"/>
              <w:jc w:val="center"/>
              <w:rPr>
                <w:rFonts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vAlign w:val="center"/>
          </w:tcPr>
          <w:p w14:paraId="54382FC3">
            <w:pPr>
              <w:snapToGrid w:val="0"/>
              <w:spacing w:line="360"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不组织召开开标前答疑会</w:t>
            </w:r>
          </w:p>
          <w:p w14:paraId="5253A827">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78BAA158">
            <w:pPr>
              <w:snapToGrid w:val="0"/>
              <w:spacing w:line="360" w:lineRule="auto"/>
              <w:rPr>
                <w:rFonts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6782A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3AF1B7AB">
            <w:pPr>
              <w:spacing w:line="360" w:lineRule="auto"/>
              <w:jc w:val="center"/>
              <w:rPr>
                <w:rFonts w:ascii="宋体" w:hAnsi="宋体"/>
                <w:color w:val="auto"/>
                <w:szCs w:val="21"/>
                <w:highlight w:val="none"/>
              </w:rPr>
            </w:pPr>
            <w:bookmarkStart w:id="50" w:name="_13.1"/>
            <w:bookmarkEnd w:id="50"/>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vAlign w:val="center"/>
          </w:tcPr>
          <w:p w14:paraId="464C2482">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auto"/>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6F821799">
            <w:pPr>
              <w:keepNext w:val="0"/>
              <w:keepLines w:val="0"/>
              <w:pageBreakBefore w:val="0"/>
              <w:widowControl w:val="0"/>
              <w:tabs>
                <w:tab w:val="left" w:pos="459"/>
              </w:tabs>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1.投标函（格式后附）；</w:t>
            </w:r>
            <w:r>
              <w:rPr>
                <w:rFonts w:hint="eastAsia" w:ascii="宋体" w:hAnsi="宋体" w:eastAsia="宋体" w:cs="Times New Roman"/>
                <w:b/>
                <w:color w:val="auto"/>
                <w:szCs w:val="21"/>
                <w:highlight w:val="none"/>
              </w:rPr>
              <w:t>（必须提供，否则按无效投标处理）</w:t>
            </w:r>
          </w:p>
          <w:p w14:paraId="4D2DCCDA">
            <w:pPr>
              <w:keepNext w:val="0"/>
              <w:keepLines w:val="0"/>
              <w:pageBreakBefore w:val="0"/>
              <w:widowControl w:val="0"/>
              <w:tabs>
                <w:tab w:val="left" w:pos="459"/>
              </w:tabs>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2.开标一览表（格式后附）； （</w:t>
            </w:r>
            <w:r>
              <w:rPr>
                <w:rFonts w:hint="eastAsia" w:ascii="宋体" w:hAnsi="宋体" w:eastAsia="宋体" w:cs="Times New Roman"/>
                <w:b/>
                <w:color w:val="auto"/>
                <w:szCs w:val="21"/>
                <w:highlight w:val="none"/>
              </w:rPr>
              <w:t>必须提供，否则按无效投标处理</w:t>
            </w:r>
            <w:r>
              <w:rPr>
                <w:rFonts w:hint="eastAsia" w:ascii="宋体" w:hAnsi="宋体" w:eastAsia="宋体" w:cs="Times New Roman"/>
                <w:color w:val="auto"/>
                <w:szCs w:val="21"/>
                <w:highlight w:val="none"/>
              </w:rPr>
              <w:t>）</w:t>
            </w:r>
          </w:p>
          <w:p w14:paraId="2C6F5896">
            <w:pPr>
              <w:keepNext w:val="0"/>
              <w:keepLines w:val="0"/>
              <w:pageBreakBefore w:val="0"/>
              <w:widowControl w:val="0"/>
              <w:tabs>
                <w:tab w:val="left" w:pos="459"/>
              </w:tabs>
              <w:kinsoku/>
              <w:wordWrap/>
              <w:overflowPunct/>
              <w:topLinePunct w:val="0"/>
              <w:autoSpaceDE/>
              <w:autoSpaceDN/>
              <w:bidi w:val="0"/>
              <w:adjustRightInd/>
              <w:snapToGrid w:val="0"/>
              <w:spacing w:line="360" w:lineRule="auto"/>
              <w:ind w:left="0"/>
              <w:jc w:val="left"/>
              <w:textAlignment w:val="auto"/>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 《关于符合本国产品标准的声明函》或者财政部会同有关部门规定的有关证明文件；（供应商根据自身响应情况出具）</w:t>
            </w:r>
          </w:p>
          <w:p w14:paraId="6F09FBED">
            <w:pPr>
              <w:keepNext w:val="0"/>
              <w:keepLines w:val="0"/>
              <w:pageBreakBefore w:val="0"/>
              <w:widowControl w:val="0"/>
              <w:tabs>
                <w:tab w:val="left" w:pos="459"/>
              </w:tabs>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投标人针对报价需要说明的其他文件和说明（格式自拟）。</w:t>
            </w:r>
          </w:p>
          <w:p w14:paraId="259A7473">
            <w:pPr>
              <w:keepNext w:val="0"/>
              <w:keepLines w:val="0"/>
              <w:pageBreakBefore w:val="0"/>
              <w:widowControl w:val="0"/>
              <w:tabs>
                <w:tab w:val="left" w:pos="459"/>
              </w:tabs>
              <w:kinsoku/>
              <w:wordWrap/>
              <w:overflowPunct/>
              <w:topLinePunct w:val="0"/>
              <w:autoSpaceDE/>
              <w:autoSpaceDN/>
              <w:bidi w:val="0"/>
              <w:adjustRightInd/>
              <w:snapToGrid w:val="0"/>
              <w:spacing w:line="360" w:lineRule="auto"/>
              <w:ind w:left="0" w:firstLine="0" w:firstLineChars="0"/>
              <w:jc w:val="left"/>
              <w:textAlignment w:val="auto"/>
              <w:rPr>
                <w:rFonts w:ascii="宋体" w:hAnsi="宋体"/>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Times New Roman"/>
                <w:b/>
                <w:bCs/>
                <w:color w:val="auto"/>
                <w:szCs w:val="21"/>
                <w:highlight w:val="none"/>
              </w:rPr>
              <w:t>以上标明“必须提供”的材料，格式</w:t>
            </w:r>
            <w:r>
              <w:rPr>
                <w:rFonts w:hint="eastAsia" w:ascii="宋体" w:hAnsi="宋体" w:eastAsia="宋体" w:cs="宋体"/>
                <w:b/>
                <w:color w:val="auto"/>
                <w:szCs w:val="21"/>
                <w:highlight w:val="none"/>
              </w:rPr>
              <w:t>中有要求法定代表人或者委托代理人签字的，必须按要求签字并加盖投标人电子签章</w:t>
            </w:r>
            <w:r>
              <w:rPr>
                <w:rFonts w:hint="eastAsia" w:ascii="宋体" w:hAnsi="宋体" w:eastAsia="宋体" w:cs="Times New Roman"/>
                <w:b/>
                <w:bCs/>
                <w:color w:val="auto"/>
                <w:szCs w:val="21"/>
                <w:highlight w:val="none"/>
              </w:rPr>
              <w:t>，否则按无效投标</w:t>
            </w:r>
            <w:r>
              <w:rPr>
                <w:rFonts w:hint="eastAsia" w:ascii="宋体" w:hAnsi="宋体" w:eastAsia="宋体" w:cs="Courier New"/>
                <w:b/>
                <w:color w:val="auto"/>
                <w:szCs w:val="21"/>
                <w:highlight w:val="none"/>
              </w:rPr>
              <w:t>处理。</w:t>
            </w:r>
          </w:p>
        </w:tc>
      </w:tr>
      <w:tr w14:paraId="25372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4924C267">
            <w:pPr>
              <w:spacing w:line="360" w:lineRule="auto"/>
              <w:jc w:val="center"/>
              <w:rPr>
                <w:rFonts w:ascii="宋体" w:hAnsi="宋体"/>
                <w:color w:val="auto"/>
                <w:szCs w:val="21"/>
                <w:highlight w:val="none"/>
              </w:rPr>
            </w:pPr>
            <w:bookmarkStart w:id="51" w:name="_13.2"/>
            <w:bookmarkEnd w:id="51"/>
          </w:p>
        </w:tc>
        <w:tc>
          <w:tcPr>
            <w:tcW w:w="8175" w:type="dxa"/>
            <w:tcBorders>
              <w:top w:val="single" w:color="auto" w:sz="4" w:space="0"/>
              <w:left w:val="single" w:color="auto" w:sz="4" w:space="0"/>
              <w:bottom w:val="single" w:color="auto" w:sz="4" w:space="0"/>
              <w:right w:val="single" w:color="auto" w:sz="4" w:space="0"/>
            </w:tcBorders>
            <w:vAlign w:val="center"/>
          </w:tcPr>
          <w:p w14:paraId="774B8CC0">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253A128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87"/>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复印件，需加盖公章</w:t>
            </w:r>
            <w:r>
              <w:rPr>
                <w:rFonts w:hint="eastAsia" w:ascii="宋体" w:hAnsi="宋体" w:cs="宋体"/>
                <w:color w:val="auto"/>
                <w:szCs w:val="21"/>
                <w:highlight w:val="none"/>
              </w:rPr>
              <w:t>）</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79D0DA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cs="Courier New"/>
                <w:b/>
                <w:color w:val="auto"/>
                <w:szCs w:val="21"/>
                <w:highlight w:val="none"/>
              </w:rPr>
            </w:pPr>
            <w:r>
              <w:rPr>
                <w:rFonts w:hint="eastAsia" w:ascii="宋体" w:hAnsi="宋体" w:cs="宋体"/>
                <w:color w:val="auto"/>
                <w:szCs w:val="21"/>
                <w:highlight w:val="none"/>
              </w:rPr>
              <w:t>2. 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D5378D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cs="Courier New"/>
                <w:b/>
                <w:color w:val="auto"/>
                <w:szCs w:val="21"/>
                <w:highlight w:val="none"/>
              </w:rPr>
            </w:pPr>
            <w:r>
              <w:rPr>
                <w:rFonts w:hint="eastAsia" w:ascii="宋体" w:hAnsi="宋体" w:cs="宋体"/>
                <w:color w:val="auto"/>
                <w:szCs w:val="21"/>
                <w:highlight w:val="none"/>
              </w:rPr>
              <w:t>3. 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专用收据、社会保险缴纳清单或者社保部门的证明等）复印件；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6A79F5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color w:val="auto"/>
                <w:szCs w:val="21"/>
                <w:highlight w:val="none"/>
                <w:u w:val="single"/>
              </w:rPr>
              <w:t>2024</w:t>
            </w:r>
            <w:r>
              <w:rPr>
                <w:rFonts w:hint="eastAsia"/>
                <w:color w:val="auto"/>
                <w:szCs w:val="21"/>
                <w:highlight w:val="none"/>
                <w:u w:val="single"/>
                <w:lang w:val="en-US" w:eastAsia="zh-CN"/>
              </w:rPr>
              <w:t>或2025</w:t>
            </w:r>
            <w:r>
              <w:rPr>
                <w:rFonts w:hint="eastAsia"/>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color w:val="auto"/>
                <w:highlight w:val="none"/>
              </w:rPr>
              <w:t>，</w:t>
            </w:r>
            <w:r>
              <w:rPr>
                <w:rFonts w:hint="eastAsia" w:ascii="宋体" w:hAnsi="宋体"/>
                <w:color w:val="auto"/>
                <w:highlight w:val="none"/>
              </w:rPr>
              <w:t>投标人属于成立时间在规定年度之后的法人或其他组织，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32AAD5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color w:val="auto"/>
                <w:szCs w:val="21"/>
                <w:highlight w:val="none"/>
              </w:rPr>
            </w:pPr>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D41BD4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51DB63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cs="Courier New"/>
                <w:b/>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A9B5F3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Courier New"/>
                <w:b/>
                <w:color w:val="auto"/>
                <w:szCs w:val="21"/>
                <w:highlight w:val="none"/>
                <w:lang w:eastAsia="zh-CN"/>
              </w:rPr>
            </w:pPr>
            <w:r>
              <w:rPr>
                <w:rFonts w:hint="eastAsia" w:ascii="宋体" w:hAnsi="宋体"/>
                <w:color w:val="auto"/>
                <w:szCs w:val="21"/>
                <w:highlight w:val="none"/>
                <w:lang w:val="en-US" w:eastAsia="zh-CN"/>
              </w:rPr>
              <w:t>8</w:t>
            </w:r>
            <w:r>
              <w:rPr>
                <w:rFonts w:hint="eastAsia" w:ascii="宋体" w:hAnsi="宋体"/>
                <w:color w:val="auto"/>
                <w:szCs w:val="21"/>
                <w:highlight w:val="none"/>
              </w:rPr>
              <w:t>.《中小企业声明函》（格式后附）【如属于残疾人福利性单位的提供残疾人福利性单位声明函，属于监狱企业的提供由省级以上监狱管理局、戒毒管理局（含新疆生产建设兵团）出具的属于监狱企业的证明文件】；（</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BE5595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.除招标文件规定必须提供以外，投标人认为需要提供的其他证明材料。</w:t>
            </w:r>
            <w:r>
              <w:rPr>
                <w:rFonts w:hint="eastAsia" w:ascii="宋体" w:hAnsi="宋体"/>
                <w:iCs/>
                <w:color w:val="auto"/>
                <w:szCs w:val="21"/>
                <w:highlight w:val="none"/>
              </w:rPr>
              <w:t>（如有则提供）</w:t>
            </w:r>
          </w:p>
          <w:p w14:paraId="66305C5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b/>
                <w:bCs/>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以上标明“必须提供”的材料，格式中有要求法定代表人或者委托代理人签字的，必须按要求签字并加盖投标人电子签章，否则按无效投标处理。</w:t>
            </w:r>
          </w:p>
        </w:tc>
      </w:tr>
      <w:tr w14:paraId="6768D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2603A3FF">
            <w:pPr>
              <w:spacing w:line="360" w:lineRule="auto"/>
              <w:jc w:val="center"/>
              <w:rPr>
                <w:rFonts w:ascii="宋体" w:hAnsi="宋体"/>
                <w:color w:val="auto"/>
                <w:szCs w:val="21"/>
                <w:highlight w:val="none"/>
              </w:rPr>
            </w:pPr>
            <w:bookmarkStart w:id="52" w:name="_13.3"/>
            <w:bookmarkEnd w:id="52"/>
          </w:p>
        </w:tc>
        <w:tc>
          <w:tcPr>
            <w:tcW w:w="8175" w:type="dxa"/>
            <w:tcBorders>
              <w:top w:val="single" w:color="auto" w:sz="4" w:space="0"/>
              <w:left w:val="single" w:color="auto" w:sz="4" w:space="0"/>
              <w:bottom w:val="single" w:color="auto" w:sz="4" w:space="0"/>
              <w:right w:val="single" w:color="auto" w:sz="4" w:space="0"/>
            </w:tcBorders>
            <w:vAlign w:val="center"/>
          </w:tcPr>
          <w:p w14:paraId="41BD855F">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ascii="宋体" w:hAnsi="宋体" w:cs="Courier New"/>
                <w:b/>
                <w:color w:val="auto"/>
                <w:szCs w:val="21"/>
                <w:highlight w:val="none"/>
              </w:rPr>
            </w:pPr>
            <w:r>
              <w:rPr>
                <w:rFonts w:hint="eastAsia"/>
                <w:b/>
                <w:color w:val="auto"/>
                <w:kern w:val="0"/>
                <w:highlight w:val="none"/>
                <w:u w:val="single"/>
              </w:rPr>
              <w:t>商务及技术文件</w:t>
            </w:r>
            <w:r>
              <w:rPr>
                <w:rFonts w:hint="eastAsia" w:ascii="宋体" w:hAnsi="宋体" w:cs="Courier New"/>
                <w:b/>
                <w:color w:val="auto"/>
                <w:szCs w:val="21"/>
                <w:highlight w:val="none"/>
              </w:rPr>
              <w:t>：</w:t>
            </w:r>
          </w:p>
          <w:p w14:paraId="06AEED78">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40572A5">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07748F26">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E75C3A8">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722CE872">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3E020DB">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ascii="宋体" w:hAnsi="宋体"/>
                <w:color w:val="auto"/>
                <w:szCs w:val="21"/>
                <w:highlight w:val="none"/>
              </w:rPr>
            </w:pPr>
            <w:r>
              <w:rPr>
                <w:rFonts w:hint="eastAsia" w:ascii="宋体" w:hAnsi="宋体"/>
                <w:color w:val="auto"/>
                <w:szCs w:val="21"/>
                <w:highlight w:val="none"/>
              </w:rPr>
              <w:t>6.代理服务费承诺书（格式后附）；</w:t>
            </w:r>
          </w:p>
          <w:p w14:paraId="674A390C">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ascii="宋体" w:hAnsi="宋体"/>
                <w:color w:val="auto"/>
                <w:szCs w:val="21"/>
                <w:highlight w:val="none"/>
              </w:rPr>
            </w:pPr>
            <w:r>
              <w:rPr>
                <w:rFonts w:hint="eastAsia" w:ascii="宋体" w:hAnsi="宋体"/>
                <w:color w:val="auto"/>
                <w:szCs w:val="21"/>
                <w:highlight w:val="none"/>
              </w:rPr>
              <w:t>7.技术要求偏离表（格式后附）；（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8632661">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ascii="宋体" w:hAnsi="宋体"/>
                <w:color w:val="auto"/>
                <w:szCs w:val="21"/>
                <w:highlight w:val="none"/>
              </w:rPr>
            </w:pPr>
            <w:r>
              <w:rPr>
                <w:rFonts w:hint="eastAsia" w:ascii="宋体" w:hAnsi="宋体"/>
                <w:color w:val="auto"/>
                <w:szCs w:val="21"/>
                <w:highlight w:val="none"/>
              </w:rPr>
              <w:t>8.服务实施方案（包括但不限于能源诊断方案</w:t>
            </w:r>
            <w:r>
              <w:rPr>
                <w:rFonts w:hint="eastAsia" w:ascii="宋体" w:hAnsi="宋体"/>
                <w:color w:val="auto"/>
                <w:szCs w:val="21"/>
                <w:highlight w:val="none"/>
                <w:lang w:eastAsia="zh-CN"/>
              </w:rPr>
              <w:t>、</w:t>
            </w:r>
            <w:r>
              <w:rPr>
                <w:rFonts w:hint="eastAsia" w:ascii="宋体" w:hAnsi="宋体"/>
                <w:color w:val="auto"/>
                <w:szCs w:val="21"/>
                <w:highlight w:val="none"/>
              </w:rPr>
              <w:t>技术方案</w:t>
            </w:r>
            <w:r>
              <w:rPr>
                <w:rFonts w:hint="eastAsia" w:ascii="宋体" w:hAnsi="宋体"/>
                <w:color w:val="auto"/>
                <w:szCs w:val="21"/>
                <w:highlight w:val="none"/>
                <w:lang w:eastAsia="zh-CN"/>
              </w:rPr>
              <w:t>、</w:t>
            </w:r>
            <w:r>
              <w:rPr>
                <w:rFonts w:hint="eastAsia" w:ascii="宋体" w:hAnsi="宋体"/>
                <w:color w:val="auto"/>
                <w:szCs w:val="21"/>
                <w:highlight w:val="none"/>
              </w:rPr>
              <w:t>工作进度及保障措施方案</w:t>
            </w:r>
            <w:r>
              <w:rPr>
                <w:rFonts w:hint="eastAsia" w:ascii="宋体" w:hAnsi="宋体"/>
                <w:color w:val="auto"/>
                <w:szCs w:val="21"/>
                <w:highlight w:val="none"/>
                <w:lang w:eastAsia="zh-CN"/>
              </w:rPr>
              <w:t>、</w:t>
            </w:r>
            <w:r>
              <w:rPr>
                <w:rFonts w:hint="eastAsia" w:ascii="宋体" w:hAnsi="宋体"/>
                <w:color w:val="auto"/>
                <w:szCs w:val="21"/>
                <w:highlight w:val="none"/>
              </w:rPr>
              <w:t>维护方案等）（格式自拟）；</w:t>
            </w:r>
          </w:p>
          <w:p w14:paraId="2DE5C2FE">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服务承诺方案</w:t>
            </w:r>
            <w:r>
              <w:rPr>
                <w:rFonts w:hint="eastAsia"/>
                <w:color w:val="auto"/>
                <w:highlight w:val="none"/>
                <w:lang w:eastAsia="zh-CN"/>
              </w:rPr>
              <w:t>（包括但不限于运维服务要求、故障定义后的响应要求等）</w:t>
            </w:r>
            <w:r>
              <w:rPr>
                <w:rFonts w:hint="eastAsia" w:ascii="宋体" w:hAnsi="宋体"/>
                <w:color w:val="auto"/>
                <w:szCs w:val="21"/>
                <w:highlight w:val="none"/>
              </w:rPr>
              <w:t>（格式自拟）；</w:t>
            </w:r>
          </w:p>
          <w:p w14:paraId="4BB3E9F9">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.项目实施人员一览表（格式后附）；</w:t>
            </w:r>
          </w:p>
          <w:p w14:paraId="66F72DAE">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r>
              <w:rPr>
                <w:rFonts w:hint="eastAsia" w:ascii="宋体" w:hAnsi="宋体"/>
                <w:iCs/>
                <w:color w:val="auto"/>
                <w:szCs w:val="21"/>
                <w:highlight w:val="none"/>
              </w:rPr>
              <w:t>（如有则提供）</w:t>
            </w:r>
          </w:p>
          <w:p w14:paraId="2FE19D42">
            <w:pPr>
              <w:keepNext w:val="0"/>
              <w:keepLines w:val="0"/>
              <w:pageBreakBefore w:val="0"/>
              <w:widowControl w:val="0"/>
              <w:kinsoku/>
              <w:wordWrap/>
              <w:overflowPunct/>
              <w:topLinePunct w:val="0"/>
              <w:autoSpaceDE/>
              <w:autoSpaceDN/>
              <w:bidi w:val="0"/>
              <w:adjustRightInd/>
              <w:snapToGrid w:val="0"/>
              <w:spacing w:line="360" w:lineRule="auto"/>
              <w:ind w:left="0" w:firstLine="0"/>
              <w:jc w:val="left"/>
              <w:textAlignment w:val="auto"/>
              <w:rPr>
                <w:rFonts w:ascii="宋体" w:hAnsi="宋体" w:cs="Courier New"/>
                <w:b/>
                <w:color w:val="auto"/>
                <w:szCs w:val="21"/>
                <w:highlight w:val="none"/>
              </w:rPr>
            </w:pPr>
            <w:r>
              <w:rPr>
                <w:rFonts w:hint="eastAsia" w:ascii="宋体" w:hAnsi="宋体"/>
                <w:b/>
                <w:bCs/>
                <w:color w:val="auto"/>
                <w:szCs w:val="21"/>
                <w:highlight w:val="none"/>
              </w:rPr>
              <w:t>注：以上标明“必须提供”的材料，格式中有要求法定代表人或者委托代理人签字的，必须按要求签字并加盖投标人电子签章，否则按无效投标处理。</w:t>
            </w:r>
          </w:p>
        </w:tc>
      </w:tr>
      <w:tr w14:paraId="139BA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1420882">
            <w:pPr>
              <w:spacing w:line="360" w:lineRule="auto"/>
              <w:jc w:val="center"/>
              <w:rPr>
                <w:rFonts w:ascii="宋体" w:hAnsi="宋体"/>
                <w:color w:val="auto"/>
                <w:szCs w:val="21"/>
                <w:highlight w:val="none"/>
              </w:rPr>
            </w:pPr>
            <w:bookmarkStart w:id="53" w:name="_16.2"/>
            <w:bookmarkEnd w:id="53"/>
            <w:bookmarkStart w:id="54" w:name="_13.4"/>
            <w:bookmarkEnd w:id="54"/>
            <w:bookmarkStart w:id="55" w:name="_13.5"/>
            <w:bookmarkEnd w:id="55"/>
            <w:r>
              <w:rPr>
                <w:rFonts w:hint="eastAsia" w:ascii="宋体" w:hAnsi="宋体"/>
                <w:color w:val="auto"/>
                <w:szCs w:val="21"/>
                <w:highlight w:val="none"/>
              </w:rPr>
              <w:t>16</w:t>
            </w:r>
            <w:bookmarkStart w:id="56" w:name="_Hlt19693759"/>
            <w:bookmarkStart w:id="57" w:name="_Hlt19194067"/>
            <w:bookmarkStart w:id="58" w:name="_Hlt19693758"/>
            <w:bookmarkStart w:id="59" w:name="_Hlt19194066"/>
            <w:r>
              <w:rPr>
                <w:rFonts w:hint="eastAsia" w:ascii="宋体" w:hAnsi="宋体"/>
                <w:color w:val="auto"/>
                <w:szCs w:val="21"/>
                <w:highlight w:val="none"/>
              </w:rPr>
              <w:t>.</w:t>
            </w:r>
            <w:bookmarkEnd w:id="56"/>
            <w:bookmarkEnd w:id="57"/>
            <w:bookmarkEnd w:id="58"/>
            <w:bookmarkEnd w:id="59"/>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top"/>
          </w:tcPr>
          <w:p w14:paraId="6AAC2A91">
            <w:pPr>
              <w:widowControl/>
              <w:spacing w:line="440" w:lineRule="exact"/>
              <w:rPr>
                <w:rFonts w:ascii="宋体" w:hAnsi="宋体"/>
                <w:bCs/>
                <w:color w:val="auto"/>
                <w:szCs w:val="21"/>
                <w:highlight w:val="none"/>
              </w:rPr>
            </w:pPr>
            <w:r>
              <w:rPr>
                <w:rFonts w:hint="eastAsia" w:ascii="宋体" w:hAnsi="宋体"/>
                <w:bCs/>
                <w:color w:val="auto"/>
                <w:szCs w:val="21"/>
                <w:highlight w:val="none"/>
              </w:rPr>
              <w:t>在项目用能边界不变的情况下，项目的托管运营管理服务费用实行包干制，报价应包含平台建设费、能源托管电费、全部节能改造设备及安装费、运维费、培训费及招投标环节的费用；中标人负责投入人员、服务人员的工资、劳保、社会保险费（包括养老、失业、工伤、生育、医疗）、福利待遇、基本装备、服装、劳务费用及住房公积金等；其他管理费用、税费、奖金、企业利润等。除此之外，采购人无需向中标人或服务人员个人支付任何费用。投入人员在本项目服务场所工作期间发生工伤（亡）、患职业病、因病或非因工死亡，由中标人负责。</w:t>
            </w:r>
          </w:p>
        </w:tc>
      </w:tr>
      <w:tr w14:paraId="5115B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8983990">
            <w:pPr>
              <w:spacing w:line="360" w:lineRule="auto"/>
              <w:jc w:val="center"/>
              <w:rPr>
                <w:rFonts w:ascii="宋体" w:hAnsi="宋体"/>
                <w:color w:val="auto"/>
                <w:szCs w:val="21"/>
                <w:highlight w:val="none"/>
              </w:rPr>
            </w:pPr>
            <w:bookmarkStart w:id="60" w:name="_17.1"/>
            <w:bookmarkEnd w:id="60"/>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038801E4">
            <w:pPr>
              <w:snapToGrid w:val="0"/>
              <w:spacing w:line="360" w:lineRule="auto"/>
              <w:rPr>
                <w:rFonts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ascii="宋体" w:hAnsi="宋体"/>
                <w:color w:val="auto"/>
                <w:szCs w:val="21"/>
                <w:highlight w:val="none"/>
                <w:u w:val="single"/>
              </w:rPr>
              <w:t xml:space="preserve"> </w:t>
            </w:r>
            <w:r>
              <w:rPr>
                <w:rFonts w:hint="eastAsia" w:ascii="宋体" w:hAnsi="宋体"/>
                <w:color w:val="auto"/>
                <w:szCs w:val="21"/>
                <w:highlight w:val="none"/>
              </w:rPr>
              <w:t>日。</w:t>
            </w:r>
          </w:p>
        </w:tc>
      </w:tr>
      <w:tr w14:paraId="23486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56C90DA">
            <w:pPr>
              <w:spacing w:line="360" w:lineRule="auto"/>
              <w:jc w:val="center"/>
              <w:rPr>
                <w:rFonts w:ascii="宋体" w:hAnsi="宋体"/>
                <w:color w:val="auto"/>
                <w:szCs w:val="21"/>
                <w:highlight w:val="none"/>
              </w:rPr>
            </w:pPr>
            <w:bookmarkStart w:id="61" w:name="_18"/>
            <w:bookmarkEnd w:id="61"/>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1ABC929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0B202A77">
            <w:pPr>
              <w:snapToGrid w:val="0"/>
              <w:spacing w:line="360" w:lineRule="auto"/>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本项目收取投标保证金，具体规定如下：</w:t>
            </w:r>
          </w:p>
          <w:p w14:paraId="0F80FB10">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1 </w:t>
            </w:r>
            <w:r>
              <w:rPr>
                <w:rFonts w:hint="eastAsia" w:ascii="宋体" w:hAnsi="宋体" w:cs="宋体"/>
                <w:color w:val="auto"/>
                <w:kern w:val="0"/>
                <w:szCs w:val="21"/>
                <w:highlight w:val="none"/>
              </w:rPr>
              <w:t>分标投标保证金人民币</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00000.00</w:t>
            </w:r>
            <w:r>
              <w:rPr>
                <w:rFonts w:hint="eastAsia" w:ascii="宋体" w:hAnsi="宋体" w:cs="宋体"/>
                <w:color w:val="auto"/>
                <w:kern w:val="0"/>
                <w:szCs w:val="21"/>
                <w:highlight w:val="none"/>
              </w:rPr>
              <w:t>元。</w:t>
            </w:r>
          </w:p>
          <w:p w14:paraId="2B9CEE02">
            <w:pPr>
              <w:snapToGrid w:val="0"/>
              <w:spacing w:line="360" w:lineRule="auto"/>
              <w:rPr>
                <w:rFonts w:ascii="宋体" w:hAnsi="宋体"/>
                <w:b/>
                <w:bCs/>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投标保证金的交纳方式：银行转账、支票、汇票、本票或者银行、保险机构出具的保函（包含电子保函），禁止采用现钞方式。采用银行转账方式的，在投标截止时间前</w:t>
            </w:r>
            <w:r>
              <w:rPr>
                <w:rFonts w:hint="eastAsia"/>
                <w:color w:val="auto"/>
                <w:highlight w:val="none"/>
              </w:rPr>
              <w:t>从投标人账户</w:t>
            </w:r>
            <w:r>
              <w:rPr>
                <w:rFonts w:hint="eastAsia" w:ascii="宋体" w:hAnsi="宋体" w:cs="宋体"/>
                <w:color w:val="auto"/>
                <w:kern w:val="0"/>
                <w:szCs w:val="21"/>
                <w:highlight w:val="none"/>
              </w:rPr>
              <w:t>交至指定账户并且到账（开户银行：中信银行南宁东葛支行，开户名称：云之龙咨询集团有限公司梧州分公司，银行账号：8113001013700074625）；采用支票、汇票、本票或者保函等方式的，在投标截止时间前，投标人必须递交单独密封的支票、汇票、本票或者保函原件（电子保函须提交复印件并加盖投标人公章）。</w:t>
            </w:r>
            <w:r>
              <w:rPr>
                <w:rFonts w:hint="eastAsia" w:ascii="宋体" w:hAnsi="宋体" w:cs="宋体"/>
                <w:b/>
                <w:bCs/>
                <w:color w:val="auto"/>
                <w:kern w:val="0"/>
                <w:szCs w:val="21"/>
                <w:highlight w:val="none"/>
              </w:rPr>
              <w:t>否则视为无效投标保证金。</w:t>
            </w:r>
          </w:p>
          <w:p w14:paraId="7E119FF4">
            <w:pPr>
              <w:snapToGrid w:val="0"/>
              <w:spacing w:line="360" w:lineRule="auto"/>
              <w:rPr>
                <w:rFonts w:ascii="宋体" w:hAnsi="宋体"/>
                <w:color w:val="auto"/>
                <w:szCs w:val="21"/>
                <w:highlight w:val="none"/>
              </w:rPr>
            </w:pPr>
            <w:r>
              <w:rPr>
                <w:rFonts w:hint="eastAsia" w:ascii="宋体" w:hAnsi="宋体"/>
                <w:color w:val="auto"/>
                <w:szCs w:val="21"/>
                <w:highlight w:val="none"/>
              </w:rPr>
              <w:t>相关要求：</w:t>
            </w:r>
          </w:p>
          <w:p w14:paraId="7C8B9FB1">
            <w:pPr>
              <w:pStyle w:val="15"/>
              <w:spacing w:line="360" w:lineRule="auto"/>
              <w:rPr>
                <w:rFonts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商务及技术文件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0822AC9D">
            <w:pPr>
              <w:snapToGrid w:val="0"/>
              <w:spacing w:line="360" w:lineRule="auto"/>
              <w:rPr>
                <w:rFonts w:ascii="宋体" w:hAnsi="宋体"/>
                <w:color w:val="auto"/>
                <w:szCs w:val="21"/>
                <w:highlight w:val="none"/>
              </w:rPr>
            </w:pPr>
            <w:r>
              <w:rPr>
                <w:rFonts w:hint="eastAsia" w:ascii="宋体" w:hAnsi="宋体"/>
                <w:color w:val="auto"/>
                <w:szCs w:val="21"/>
                <w:highlight w:val="none"/>
              </w:rPr>
              <w:t>2.投标保证金采用支票、汇票、本票或者银行、保险机构出具的保函（包含电子保函）交纳方式的，投标人应将支票、汇票、本票或者银行、保险机构出具的保函（包含电子保函）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在投标截止时间前采用现场或邮寄方式（现场提交地址：梧州市新兴三路30号神冠豪都B栋1单元1008号房；邮寄地址：梧州市新兴三路30号神冠豪都B栋1单元1008号房，收件人：</w:t>
            </w:r>
            <w:r>
              <w:rPr>
                <w:rFonts w:hint="eastAsia"/>
                <w:color w:val="auto"/>
                <w:highlight w:val="none"/>
                <w:lang w:eastAsia="zh-CN"/>
              </w:rPr>
              <w:t>周子然、陈丽莹</w:t>
            </w:r>
            <w:r>
              <w:rPr>
                <w:rFonts w:hint="eastAsia"/>
                <w:color w:val="auto"/>
                <w:highlight w:val="none"/>
              </w:rPr>
              <w:t xml:space="preserve"> ，联系方式：0774-3859935）</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w:t>
            </w:r>
            <w:r>
              <w:rPr>
                <w:rFonts w:hint="eastAsia" w:ascii="宋体" w:hAnsi="宋体" w:cs="宋体"/>
                <w:color w:val="auto"/>
                <w:kern w:val="0"/>
                <w:szCs w:val="21"/>
                <w:highlight w:val="none"/>
              </w:rPr>
              <w:t>（电子保函须提交复印件并加盖投标人公章）</w:t>
            </w:r>
            <w:r>
              <w:rPr>
                <w:rFonts w:hint="eastAsia" w:ascii="宋体" w:hAnsi="宋体"/>
                <w:color w:val="auto"/>
                <w:szCs w:val="21"/>
                <w:highlight w:val="none"/>
              </w:rPr>
              <w:t>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526DF762">
            <w:pPr>
              <w:snapToGrid w:val="0"/>
              <w:spacing w:line="360" w:lineRule="auto"/>
              <w:ind w:firstLine="422"/>
              <w:rPr>
                <w:rFonts w:ascii="宋体" w:hAnsi="宋体"/>
                <w:b/>
                <w:color w:val="auto"/>
                <w:szCs w:val="21"/>
                <w:highlight w:val="none"/>
              </w:rPr>
            </w:pPr>
            <w:r>
              <w:rPr>
                <w:rFonts w:hint="eastAsia" w:ascii="宋体" w:hAnsi="宋体"/>
                <w:b/>
                <w:color w:val="auto"/>
                <w:szCs w:val="21"/>
                <w:highlight w:val="none"/>
              </w:rPr>
              <w:t xml:space="preserve">备注： </w:t>
            </w:r>
          </w:p>
          <w:p w14:paraId="60B1B8CB">
            <w:pPr>
              <w:snapToGrid w:val="0"/>
              <w:spacing w:line="360" w:lineRule="auto"/>
              <w:ind w:firstLine="422"/>
              <w:rPr>
                <w:rFonts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113A3C63">
            <w:pPr>
              <w:snapToGrid w:val="0"/>
              <w:spacing w:line="360" w:lineRule="auto"/>
              <w:ind w:firstLine="422"/>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175503D5">
            <w:pPr>
              <w:snapToGrid w:val="0"/>
              <w:spacing w:line="360" w:lineRule="auto"/>
              <w:ind w:firstLine="422"/>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467A3368">
            <w:pPr>
              <w:snapToGrid w:val="0"/>
              <w:spacing w:line="360" w:lineRule="auto"/>
              <w:ind w:firstLine="422"/>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30060AB1">
            <w:pPr>
              <w:snapToGrid w:val="0"/>
              <w:spacing w:line="360" w:lineRule="auto"/>
              <w:ind w:firstLine="422"/>
              <w:rPr>
                <w:rFonts w:ascii="宋体" w:hAnsi="宋体"/>
                <w:b/>
                <w:color w:val="auto"/>
                <w:szCs w:val="21"/>
                <w:highlight w:val="none"/>
              </w:rPr>
            </w:pPr>
            <w:r>
              <w:rPr>
                <w:rFonts w:hint="eastAsia" w:ascii="宋体" w:hAnsi="宋体"/>
                <w:b/>
                <w:color w:val="auto"/>
                <w:szCs w:val="21"/>
                <w:highlight w:val="none"/>
              </w:rPr>
              <w:t>5.采用银行、保险机构出具保函（包含电子保函）的，必须为无条件保函，否则视为无效投标保证金。</w:t>
            </w:r>
          </w:p>
        </w:tc>
      </w:tr>
      <w:tr w14:paraId="36A4E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2D771857">
            <w:pPr>
              <w:spacing w:line="360" w:lineRule="auto"/>
              <w:jc w:val="center"/>
              <w:rPr>
                <w:rFonts w:ascii="宋体" w:hAnsi="宋体"/>
                <w:color w:val="auto"/>
                <w:szCs w:val="21"/>
                <w:highlight w:val="none"/>
              </w:rPr>
            </w:pPr>
            <w:bookmarkStart w:id="62" w:name="_19.2"/>
            <w:bookmarkEnd w:id="62"/>
            <w:bookmarkStart w:id="63" w:name="_21.1"/>
            <w:bookmarkEnd w:id="63"/>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vAlign w:val="center"/>
          </w:tcPr>
          <w:p w14:paraId="0226693A">
            <w:pPr>
              <w:autoSpaceDE w:val="0"/>
              <w:autoSpaceDN w:val="0"/>
              <w:adjustRightInd w:val="0"/>
              <w:spacing w:line="360" w:lineRule="auto"/>
              <w:textAlignment w:val="bottom"/>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40BAE223">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本项目接受电子备份投标文件。</w:t>
            </w:r>
          </w:p>
          <w:p w14:paraId="5ACD389F">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提交方式：投标人可以在投标截止时间前采用以下</w:t>
            </w:r>
            <w:r>
              <w:rPr>
                <w:color w:val="auto"/>
                <w:highlight w:val="none"/>
                <w:u w:val="single"/>
              </w:rPr>
              <w:t xml:space="preserve">     </w:t>
            </w:r>
            <w:r>
              <w:rPr>
                <w:rFonts w:hint="eastAsia"/>
                <w:color w:val="auto"/>
                <w:highlight w:val="none"/>
              </w:rPr>
              <w:t>种方式向采购代理机构提交电子备份投标文件：</w:t>
            </w:r>
          </w:p>
          <w:p w14:paraId="4CC42DF1">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hint="eastAsia"/>
                <w:color w:val="auto"/>
                <w:highlight w:val="none"/>
              </w:rPr>
              <w:t>；外包装上注明投标人名称、项目名称及项目编号（外包装不作密封要求）。</w:t>
            </w:r>
          </w:p>
          <w:p w14:paraId="323BAC12">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）电子邮件方式，接收电子备份投标文件的电子邮箱为：</w:t>
            </w:r>
            <w:r>
              <w:rPr>
                <w:color w:val="auto"/>
                <w:highlight w:val="none"/>
                <w:u w:val="single"/>
              </w:rPr>
              <w:t xml:space="preserve">            </w:t>
            </w:r>
            <w:r>
              <w:rPr>
                <w:rFonts w:hint="eastAsia"/>
                <w:color w:val="auto"/>
                <w:highlight w:val="none"/>
              </w:rPr>
              <w:t>。</w:t>
            </w:r>
          </w:p>
          <w:p w14:paraId="5838CD8C">
            <w:pPr>
              <w:pStyle w:val="15"/>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w:t>
            </w:r>
            <w:r>
              <w:rPr>
                <w:color w:val="auto"/>
                <w:highlight w:val="none"/>
                <w:u w:val="single"/>
              </w:rPr>
              <w:t xml:space="preserve">       </w:t>
            </w:r>
            <w:r>
              <w:rPr>
                <w:rFonts w:hint="eastAsia"/>
                <w:color w:val="auto"/>
                <w:highlight w:val="none"/>
              </w:rPr>
              <w:t>，截止接收时间：</w:t>
            </w:r>
            <w:r>
              <w:rPr>
                <w:color w:val="auto"/>
                <w:highlight w:val="none"/>
                <w:u w:val="single"/>
              </w:rPr>
              <w:t xml:space="preserve">       </w:t>
            </w:r>
            <w:r>
              <w:rPr>
                <w:rFonts w:hint="eastAsia"/>
                <w:color w:val="auto"/>
                <w:highlight w:val="none"/>
              </w:rPr>
              <w:t>，收件人：</w:t>
            </w:r>
            <w:r>
              <w:rPr>
                <w:color w:val="auto"/>
                <w:highlight w:val="none"/>
                <w:u w:val="single"/>
              </w:rPr>
              <w:t xml:space="preserve">       </w:t>
            </w:r>
            <w:r>
              <w:rPr>
                <w:rFonts w:hint="eastAsia"/>
                <w:color w:val="auto"/>
                <w:highlight w:val="none"/>
              </w:rPr>
              <w:t>，联系方式：</w:t>
            </w:r>
            <w:r>
              <w:rPr>
                <w:color w:val="auto"/>
                <w:highlight w:val="none"/>
                <w:u w:val="single"/>
              </w:rPr>
              <w:t xml:space="preserve">       </w:t>
            </w:r>
            <w:r>
              <w:rPr>
                <w:rFonts w:hint="eastAsia"/>
                <w:color w:val="auto"/>
                <w:highlight w:val="none"/>
              </w:rPr>
              <w:t>；外包装上注明投标人名称、项目名称及项目编号（外包装不作密封要求）。</w:t>
            </w:r>
          </w:p>
          <w:p w14:paraId="1261421B">
            <w:pPr>
              <w:autoSpaceDE w:val="0"/>
              <w:autoSpaceDN w:val="0"/>
              <w:snapToGrid w:val="0"/>
              <w:spacing w:line="360" w:lineRule="auto"/>
              <w:ind w:firstLine="420" w:firstLineChars="200"/>
              <w:textAlignment w:val="bottom"/>
              <w:rPr>
                <w:rFonts w:ascii="宋体" w:hAnsi="宋体"/>
                <w:color w:val="auto"/>
                <w:szCs w:val="21"/>
                <w:highlight w:val="none"/>
              </w:rPr>
            </w:pPr>
            <w:r>
              <w:rPr>
                <w:rFonts w:hint="eastAsia"/>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highlight w:val="none"/>
              </w:rPr>
              <w:t>投标人的投标文件作无效处理</w:t>
            </w:r>
            <w:r>
              <w:rPr>
                <w:rFonts w:hint="eastAsia"/>
                <w:color w:val="auto"/>
                <w:highlight w:val="none"/>
              </w:rPr>
              <w:t>。</w:t>
            </w:r>
          </w:p>
        </w:tc>
      </w:tr>
      <w:tr w14:paraId="00362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5053B1E1">
            <w:pPr>
              <w:spacing w:line="360" w:lineRule="auto"/>
              <w:jc w:val="center"/>
              <w:rPr>
                <w:rFonts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6CC40A09">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65995B7D">
            <w:pPr>
              <w:snapToGrid w:val="0"/>
              <w:spacing w:line="360" w:lineRule="auto"/>
              <w:rPr>
                <w:rFonts w:ascii="宋体" w:hAnsi="宋体"/>
                <w:color w:val="auto"/>
                <w:szCs w:val="21"/>
                <w:highlight w:val="none"/>
              </w:rPr>
            </w:pPr>
            <w:r>
              <w:rPr>
                <w:rFonts w:hint="eastAsia" w:ascii="宋体" w:hAnsi="宋体"/>
                <w:color w:val="auto"/>
                <w:szCs w:val="21"/>
                <w:highlight w:val="none"/>
              </w:rPr>
              <w:t>2.投标地点：详见招标公告</w:t>
            </w:r>
          </w:p>
        </w:tc>
      </w:tr>
      <w:tr w14:paraId="33AB5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B521FC8">
            <w:pPr>
              <w:spacing w:line="360" w:lineRule="auto"/>
              <w:jc w:val="center"/>
              <w:rPr>
                <w:rFonts w:ascii="宋体" w:hAnsi="宋体"/>
                <w:color w:val="auto"/>
                <w:szCs w:val="21"/>
                <w:highlight w:val="none"/>
              </w:rPr>
            </w:pPr>
            <w:bookmarkStart w:id="64" w:name="_23"/>
            <w:bookmarkEnd w:id="64"/>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vAlign w:val="center"/>
          </w:tcPr>
          <w:p w14:paraId="39C8360F">
            <w:pPr>
              <w:snapToGrid w:val="0"/>
              <w:spacing w:line="360" w:lineRule="auto"/>
              <w:rPr>
                <w:rFonts w:ascii="宋体" w:hAnsi="宋体"/>
                <w:color w:val="auto"/>
                <w:szCs w:val="21"/>
                <w:highlight w:val="none"/>
              </w:rPr>
            </w:pPr>
            <w:r>
              <w:rPr>
                <w:rFonts w:hint="eastAsia" w:ascii="宋体" w:hAnsi="宋体"/>
                <w:color w:val="auto"/>
                <w:szCs w:val="21"/>
                <w:highlight w:val="none"/>
              </w:rPr>
              <w:t>1.开标时间：详见招标公告</w:t>
            </w:r>
          </w:p>
          <w:p w14:paraId="684235F3">
            <w:pPr>
              <w:snapToGrid w:val="0"/>
              <w:spacing w:line="360" w:lineRule="auto"/>
              <w:rPr>
                <w:rFonts w:ascii="宋体" w:hAnsi="宋体"/>
                <w:color w:val="auto"/>
                <w:szCs w:val="21"/>
                <w:highlight w:val="none"/>
              </w:rPr>
            </w:pPr>
            <w:r>
              <w:rPr>
                <w:rFonts w:hint="eastAsia" w:ascii="宋体" w:hAnsi="宋体"/>
                <w:color w:val="auto"/>
                <w:szCs w:val="21"/>
                <w:highlight w:val="none"/>
              </w:rPr>
              <w:t>2.开标地点：详见招标公告</w:t>
            </w:r>
          </w:p>
        </w:tc>
      </w:tr>
      <w:tr w14:paraId="726CB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DEF2D54">
            <w:pPr>
              <w:spacing w:line="360" w:lineRule="auto"/>
              <w:jc w:val="center"/>
              <w:rPr>
                <w:rFonts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vAlign w:val="center"/>
          </w:tcPr>
          <w:p w14:paraId="662A27FF">
            <w:pPr>
              <w:snapToGrid w:val="0"/>
              <w:spacing w:line="360" w:lineRule="auto"/>
              <w:rPr>
                <w:rFonts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 xml:space="preserve"> 30  </w:t>
            </w:r>
            <w:r>
              <w:rPr>
                <w:rFonts w:hint="eastAsia" w:hAnsi="宋体"/>
                <w:color w:val="auto"/>
                <w:highlight w:val="none"/>
              </w:rPr>
              <w:t>分钟</w:t>
            </w:r>
          </w:p>
        </w:tc>
      </w:tr>
      <w:tr w14:paraId="74D5C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43E720D">
            <w:pPr>
              <w:spacing w:line="360" w:lineRule="auto"/>
              <w:jc w:val="center"/>
              <w:rPr>
                <w:rFonts w:ascii="宋体" w:hAnsi="宋体"/>
                <w:color w:val="auto"/>
                <w:szCs w:val="21"/>
                <w:highlight w:val="none"/>
              </w:rPr>
            </w:pPr>
            <w:bookmarkStart w:id="65" w:name="_25.3"/>
            <w:bookmarkEnd w:id="65"/>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vAlign w:val="center"/>
          </w:tcPr>
          <w:p w14:paraId="1B4BBCB4">
            <w:pPr>
              <w:snapToGrid w:val="0"/>
              <w:spacing w:line="360" w:lineRule="auto"/>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1A113302">
            <w:pPr>
              <w:snapToGrid w:val="0"/>
              <w:spacing w:line="360" w:lineRule="auto"/>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2BD6669B">
            <w:pPr>
              <w:snapToGrid w:val="0"/>
              <w:spacing w:line="360" w:lineRule="auto"/>
              <w:rPr>
                <w:rFonts w:ascii="宋体" w:hAnsi="宋体"/>
                <w:color w:val="auto"/>
                <w:szCs w:val="21"/>
                <w:highlight w:val="none"/>
              </w:rPr>
            </w:pPr>
            <w:r>
              <w:rPr>
                <w:rFonts w:hint="eastAsia" w:ascii="宋体" w:hAnsi="宋体"/>
                <w:color w:val="auto"/>
                <w:szCs w:val="21"/>
                <w:highlight w:val="none"/>
              </w:rPr>
              <w:t>信用查询截止时点：资格审查结束前</w:t>
            </w:r>
          </w:p>
          <w:p w14:paraId="1EB99E97">
            <w:pPr>
              <w:snapToGrid w:val="0"/>
              <w:spacing w:line="360" w:lineRule="auto"/>
              <w:rPr>
                <w:rFonts w:ascii="宋体" w:hAnsi="宋体"/>
                <w:color w:val="auto"/>
                <w:szCs w:val="21"/>
                <w:highlight w:val="none"/>
              </w:rPr>
            </w:pPr>
            <w:r>
              <w:rPr>
                <w:rFonts w:hint="eastAsia" w:ascii="宋体" w:hAnsi="宋体"/>
                <w:color w:val="auto"/>
                <w:szCs w:val="21"/>
                <w:highlight w:val="none"/>
              </w:rPr>
              <w:t>查询记录和证据留存方式：在查询网站中直接截图查询记录，截图在广西政府采购云平台（https://www.gcy.zfcg.gxzf.gov.cn/）作为附件上传保存。</w:t>
            </w:r>
          </w:p>
          <w:p w14:paraId="616E72E9">
            <w:pPr>
              <w:snapToGrid w:val="0"/>
              <w:spacing w:line="360" w:lineRule="auto"/>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92AA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0DA82A5">
            <w:pPr>
              <w:spacing w:line="360" w:lineRule="auto"/>
              <w:jc w:val="center"/>
              <w:rPr>
                <w:rFonts w:ascii="宋体" w:hAnsi="宋体"/>
                <w:color w:val="auto"/>
                <w:szCs w:val="21"/>
                <w:highlight w:val="none"/>
              </w:rPr>
            </w:pPr>
            <w:bookmarkStart w:id="66" w:name="_26"/>
            <w:bookmarkEnd w:id="66"/>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08CC6DD7">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7</w:t>
            </w:r>
            <w:r>
              <w:rPr>
                <w:rFonts w:hint="eastAsia" w:ascii="宋体" w:hAnsi="宋体"/>
                <w:color w:val="auto"/>
                <w:szCs w:val="21"/>
                <w:highlight w:val="none"/>
              </w:rPr>
              <w:t>人</w:t>
            </w:r>
          </w:p>
        </w:tc>
      </w:tr>
      <w:tr w14:paraId="74867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7A90B66">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27</w:t>
            </w:r>
          </w:p>
        </w:tc>
        <w:tc>
          <w:tcPr>
            <w:tcW w:w="8175" w:type="dxa"/>
            <w:tcBorders>
              <w:top w:val="single" w:color="auto" w:sz="4" w:space="0"/>
              <w:left w:val="single" w:color="auto" w:sz="4" w:space="0"/>
              <w:bottom w:val="single" w:color="auto" w:sz="4" w:space="0"/>
              <w:right w:val="single" w:color="auto" w:sz="4" w:space="0"/>
            </w:tcBorders>
            <w:vAlign w:val="center"/>
          </w:tcPr>
          <w:p w14:paraId="66E35BA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如</w:t>
            </w:r>
            <w:r>
              <w:rPr>
                <w:rFonts w:hint="eastAsia" w:ascii="宋体" w:hAnsi="宋体"/>
                <w:color w:val="auto"/>
                <w:szCs w:val="21"/>
                <w:highlight w:val="none"/>
                <w:lang w:val="en-US" w:eastAsia="zh-CN"/>
              </w:rPr>
              <w:t>投标人</w:t>
            </w:r>
            <w:r>
              <w:rPr>
                <w:rFonts w:hint="eastAsia" w:ascii="宋体" w:hAnsi="宋体"/>
                <w:color w:val="auto"/>
                <w:szCs w:val="21"/>
                <w:highlight w:val="none"/>
              </w:rPr>
              <w:t>系统平台报价与电子投标文件中报价不一致的，以投标文件开标一览表报价为准。</w:t>
            </w:r>
          </w:p>
        </w:tc>
      </w:tr>
      <w:tr w14:paraId="48C4F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5261792">
            <w:pPr>
              <w:spacing w:line="360" w:lineRule="auto"/>
              <w:jc w:val="center"/>
              <w:rPr>
                <w:rFonts w:ascii="宋体" w:hAnsi="宋体"/>
                <w:color w:val="auto"/>
                <w:szCs w:val="21"/>
                <w:highlight w:val="none"/>
              </w:rPr>
            </w:pPr>
            <w:bookmarkStart w:id="67" w:name="_28.3"/>
            <w:bookmarkEnd w:id="67"/>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66725247">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评标方法：</w:t>
            </w:r>
          </w:p>
          <w:p w14:paraId="704B1AAF">
            <w:pPr>
              <w:autoSpaceDE w:val="0"/>
              <w:autoSpaceDN w:val="0"/>
              <w:snapToGrid w:val="0"/>
              <w:spacing w:line="360" w:lineRule="auto"/>
              <w:textAlignment w:val="bottom"/>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综合评分法</w:t>
            </w:r>
          </w:p>
          <w:p w14:paraId="4310903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□最低评标价法</w:t>
            </w:r>
          </w:p>
        </w:tc>
      </w:tr>
      <w:tr w14:paraId="32AA9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7EAB317E">
            <w:pPr>
              <w:spacing w:line="360" w:lineRule="auto"/>
              <w:jc w:val="center"/>
              <w:rPr>
                <w:rFonts w:ascii="宋体" w:hAnsi="宋体"/>
                <w:color w:val="auto"/>
                <w:szCs w:val="21"/>
                <w:highlight w:val="none"/>
              </w:rPr>
            </w:pPr>
            <w:bookmarkStart w:id="68" w:name="_29.2.2（2）"/>
            <w:bookmarkEnd w:id="68"/>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right w:val="single" w:color="auto" w:sz="4" w:space="0"/>
            </w:tcBorders>
            <w:vAlign w:val="center"/>
          </w:tcPr>
          <w:p w14:paraId="25C7D4F4">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p w14:paraId="5185B157">
            <w:pPr>
              <w:snapToGrid w:val="0"/>
              <w:spacing w:line="360" w:lineRule="auto"/>
              <w:rPr>
                <w:rFonts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tc>
      </w:tr>
      <w:tr w14:paraId="63A9E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12AC647C">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right w:val="single" w:color="auto" w:sz="4" w:space="0"/>
            </w:tcBorders>
            <w:vAlign w:val="center"/>
          </w:tcPr>
          <w:p w14:paraId="22BBF516">
            <w:pPr>
              <w:snapToGrid w:val="0"/>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56AD5FDD">
            <w:pPr>
              <w:snapToGrid w:val="0"/>
              <w:spacing w:line="360" w:lineRule="auto"/>
              <w:rPr>
                <w:rFonts w:hAnsi="宋体"/>
                <w:color w:val="auto"/>
                <w:highlight w:val="none"/>
              </w:rPr>
            </w:pPr>
            <w:r>
              <w:rPr>
                <w:rFonts w:ascii="Segoe UI Symbol" w:hAnsi="Segoe UI Symbol" w:cs="Segoe UI Symbol"/>
                <w:color w:val="auto"/>
                <w:szCs w:val="21"/>
                <w:highlight w:val="none"/>
              </w:rPr>
              <w:t>☑</w:t>
            </w:r>
            <w:r>
              <w:rPr>
                <w:rFonts w:hint="eastAsia" w:hAnsi="宋体"/>
                <w:color w:val="auto"/>
                <w:highlight w:val="none"/>
                <w:u w:val="single"/>
              </w:rPr>
              <w:t>3</w:t>
            </w:r>
            <w:r>
              <w:rPr>
                <w:rFonts w:hAnsi="宋体"/>
                <w:color w:val="auto"/>
                <w:highlight w:val="none"/>
                <w:u w:val="single"/>
              </w:rPr>
              <w:t xml:space="preserve"> </w:t>
            </w:r>
            <w:r>
              <w:rPr>
                <w:rFonts w:hAnsi="宋体"/>
                <w:color w:val="auto"/>
                <w:highlight w:val="none"/>
              </w:rPr>
              <w:t>名</w:t>
            </w:r>
          </w:p>
          <w:p w14:paraId="11349224">
            <w:pPr>
              <w:snapToGrid w:val="0"/>
              <w:spacing w:line="360" w:lineRule="auto"/>
              <w:rPr>
                <w:rFonts w:ascii="宋体" w:hAnsi="宋体" w:cs="宋体"/>
                <w:color w:val="auto"/>
                <w:szCs w:val="21"/>
                <w:highlight w:val="none"/>
              </w:rPr>
            </w:pPr>
            <w:r>
              <w:rPr>
                <w:rFonts w:hint="eastAsia" w:ascii="宋体" w:hAnsi="宋体"/>
                <w:color w:val="auto"/>
                <w:szCs w:val="21"/>
                <w:highlight w:val="none"/>
              </w:rPr>
              <w:t>□</w:t>
            </w:r>
            <w:r>
              <w:rPr>
                <w:rFonts w:hint="eastAsia" w:hAnsi="宋体"/>
                <w:color w:val="auto"/>
                <w:highlight w:val="none"/>
              </w:rPr>
              <w:t>根据[总得分由高到低（综合评分法）/评标报价从低到高（最低评标价法）</w:t>
            </w:r>
            <w:r>
              <w:rPr>
                <w:rFonts w:hAnsi="宋体"/>
                <w:color w:val="auto"/>
                <w:highlight w:val="none"/>
              </w:rPr>
              <w:t>]</w:t>
            </w:r>
            <w:r>
              <w:rPr>
                <w:rFonts w:hint="eastAsia" w:hAnsi="宋体"/>
                <w:color w:val="auto"/>
                <w:highlight w:val="none"/>
              </w:rPr>
              <w:t>排列次序并全部推荐为中标候选人</w:t>
            </w:r>
          </w:p>
        </w:tc>
      </w:tr>
      <w:tr w14:paraId="1382D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08B590D">
            <w:pPr>
              <w:spacing w:line="360" w:lineRule="auto"/>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2894CD69">
            <w:pPr>
              <w:autoSpaceDE w:val="0"/>
              <w:autoSpaceDN w:val="0"/>
              <w:snapToGrid w:val="0"/>
              <w:spacing w:line="360" w:lineRule="auto"/>
              <w:ind w:firstLine="440"/>
              <w:textAlignment w:val="bottom"/>
              <w:rPr>
                <w:rFonts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采购人确定中标供应商时，出现中标候选人并列的情形，采购人按以下的方式确定中标供应商：</w:t>
            </w:r>
          </w:p>
          <w:p w14:paraId="508ACFD5">
            <w:pPr>
              <w:autoSpaceDE w:val="0"/>
              <w:autoSpaceDN w:val="0"/>
              <w:snapToGrid w:val="0"/>
              <w:spacing w:line="360" w:lineRule="auto"/>
              <w:textAlignment w:val="bottom"/>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依次按投标报价低的优先、政策分得分高的优先、技术评分高的优先、商务评分高的优先、故障响应时间短优先的顺序确定；</w:t>
            </w:r>
          </w:p>
          <w:p w14:paraId="0F3C74B6">
            <w:pPr>
              <w:autoSpaceDE w:val="0"/>
              <w:autoSpaceDN w:val="0"/>
              <w:snapToGrid w:val="0"/>
              <w:spacing w:line="360" w:lineRule="auto"/>
              <w:textAlignment w:val="bottom"/>
              <w:rPr>
                <w:rFonts w:ascii="宋体" w:hAnsi="宋体"/>
                <w:b/>
                <w:color w:val="auto"/>
                <w:szCs w:val="21"/>
                <w:highlight w:val="none"/>
              </w:rPr>
            </w:pPr>
            <w:r>
              <w:rPr>
                <w:rFonts w:hint="eastAsia" w:ascii="宋体" w:hAnsi="宋体"/>
                <w:color w:val="auto"/>
                <w:szCs w:val="21"/>
                <w:highlight w:val="none"/>
              </w:rPr>
              <w:t>□随机抽取；</w:t>
            </w:r>
          </w:p>
        </w:tc>
      </w:tr>
      <w:tr w14:paraId="59A1C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114A60D6">
            <w:pPr>
              <w:spacing w:line="360" w:lineRule="auto"/>
              <w:jc w:val="center"/>
              <w:rPr>
                <w:rFonts w:ascii="宋体" w:hAnsi="宋体"/>
                <w:color w:val="auto"/>
                <w:szCs w:val="21"/>
                <w:highlight w:val="none"/>
              </w:rPr>
            </w:pPr>
            <w:bookmarkStart w:id="69" w:name="_39.1"/>
            <w:bookmarkEnd w:id="69"/>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7BA04CE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208CE706">
            <w:pPr>
              <w:autoSpaceDE w:val="0"/>
              <w:autoSpaceDN w:val="0"/>
              <w:snapToGrid w:val="0"/>
              <w:spacing w:line="360" w:lineRule="auto"/>
              <w:textAlignment w:val="bottom"/>
              <w:rPr>
                <w:rFonts w:ascii="宋体" w:hAnsi="宋体"/>
                <w:color w:val="auto"/>
                <w:szCs w:val="21"/>
                <w:highlight w:val="none"/>
              </w:rPr>
            </w:pPr>
            <w:r>
              <w:rPr>
                <w:rFonts w:hint="eastAsia" w:ascii="Segoe UI Symbol" w:hAnsi="Segoe UI Symbol" w:cs="Segoe UI Symbol"/>
                <w:color w:val="auto"/>
                <w:szCs w:val="21"/>
                <w:highlight w:val="none"/>
                <w:lang w:eastAsia="zh-CN"/>
              </w:rPr>
              <w:t>□</w:t>
            </w:r>
            <w:r>
              <w:rPr>
                <w:rFonts w:hint="eastAsia" w:ascii="宋体" w:hAnsi="宋体"/>
                <w:color w:val="auto"/>
                <w:szCs w:val="21"/>
                <w:highlight w:val="none"/>
              </w:rPr>
              <w:t>本项目收取履约保证金，具体规定如下：</w:t>
            </w:r>
          </w:p>
          <w:p w14:paraId="1A9B8DD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履约保证金金额：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w:t>
            </w:r>
            <w:r>
              <w:rPr>
                <w:rFonts w:hint="eastAsia" w:ascii="宋体" w:hAnsi="宋体"/>
                <w:color w:val="auto"/>
                <w:szCs w:val="21"/>
                <w:highlight w:val="none"/>
              </w:rPr>
              <w:t>。</w:t>
            </w:r>
          </w:p>
          <w:p w14:paraId="3D53FA4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w:t>
            </w:r>
          </w:p>
          <w:p w14:paraId="76940FD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履约保证金指定账户：</w:t>
            </w:r>
          </w:p>
          <w:p w14:paraId="7F395D5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0D5165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开户名称：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189E51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613A452">
            <w:pP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69DDF6EB">
            <w:pPr>
              <w:spacing w:line="360" w:lineRule="auto"/>
              <w:ind w:firstLine="422"/>
              <w:jc w:val="left"/>
              <w:rPr>
                <w:rFonts w:ascii="宋体" w:hAnsi="宋体"/>
                <w:b/>
                <w:color w:val="auto"/>
                <w:szCs w:val="21"/>
                <w:highlight w:val="none"/>
              </w:rPr>
            </w:pPr>
            <w:bookmarkStart w:id="70" w:name="_Hlk54170335"/>
            <w:r>
              <w:rPr>
                <w:rFonts w:hint="eastAsia" w:ascii="宋体" w:hAnsi="宋体"/>
                <w:b/>
                <w:color w:val="auto"/>
                <w:szCs w:val="21"/>
                <w:highlight w:val="none"/>
              </w:rPr>
              <w:t>1.根据</w:t>
            </w:r>
            <w:bookmarkEnd w:id="70"/>
            <w:r>
              <w:rPr>
                <w:rFonts w:hint="eastAsia" w:ascii="宋体" w:hAnsi="宋体"/>
                <w:b/>
                <w:color w:val="auto"/>
                <w:szCs w:val="21"/>
                <w:highlight w:val="none"/>
              </w:rPr>
              <w:t>《广西壮族自治区财政厅关于持续优化政府采购营商环境推动高质量发展的通知》（桂财采〔2024〕55号）</w:t>
            </w:r>
            <w:r>
              <w:rPr>
                <w:rFonts w:hint="eastAsia" w:ascii="宋体" w:hAnsi="宋体"/>
                <w:b/>
                <w:color w:val="auto"/>
                <w:szCs w:val="21"/>
                <w:highlight w:val="none"/>
                <w:lang w:val="en-US" w:eastAsia="zh-CN"/>
              </w:rPr>
              <w:t>的</w:t>
            </w:r>
            <w:r>
              <w:rPr>
                <w:rFonts w:hint="eastAsia" w:ascii="宋体" w:hAnsi="宋体"/>
                <w:b/>
                <w:color w:val="auto"/>
                <w:szCs w:val="21"/>
                <w:highlight w:val="none"/>
              </w:rPr>
              <w:t>规定，履约保证金数额不得超过政府采购合同金额的5%，对中小企业收取的履约保证金数额不得超过政府采购合同金额的2%。预算单位（采购人）可根据供应商的资信等情况减免履约保证金。</w:t>
            </w:r>
          </w:p>
          <w:p w14:paraId="3614A225">
            <w:pPr>
              <w:spacing w:line="360" w:lineRule="auto"/>
              <w:ind w:firstLine="422"/>
              <w:jc w:val="left"/>
              <w:rPr>
                <w:rFonts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A7A716E">
            <w:pPr>
              <w:spacing w:line="360" w:lineRule="auto"/>
              <w:ind w:firstLine="422"/>
              <w:jc w:val="left"/>
              <w:rPr>
                <w:rFonts w:ascii="宋体" w:hAnsi="宋体"/>
                <w:b/>
                <w:color w:val="auto"/>
                <w:szCs w:val="21"/>
                <w:highlight w:val="none"/>
              </w:rPr>
            </w:pPr>
            <w:r>
              <w:rPr>
                <w:rFonts w:ascii="宋体" w:hAnsi="宋体"/>
                <w:b/>
                <w:color w:val="auto"/>
                <w:szCs w:val="21"/>
                <w:highlight w:val="none"/>
              </w:rPr>
              <w:t>3.采用银行、保险机构出具的保函的，必须为无条件保函，否则不予签订合同。</w:t>
            </w:r>
          </w:p>
          <w:p w14:paraId="59C55A49">
            <w:pPr>
              <w:spacing w:line="360" w:lineRule="auto"/>
              <w:ind w:firstLine="422"/>
              <w:jc w:val="left"/>
              <w:rPr>
                <w:rFonts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0216C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0296194">
            <w:pPr>
              <w:spacing w:line="360" w:lineRule="auto"/>
              <w:jc w:val="center"/>
              <w:rPr>
                <w:rFonts w:ascii="宋体" w:hAnsi="宋体"/>
                <w:color w:val="auto"/>
                <w:szCs w:val="21"/>
                <w:highlight w:val="none"/>
              </w:rPr>
            </w:pPr>
            <w:bookmarkStart w:id="71" w:name="_40.1"/>
            <w:bookmarkEnd w:id="71"/>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1B6E525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785E51E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0705A5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9FE8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AC956F9">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vAlign w:val="center"/>
          </w:tcPr>
          <w:p w14:paraId="4207419F">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64969B09">
            <w:pPr>
              <w:snapToGrid w:val="0"/>
              <w:spacing w:line="360" w:lineRule="auto"/>
              <w:rPr>
                <w:rFonts w:ascii="宋体" w:hAnsi="宋体"/>
                <w:color w:val="auto"/>
                <w:szCs w:val="21"/>
                <w:highlight w:val="none"/>
              </w:rPr>
            </w:pPr>
            <w:r>
              <w:rPr>
                <w:rFonts w:hint="eastAsia" w:ascii="宋体" w:hAnsi="宋体"/>
                <w:color w:val="auto"/>
                <w:szCs w:val="21"/>
                <w:highlight w:val="none"/>
              </w:rPr>
              <w:t>质疑联系部 门及联系方式：</w:t>
            </w:r>
            <w:r>
              <w:rPr>
                <w:rFonts w:hint="eastAsia" w:ascii="宋体" w:hAnsi="宋体"/>
                <w:color w:val="auto"/>
                <w:szCs w:val="21"/>
                <w:highlight w:val="none"/>
                <w:u w:val="single"/>
              </w:rPr>
              <w:t>云之龙咨询集团有限公司，联系电话：0774-3859935，通讯地址：（梧州市新兴三路30号神冠豪都B栋1单元1008号房）</w:t>
            </w:r>
          </w:p>
          <w:p w14:paraId="018A281C">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1F358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34121B3">
            <w:pPr>
              <w:spacing w:line="360" w:lineRule="auto"/>
              <w:jc w:val="center"/>
              <w:rPr>
                <w:rFonts w:ascii="宋体" w:hAnsi="宋体"/>
                <w:color w:val="auto"/>
                <w:szCs w:val="21"/>
                <w:highlight w:val="none"/>
              </w:rPr>
            </w:pPr>
            <w:bookmarkStart w:id="72" w:name="_41"/>
            <w:bookmarkEnd w:id="72"/>
            <w:bookmarkStart w:id="73" w:name="_42"/>
            <w:bookmarkEnd w:id="73"/>
            <w:bookmarkStart w:id="74" w:name="_Hlt17709148"/>
            <w:r>
              <w:rPr>
                <w:rFonts w:hint="eastAsia" w:ascii="宋体" w:hAnsi="宋体"/>
                <w:color w:val="auto"/>
                <w:szCs w:val="21"/>
                <w:highlight w:val="none"/>
              </w:rPr>
              <w:t>3</w:t>
            </w:r>
            <w:bookmarkEnd w:id="74"/>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vAlign w:val="center"/>
          </w:tcPr>
          <w:p w14:paraId="2D9297D4">
            <w:pPr>
              <w:pStyle w:val="23"/>
              <w:snapToGrid w:val="0"/>
              <w:spacing w:line="360" w:lineRule="auto"/>
              <w:rPr>
                <w:rFonts w:hAnsi="宋体" w:cs="宋体"/>
                <w:color w:val="auto"/>
                <w:sz w:val="21"/>
                <w:highlight w:val="none"/>
              </w:rPr>
            </w:pPr>
            <w:r>
              <w:rPr>
                <w:rFonts w:hint="eastAsia" w:hAnsi="宋体" w:cs="宋体"/>
                <w:color w:val="auto"/>
                <w:sz w:val="21"/>
                <w:highlight w:val="none"/>
              </w:rPr>
              <w:t>1.代理服务费支付方式：</w:t>
            </w:r>
          </w:p>
          <w:p w14:paraId="2F04EF97">
            <w:pPr>
              <w:pStyle w:val="23"/>
              <w:snapToGrid w:val="0"/>
              <w:spacing w:line="360" w:lineRule="auto"/>
              <w:rPr>
                <w:rFonts w:hAnsi="宋体" w:cs="宋体"/>
                <w:color w:val="auto"/>
                <w:sz w:val="21"/>
                <w:highlight w:val="none"/>
              </w:rPr>
            </w:pPr>
            <w:r>
              <w:rPr>
                <w:rFonts w:ascii="Segoe UI Symbol" w:hAnsi="Segoe UI Symbol" w:cs="Segoe UI Symbol"/>
                <w:color w:val="auto"/>
                <w:sz w:val="21"/>
                <w:highlight w:val="none"/>
              </w:rPr>
              <w:t>☑</w:t>
            </w:r>
            <w:r>
              <w:rPr>
                <w:rFonts w:hint="eastAsia" w:hAnsi="宋体" w:cs="宋体"/>
                <w:color w:val="auto"/>
                <w:sz w:val="21"/>
                <w:highlight w:val="none"/>
              </w:rPr>
              <w:t>本项目代理服务费由</w:t>
            </w:r>
            <w:r>
              <w:rPr>
                <w:rFonts w:hint="eastAsia" w:hAnsi="宋体" w:cs="宋体"/>
                <w:color w:val="auto"/>
                <w:sz w:val="21"/>
                <w:highlight w:val="none"/>
                <w:u w:val="none"/>
              </w:rPr>
              <w:t>中标供应商</w:t>
            </w:r>
            <w:r>
              <w:rPr>
                <w:rFonts w:hint="eastAsia" w:hAnsi="宋体" w:cs="宋体"/>
                <w:color w:val="auto"/>
                <w:sz w:val="21"/>
                <w:highlight w:val="none"/>
                <w:u w:val="none"/>
                <w:lang w:val="en-US" w:eastAsia="zh-CN"/>
              </w:rPr>
              <w:t>在发布中标结果公告之日起5日内</w:t>
            </w:r>
            <w:r>
              <w:rPr>
                <w:rFonts w:hint="eastAsia" w:hAnsi="宋体" w:cs="宋体"/>
                <w:color w:val="auto"/>
                <w:sz w:val="21"/>
                <w:highlight w:val="none"/>
              </w:rPr>
              <w:t>一次性向采购代理机构支付。</w:t>
            </w:r>
          </w:p>
          <w:p w14:paraId="2929EDB2">
            <w:pPr>
              <w:pStyle w:val="23"/>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046CC1A0">
            <w:pPr>
              <w:pStyle w:val="23"/>
              <w:snapToGrid w:val="0"/>
              <w:spacing w:line="360" w:lineRule="auto"/>
              <w:rPr>
                <w:rFonts w:hAnsi="宋体" w:cs="宋体"/>
                <w:color w:val="auto"/>
                <w:sz w:val="21"/>
                <w:highlight w:val="none"/>
              </w:rPr>
            </w:pPr>
            <w:r>
              <w:rPr>
                <w:rFonts w:hint="eastAsia" w:hAnsi="宋体" w:cs="宋体"/>
                <w:color w:val="auto"/>
                <w:sz w:val="21"/>
                <w:highlight w:val="none"/>
              </w:rPr>
              <w:t>2.代理服务费收取标准：</w:t>
            </w:r>
          </w:p>
          <w:p w14:paraId="7BE2EBB2">
            <w:pPr>
              <w:pStyle w:val="23"/>
              <w:snapToGrid w:val="0"/>
              <w:spacing w:line="360" w:lineRule="auto"/>
              <w:rPr>
                <w:rFonts w:hAnsi="宋体" w:cs="宋体"/>
                <w:color w:val="auto"/>
                <w:sz w:val="21"/>
                <w:highlight w:val="none"/>
              </w:rPr>
            </w:pPr>
            <w:r>
              <w:rPr>
                <w:rFonts w:hint="eastAsia" w:ascii="Segoe UI Symbol" w:hAnsi="Segoe UI Symbol" w:cs="Segoe UI Symbol"/>
                <w:color w:val="auto"/>
                <w:sz w:val="21"/>
                <w:highlight w:val="none"/>
                <w:lang w:eastAsia="zh-CN"/>
              </w:rPr>
              <w:t>□</w:t>
            </w:r>
            <w:r>
              <w:rPr>
                <w:rFonts w:hint="eastAsia" w:hAnsi="宋体" w:cs="宋体"/>
                <w:color w:val="auto"/>
                <w:sz w:val="21"/>
                <w:highlight w:val="none"/>
              </w:rPr>
              <w:t>以分标（</w:t>
            </w:r>
            <w:r>
              <w:rPr>
                <w:rFonts w:hint="eastAsia" w:hAnsi="宋体" w:cs="宋体"/>
                <w:color w:val="auto"/>
                <w:sz w:val="21"/>
                <w:highlight w:val="none"/>
                <w:lang w:eastAsia="zh-CN"/>
              </w:rPr>
              <w:t>□</w:t>
            </w:r>
            <w:r>
              <w:rPr>
                <w:rFonts w:hint="eastAsia" w:hAnsi="宋体" w:cs="宋体"/>
                <w:color w:val="auto"/>
                <w:sz w:val="21"/>
                <w:highlight w:val="none"/>
              </w:rPr>
              <w:t>中标金额/□采购预算/□暂定成交金额/□其他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）为计费额，按本须知正文第39.2条规定的（□货物类/☑服务类/□工程类）标准采用差额定率累进法计算出收费基准价格，采购代理收费以（□收费基准价格/</w:t>
            </w:r>
            <w:r>
              <w:rPr>
                <w:rFonts w:hint="eastAsia" w:hAnsi="宋体" w:cs="宋体"/>
                <w:color w:val="auto"/>
                <w:sz w:val="21"/>
                <w:highlight w:val="none"/>
                <w:lang w:eastAsia="zh-CN"/>
              </w:rPr>
              <w:t>□</w:t>
            </w:r>
            <w:r>
              <w:rPr>
                <w:rFonts w:hint="eastAsia" w:hAnsi="宋体" w:cs="宋体"/>
                <w:color w:val="auto"/>
                <w:sz w:val="21"/>
                <w:highlight w:val="none"/>
              </w:rPr>
              <w:t>收费基准价格下浮</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26B59E26">
            <w:pPr>
              <w:pStyle w:val="23"/>
              <w:snapToGrid w:val="0"/>
              <w:spacing w:line="360" w:lineRule="auto"/>
              <w:rPr>
                <w:rFonts w:hAnsi="宋体" w:cs="宋体"/>
                <w:color w:val="auto"/>
                <w:sz w:val="21"/>
                <w:highlight w:val="none"/>
                <w:u w:val="single"/>
              </w:rPr>
            </w:pPr>
            <w:r>
              <w:rPr>
                <w:rFonts w:hint="eastAsia" w:hAnsi="宋体" w:cs="宋体"/>
                <w:color w:val="auto"/>
                <w:sz w:val="21"/>
                <w:highlight w:val="none"/>
                <w:lang w:eastAsia="zh-CN"/>
              </w:rPr>
              <w:t>☑</w:t>
            </w:r>
            <w:r>
              <w:rPr>
                <w:rFonts w:hint="eastAsia" w:hAnsi="宋体" w:cs="宋体"/>
                <w:color w:val="auto"/>
                <w:sz w:val="21"/>
                <w:highlight w:val="none"/>
              </w:rPr>
              <w:t>固定收费</w:t>
            </w:r>
            <w:r>
              <w:rPr>
                <w:rFonts w:hint="eastAsia" w:hAnsi="宋体" w:cs="宋体"/>
                <w:color w:val="auto"/>
                <w:sz w:val="21"/>
                <w:highlight w:val="none"/>
                <w:u w:val="single"/>
              </w:rPr>
              <w:t>：</w:t>
            </w:r>
            <w:r>
              <w:rPr>
                <w:rFonts w:hint="eastAsia" w:hAnsi="宋体" w:cs="宋体"/>
                <w:color w:val="auto"/>
                <w:sz w:val="21"/>
                <w:highlight w:val="none"/>
                <w:u w:val="single"/>
                <w:lang w:val="en-US" w:eastAsia="zh-CN"/>
              </w:rPr>
              <w:t>143600.00</w:t>
            </w:r>
            <w:r>
              <w:rPr>
                <w:rFonts w:hint="eastAsia" w:hAnsi="宋体" w:cs="宋体"/>
                <w:color w:val="auto"/>
                <w:sz w:val="21"/>
                <w:highlight w:val="none"/>
                <w:u w:val="single"/>
              </w:rPr>
              <w:t>。</w:t>
            </w:r>
          </w:p>
          <w:p w14:paraId="3A4ACF2F">
            <w:pPr>
              <w:pStyle w:val="23"/>
              <w:snapToGrid w:val="0"/>
              <w:spacing w:line="360" w:lineRule="auto"/>
              <w:rPr>
                <w:rFonts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w:t>
            </w:r>
            <w:r>
              <w:rPr>
                <w:rFonts w:hint="eastAsia" w:hAnsi="宋体" w:cs="宋体"/>
                <w:color w:val="auto"/>
                <w:sz w:val="21"/>
                <w:highlight w:val="none"/>
              </w:rPr>
              <w:t>账户名称：云之龙咨询集团有限公司梧州分公司</w:t>
            </w:r>
          </w:p>
          <w:p w14:paraId="3A2E96B1">
            <w:pPr>
              <w:pStyle w:val="23"/>
              <w:snapToGrid w:val="0"/>
              <w:spacing w:line="360" w:lineRule="auto"/>
              <w:rPr>
                <w:rFonts w:hAnsi="宋体" w:cs="宋体"/>
                <w:color w:val="auto"/>
                <w:sz w:val="21"/>
                <w:highlight w:val="none"/>
              </w:rPr>
            </w:pPr>
            <w:r>
              <w:rPr>
                <w:rFonts w:hint="eastAsia" w:hAnsi="宋体" w:cs="宋体"/>
                <w:color w:val="auto"/>
                <w:sz w:val="21"/>
                <w:highlight w:val="none"/>
              </w:rPr>
              <w:t>账号：8113001014500158361</w:t>
            </w:r>
          </w:p>
          <w:p w14:paraId="021A6517">
            <w:pPr>
              <w:pStyle w:val="23"/>
              <w:snapToGrid w:val="0"/>
              <w:spacing w:line="360" w:lineRule="auto"/>
              <w:rPr>
                <w:rFonts w:hAnsi="宋体" w:cs="宋体"/>
                <w:color w:val="auto"/>
                <w:sz w:val="21"/>
                <w:highlight w:val="none"/>
              </w:rPr>
            </w:pPr>
            <w:r>
              <w:rPr>
                <w:rFonts w:hint="eastAsia" w:hAnsi="宋体" w:cs="宋体"/>
                <w:color w:val="auto"/>
                <w:sz w:val="21"/>
                <w:highlight w:val="none"/>
              </w:rPr>
              <w:t>开户行：中信银行南宁东葛支行</w:t>
            </w:r>
          </w:p>
        </w:tc>
      </w:tr>
      <w:tr w14:paraId="363BD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C2D8A64">
            <w:pPr>
              <w:snapToGrid w:val="0"/>
              <w:spacing w:line="360" w:lineRule="auto"/>
              <w:jc w:val="center"/>
              <w:rPr>
                <w:rFonts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6B1E5795">
            <w:pPr>
              <w:snapToGrid w:val="0"/>
              <w:spacing w:line="360" w:lineRule="auto"/>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0C5E7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874AC1B">
            <w:pPr>
              <w:snapToGrid w:val="0"/>
              <w:spacing w:line="360" w:lineRule="auto"/>
              <w:jc w:val="center"/>
              <w:rPr>
                <w:rFonts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1A7C3FE7">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160A3A2">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044E96BB">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A875DA7">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3CBF4FBE">
            <w:pPr>
              <w:spacing w:line="360" w:lineRule="auto"/>
              <w:jc w:val="left"/>
              <w:rPr>
                <w:rFonts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748EE79D">
      <w:pPr>
        <w:snapToGrid w:val="0"/>
        <w:ind w:firstLine="480"/>
        <w:rPr>
          <w:rFonts w:ascii="宋体" w:hAnsi="宋体"/>
          <w:color w:val="auto"/>
          <w:sz w:val="24"/>
          <w:szCs w:val="20"/>
          <w:highlight w:val="none"/>
        </w:rPr>
      </w:pPr>
    </w:p>
    <w:p w14:paraId="061F1DCA">
      <w:pPr>
        <w:snapToGrid w:val="0"/>
        <w:ind w:firstLine="480"/>
        <w:rPr>
          <w:rFonts w:ascii="宋体" w:hAnsi="宋体"/>
          <w:color w:val="auto"/>
          <w:sz w:val="24"/>
          <w:szCs w:val="20"/>
          <w:highlight w:val="none"/>
        </w:rPr>
      </w:pPr>
    </w:p>
    <w:p w14:paraId="134837D6">
      <w:pPr>
        <w:pStyle w:val="4"/>
        <w:keepNext w:val="0"/>
        <w:keepLines w:val="0"/>
        <w:pageBreakBefore w:val="0"/>
        <w:widowControl w:val="0"/>
        <w:kinsoku/>
        <w:wordWrap/>
        <w:overflowPunct/>
        <w:topLinePunct w:val="0"/>
        <w:autoSpaceDE/>
        <w:autoSpaceDN/>
        <w:bidi w:val="0"/>
        <w:adjustRightInd/>
        <w:snapToGrid/>
        <w:spacing w:line="416" w:lineRule="auto"/>
        <w:ind w:firstLine="0"/>
        <w:jc w:val="center"/>
        <w:textAlignment w:val="auto"/>
        <w:rPr>
          <w:color w:val="auto"/>
          <w:highlight w:val="none"/>
        </w:rPr>
      </w:pPr>
      <w:r>
        <w:rPr>
          <w:color w:val="auto"/>
          <w:highlight w:val="none"/>
        </w:rPr>
        <w:br w:type="page"/>
      </w:r>
      <w:r>
        <w:rPr>
          <w:rFonts w:hint="eastAsia"/>
          <w:color w:val="auto"/>
          <w:highlight w:val="none"/>
        </w:rPr>
        <w:t>投标人须知正文</w:t>
      </w:r>
    </w:p>
    <w:p w14:paraId="1A5E7CC2">
      <w:pPr>
        <w:pStyle w:val="4"/>
        <w:keepNext w:val="0"/>
        <w:keepLines w:val="0"/>
        <w:pageBreakBefore w:val="0"/>
        <w:widowControl w:val="0"/>
        <w:kinsoku/>
        <w:wordWrap/>
        <w:overflowPunct/>
        <w:topLinePunct w:val="0"/>
        <w:autoSpaceDE/>
        <w:autoSpaceDN/>
        <w:bidi w:val="0"/>
        <w:adjustRightInd/>
        <w:snapToGrid/>
        <w:spacing w:line="416" w:lineRule="auto"/>
        <w:ind w:firstLine="0"/>
        <w:jc w:val="center"/>
        <w:textAlignment w:val="auto"/>
        <w:rPr>
          <w:color w:val="auto"/>
          <w:highlight w:val="none"/>
        </w:rPr>
      </w:pPr>
      <w:r>
        <w:rPr>
          <w:rFonts w:hint="eastAsia"/>
          <w:color w:val="auto"/>
          <w:highlight w:val="none"/>
        </w:rPr>
        <w:t>一、总  则</w:t>
      </w:r>
    </w:p>
    <w:p w14:paraId="25C7D01E">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bookmarkStart w:id="75" w:name="_Toc254970527"/>
      <w:bookmarkStart w:id="76" w:name="_Toc254970668"/>
      <w:r>
        <w:rPr>
          <w:rFonts w:hint="eastAsia" w:ascii="黑体" w:hAnsi="黑体" w:eastAsia="黑体"/>
          <w:color w:val="auto"/>
          <w:sz w:val="24"/>
          <w:highlight w:val="none"/>
        </w:rPr>
        <w:t>1.适用范围</w:t>
      </w:r>
      <w:bookmarkEnd w:id="75"/>
      <w:bookmarkEnd w:id="76"/>
    </w:p>
    <w:p w14:paraId="59E90088">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w:t>
      </w:r>
      <w:r>
        <w:rPr>
          <w:rFonts w:hint="eastAsia" w:ascii="宋体" w:hAnsi="宋体"/>
          <w:color w:val="auto"/>
          <w:szCs w:val="21"/>
          <w:highlight w:val="none"/>
          <w:lang w:val="en-US" w:eastAsia="zh-CN"/>
        </w:rPr>
        <w:t>对</w:t>
      </w:r>
      <w:r>
        <w:rPr>
          <w:rFonts w:hint="eastAsia" w:ascii="宋体" w:hAnsi="宋体"/>
          <w:color w:val="auto"/>
          <w:szCs w:val="21"/>
          <w:highlight w:val="none"/>
        </w:rPr>
        <w:t>政府采购有关规定的约束和保护。</w:t>
      </w:r>
    </w:p>
    <w:p w14:paraId="469C0FE6">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AA6C873">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bookmarkStart w:id="77" w:name="_Toc254970669"/>
      <w:bookmarkStart w:id="78" w:name="_Toc254970528"/>
      <w:r>
        <w:rPr>
          <w:rFonts w:hint="eastAsia" w:ascii="黑体" w:hAnsi="黑体" w:eastAsia="黑体"/>
          <w:color w:val="auto"/>
          <w:sz w:val="24"/>
          <w:highlight w:val="none"/>
        </w:rPr>
        <w:t>2.定义</w:t>
      </w:r>
      <w:bookmarkEnd w:id="77"/>
      <w:bookmarkEnd w:id="78"/>
    </w:p>
    <w:p w14:paraId="2FC44F56">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31F6DEE8">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0C17DE5D">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459D9372">
      <w:pPr>
        <w:pStyle w:val="7"/>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5E8C3499">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3CC53282">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5F57332F">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0F05285D">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3E29A004">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55F2CA4D">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79" w:name="_Toc254970529"/>
      <w:bookmarkStart w:id="80" w:name="_Toc254970670"/>
    </w:p>
    <w:p w14:paraId="1157E7CA">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3.</w:t>
      </w:r>
      <w:bookmarkEnd w:id="79"/>
      <w:bookmarkEnd w:id="80"/>
      <w:r>
        <w:rPr>
          <w:rFonts w:hint="eastAsia" w:ascii="黑体" w:hAnsi="黑体" w:eastAsia="黑体"/>
          <w:color w:val="auto"/>
          <w:sz w:val="24"/>
          <w:highlight w:val="none"/>
        </w:rPr>
        <w:t>投标人的资格要求</w:t>
      </w:r>
    </w:p>
    <w:p w14:paraId="19E8FD68">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25D7A51F">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bookmarkStart w:id="81" w:name="_Toc254970671"/>
      <w:bookmarkStart w:id="82" w:name="_Toc254970530"/>
      <w:r>
        <w:rPr>
          <w:rFonts w:hint="eastAsia" w:ascii="黑体" w:hAnsi="黑体" w:eastAsia="黑体"/>
          <w:color w:val="auto"/>
          <w:sz w:val="24"/>
          <w:highlight w:val="none"/>
        </w:rPr>
        <w:t>4.投标委托</w:t>
      </w:r>
      <w:bookmarkEnd w:id="81"/>
      <w:bookmarkEnd w:id="82"/>
    </w:p>
    <w:p w14:paraId="497CF945">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F23AC95">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bookmarkStart w:id="83" w:name="_5.投标费用"/>
      <w:bookmarkEnd w:id="83"/>
      <w:bookmarkStart w:id="84" w:name="_Toc254970531"/>
      <w:bookmarkStart w:id="85" w:name="_Toc254970672"/>
      <w:r>
        <w:rPr>
          <w:rFonts w:hint="eastAsia" w:ascii="黑体" w:hAnsi="黑体" w:eastAsia="黑体"/>
          <w:color w:val="auto"/>
          <w:sz w:val="24"/>
          <w:highlight w:val="none"/>
        </w:rPr>
        <w:t>5.投标费用</w:t>
      </w:r>
      <w:bookmarkEnd w:id="84"/>
      <w:bookmarkEnd w:id="85"/>
    </w:p>
    <w:p w14:paraId="03266C9E">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5FBEFEA">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6.联合体投标</w:t>
      </w:r>
    </w:p>
    <w:p w14:paraId="3D005D78">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13007076">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22D1222">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bCs/>
          <w:color w:val="auto"/>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17C7B0C3">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7.转包与分包</w:t>
      </w:r>
    </w:p>
    <w:p w14:paraId="6204A823">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bookmarkStart w:id="86" w:name="_Toc254970673"/>
      <w:bookmarkStart w:id="87" w:name="_Toc254970532"/>
      <w:r>
        <w:rPr>
          <w:rFonts w:hint="eastAsia" w:ascii="宋体" w:hAnsi="宋体"/>
          <w:b w:val="0"/>
          <w:color w:val="auto"/>
          <w:sz w:val="21"/>
          <w:szCs w:val="21"/>
          <w:highlight w:val="none"/>
        </w:rPr>
        <w:t>7.1本项目不允许转包。</w:t>
      </w:r>
    </w:p>
    <w:p w14:paraId="2ACA7225">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FED8BBD">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0E0E3EFC">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8.特别说明</w:t>
      </w:r>
      <w:bookmarkEnd w:id="86"/>
      <w:bookmarkEnd w:id="87"/>
    </w:p>
    <w:p w14:paraId="01745C96">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w:t>
      </w:r>
    </w:p>
    <w:p w14:paraId="6A17416C">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4339221F">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049989FB">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0E1E556">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产品在中国境内生产的组件成本占比应当达到规定比例，计算公式为：</w:t>
      </w:r>
    </w:p>
    <w:p w14:paraId="48126759">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fldChar w:fldCharType="begin"/>
      </w:r>
      <w:r>
        <w:rPr>
          <w:rFonts w:hint="eastAsia" w:ascii="宋体" w:hAnsi="宋体"/>
          <w:b w:val="0"/>
          <w:color w:val="auto"/>
          <w:sz w:val="21"/>
          <w:szCs w:val="21"/>
          <w:highlight w:val="none"/>
        </w:rPr>
        <w:instrText xml:space="preserve"> INCLUDEPICTURE "https://www.gov.cn/zhengce/content/202509/W020250930645245947614.png" \* MERGEFORMATINET </w:instrText>
      </w:r>
      <w:r>
        <w:rPr>
          <w:rFonts w:hint="eastAsia" w:ascii="宋体" w:hAnsi="宋体"/>
          <w:b w:val="0"/>
          <w:color w:val="auto"/>
          <w:sz w:val="21"/>
          <w:szCs w:val="21"/>
          <w:highlight w:val="none"/>
        </w:rPr>
        <w:fldChar w:fldCharType="separate"/>
      </w:r>
      <w:r>
        <w:rPr>
          <w:rFonts w:hint="eastAsia" w:ascii="宋体" w:hAnsi="宋体"/>
          <w:b w:val="0"/>
          <w:color w:val="auto"/>
          <w:sz w:val="21"/>
          <w:szCs w:val="21"/>
          <w:highlight w:val="none"/>
        </w:rPr>
        <w:drawing>
          <wp:inline distT="0" distB="0" distL="114300" distR="114300">
            <wp:extent cx="4827905" cy="762635"/>
            <wp:effectExtent l="0" t="0" r="3175" b="1460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20" r:link="rId21"/>
                    <a:stretch>
                      <a:fillRect/>
                    </a:stretch>
                  </pic:blipFill>
                  <pic:spPr>
                    <a:xfrm>
                      <a:off x="0" y="0"/>
                      <a:ext cx="4827905" cy="762635"/>
                    </a:xfrm>
                    <a:prstGeom prst="rect">
                      <a:avLst/>
                    </a:prstGeom>
                    <a:noFill/>
                    <a:ln>
                      <a:noFill/>
                    </a:ln>
                  </pic:spPr>
                </pic:pic>
              </a:graphicData>
            </a:graphic>
          </wp:inline>
        </w:drawing>
      </w:r>
      <w:r>
        <w:rPr>
          <w:rFonts w:hint="eastAsia" w:ascii="宋体" w:hAnsi="宋体"/>
          <w:b w:val="0"/>
          <w:color w:val="auto"/>
          <w:sz w:val="21"/>
          <w:szCs w:val="21"/>
          <w:highlight w:val="none"/>
        </w:rPr>
        <w:fldChar w:fldCharType="end"/>
      </w:r>
    </w:p>
    <w:p w14:paraId="416B830A">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893F07F">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政府采购活动中既有本国产品又有非本国产品参与竞争的，依法对本国产品给予价格评审优惠，对本国产品的报价给予20%的价格扣除，用扣除后的价格参与评审。</w:t>
      </w:r>
    </w:p>
    <w:p w14:paraId="3B43B2CD">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888B36">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1049F04">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51409958">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7699A105">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63893F26">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3FE36BAB">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088756FB">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377542CC">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2D7D0123">
      <w:pPr>
        <w:pStyle w:val="6"/>
        <w:keepNext w:val="0"/>
        <w:keepLines w:val="0"/>
        <w:pageBreakBefore w:val="0"/>
        <w:widowControl w:val="0"/>
        <w:kinsoku/>
        <w:wordWrap/>
        <w:overflowPunct/>
        <w:topLinePunct w:val="0"/>
        <w:autoSpaceDE/>
        <w:autoSpaceDN/>
        <w:bidi w:val="0"/>
        <w:spacing w:before="0" w:after="0" w:line="360" w:lineRule="auto"/>
        <w:ind w:left="0" w:leftChars="0" w:firstLine="422" w:firstLineChars="200"/>
        <w:textAlignment w:val="auto"/>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66547251">
      <w:pPr>
        <w:pStyle w:val="23"/>
        <w:keepNext w:val="0"/>
        <w:keepLines w:val="0"/>
        <w:pageBreakBefore w:val="0"/>
        <w:widowControl w:val="0"/>
        <w:kinsoku/>
        <w:wordWrap/>
        <w:overflowPunct/>
        <w:topLinePunct w:val="0"/>
        <w:autoSpaceDE/>
        <w:autoSpaceDN/>
        <w:bidi w:val="0"/>
        <w:snapToGrid w:val="0"/>
        <w:spacing w:line="360" w:lineRule="auto"/>
        <w:ind w:left="0" w:leftChars="0" w:firstLine="422" w:firstLineChars="200"/>
        <w:textAlignment w:val="auto"/>
        <w:rPr>
          <w:rFonts w:hint="eastAsia" w:hAnsi="宋体" w:eastAsia="宋体"/>
          <w:b/>
          <w:color w:val="auto"/>
          <w:kern w:val="2"/>
          <w:sz w:val="21"/>
          <w:highlight w:val="none"/>
          <w:lang w:eastAsia="zh-CN"/>
        </w:rPr>
      </w:pPr>
      <w:r>
        <w:rPr>
          <w:rFonts w:hint="eastAsia" w:hAnsi="宋体"/>
          <w:b/>
          <w:color w:val="auto"/>
          <w:kern w:val="2"/>
          <w:sz w:val="21"/>
          <w:highlight w:val="none"/>
        </w:rPr>
        <w:t>（1）不同投标人的投标文件由同一单位或者个人编制，或不同投标人报名的IP地址一致的；或不同投标人投标设备信息（包括但不限于：IP地址、MAC地址、硬盘号、CPU号、主板号）一致的；</w:t>
      </w:r>
    </w:p>
    <w:p w14:paraId="232F430C">
      <w:pPr>
        <w:pStyle w:val="23"/>
        <w:keepNext w:val="0"/>
        <w:keepLines w:val="0"/>
        <w:pageBreakBefore w:val="0"/>
        <w:widowControl w:val="0"/>
        <w:kinsoku/>
        <w:wordWrap/>
        <w:overflowPunct/>
        <w:topLinePunct w:val="0"/>
        <w:autoSpaceDE/>
        <w:autoSpaceDN/>
        <w:bidi w:val="0"/>
        <w:snapToGrid w:val="0"/>
        <w:spacing w:line="360" w:lineRule="auto"/>
        <w:ind w:left="0" w:leftChars="0" w:firstLine="422" w:firstLineChars="200"/>
        <w:textAlignment w:val="auto"/>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70CB02B3">
      <w:pPr>
        <w:pStyle w:val="23"/>
        <w:keepNext w:val="0"/>
        <w:keepLines w:val="0"/>
        <w:pageBreakBefore w:val="0"/>
        <w:widowControl w:val="0"/>
        <w:kinsoku/>
        <w:wordWrap/>
        <w:overflowPunct/>
        <w:topLinePunct w:val="0"/>
        <w:autoSpaceDE/>
        <w:autoSpaceDN/>
        <w:bidi w:val="0"/>
        <w:snapToGrid w:val="0"/>
        <w:spacing w:line="360" w:lineRule="auto"/>
        <w:ind w:left="0" w:leftChars="0" w:firstLine="422" w:firstLineChars="200"/>
        <w:textAlignment w:val="auto"/>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49BB22C2">
      <w:pPr>
        <w:pStyle w:val="23"/>
        <w:keepNext w:val="0"/>
        <w:keepLines w:val="0"/>
        <w:pageBreakBefore w:val="0"/>
        <w:widowControl w:val="0"/>
        <w:kinsoku/>
        <w:wordWrap/>
        <w:overflowPunct/>
        <w:topLinePunct w:val="0"/>
        <w:autoSpaceDE/>
        <w:autoSpaceDN/>
        <w:bidi w:val="0"/>
        <w:snapToGrid w:val="0"/>
        <w:spacing w:line="360" w:lineRule="auto"/>
        <w:ind w:left="0" w:leftChars="0" w:firstLine="422" w:firstLineChars="200"/>
        <w:textAlignment w:val="auto"/>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57CDD34E">
      <w:pPr>
        <w:pStyle w:val="23"/>
        <w:keepNext w:val="0"/>
        <w:keepLines w:val="0"/>
        <w:pageBreakBefore w:val="0"/>
        <w:widowControl w:val="0"/>
        <w:kinsoku/>
        <w:wordWrap/>
        <w:overflowPunct/>
        <w:topLinePunct w:val="0"/>
        <w:autoSpaceDE/>
        <w:autoSpaceDN/>
        <w:bidi w:val="0"/>
        <w:snapToGrid w:val="0"/>
        <w:spacing w:line="360" w:lineRule="auto"/>
        <w:ind w:left="0" w:leftChars="0" w:firstLine="422" w:firstLineChars="200"/>
        <w:textAlignment w:val="auto"/>
        <w:rPr>
          <w:rFonts w:hAnsi="宋体"/>
          <w:b/>
          <w:color w:val="auto"/>
          <w:kern w:val="2"/>
          <w:sz w:val="21"/>
          <w:highlight w:val="none"/>
        </w:rPr>
      </w:pPr>
      <w:r>
        <w:rPr>
          <w:rFonts w:hint="eastAsia" w:hAnsi="宋体"/>
          <w:b/>
          <w:color w:val="auto"/>
          <w:kern w:val="2"/>
          <w:sz w:val="21"/>
          <w:highlight w:val="none"/>
        </w:rPr>
        <w:t>（5）不同投标人的投标文件相互混装；</w:t>
      </w:r>
    </w:p>
    <w:p w14:paraId="4A66F57A">
      <w:pPr>
        <w:pStyle w:val="23"/>
        <w:keepNext w:val="0"/>
        <w:keepLines w:val="0"/>
        <w:pageBreakBefore w:val="0"/>
        <w:widowControl w:val="0"/>
        <w:kinsoku/>
        <w:wordWrap/>
        <w:overflowPunct/>
        <w:topLinePunct w:val="0"/>
        <w:autoSpaceDE/>
        <w:autoSpaceDN/>
        <w:bidi w:val="0"/>
        <w:snapToGrid w:val="0"/>
        <w:spacing w:line="360" w:lineRule="auto"/>
        <w:ind w:left="0" w:leftChars="0" w:firstLine="422" w:firstLineChars="200"/>
        <w:textAlignment w:val="auto"/>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0314BEE5">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6C16F6D1">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0679FB44">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7A58454C">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57E03C37">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35B48ABE">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4F50A7A4">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0E5C209F">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00852BFE">
      <w:pPr>
        <w:pStyle w:val="23"/>
        <w:keepNext w:val="0"/>
        <w:keepLines w:val="0"/>
        <w:pageBreakBefore w:val="0"/>
        <w:widowControl w:val="0"/>
        <w:kinsoku/>
        <w:wordWrap/>
        <w:overflowPunct/>
        <w:topLinePunct w:val="0"/>
        <w:autoSpaceDE/>
        <w:autoSpaceDN/>
        <w:bidi w:val="0"/>
        <w:snapToGrid w:val="0"/>
        <w:spacing w:line="360" w:lineRule="auto"/>
        <w:ind w:left="0" w:leftChars="0" w:firstLine="422" w:firstLineChars="200"/>
        <w:textAlignment w:val="auto"/>
        <w:rPr>
          <w:rFonts w:hAnsi="宋体"/>
          <w:b/>
          <w:color w:val="auto"/>
          <w:kern w:val="2"/>
          <w:sz w:val="21"/>
          <w:highlight w:val="none"/>
        </w:rPr>
      </w:pPr>
    </w:p>
    <w:p w14:paraId="787ECCB5">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color w:val="auto"/>
          <w:highlight w:val="none"/>
        </w:rPr>
      </w:pPr>
      <w:bookmarkStart w:id="88" w:name="_Toc254970675"/>
      <w:bookmarkStart w:id="89" w:name="_Toc254970534"/>
      <w:r>
        <w:rPr>
          <w:rFonts w:hint="eastAsia"/>
          <w:color w:val="auto"/>
          <w:highlight w:val="none"/>
        </w:rPr>
        <w:t>二、招标文件</w:t>
      </w:r>
      <w:bookmarkEnd w:id="88"/>
      <w:bookmarkEnd w:id="89"/>
    </w:p>
    <w:p w14:paraId="30644543">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04658A48">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（1）招标公告；</w:t>
      </w:r>
    </w:p>
    <w:p w14:paraId="71208701">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（2）采购需求；</w:t>
      </w:r>
    </w:p>
    <w:p w14:paraId="1EB03016">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（3）投标人须知；</w:t>
      </w:r>
    </w:p>
    <w:p w14:paraId="181E0175">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（4）评标方法及评标标准；</w:t>
      </w:r>
    </w:p>
    <w:p w14:paraId="76F1CC2A">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（5）拟签订的合同文本；</w:t>
      </w:r>
    </w:p>
    <w:p w14:paraId="7B91E673">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（6）投标文件格式。</w:t>
      </w:r>
    </w:p>
    <w:p w14:paraId="769AB0ED">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11.招标文件的澄清、修改、现场考察和答疑会</w:t>
      </w:r>
    </w:p>
    <w:p w14:paraId="5AE1E814">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FA37D6D">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9433714">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90"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0"/>
    <w:p w14:paraId="1953B33F">
      <w:pPr>
        <w:pStyle w:val="4"/>
        <w:keepNext w:val="0"/>
        <w:keepLines w:val="0"/>
        <w:pageBreakBefore w:val="0"/>
        <w:widowControl w:val="0"/>
        <w:kinsoku/>
        <w:wordWrap/>
        <w:overflowPunct/>
        <w:topLinePunct w:val="0"/>
        <w:autoSpaceDE/>
        <w:autoSpaceDN/>
        <w:bidi w:val="0"/>
        <w:spacing w:before="0" w:after="0" w:line="360" w:lineRule="auto"/>
        <w:ind w:left="0" w:leftChars="0" w:firstLine="643" w:firstLineChars="200"/>
        <w:jc w:val="center"/>
        <w:textAlignment w:val="auto"/>
        <w:rPr>
          <w:rFonts w:hint="eastAsia"/>
          <w:color w:val="auto"/>
          <w:highlight w:val="none"/>
        </w:rPr>
      </w:pPr>
      <w:bookmarkStart w:id="91" w:name="_Toc254970535"/>
      <w:bookmarkStart w:id="92" w:name="_Toc254970676"/>
    </w:p>
    <w:p w14:paraId="0BA8B0A2">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color w:val="auto"/>
          <w:highlight w:val="none"/>
        </w:rPr>
      </w:pPr>
      <w:r>
        <w:rPr>
          <w:rFonts w:hint="eastAsia"/>
          <w:color w:val="auto"/>
          <w:highlight w:val="none"/>
        </w:rPr>
        <w:t>三、投标文件的编制</w:t>
      </w:r>
      <w:bookmarkEnd w:id="91"/>
      <w:bookmarkEnd w:id="92"/>
    </w:p>
    <w:p w14:paraId="14887155">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bookmarkStart w:id="93" w:name="_Toc254970536"/>
      <w:bookmarkStart w:id="94" w:name="_Toc254970677"/>
      <w:r>
        <w:rPr>
          <w:rFonts w:hint="eastAsia" w:ascii="黑体" w:hAnsi="黑体" w:eastAsia="黑体"/>
          <w:color w:val="auto"/>
          <w:sz w:val="24"/>
          <w:highlight w:val="none"/>
        </w:rPr>
        <w:t>12.投标文件的编制原则</w:t>
      </w:r>
    </w:p>
    <w:p w14:paraId="3EC2C384">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8A7C376">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93"/>
      <w:bookmarkEnd w:id="94"/>
    </w:p>
    <w:p w14:paraId="2AB49A0F">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10D16B6A">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bookmarkStart w:id="95" w:name="_13.1报价文件:_具体材料见“投标人须知前附表”。"/>
      <w:bookmarkEnd w:id="95"/>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06FD4FB0">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bookmarkStart w:id="96" w:name="_13.2资格证明文件：具体材料见“投标人须知前附表”。"/>
      <w:bookmarkEnd w:id="96"/>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797D5BB0">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bookmarkStart w:id="97" w:name="_13.3商务文件:_具体材料见“投标人须知前附表”。"/>
      <w:bookmarkEnd w:id="97"/>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38E1C6E3">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bookmarkStart w:id="98" w:name="_13.5投标文件电子版：具体材料见“投标人须知前附表”。"/>
      <w:bookmarkEnd w:id="98"/>
      <w:bookmarkStart w:id="99" w:name="_13.4技术文件：具体材料见“投标人须知前附表”。"/>
      <w:bookmarkEnd w:id="99"/>
      <w:bookmarkStart w:id="100" w:name="_Toc254970678"/>
      <w:bookmarkStart w:id="101" w:name="_Toc254970537"/>
      <w:r>
        <w:rPr>
          <w:rFonts w:hint="eastAsia" w:ascii="黑体" w:hAnsi="黑体" w:eastAsia="黑体"/>
          <w:color w:val="auto"/>
          <w:sz w:val="24"/>
          <w:highlight w:val="none"/>
        </w:rPr>
        <w:t>14.投标文件的语言及计量</w:t>
      </w:r>
      <w:bookmarkEnd w:id="100"/>
      <w:bookmarkEnd w:id="101"/>
    </w:p>
    <w:p w14:paraId="395E986E">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14.1语言文字</w:t>
      </w:r>
    </w:p>
    <w:p w14:paraId="55C00FE6">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w:t>
      </w:r>
      <w:r>
        <w:rPr>
          <w:rFonts w:hint="eastAsia" w:ascii="宋体" w:hAnsi="宋体"/>
          <w:b w:val="0"/>
          <w:color w:val="auto"/>
          <w:sz w:val="21"/>
          <w:szCs w:val="21"/>
          <w:highlight w:val="none"/>
          <w:lang w:val="en-US" w:eastAsia="zh-CN"/>
        </w:rPr>
        <w:t>为准</w:t>
      </w:r>
      <w:r>
        <w:rPr>
          <w:rFonts w:hint="eastAsia" w:ascii="宋体" w:hAnsi="宋体"/>
          <w:b w:val="0"/>
          <w:color w:val="auto"/>
          <w:sz w:val="21"/>
          <w:szCs w:val="21"/>
          <w:highlight w:val="none"/>
        </w:rPr>
        <w:t>。对不同文字文本投标文件的解释发生异议的，以中文文本为准。</w:t>
      </w:r>
    </w:p>
    <w:p w14:paraId="1A906CED">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4A74AB2F">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6EBED1E1">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15.投标的风险</w:t>
      </w:r>
    </w:p>
    <w:p w14:paraId="3DAFC756">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2AA6ABBF">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bookmarkStart w:id="102" w:name="_Toc254970538"/>
      <w:bookmarkStart w:id="103" w:name="_Toc254970679"/>
      <w:r>
        <w:rPr>
          <w:rFonts w:hint="eastAsia" w:ascii="黑体" w:hAnsi="黑体" w:eastAsia="黑体"/>
          <w:color w:val="auto"/>
          <w:sz w:val="24"/>
          <w:highlight w:val="none"/>
        </w:rPr>
        <w:t>16.投标报价</w:t>
      </w:r>
      <w:bookmarkEnd w:id="102"/>
      <w:bookmarkEnd w:id="103"/>
    </w:p>
    <w:p w14:paraId="2522B7F6">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40FF9AC2">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bookmarkStart w:id="104" w:name="_16.2投标报价具体定义见投标人须知前附表。"/>
      <w:bookmarkEnd w:id="104"/>
      <w:r>
        <w:rPr>
          <w:rFonts w:hint="eastAsia" w:ascii="宋体" w:hAnsi="宋体"/>
          <w:b w:val="0"/>
          <w:color w:val="auto"/>
          <w:sz w:val="21"/>
          <w:szCs w:val="21"/>
          <w:highlight w:val="none"/>
        </w:rPr>
        <w:t>16.2投标报价具体包括内容详见“投标人须知前附表”。</w:t>
      </w:r>
    </w:p>
    <w:p w14:paraId="615AFC36">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70E2F379">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17.投标有效期</w:t>
      </w:r>
    </w:p>
    <w:p w14:paraId="214479AD">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bookmarkStart w:id="105" w:name="_17.1投标有效期应按“投标人须知中的前附表”规定的期限。"/>
      <w:bookmarkEnd w:id="105"/>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25FB1E11">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17.2</w:t>
      </w:r>
      <w:bookmarkStart w:id="106" w:name="_Toc254970681"/>
      <w:bookmarkStart w:id="107" w:name="_Toc254970540"/>
      <w:r>
        <w:rPr>
          <w:rFonts w:hint="eastAsia" w:ascii="宋体" w:hAnsi="宋体"/>
          <w:b w:val="0"/>
          <w:color w:val="auto"/>
          <w:sz w:val="21"/>
          <w:szCs w:val="21"/>
          <w:highlight w:val="none"/>
        </w:rPr>
        <w:t>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p>
    <w:p w14:paraId="7B805208">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6"/>
      <w:bookmarkEnd w:id="107"/>
    </w:p>
    <w:p w14:paraId="3E3D9802">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bookmarkStart w:id="108" w:name="_18.投标保证金"/>
      <w:bookmarkEnd w:id="108"/>
      <w:bookmarkStart w:id="109" w:name="_Toc254970541"/>
      <w:bookmarkStart w:id="110" w:name="_Toc254970682"/>
      <w:r>
        <w:rPr>
          <w:rFonts w:hint="eastAsia" w:ascii="黑体" w:hAnsi="黑体" w:eastAsia="黑体"/>
          <w:color w:val="auto"/>
          <w:sz w:val="24"/>
          <w:highlight w:val="none"/>
        </w:rPr>
        <w:t>18.投标保证金</w:t>
      </w:r>
      <w:bookmarkEnd w:id="109"/>
      <w:bookmarkEnd w:id="110"/>
    </w:p>
    <w:p w14:paraId="7E19F9B8">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18.1投标人须按“投标人须知前附表”的规定提交投标保证金。</w:t>
      </w:r>
    </w:p>
    <w:p w14:paraId="7827933A">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424A39D0">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未中标供应商的投标保证金自中标通知书发出之日起5个工作日内退还；中标供应商的投标保证金自政府采购合同签订之日起5个工作日内退还。</w:t>
      </w:r>
    </w:p>
    <w:p w14:paraId="700C850A">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6C4C6817">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18.4投标人有下列情形之一的，投标保证金将不予退还：</w:t>
      </w:r>
    </w:p>
    <w:p w14:paraId="37B3BAE3">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2CB5DBAE">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（2）未按规定提交履约保证金的；</w:t>
      </w:r>
    </w:p>
    <w:p w14:paraId="0BF17437">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7163384B">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（4）中标供应商无正当理由不与采购人签订合同的；</w:t>
      </w:r>
    </w:p>
    <w:p w14:paraId="3C2C875E">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ascii="宋体" w:hAnsi="宋体"/>
          <w:color w:val="auto"/>
          <w:szCs w:val="21"/>
          <w:highlight w:val="none"/>
        </w:rPr>
      </w:pPr>
      <w:bookmarkStart w:id="111" w:name="_Toc254970683"/>
      <w:bookmarkStart w:id="112" w:name="_Toc254970542"/>
      <w:r>
        <w:rPr>
          <w:rFonts w:hint="eastAsia" w:ascii="宋体" w:hAnsi="宋体"/>
          <w:color w:val="auto"/>
          <w:szCs w:val="21"/>
          <w:highlight w:val="none"/>
        </w:rPr>
        <w:t>（5）投标人出现本章第9.2、9.3情形的；</w:t>
      </w:r>
    </w:p>
    <w:p w14:paraId="36801EA0">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bookmarkEnd w:id="111"/>
    <w:bookmarkEnd w:id="112"/>
    <w:p w14:paraId="7991B526">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19.投标文件的编制</w:t>
      </w:r>
    </w:p>
    <w:p w14:paraId="167A4525">
      <w:pPr>
        <w:pStyle w:val="6"/>
        <w:keepNext w:val="0"/>
        <w:keepLines w:val="0"/>
        <w:pageBreakBefore w:val="0"/>
        <w:widowControl w:val="0"/>
        <w:numPr>
          <w:ilvl w:val="4"/>
          <w:numId w:val="10"/>
        </w:numPr>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19.1投标人应按照本项目招标文件规定的格式和顺序和广西政府采购云平台的要求编制</w:t>
      </w:r>
      <w:r>
        <w:rPr>
          <w:rFonts w:hint="eastAsia" w:ascii="宋体" w:hAnsi="宋体"/>
          <w:b w:val="0"/>
          <w:color w:val="auto"/>
          <w:sz w:val="21"/>
          <w:szCs w:val="21"/>
          <w:highlight w:val="none"/>
          <w:lang w:val="en-US" w:eastAsia="zh-CN"/>
        </w:rPr>
        <w:t>投标文件</w:t>
      </w:r>
      <w:r>
        <w:rPr>
          <w:rFonts w:hint="eastAsia" w:ascii="宋体" w:hAnsi="宋体"/>
          <w:b w:val="0"/>
          <w:color w:val="auto"/>
          <w:sz w:val="21"/>
          <w:szCs w:val="21"/>
          <w:highlight w:val="none"/>
        </w:rPr>
        <w:t>并加密。投标文件内容不完整、编排混乱导致投标文件被误读、漏读或者查找不到相关内容的，由此引发的后果由投标人承担。</w:t>
      </w:r>
    </w:p>
    <w:p w14:paraId="7036FE74">
      <w:pPr>
        <w:keepNext w:val="0"/>
        <w:keepLines w:val="0"/>
        <w:pageBreakBefore w:val="0"/>
        <w:widowControl w:val="0"/>
        <w:numPr>
          <w:ilvl w:val="4"/>
          <w:numId w:val="10"/>
        </w:numPr>
        <w:kinsoku/>
        <w:wordWrap/>
        <w:overflowPunct/>
        <w:topLinePunct w:val="0"/>
        <w:autoSpaceDE/>
        <w:autoSpaceDN/>
        <w:bidi w:val="0"/>
        <w:spacing w:line="360" w:lineRule="auto"/>
        <w:ind w:left="0" w:leftChars="0" w:firstLine="420" w:firstLineChars="200"/>
        <w:textAlignment w:val="auto"/>
        <w:outlineLvl w:val="4"/>
        <w:rPr>
          <w:rFonts w:ascii="宋体" w:hAnsi="宋体"/>
          <w:color w:val="auto"/>
          <w:szCs w:val="21"/>
          <w:highlight w:val="none"/>
        </w:rPr>
      </w:pPr>
      <w:bookmarkStart w:id="113" w:name="_19.2投标文件应按报价文件、资格证明文件、商务文件、技术文件分别编制"/>
      <w:bookmarkEnd w:id="113"/>
      <w:r>
        <w:rPr>
          <w:rFonts w:hint="eastAsia" w:ascii="宋体" w:hAnsi="宋体"/>
          <w:color w:val="auto"/>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57386851">
      <w:pPr>
        <w:keepNext w:val="0"/>
        <w:keepLines w:val="0"/>
        <w:pageBreakBefore w:val="0"/>
        <w:widowControl w:val="0"/>
        <w:numPr>
          <w:ilvl w:val="4"/>
          <w:numId w:val="10"/>
        </w:numPr>
        <w:kinsoku/>
        <w:wordWrap/>
        <w:overflowPunct/>
        <w:topLinePunct w:val="0"/>
        <w:autoSpaceDE/>
        <w:autoSpaceDN/>
        <w:bidi w:val="0"/>
        <w:spacing w:line="360" w:lineRule="auto"/>
        <w:ind w:left="0" w:leftChars="0" w:firstLine="420" w:firstLineChars="200"/>
        <w:textAlignment w:val="auto"/>
        <w:outlineLvl w:val="4"/>
        <w:rPr>
          <w:rFonts w:ascii="宋体" w:hAnsi="宋体"/>
          <w:color w:val="auto"/>
          <w:szCs w:val="21"/>
          <w:highlight w:val="none"/>
        </w:rPr>
      </w:pPr>
      <w:r>
        <w:rPr>
          <w:rFonts w:hint="eastAsia" w:ascii="宋体" w:hAnsi="宋体"/>
          <w:color w:val="auto"/>
          <w:szCs w:val="21"/>
          <w:highlight w:val="none"/>
        </w:rPr>
        <w:t>19.3投标文件须由投标人在规定位置签字（或者电子签名）、盖章（具体以投标人须知前附表或投标文件格式规定为准），</w:t>
      </w:r>
      <w:r>
        <w:rPr>
          <w:rFonts w:hint="eastAsia" w:ascii="宋体" w:hAnsi="宋体"/>
          <w:b/>
          <w:bCs/>
          <w:color w:val="auto"/>
          <w:szCs w:val="21"/>
          <w:highlight w:val="none"/>
        </w:rPr>
        <w:t>否则按无效投标处理</w:t>
      </w:r>
      <w:r>
        <w:rPr>
          <w:rFonts w:hint="eastAsia" w:ascii="宋体" w:hAnsi="宋体"/>
          <w:color w:val="auto"/>
          <w:szCs w:val="21"/>
          <w:highlight w:val="none"/>
        </w:rPr>
        <w:t>。</w:t>
      </w:r>
    </w:p>
    <w:p w14:paraId="060C07E1">
      <w:pPr>
        <w:keepNext w:val="0"/>
        <w:keepLines w:val="0"/>
        <w:pageBreakBefore w:val="0"/>
        <w:widowControl w:val="0"/>
        <w:numPr>
          <w:ilvl w:val="4"/>
          <w:numId w:val="10"/>
        </w:numPr>
        <w:kinsoku/>
        <w:wordWrap/>
        <w:overflowPunct/>
        <w:topLinePunct w:val="0"/>
        <w:autoSpaceDE/>
        <w:autoSpaceDN/>
        <w:bidi w:val="0"/>
        <w:spacing w:line="360" w:lineRule="auto"/>
        <w:ind w:left="0" w:leftChars="0" w:firstLine="420" w:firstLineChars="200"/>
        <w:textAlignment w:val="auto"/>
        <w:outlineLvl w:val="4"/>
        <w:rPr>
          <w:rFonts w:ascii="宋体" w:hAnsi="宋体"/>
          <w:color w:val="auto"/>
          <w:szCs w:val="21"/>
          <w:highlight w:val="none"/>
        </w:rPr>
      </w:pPr>
      <w:r>
        <w:rPr>
          <w:rFonts w:hint="eastAsia" w:ascii="宋体" w:hAnsi="宋体"/>
          <w:color w:val="auto"/>
          <w:szCs w:val="21"/>
          <w:highlight w:val="none"/>
        </w:rPr>
        <w:t>19.4投标文件中标注的投标人名称应与主体资格证明（如营业执照或者事业单位法人证书或者执业许可证或者登记证书等）及公章一致</w:t>
      </w:r>
      <w:r>
        <w:rPr>
          <w:rFonts w:hint="eastAsia" w:ascii="宋体" w:hAnsi="宋体"/>
          <w:b/>
          <w:bCs/>
          <w:color w:val="auto"/>
          <w:szCs w:val="21"/>
          <w:highlight w:val="none"/>
        </w:rPr>
        <w:t>，并与广西政府采购云平台中获取招标文件的投标人名称一致</w:t>
      </w:r>
      <w:r>
        <w:rPr>
          <w:rFonts w:hint="eastAsia" w:ascii="宋体" w:hAnsi="宋体"/>
          <w:color w:val="auto"/>
          <w:szCs w:val="21"/>
          <w:highlight w:val="none"/>
        </w:rPr>
        <w:t>，投标人为自然人的，标注的投标人名称应与身份证姓名及签名一致，</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0A2ED6BB">
      <w:pPr>
        <w:keepNext w:val="0"/>
        <w:keepLines w:val="0"/>
        <w:pageBreakBefore w:val="0"/>
        <w:widowControl w:val="0"/>
        <w:numPr>
          <w:ilvl w:val="4"/>
          <w:numId w:val="10"/>
        </w:numPr>
        <w:kinsoku/>
        <w:wordWrap/>
        <w:overflowPunct/>
        <w:topLinePunct w:val="0"/>
        <w:autoSpaceDE/>
        <w:autoSpaceDN/>
        <w:bidi w:val="0"/>
        <w:spacing w:line="360" w:lineRule="auto"/>
        <w:ind w:left="0" w:leftChars="0" w:firstLine="420" w:firstLineChars="200"/>
        <w:textAlignment w:val="auto"/>
        <w:outlineLvl w:val="4"/>
        <w:rPr>
          <w:rFonts w:ascii="宋体" w:hAnsi="宋体"/>
          <w:color w:val="auto"/>
          <w:szCs w:val="21"/>
          <w:highlight w:val="none"/>
        </w:rPr>
      </w:pPr>
      <w:r>
        <w:rPr>
          <w:rFonts w:hint="eastAsia" w:ascii="宋体" w:hAnsi="宋体"/>
          <w:color w:val="auto"/>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33CE1309">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20.电子备份投标文件</w:t>
      </w:r>
    </w:p>
    <w:p w14:paraId="7EAFE610">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详见在“投标人须知前附表”。</w:t>
      </w:r>
    </w:p>
    <w:p w14:paraId="1B1AAA2F">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57BDDF23">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hAnsi="宋体" w:eastAsia="宋体"/>
          <w:b/>
          <w:color w:val="auto"/>
          <w:highlight w:val="none"/>
          <w:lang w:eastAsia="zh-CN"/>
        </w:rPr>
      </w:pPr>
      <w:bookmarkStart w:id="114" w:name="_21.1投标人必须在“投标人须知中的前附表”规定的投标文件接收时间和投"/>
      <w:bookmarkEnd w:id="114"/>
      <w:r>
        <w:rPr>
          <w:rFonts w:hint="eastAsia" w:hAnsi="宋体"/>
          <w:bCs/>
          <w:color w:val="auto"/>
          <w:szCs w:val="21"/>
          <w:highlight w:val="none"/>
        </w:rPr>
        <w:t>21.1投标人必须在“投标人须知前附表”规定的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p>
    <w:p w14:paraId="4FF2BF04">
      <w:pPr>
        <w:keepNext w:val="0"/>
        <w:keepLines w:val="0"/>
        <w:pageBreakBefore w:val="0"/>
        <w:widowControl w:val="0"/>
        <w:kinsoku/>
        <w:wordWrap/>
        <w:overflowPunct/>
        <w:topLinePunct w:val="0"/>
        <w:autoSpaceDE/>
        <w:autoSpaceDN/>
        <w:bidi w:val="0"/>
        <w:spacing w:line="360" w:lineRule="auto"/>
        <w:ind w:left="0" w:leftChars="0" w:firstLine="422" w:firstLineChars="200"/>
        <w:textAlignment w:val="auto"/>
        <w:rPr>
          <w:rFonts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6AE09312">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22.投标文件的补充、修改、撤回与退回</w:t>
      </w:r>
    </w:p>
    <w:p w14:paraId="264B5439">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jc w:val="left"/>
        <w:textAlignment w:val="auto"/>
        <w:rPr>
          <w:rFonts w:ascii="宋体" w:hAnsi="宋体"/>
          <w:color w:val="auto"/>
          <w:szCs w:val="21"/>
          <w:highlight w:val="none"/>
        </w:rPr>
      </w:pPr>
      <w:bookmarkStart w:id="115" w:name="_Toc254970543"/>
      <w:bookmarkStart w:id="116" w:name="_Toc254970684"/>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“电子投标文件制作与投送教程”）</w:t>
      </w:r>
    </w:p>
    <w:bookmarkEnd w:id="115"/>
    <w:bookmarkEnd w:id="116"/>
    <w:p w14:paraId="594A47F4">
      <w:pPr>
        <w:pStyle w:val="114"/>
        <w:keepNext w:val="0"/>
        <w:keepLines w:val="0"/>
        <w:pageBreakBefore w:val="0"/>
        <w:widowControl w:val="0"/>
        <w:kinsoku/>
        <w:wordWrap/>
        <w:overflowPunct/>
        <w:topLinePunct w:val="0"/>
        <w:autoSpaceDE/>
        <w:autoSpaceDN/>
        <w:bidi w:val="0"/>
        <w:spacing w:before="0" w:line="360" w:lineRule="auto"/>
        <w:ind w:left="0" w:leftChars="0" w:firstLine="420" w:firstLineChars="200"/>
        <w:textAlignment w:val="auto"/>
        <w:rPr>
          <w:rFonts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3ED62559">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60E7D814">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color w:val="auto"/>
          <w:highlight w:val="none"/>
        </w:rPr>
      </w:pPr>
      <w:bookmarkStart w:id="117" w:name="_Toc254970685"/>
      <w:bookmarkStart w:id="118" w:name="_Toc254970544"/>
    </w:p>
    <w:p w14:paraId="3F41D7B7">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color w:val="auto"/>
          <w:highlight w:val="none"/>
        </w:rPr>
      </w:pPr>
      <w:r>
        <w:rPr>
          <w:rFonts w:hint="eastAsia"/>
          <w:color w:val="auto"/>
          <w:highlight w:val="none"/>
        </w:rPr>
        <w:t>四、开标</w:t>
      </w:r>
      <w:bookmarkEnd w:id="117"/>
      <w:bookmarkEnd w:id="118"/>
    </w:p>
    <w:p w14:paraId="6293D7A3">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bookmarkStart w:id="119" w:name="_23.开标时间和地点"/>
      <w:bookmarkEnd w:id="119"/>
      <w:r>
        <w:rPr>
          <w:rFonts w:hint="eastAsia" w:ascii="黑体" w:hAnsi="黑体" w:eastAsia="黑体"/>
          <w:color w:val="auto"/>
          <w:sz w:val="24"/>
          <w:highlight w:val="none"/>
        </w:rPr>
        <w:t>23.开标时间和地点</w:t>
      </w:r>
    </w:p>
    <w:p w14:paraId="102B449A">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Ansi="宋体"/>
          <w:bCs/>
          <w:color w:val="auto"/>
          <w:highlight w:val="none"/>
        </w:rPr>
      </w:pPr>
      <w:r>
        <w:rPr>
          <w:rFonts w:hint="eastAsia" w:hAnsi="宋体"/>
          <w:bCs/>
          <w:color w:val="auto"/>
          <w:highlight w:val="none"/>
        </w:rPr>
        <w:t>开标时间及地点详见“投标人须知前附表”</w:t>
      </w:r>
    </w:p>
    <w:p w14:paraId="27C2654D">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24.开标程序</w:t>
      </w:r>
    </w:p>
    <w:p w14:paraId="4BF7A00F">
      <w:pPr>
        <w:pStyle w:val="7"/>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60F4547A">
      <w:pPr>
        <w:pStyle w:val="7"/>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B353329">
      <w:pPr>
        <w:pStyle w:val="7"/>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color w:val="auto"/>
          <w:highlight w:val="none"/>
        </w:rPr>
      </w:pPr>
      <w:r>
        <w:rPr>
          <w:rFonts w:hint="eastAsia"/>
          <w:color w:val="auto"/>
          <w:highlight w:val="none"/>
        </w:rPr>
        <w:t>24.3不接受投标人信息、投标设备信息异常的投标人提交的投标文件，如投标人IP地址、MAc地址、硬盘号、CPU号、主板号信息、供应商入驻时填写的主要人员信息、</w:t>
      </w:r>
      <w:r>
        <w:rPr>
          <w:rFonts w:hint="eastAsia"/>
          <w:color w:val="auto"/>
          <w:highlight w:val="none"/>
          <w:lang w:val="en-US" w:eastAsia="zh-CN"/>
        </w:rPr>
        <w:t>投标文件上传</w:t>
      </w:r>
      <w:r>
        <w:rPr>
          <w:rFonts w:hint="eastAsia"/>
          <w:color w:val="auto"/>
          <w:highlight w:val="none"/>
        </w:rPr>
        <w:t>时所填写的法定代表人或授权代表的姓名和手机号码等信息异常。若开标时发现投标人存在上述信息异常，投标人的投标文件作无效处理。</w:t>
      </w:r>
    </w:p>
    <w:p w14:paraId="74038639">
      <w:pPr>
        <w:pStyle w:val="7"/>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color w:val="auto"/>
          <w:highlight w:val="none"/>
        </w:rPr>
      </w:pPr>
      <w:r>
        <w:rPr>
          <w:rFonts w:hint="eastAsia"/>
          <w:color w:val="auto"/>
          <w:highlight w:val="none"/>
        </w:rPr>
        <w:t>24.</w:t>
      </w:r>
      <w:r>
        <w:rPr>
          <w:rFonts w:hint="eastAsia"/>
          <w:color w:val="auto"/>
          <w:highlight w:val="none"/>
          <w:lang w:val="en-US" w:eastAsia="zh-CN"/>
        </w:rPr>
        <w:t>4</w:t>
      </w:r>
      <w:r>
        <w:rPr>
          <w:rFonts w:hint="eastAsia"/>
          <w:color w:val="auto"/>
          <w:highlight w:val="none"/>
        </w:rPr>
        <w:t>开标程序</w:t>
      </w:r>
    </w:p>
    <w:p w14:paraId="5E4EB86B">
      <w:pPr>
        <w:pStyle w:val="7"/>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color w:val="auto"/>
          <w:highlight w:val="none"/>
        </w:rPr>
      </w:pPr>
      <w:r>
        <w:rPr>
          <w:rFonts w:hint="eastAsia"/>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58F0E077">
      <w:pPr>
        <w:pStyle w:val="7"/>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color w:val="auto"/>
          <w:highlight w:val="none"/>
        </w:rPr>
      </w:pPr>
      <w:r>
        <w:rPr>
          <w:rFonts w:hint="eastAsia"/>
          <w:color w:val="auto"/>
          <w:highlight w:val="none"/>
        </w:rPr>
        <w:t>（2）电子唱标。投标文件解密结束，宣布的内容均在广西政府采购云平台远程开标大厅展示，具体详见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5621D569">
      <w:pPr>
        <w:pStyle w:val="7"/>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0BF0E680">
      <w:pPr>
        <w:pStyle w:val="7"/>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D96B6F1">
      <w:pPr>
        <w:pStyle w:val="7"/>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color w:val="auto"/>
          <w:szCs w:val="21"/>
          <w:highlight w:val="none"/>
        </w:rPr>
      </w:pPr>
      <w:r>
        <w:rPr>
          <w:rFonts w:hint="eastAsia"/>
          <w:color w:val="auto"/>
          <w:szCs w:val="21"/>
          <w:highlight w:val="none"/>
        </w:rPr>
        <w:t>（5）开标结束。</w:t>
      </w:r>
    </w:p>
    <w:p w14:paraId="14370D6E">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color w:val="auto"/>
          <w:sz w:val="21"/>
          <w:highlight w:val="none"/>
        </w:rPr>
        <w:t>特别说明：如遇广西政府采购云平台电子化开标或评审程序调整的，按调整后执行。</w:t>
      </w:r>
    </w:p>
    <w:p w14:paraId="642232B1">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p>
    <w:p w14:paraId="610C44DD">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color w:val="auto"/>
          <w:highlight w:val="none"/>
        </w:rPr>
      </w:pPr>
      <w:r>
        <w:rPr>
          <w:rFonts w:hint="eastAsia"/>
          <w:color w:val="auto"/>
          <w:highlight w:val="none"/>
        </w:rPr>
        <w:t>五、资格审查</w:t>
      </w:r>
    </w:p>
    <w:p w14:paraId="3D06771C">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25.资格审查</w:t>
      </w:r>
    </w:p>
    <w:p w14:paraId="301BEB7E">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1E9421C2">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6490F56A">
      <w:pPr>
        <w:pStyle w:val="6"/>
        <w:keepNext w:val="0"/>
        <w:keepLines w:val="0"/>
        <w:pageBreakBefore w:val="0"/>
        <w:widowControl w:val="0"/>
        <w:numPr>
          <w:ilvl w:val="0"/>
          <w:numId w:val="0"/>
        </w:numPr>
        <w:kinsoku/>
        <w:wordWrap/>
        <w:overflowPunct/>
        <w:topLinePunct w:val="0"/>
        <w:autoSpaceDE/>
        <w:autoSpaceDN/>
        <w:bidi w:val="0"/>
        <w:spacing w:before="0" w:after="0" w:line="360" w:lineRule="auto"/>
        <w:ind w:left="0" w:leftChars="0" w:firstLine="422" w:firstLineChars="200"/>
        <w:textAlignment w:val="auto"/>
        <w:rPr>
          <w:rFonts w:ascii="宋体" w:hAnsi="宋体"/>
          <w:color w:val="auto"/>
          <w:sz w:val="21"/>
          <w:szCs w:val="21"/>
          <w:highlight w:val="none"/>
        </w:rPr>
      </w:pPr>
      <w:bookmarkStart w:id="120" w:name="_25.3_投标人有下列情形之一的，资格审查不通过而导致其投标无效："/>
      <w:bookmarkEnd w:id="120"/>
      <w:r>
        <w:rPr>
          <w:rFonts w:hint="eastAsia" w:ascii="宋体" w:hAnsi="宋体"/>
          <w:color w:val="auto"/>
          <w:sz w:val="21"/>
          <w:szCs w:val="21"/>
          <w:highlight w:val="none"/>
        </w:rPr>
        <w:t>25.3投标人有下列情形之一的，资格审查不通过，作无效投标处理：</w:t>
      </w:r>
    </w:p>
    <w:p w14:paraId="3E4E631D">
      <w:pPr>
        <w:pStyle w:val="23"/>
        <w:keepNext w:val="0"/>
        <w:keepLines w:val="0"/>
        <w:pageBreakBefore w:val="0"/>
        <w:widowControl w:val="0"/>
        <w:kinsoku/>
        <w:wordWrap/>
        <w:overflowPunct/>
        <w:topLinePunct w:val="0"/>
        <w:autoSpaceDE/>
        <w:autoSpaceDN/>
        <w:bidi w:val="0"/>
        <w:snapToGrid w:val="0"/>
        <w:spacing w:line="360" w:lineRule="auto"/>
        <w:ind w:left="0" w:leftChars="0" w:firstLine="422" w:firstLineChars="200"/>
        <w:textAlignment w:val="auto"/>
        <w:rPr>
          <w:rFonts w:hAnsi="宋体"/>
          <w:b/>
          <w:color w:val="auto"/>
          <w:sz w:val="21"/>
          <w:highlight w:val="none"/>
        </w:rPr>
      </w:pPr>
      <w:r>
        <w:rPr>
          <w:rFonts w:hint="eastAsia" w:hAnsi="宋体"/>
          <w:b/>
          <w:color w:val="auto"/>
          <w:sz w:val="21"/>
          <w:highlight w:val="none"/>
        </w:rPr>
        <w:t>（1）不具备招标文件中规定的资格要求的；</w:t>
      </w:r>
    </w:p>
    <w:p w14:paraId="11B73B9A">
      <w:pPr>
        <w:pStyle w:val="23"/>
        <w:keepNext w:val="0"/>
        <w:keepLines w:val="0"/>
        <w:pageBreakBefore w:val="0"/>
        <w:widowControl w:val="0"/>
        <w:kinsoku/>
        <w:wordWrap/>
        <w:overflowPunct/>
        <w:topLinePunct w:val="0"/>
        <w:autoSpaceDE/>
        <w:autoSpaceDN/>
        <w:bidi w:val="0"/>
        <w:snapToGrid w:val="0"/>
        <w:spacing w:line="360" w:lineRule="auto"/>
        <w:ind w:left="0" w:leftChars="0" w:firstLine="422" w:firstLineChars="200"/>
        <w:textAlignment w:val="auto"/>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B0E8999">
      <w:pPr>
        <w:pStyle w:val="23"/>
        <w:keepNext w:val="0"/>
        <w:keepLines w:val="0"/>
        <w:pageBreakBefore w:val="0"/>
        <w:widowControl w:val="0"/>
        <w:kinsoku/>
        <w:wordWrap/>
        <w:overflowPunct/>
        <w:topLinePunct w:val="0"/>
        <w:autoSpaceDE/>
        <w:autoSpaceDN/>
        <w:bidi w:val="0"/>
        <w:snapToGrid w:val="0"/>
        <w:spacing w:line="360" w:lineRule="auto"/>
        <w:ind w:left="0" w:leftChars="0" w:firstLine="422" w:firstLineChars="200"/>
        <w:textAlignment w:val="auto"/>
        <w:rPr>
          <w:rFonts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341E5BF4">
      <w:pPr>
        <w:pStyle w:val="23"/>
        <w:keepNext w:val="0"/>
        <w:keepLines w:val="0"/>
        <w:pageBreakBefore w:val="0"/>
        <w:widowControl w:val="0"/>
        <w:kinsoku/>
        <w:wordWrap/>
        <w:overflowPunct/>
        <w:topLinePunct w:val="0"/>
        <w:autoSpaceDE/>
        <w:autoSpaceDN/>
        <w:bidi w:val="0"/>
        <w:snapToGrid w:val="0"/>
        <w:spacing w:line="360" w:lineRule="auto"/>
        <w:ind w:left="0" w:leftChars="0" w:firstLine="422" w:firstLineChars="200"/>
        <w:textAlignment w:val="auto"/>
        <w:rPr>
          <w:rFonts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11DEDBDC">
      <w:pPr>
        <w:pStyle w:val="23"/>
        <w:keepNext w:val="0"/>
        <w:keepLines w:val="0"/>
        <w:pageBreakBefore w:val="0"/>
        <w:widowControl w:val="0"/>
        <w:kinsoku/>
        <w:wordWrap/>
        <w:overflowPunct/>
        <w:topLinePunct w:val="0"/>
        <w:autoSpaceDE/>
        <w:autoSpaceDN/>
        <w:bidi w:val="0"/>
        <w:snapToGrid w:val="0"/>
        <w:spacing w:line="360" w:lineRule="auto"/>
        <w:ind w:left="0" w:leftChars="0" w:firstLine="422" w:firstLineChars="200"/>
        <w:textAlignment w:val="auto"/>
        <w:rPr>
          <w:rFonts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6DA29F5D">
      <w:pPr>
        <w:pStyle w:val="6"/>
        <w:keepNext w:val="0"/>
        <w:keepLines w:val="0"/>
        <w:pageBreakBefore w:val="0"/>
        <w:widowControl w:val="0"/>
        <w:kinsoku/>
        <w:wordWrap/>
        <w:overflowPunct/>
        <w:topLinePunct w:val="0"/>
        <w:autoSpaceDE/>
        <w:autoSpaceDN/>
        <w:bidi w:val="0"/>
        <w:spacing w:before="0" w:after="0" w:line="360" w:lineRule="auto"/>
        <w:ind w:left="0" w:leftChars="0" w:firstLine="422" w:firstLineChars="200"/>
        <w:textAlignment w:val="auto"/>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F1EE9D5">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p>
    <w:p w14:paraId="3853A450">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color w:val="auto"/>
          <w:highlight w:val="none"/>
        </w:rPr>
      </w:pPr>
      <w:r>
        <w:rPr>
          <w:rFonts w:hint="eastAsia"/>
          <w:color w:val="auto"/>
          <w:highlight w:val="none"/>
        </w:rPr>
        <w:t>六、评标</w:t>
      </w:r>
    </w:p>
    <w:p w14:paraId="425078F9">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bookmarkStart w:id="121" w:name="_26.组建评标委员会"/>
      <w:bookmarkEnd w:id="121"/>
      <w:r>
        <w:rPr>
          <w:rFonts w:hint="eastAsia" w:ascii="黑体" w:hAnsi="黑体" w:eastAsia="黑体"/>
          <w:color w:val="auto"/>
          <w:sz w:val="24"/>
          <w:highlight w:val="none"/>
        </w:rPr>
        <w:t>26.组建评标委员会</w:t>
      </w:r>
    </w:p>
    <w:p w14:paraId="328EA045">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62EB4EC9">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068BC4E1">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5B965A94">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27.评标的依据</w:t>
      </w:r>
    </w:p>
    <w:p w14:paraId="68772A1C">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10BB62FE">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28.评标原则</w:t>
      </w:r>
    </w:p>
    <w:p w14:paraId="655C09E3">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F781196">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28.2</w:t>
      </w:r>
      <w:bookmarkStart w:id="122" w:name="_28.3评标方法。本项目将按须知前附表规定的评标办法进行评标，具体评标"/>
      <w:bookmarkEnd w:id="122"/>
      <w:r>
        <w:rPr>
          <w:rFonts w:hint="eastAsia" w:hAnsi="宋体"/>
          <w:color w:val="auto"/>
          <w:sz w:val="21"/>
          <w:highlight w:val="none"/>
        </w:rPr>
        <w:t>评委表决。评标委员会成员对需要共同认定的事项存在争议的，应当按照少数服从多数的原则作出结论。</w:t>
      </w:r>
    </w:p>
    <w:p w14:paraId="1EA6F0C9">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E07455B">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14E68F82">
      <w:pPr>
        <w:pStyle w:val="6"/>
        <w:keepNext w:val="0"/>
        <w:keepLines w:val="0"/>
        <w:pageBreakBefore w:val="0"/>
        <w:widowControl w:val="0"/>
        <w:kinsoku/>
        <w:wordWrap/>
        <w:overflowPunct/>
        <w:topLinePunct w:val="0"/>
        <w:autoSpaceDE/>
        <w:autoSpaceDN/>
        <w:bidi w:val="0"/>
        <w:spacing w:before="0" w:after="0" w:line="360" w:lineRule="auto"/>
        <w:ind w:left="0" w:leftChars="0" w:firstLine="422" w:firstLineChars="200"/>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3377D20A">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773F3979">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1AD099F3">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s="宋体"/>
          <w:color w:val="auto"/>
          <w:sz w:val="21"/>
          <w:highlight w:val="none"/>
        </w:rPr>
      </w:pPr>
      <w:r>
        <w:rPr>
          <w:rFonts w:hint="eastAsia" w:hAnsi="宋体"/>
          <w:color w:val="auto"/>
          <w:sz w:val="21"/>
          <w:highlight w:val="none"/>
        </w:rPr>
        <w:t>2</w:t>
      </w:r>
      <w:r>
        <w:rPr>
          <w:rFonts w:hAnsi="宋体"/>
          <w:color w:val="auto"/>
          <w:sz w:val="21"/>
          <w:highlight w:val="none"/>
        </w:rPr>
        <w:t>9.3中标候选人推荐数量详见</w:t>
      </w:r>
      <w:r>
        <w:rPr>
          <w:rFonts w:hint="eastAsia" w:hAnsi="宋体"/>
          <w:color w:val="auto"/>
          <w:sz w:val="21"/>
          <w:highlight w:val="none"/>
        </w:rPr>
        <w:t>“投标人须知前附表”。</w:t>
      </w:r>
    </w:p>
    <w:p w14:paraId="5E569060">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电子交易活动的中止。采购过程中出现以下情形，导致电子交易平台无法正常运行，或者无法保证电子交易的公平、公正和安全时，采购代理机构可以中止电子交易活动：</w:t>
      </w:r>
    </w:p>
    <w:p w14:paraId="191D59FC">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int="eastAsia" w:hAnsi="宋体" w:eastAsia="宋体"/>
          <w:color w:val="auto"/>
          <w:sz w:val="21"/>
          <w:highlight w:val="none"/>
          <w:lang w:eastAsia="zh-CN"/>
        </w:rPr>
      </w:pPr>
      <w:r>
        <w:rPr>
          <w:rFonts w:hint="eastAsia" w:hAnsi="宋体"/>
          <w:color w:val="auto"/>
          <w:sz w:val="21"/>
          <w:highlight w:val="none"/>
        </w:rPr>
        <w:t>（1）电子交易平台发生故障而无法登录访问的；</w:t>
      </w:r>
    </w:p>
    <w:p w14:paraId="513A1D5D">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（2）电子交易平台应用或数据库出现错误，不能进行正常操作的；</w:t>
      </w:r>
    </w:p>
    <w:p w14:paraId="2999F6A8">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（3）电子交易平台发现严重安全漏洞，有潜在泄密危险的；</w:t>
      </w:r>
    </w:p>
    <w:p w14:paraId="7ECDFB25">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int="eastAsia" w:hAnsi="宋体" w:eastAsia="宋体"/>
          <w:color w:val="auto"/>
          <w:sz w:val="21"/>
          <w:highlight w:val="none"/>
          <w:lang w:eastAsia="zh-CN"/>
        </w:rPr>
      </w:pPr>
      <w:r>
        <w:rPr>
          <w:rFonts w:hint="eastAsia" w:hAnsi="宋体"/>
          <w:color w:val="auto"/>
          <w:sz w:val="21"/>
          <w:highlight w:val="none"/>
        </w:rPr>
        <w:t>（4）病毒发作导致不能进行正常操作的；</w:t>
      </w:r>
    </w:p>
    <w:p w14:paraId="1CCF1E39">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（5）其他无法保证电子交易的公平、公正和安全的情况。</w:t>
      </w:r>
    </w:p>
    <w:p w14:paraId="7D1855AE">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7F5F526">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29.5出现下列情形之一的，应予废标：</w:t>
      </w:r>
    </w:p>
    <w:p w14:paraId="6BC6D4A3">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53B9065C">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（2）出现影响采购公正的违法、违规行为的；</w:t>
      </w:r>
    </w:p>
    <w:p w14:paraId="348AA389">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（3）投标人的报价均超过了采购预算，采购人不能支付的；</w:t>
      </w:r>
    </w:p>
    <w:p w14:paraId="6768F0A8">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（4）因重大变故，采购任务取消的。</w:t>
      </w:r>
    </w:p>
    <w:p w14:paraId="2AFF0A42">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废标后，采购人应当将废标理由通知所有投标人。</w:t>
      </w:r>
    </w:p>
    <w:p w14:paraId="1CCAF2F3">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p>
    <w:p w14:paraId="5385D365">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color w:val="auto"/>
          <w:highlight w:val="none"/>
        </w:rPr>
      </w:pPr>
      <w:bookmarkStart w:id="123" w:name="_Toc254970546"/>
      <w:bookmarkStart w:id="124" w:name="_Toc254970687"/>
      <w:r>
        <w:rPr>
          <w:rFonts w:hint="eastAsia"/>
          <w:color w:val="auto"/>
          <w:highlight w:val="none"/>
        </w:rPr>
        <w:t>七、</w:t>
      </w:r>
      <w:bookmarkEnd w:id="123"/>
      <w:bookmarkEnd w:id="124"/>
      <w:r>
        <w:rPr>
          <w:rFonts w:hint="eastAsia"/>
          <w:color w:val="auto"/>
          <w:highlight w:val="none"/>
        </w:rPr>
        <w:t>中标和合同</w:t>
      </w:r>
    </w:p>
    <w:p w14:paraId="6C621523">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30确定中标供应商</w:t>
      </w:r>
    </w:p>
    <w:p w14:paraId="5830CAFD">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2773F83B">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3AD84777">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31.结果公告</w:t>
      </w:r>
    </w:p>
    <w:p w14:paraId="1E9D066D">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1759A866">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46916BBE">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695C53E6">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31.3采购人、采购代理机构应当随中标结果公开中标供应商的《关于符合本国产品标准的声明函》或有关证明文件。</w:t>
      </w:r>
    </w:p>
    <w:p w14:paraId="473A9CA9">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001B0648">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26298037">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33.无义务解释未中标原因</w:t>
      </w:r>
    </w:p>
    <w:p w14:paraId="2D987B00">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7C17F695">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2DE378F8">
      <w:pPr>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5EB230FB">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35.履约保证金</w:t>
      </w:r>
    </w:p>
    <w:p w14:paraId="1471CA85">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bookmarkStart w:id="125" w:name="_39.1中标人须于签订合同前按本须知前附表规定的金额转账或电汇到指定账"/>
      <w:bookmarkEnd w:id="125"/>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.1履约保证金的金额、提交方式、缴纳期限、退付的时间和条件详见“投标人须知前附表”。中标供应商未按规定提交履约保证金的，视为拒绝与采购人签订合同。</w:t>
      </w:r>
    </w:p>
    <w:p w14:paraId="7C00C120">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color w:val="auto"/>
          <w:sz w:val="21"/>
          <w:szCs w:val="21"/>
          <w:highlight w:val="none"/>
        </w:rPr>
      </w:pPr>
      <w:r>
        <w:rPr>
          <w:rFonts w:hint="eastAsia" w:ascii="宋体" w:hAnsi="宋体"/>
          <w:b w:val="0"/>
          <w:bCs/>
          <w:color w:val="auto"/>
          <w:sz w:val="21"/>
          <w:szCs w:val="21"/>
          <w:highlight w:val="none"/>
        </w:rPr>
        <w:t>35.2在履约保证金退还日期前，若中标供应商的开户名称、开户银行、账号有变动的，请以书面形式通知履约保证金收取单位，否则由此产生的后果由中标供应商自行承担。</w:t>
      </w:r>
    </w:p>
    <w:p w14:paraId="579B5DCF">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36.签订合同</w:t>
      </w:r>
    </w:p>
    <w:p w14:paraId="72288DE3">
      <w:pPr>
        <w:pStyle w:val="6"/>
        <w:keepNext w:val="0"/>
        <w:keepLines w:val="0"/>
        <w:pageBreakBefore w:val="0"/>
        <w:widowControl w:val="0"/>
        <w:kinsoku/>
        <w:wordWrap/>
        <w:overflowPunct/>
        <w:topLinePunct w:val="0"/>
        <w:autoSpaceDE/>
        <w:autoSpaceDN/>
        <w:bidi w:val="0"/>
        <w:spacing w:before="0" w:after="0" w:line="360" w:lineRule="auto"/>
        <w:ind w:left="0" w:leftChars="0" w:firstLine="422" w:firstLineChars="200"/>
        <w:textAlignment w:val="auto"/>
        <w:rPr>
          <w:rFonts w:ascii="宋体" w:hAnsi="宋体"/>
          <w:b w:val="0"/>
          <w:color w:val="auto"/>
          <w:sz w:val="21"/>
          <w:szCs w:val="21"/>
          <w:highlight w:val="none"/>
        </w:rPr>
      </w:pPr>
      <w:bookmarkStart w:id="126" w:name="_40.1投标人接到中标通知书后，按须知前附表规定向采购人出示相关资格证"/>
      <w:bookmarkEnd w:id="126"/>
      <w:r>
        <w:rPr>
          <w:rFonts w:hint="eastAsia" w:ascii="宋体" w:hAnsi="宋体"/>
          <w:color w:val="auto"/>
          <w:sz w:val="21"/>
          <w:szCs w:val="21"/>
          <w:highlight w:val="none"/>
        </w:rPr>
        <w:t>36.1签订电子采购合同：中标供应商领取电子中标通知书后，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59FC41D1">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线下签订纸质合同：投标人领取中标通知书后，按“投标人须知前附表”规定向采购人出示相关证明材料，经采购人核验合格后方可签订合同。</w:t>
      </w:r>
    </w:p>
    <w:p w14:paraId="07D239E5">
      <w:pPr>
        <w:pStyle w:val="6"/>
        <w:keepNext w:val="0"/>
        <w:keepLines w:val="0"/>
        <w:pageBreakBefore w:val="0"/>
        <w:widowControl w:val="0"/>
        <w:numPr>
          <w:ilvl w:val="0"/>
          <w:numId w:val="0"/>
        </w:numPr>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0B260739">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A9967A8">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7EA4A42">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1F92361B">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5B41DD93">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1DC17DA">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bookmarkStart w:id="127" w:name="_41.政府采购合同公告"/>
      <w:bookmarkEnd w:id="127"/>
      <w:r>
        <w:rPr>
          <w:rFonts w:hint="eastAsia" w:ascii="黑体" w:hAnsi="黑体" w:eastAsia="黑体"/>
          <w:color w:val="auto"/>
          <w:sz w:val="24"/>
          <w:highlight w:val="none"/>
        </w:rPr>
        <w:t>37.政府采购合同公告</w:t>
      </w:r>
    </w:p>
    <w:p w14:paraId="5B36660A">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D9659B8">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13A95D4A">
      <w:pPr>
        <w:pStyle w:val="7"/>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1E379DB5">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29B5AFD">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7C521E95">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3E8D7947">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439E38E3">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bookmarkStart w:id="128" w:name="_9.2质疑、投诉应当采用书面形式，质疑函、投诉书均应明确阐述招标文件、"/>
      <w:bookmarkEnd w:id="128"/>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17BB1CE0">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7DB2747F">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08F6E563">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D3D304E">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9C074ED">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2137E830">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5C4E093C">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20E75238">
      <w:pPr>
        <w:pStyle w:val="6"/>
        <w:keepNext w:val="0"/>
        <w:keepLines w:val="0"/>
        <w:pageBreakBefore w:val="0"/>
        <w:widowControl w:val="0"/>
        <w:kinsoku/>
        <w:wordWrap/>
        <w:overflowPunct/>
        <w:topLinePunct w:val="0"/>
        <w:autoSpaceDE/>
        <w:autoSpaceDN/>
        <w:bidi w:val="0"/>
        <w:snapToGrid w:val="0"/>
        <w:spacing w:before="0" w:after="0" w:line="360" w:lineRule="auto"/>
        <w:ind w:left="0" w:leftChars="0" w:firstLine="420" w:firstLineChars="200"/>
        <w:textAlignment w:val="auto"/>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620602EB">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bCs/>
          <w:color w:val="auto"/>
          <w:sz w:val="21"/>
          <w:highlight w:val="none"/>
        </w:rPr>
      </w:pPr>
      <w:r>
        <w:rPr>
          <w:rFonts w:hint="eastAsia" w:hAnsi="宋体"/>
          <w:bCs/>
          <w:color w:val="auto"/>
          <w:sz w:val="21"/>
          <w:highlight w:val="none"/>
        </w:rPr>
        <w:t>（一）对招标文件提出的质疑，依法通过澄清或者修改可以继续开展采购活动的，澄清或者修改招标文件后继续开展采购活动；否则应当修改招标文件后重新开展采购活动。</w:t>
      </w:r>
    </w:p>
    <w:p w14:paraId="4CA6C459">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bCs/>
          <w:color w:val="auto"/>
          <w:sz w:val="21"/>
          <w:highlight w:val="none"/>
        </w:rPr>
      </w:pPr>
      <w:r>
        <w:rPr>
          <w:rFonts w:hint="eastAsia" w:hAnsi="宋体"/>
          <w:bCs/>
          <w:color w:val="auto"/>
          <w:sz w:val="21"/>
          <w:highlight w:val="none"/>
        </w:rPr>
        <w:t>（二）对采购过程、中标结果提出的质疑，合格供应商符合法定数量时，可以从合格的中标候选人中另行确定中标供应商的，应当依法另行确定中标供应商；否则应当重新开展采购活动。</w:t>
      </w:r>
    </w:p>
    <w:p w14:paraId="69F5C114">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6D404731">
      <w:pPr>
        <w:pStyle w:val="23"/>
        <w:keepNext w:val="0"/>
        <w:keepLines w:val="0"/>
        <w:pageBreakBefore w:val="0"/>
        <w:widowControl w:val="0"/>
        <w:kinsoku/>
        <w:wordWrap/>
        <w:overflowPunct/>
        <w:topLinePunct w:val="0"/>
        <w:autoSpaceDE/>
        <w:autoSpaceDN/>
        <w:bidi w:val="0"/>
        <w:snapToGrid w:val="0"/>
        <w:spacing w:line="360" w:lineRule="auto"/>
        <w:ind w:left="0" w:leftChars="0" w:firstLine="420" w:firstLineChars="200"/>
        <w:textAlignment w:val="auto"/>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A5F6561">
      <w:pPr>
        <w:pStyle w:val="4"/>
        <w:keepNext w:val="0"/>
        <w:keepLines w:val="0"/>
        <w:pageBreakBefore w:val="0"/>
        <w:widowControl w:val="0"/>
        <w:kinsoku/>
        <w:wordWrap/>
        <w:overflowPunct/>
        <w:topLinePunct w:val="0"/>
        <w:autoSpaceDE/>
        <w:autoSpaceDN/>
        <w:bidi w:val="0"/>
        <w:spacing w:before="0" w:after="0" w:line="360" w:lineRule="auto"/>
        <w:ind w:left="0" w:leftChars="0" w:firstLine="643" w:firstLineChars="200"/>
        <w:jc w:val="center"/>
        <w:textAlignment w:val="auto"/>
        <w:rPr>
          <w:rFonts w:hint="eastAsia"/>
          <w:color w:val="auto"/>
          <w:highlight w:val="none"/>
        </w:rPr>
      </w:pPr>
      <w:bookmarkStart w:id="129" w:name="_八、其他事项"/>
      <w:bookmarkEnd w:id="129"/>
    </w:p>
    <w:p w14:paraId="2027C009">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color w:val="auto"/>
          <w:highlight w:val="none"/>
        </w:rPr>
      </w:pPr>
      <w:r>
        <w:rPr>
          <w:rFonts w:hint="eastAsia"/>
          <w:color w:val="auto"/>
          <w:highlight w:val="none"/>
        </w:rPr>
        <w:t>八、其他事项</w:t>
      </w:r>
    </w:p>
    <w:p w14:paraId="2DF8B986">
      <w:pPr>
        <w:pStyle w:val="6"/>
        <w:keepNext w:val="0"/>
        <w:keepLines w:val="0"/>
        <w:pageBreakBefore w:val="0"/>
        <w:widowControl w:val="0"/>
        <w:kinsoku/>
        <w:wordWrap/>
        <w:overflowPunct/>
        <w:topLinePunct w:val="0"/>
        <w:autoSpaceDE/>
        <w:autoSpaceDN/>
        <w:bidi w:val="0"/>
        <w:spacing w:before="0" w:after="0" w:line="360" w:lineRule="auto"/>
        <w:ind w:left="0" w:leftChars="0" w:firstLine="482" w:firstLineChars="200"/>
        <w:textAlignment w:val="auto"/>
        <w:rPr>
          <w:rFonts w:ascii="黑体" w:hAnsi="黑体" w:eastAsia="黑体"/>
          <w:color w:val="auto"/>
          <w:sz w:val="24"/>
          <w:highlight w:val="none"/>
        </w:rPr>
      </w:pPr>
      <w:bookmarkStart w:id="130" w:name="_42.代理服务费"/>
      <w:bookmarkEnd w:id="130"/>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72BBF0E8">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收取标准及缴费账户详见“投标人须知前附表”，投标人为联合体的，可以由联合体中的一方或者多方共同交纳代理服务费。</w:t>
      </w:r>
    </w:p>
    <w:p w14:paraId="71AD453D">
      <w:pPr>
        <w:pStyle w:val="6"/>
        <w:keepNext w:val="0"/>
        <w:keepLines w:val="0"/>
        <w:pageBreakBefore w:val="0"/>
        <w:widowControl w:val="0"/>
        <w:kinsoku/>
        <w:wordWrap/>
        <w:overflowPunct/>
        <w:topLinePunct w:val="0"/>
        <w:autoSpaceDE/>
        <w:autoSpaceDN/>
        <w:bidi w:val="0"/>
        <w:spacing w:before="0" w:after="0" w:line="360" w:lineRule="auto"/>
        <w:ind w:left="0" w:leftChars="0" w:firstLine="420" w:firstLineChars="200"/>
        <w:textAlignment w:val="auto"/>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收费标准：</w:t>
      </w:r>
    </w:p>
    <w:p w14:paraId="2D58785C">
      <w:pPr>
        <w:spacing w:line="360" w:lineRule="auto"/>
        <w:rPr>
          <w:rFonts w:ascii="宋体" w:hAnsi="宋体"/>
          <w:color w:val="auto"/>
          <w:szCs w:val="21"/>
          <w:highlight w:val="none"/>
        </w:rPr>
      </w:pPr>
    </w:p>
    <w:tbl>
      <w:tblPr>
        <w:tblStyle w:val="45"/>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C79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B0AFE4E">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5E1472BF">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6FB3A038">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6116F122">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3F935451">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55C5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FC28689">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01328247">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6F3D409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5D2BDEFF">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060F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E8F0DAE">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Pr>
          <w:p w14:paraId="6586859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tcPr>
          <w:p w14:paraId="6182A3E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0AFE084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16F2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6E9DB0">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Pr>
          <w:p w14:paraId="4F25A1C6">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tcPr>
          <w:p w14:paraId="220682B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51F7462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493E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9421130">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Pr>
          <w:p w14:paraId="48D370A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tcPr>
          <w:p w14:paraId="62CEC9C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7B85729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5C8C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52A55A0">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06B761A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429DDBE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6FF5DE8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431A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E3321C8">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Pr>
          <w:p w14:paraId="25CD5C5B">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Pr>
          <w:p w14:paraId="2A1CEDB6">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567D9FF9">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443C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A120F77">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Pr>
          <w:p w14:paraId="7FD00753">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Pr>
          <w:p w14:paraId="25B1A3F1">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6D38419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3E94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BC42C25">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Pr>
          <w:p w14:paraId="5B27F736">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Pr>
          <w:p w14:paraId="5AAFD1E6">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211D598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721E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29B67E4">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Pr>
          <w:p w14:paraId="186739CB">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23C5F2D0">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32706FA9">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4938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892CF92">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Pr>
          <w:p w14:paraId="386EFF42">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47DB8AE5">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38A678EB">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2A214CF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786D595A">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7705DEAE">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4F6091D3">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6B5FF46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宋体"/>
          <w:color w:val="auto"/>
          <w:szCs w:val="21"/>
          <w:highlight w:val="none"/>
        </w:rPr>
      </w:pPr>
      <w:r>
        <w:rPr>
          <w:rFonts w:ascii="宋体" w:hAnsi="宋体" w:cs="宋体"/>
          <w:color w:val="auto"/>
          <w:szCs w:val="21"/>
          <w:highlight w:val="none"/>
        </w:rPr>
        <w:t>100 万元×l.5 %＝ 1.5 万元</w:t>
      </w:r>
    </w:p>
    <w:p w14:paraId="1F4A642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宋体"/>
          <w:color w:val="auto"/>
          <w:szCs w:val="21"/>
          <w:highlight w:val="none"/>
        </w:rPr>
      </w:pPr>
      <w:r>
        <w:rPr>
          <w:rFonts w:ascii="宋体" w:hAnsi="宋体" w:cs="宋体"/>
          <w:color w:val="auto"/>
          <w:szCs w:val="21"/>
          <w:highlight w:val="none"/>
        </w:rPr>
        <w:t>（ 200 － 100 ）万元 ×0.8%＝0.8万元</w:t>
      </w:r>
    </w:p>
    <w:p w14:paraId="10D6EF3C">
      <w:pPr>
        <w:pStyle w:val="2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1E3F4544">
      <w:pPr>
        <w:pStyle w:val="6"/>
        <w:keepNext w:val="0"/>
        <w:keepLines w:val="0"/>
        <w:pageBreakBefore w:val="0"/>
        <w:widowControl w:val="0"/>
        <w:kinsoku/>
        <w:wordWrap/>
        <w:overflowPunct/>
        <w:topLinePunct w:val="0"/>
        <w:autoSpaceDE/>
        <w:autoSpaceDN/>
        <w:bidi w:val="0"/>
        <w:adjustRightInd/>
        <w:spacing w:before="0" w:after="0" w:line="360" w:lineRule="auto"/>
        <w:ind w:left="0" w:leftChars="0" w:firstLine="482" w:firstLineChars="200"/>
        <w:textAlignment w:val="auto"/>
        <w:rPr>
          <w:rFonts w:ascii="黑体" w:hAnsi="黑体" w:eastAsia="黑体"/>
          <w:color w:val="auto"/>
          <w:sz w:val="24"/>
          <w:highlight w:val="none"/>
        </w:rPr>
      </w:pPr>
      <w:r>
        <w:rPr>
          <w:rFonts w:ascii="黑体" w:hAnsi="黑体" w:eastAsia="黑体"/>
          <w:color w:val="auto"/>
          <w:sz w:val="24"/>
          <w:highlight w:val="none"/>
        </w:rPr>
        <w:t>40. 需要补充的其他内容</w:t>
      </w:r>
    </w:p>
    <w:p w14:paraId="07932071">
      <w:pPr>
        <w:pStyle w:val="23"/>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4473068F">
      <w:pPr>
        <w:pStyle w:val="23"/>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Ansi="宋体" w:cs="宋体"/>
          <w:color w:val="auto"/>
          <w:sz w:val="21"/>
          <w:highlight w:val="none"/>
        </w:rPr>
      </w:pPr>
      <w:r>
        <w:rPr>
          <w:rFonts w:hint="eastAsia" w:hAnsi="宋体" w:cs="宋体"/>
          <w:color w:val="auto"/>
          <w:sz w:val="21"/>
          <w:highlight w:val="none"/>
        </w:rPr>
        <w:t>40.2 其他事项详见“投标人须知前附表”。</w:t>
      </w:r>
    </w:p>
    <w:p w14:paraId="441B5828">
      <w:pPr>
        <w:pStyle w:val="23"/>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A15E55E">
      <w:pPr>
        <w:pStyle w:val="23"/>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93FECDC">
      <w:pPr>
        <w:pStyle w:val="23"/>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4C0DEDA7">
      <w:pPr>
        <w:pStyle w:val="23"/>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9ACC34E">
      <w:pPr>
        <w:pStyle w:val="23"/>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F710F5D">
      <w:pPr>
        <w:pStyle w:val="23"/>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Ansi="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r>
        <w:rPr>
          <w:rFonts w:hAnsi="宋体"/>
          <w:color w:val="auto"/>
          <w:highlight w:val="none"/>
        </w:rPr>
        <w:br w:type="page"/>
      </w:r>
    </w:p>
    <w:p w14:paraId="508EF8AD">
      <w:pPr>
        <w:pStyle w:val="23"/>
        <w:snapToGrid w:val="0"/>
        <w:spacing w:before="120" w:after="120"/>
        <w:ind w:firstLine="400"/>
        <w:rPr>
          <w:rFonts w:hAnsi="宋体"/>
          <w:color w:val="auto"/>
          <w:highlight w:val="none"/>
        </w:rPr>
      </w:pPr>
    </w:p>
    <w:p w14:paraId="67DDC26E">
      <w:pPr>
        <w:pStyle w:val="23"/>
        <w:snapToGrid w:val="0"/>
        <w:spacing w:before="120" w:after="120"/>
        <w:ind w:firstLine="400"/>
        <w:rPr>
          <w:rFonts w:hAnsi="宋体"/>
          <w:color w:val="auto"/>
          <w:highlight w:val="none"/>
        </w:rPr>
      </w:pPr>
    </w:p>
    <w:p w14:paraId="0F184FB3">
      <w:pPr>
        <w:pStyle w:val="23"/>
        <w:snapToGrid w:val="0"/>
        <w:spacing w:before="120" w:after="120"/>
        <w:ind w:firstLine="400"/>
        <w:rPr>
          <w:rFonts w:hAnsi="宋体"/>
          <w:color w:val="auto"/>
          <w:highlight w:val="none"/>
        </w:rPr>
      </w:pPr>
    </w:p>
    <w:p w14:paraId="2B21F81C">
      <w:pPr>
        <w:pStyle w:val="23"/>
        <w:snapToGrid w:val="0"/>
        <w:spacing w:before="120" w:after="120"/>
        <w:ind w:firstLine="400"/>
        <w:rPr>
          <w:rFonts w:hAnsi="宋体"/>
          <w:color w:val="auto"/>
          <w:highlight w:val="none"/>
        </w:rPr>
      </w:pPr>
    </w:p>
    <w:p w14:paraId="6D385DC9">
      <w:pPr>
        <w:pStyle w:val="23"/>
        <w:snapToGrid w:val="0"/>
        <w:spacing w:before="120" w:after="120"/>
        <w:ind w:firstLine="400"/>
        <w:rPr>
          <w:rFonts w:hAnsi="宋体"/>
          <w:color w:val="auto"/>
          <w:highlight w:val="none"/>
        </w:rPr>
      </w:pPr>
    </w:p>
    <w:p w14:paraId="4852092B">
      <w:pPr>
        <w:pStyle w:val="23"/>
        <w:snapToGrid w:val="0"/>
        <w:spacing w:before="120" w:after="120"/>
        <w:ind w:firstLine="400"/>
        <w:rPr>
          <w:rFonts w:hAnsi="宋体"/>
          <w:color w:val="auto"/>
          <w:highlight w:val="none"/>
        </w:rPr>
      </w:pPr>
    </w:p>
    <w:p w14:paraId="4D350F59">
      <w:pPr>
        <w:pStyle w:val="23"/>
        <w:snapToGrid w:val="0"/>
        <w:spacing w:before="120" w:after="120"/>
        <w:ind w:firstLine="400"/>
        <w:rPr>
          <w:rFonts w:hAnsi="宋体"/>
          <w:color w:val="auto"/>
          <w:highlight w:val="none"/>
        </w:rPr>
      </w:pPr>
    </w:p>
    <w:p w14:paraId="5F9D553A">
      <w:pPr>
        <w:pStyle w:val="23"/>
        <w:snapToGrid w:val="0"/>
        <w:spacing w:before="120" w:after="120"/>
        <w:ind w:firstLine="400"/>
        <w:rPr>
          <w:rFonts w:hAnsi="宋体"/>
          <w:color w:val="auto"/>
          <w:highlight w:val="none"/>
        </w:rPr>
      </w:pPr>
    </w:p>
    <w:p w14:paraId="298D6927">
      <w:pPr>
        <w:pStyle w:val="23"/>
        <w:snapToGrid w:val="0"/>
        <w:spacing w:before="120" w:after="120"/>
        <w:ind w:firstLine="400"/>
        <w:rPr>
          <w:rFonts w:hAnsi="宋体"/>
          <w:color w:val="auto"/>
          <w:highlight w:val="none"/>
        </w:rPr>
      </w:pPr>
    </w:p>
    <w:p w14:paraId="7E1DCD03">
      <w:pPr>
        <w:pStyle w:val="23"/>
        <w:snapToGrid w:val="0"/>
        <w:spacing w:before="120" w:after="120"/>
        <w:ind w:firstLine="400"/>
        <w:rPr>
          <w:rFonts w:hAnsi="宋体"/>
          <w:color w:val="auto"/>
          <w:highlight w:val="none"/>
        </w:rPr>
      </w:pPr>
    </w:p>
    <w:p w14:paraId="0CF7F1F9">
      <w:pPr>
        <w:pStyle w:val="23"/>
        <w:snapToGrid w:val="0"/>
        <w:spacing w:before="120" w:after="120"/>
        <w:ind w:firstLine="400"/>
        <w:rPr>
          <w:rFonts w:hAnsi="宋体"/>
          <w:color w:val="auto"/>
          <w:highlight w:val="none"/>
        </w:rPr>
      </w:pPr>
    </w:p>
    <w:p w14:paraId="0F3899CD">
      <w:pPr>
        <w:pStyle w:val="23"/>
        <w:snapToGrid w:val="0"/>
        <w:spacing w:before="120" w:after="120"/>
        <w:ind w:firstLine="400"/>
        <w:rPr>
          <w:rFonts w:hAnsi="宋体"/>
          <w:color w:val="auto"/>
          <w:highlight w:val="none"/>
        </w:rPr>
      </w:pPr>
    </w:p>
    <w:p w14:paraId="01F79927">
      <w:pPr>
        <w:pStyle w:val="23"/>
        <w:snapToGrid w:val="0"/>
        <w:spacing w:before="120" w:after="120"/>
        <w:ind w:firstLine="400"/>
        <w:rPr>
          <w:rFonts w:hAnsi="宋体"/>
          <w:color w:val="auto"/>
          <w:highlight w:val="none"/>
        </w:rPr>
      </w:pPr>
    </w:p>
    <w:p w14:paraId="5F4528B2">
      <w:pPr>
        <w:pStyle w:val="2"/>
        <w:ind w:firstLine="883"/>
        <w:jc w:val="center"/>
        <w:rPr>
          <w:color w:val="auto"/>
          <w:highlight w:val="none"/>
        </w:rPr>
      </w:pPr>
      <w:bookmarkStart w:id="131" w:name="_Toc254970548"/>
      <w:bookmarkStart w:id="132" w:name="_Toc254970689"/>
      <w:bookmarkStart w:id="133" w:name="_Toc330456896"/>
      <w:bookmarkStart w:id="134" w:name="_Toc15687"/>
      <w:r>
        <w:rPr>
          <w:rFonts w:hint="eastAsia"/>
          <w:color w:val="auto"/>
          <w:highlight w:val="none"/>
        </w:rPr>
        <w:t>第四章  评标方法及评标标准</w:t>
      </w:r>
      <w:bookmarkEnd w:id="131"/>
      <w:bookmarkEnd w:id="132"/>
      <w:bookmarkEnd w:id="133"/>
      <w:bookmarkEnd w:id="134"/>
    </w:p>
    <w:p w14:paraId="7A8D01DF">
      <w:pPr>
        <w:rPr>
          <w:color w:val="auto"/>
          <w:highlight w:val="none"/>
        </w:rPr>
      </w:pPr>
      <w:bookmarkStart w:id="135" w:name="_Toc254970549"/>
      <w:bookmarkStart w:id="136" w:name="_Toc254970690"/>
    </w:p>
    <w:bookmarkEnd w:id="135"/>
    <w:bookmarkEnd w:id="136"/>
    <w:p w14:paraId="51D86992">
      <w:pPr>
        <w:rPr>
          <w:color w:val="auto"/>
          <w:highlight w:val="none"/>
        </w:rPr>
      </w:pPr>
    </w:p>
    <w:p w14:paraId="530E15B9">
      <w:pPr>
        <w:rPr>
          <w:color w:val="auto"/>
          <w:highlight w:val="none"/>
        </w:rPr>
      </w:pPr>
    </w:p>
    <w:p w14:paraId="6127620D">
      <w:pPr>
        <w:rPr>
          <w:color w:val="auto"/>
          <w:highlight w:val="none"/>
        </w:rPr>
      </w:pPr>
    </w:p>
    <w:p w14:paraId="58A8442A">
      <w:pPr>
        <w:rPr>
          <w:color w:val="auto"/>
          <w:highlight w:val="none"/>
        </w:rPr>
      </w:pPr>
    </w:p>
    <w:p w14:paraId="08CF77FE">
      <w:pPr>
        <w:rPr>
          <w:color w:val="auto"/>
          <w:highlight w:val="none"/>
        </w:rPr>
      </w:pPr>
    </w:p>
    <w:p w14:paraId="704B37BB">
      <w:pPr>
        <w:rPr>
          <w:color w:val="auto"/>
          <w:highlight w:val="none"/>
        </w:rPr>
      </w:pPr>
    </w:p>
    <w:p w14:paraId="76D2AB18">
      <w:pPr>
        <w:rPr>
          <w:color w:val="auto"/>
          <w:highlight w:val="none"/>
        </w:rPr>
      </w:pPr>
    </w:p>
    <w:p w14:paraId="23D8F789">
      <w:pPr>
        <w:rPr>
          <w:color w:val="auto"/>
          <w:highlight w:val="none"/>
        </w:rPr>
      </w:pPr>
    </w:p>
    <w:p w14:paraId="5D03867C">
      <w:pPr>
        <w:spacing w:before="120" w:beforeLines="50" w:after="120" w:afterLines="50" w:line="400" w:lineRule="exact"/>
        <w:ind w:firstLine="482"/>
        <w:rPr>
          <w:rFonts w:ascii="宋体" w:hAnsi="宋体"/>
          <w:b/>
          <w:color w:val="auto"/>
          <w:sz w:val="24"/>
          <w:highlight w:val="none"/>
        </w:rPr>
      </w:pPr>
    </w:p>
    <w:p w14:paraId="361CA435">
      <w:pPr>
        <w:spacing w:before="120" w:beforeLines="50" w:after="120" w:afterLines="50" w:line="400" w:lineRule="exact"/>
        <w:ind w:firstLine="482"/>
        <w:rPr>
          <w:rFonts w:ascii="宋体" w:hAnsi="宋体"/>
          <w:b/>
          <w:color w:val="auto"/>
          <w:sz w:val="24"/>
          <w:highlight w:val="none"/>
        </w:rPr>
      </w:pPr>
    </w:p>
    <w:p w14:paraId="11F51A0C">
      <w:pPr>
        <w:pStyle w:val="23"/>
        <w:spacing w:line="360" w:lineRule="exact"/>
        <w:ind w:firstLine="482"/>
        <w:rPr>
          <w:rFonts w:hAnsi="宋体"/>
          <w:b/>
          <w:color w:val="auto"/>
          <w:sz w:val="24"/>
          <w:highlight w:val="none"/>
        </w:rPr>
      </w:pPr>
    </w:p>
    <w:p w14:paraId="494E0647">
      <w:pPr>
        <w:pStyle w:val="23"/>
        <w:spacing w:line="360" w:lineRule="exact"/>
        <w:ind w:firstLine="482"/>
        <w:rPr>
          <w:rFonts w:hAnsi="宋体"/>
          <w:b/>
          <w:color w:val="auto"/>
          <w:sz w:val="24"/>
          <w:highlight w:val="none"/>
        </w:rPr>
      </w:pPr>
    </w:p>
    <w:p w14:paraId="29058784">
      <w:pPr>
        <w:pStyle w:val="23"/>
        <w:spacing w:line="360" w:lineRule="exact"/>
        <w:ind w:firstLine="482"/>
        <w:rPr>
          <w:rFonts w:hAnsi="宋体"/>
          <w:b/>
          <w:color w:val="auto"/>
          <w:sz w:val="24"/>
          <w:highlight w:val="none"/>
        </w:rPr>
      </w:pPr>
    </w:p>
    <w:p w14:paraId="2D38A1C3">
      <w:pPr>
        <w:pStyle w:val="23"/>
        <w:spacing w:line="360" w:lineRule="exact"/>
        <w:ind w:firstLine="482"/>
        <w:rPr>
          <w:rFonts w:hAnsi="宋体"/>
          <w:b/>
          <w:color w:val="auto"/>
          <w:sz w:val="24"/>
          <w:highlight w:val="none"/>
        </w:rPr>
      </w:pPr>
    </w:p>
    <w:p w14:paraId="0E5B18A4">
      <w:pPr>
        <w:pStyle w:val="23"/>
        <w:spacing w:line="360" w:lineRule="exact"/>
        <w:ind w:firstLine="482"/>
        <w:rPr>
          <w:rFonts w:hAnsi="宋体"/>
          <w:b/>
          <w:color w:val="auto"/>
          <w:sz w:val="24"/>
          <w:highlight w:val="none"/>
        </w:rPr>
      </w:pPr>
    </w:p>
    <w:p w14:paraId="427231B3">
      <w:pPr>
        <w:pStyle w:val="23"/>
        <w:spacing w:line="360" w:lineRule="exact"/>
        <w:ind w:firstLine="482"/>
        <w:rPr>
          <w:rFonts w:hAnsi="宋体"/>
          <w:b/>
          <w:color w:val="auto"/>
          <w:sz w:val="24"/>
          <w:highlight w:val="none"/>
        </w:rPr>
      </w:pPr>
    </w:p>
    <w:p w14:paraId="3CD3685A">
      <w:pPr>
        <w:pStyle w:val="23"/>
        <w:spacing w:line="360" w:lineRule="exact"/>
        <w:ind w:firstLine="400"/>
        <w:rPr>
          <w:rFonts w:hAnsi="宋体"/>
          <w:bCs/>
          <w:color w:val="auto"/>
          <w:highlight w:val="none"/>
        </w:rPr>
      </w:pPr>
      <w:r>
        <w:rPr>
          <w:rFonts w:hAnsi="宋体"/>
          <w:bCs/>
          <w:color w:val="auto"/>
          <w:highlight w:val="none"/>
        </w:rPr>
        <w:t xml:space="preserve"> </w:t>
      </w:r>
    </w:p>
    <w:p w14:paraId="1F12DAEB">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color w:val="auto"/>
          <w:highlight w:val="none"/>
        </w:rPr>
      </w:pPr>
      <w:r>
        <w:rPr>
          <w:rFonts w:hint="eastAsia"/>
          <w:color w:val="auto"/>
          <w:highlight w:val="none"/>
        </w:rPr>
        <w:br w:type="page"/>
      </w:r>
      <w:r>
        <w:rPr>
          <w:rFonts w:hint="eastAsia"/>
          <w:color w:val="auto"/>
          <w:highlight w:val="none"/>
        </w:rPr>
        <w:t>一、评标方法</w:t>
      </w:r>
    </w:p>
    <w:p w14:paraId="5BE9D6E8">
      <w:pPr>
        <w:pStyle w:val="23"/>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300C0E95">
      <w:pPr>
        <w:pStyle w:val="23"/>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7E5F025A">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color w:val="auto"/>
          <w:highlight w:val="none"/>
        </w:rPr>
      </w:pPr>
      <w:r>
        <w:rPr>
          <w:rFonts w:hint="eastAsia"/>
          <w:color w:val="auto"/>
          <w:highlight w:val="none"/>
        </w:rPr>
        <w:t>二、评标程序</w:t>
      </w:r>
    </w:p>
    <w:p w14:paraId="64C93236">
      <w:pPr>
        <w:pStyle w:val="6"/>
        <w:keepNext w:val="0"/>
        <w:keepLines w:val="0"/>
        <w:pageBreakBefore w:val="0"/>
        <w:widowControl w:val="0"/>
        <w:kinsoku/>
        <w:wordWrap/>
        <w:overflowPunct/>
        <w:topLinePunct w:val="0"/>
        <w:autoSpaceDE/>
        <w:autoSpaceDN/>
        <w:bidi w:val="0"/>
        <w:adjustRightInd/>
        <w:spacing w:before="0" w:after="0" w:line="360" w:lineRule="auto"/>
        <w:ind w:left="0" w:leftChars="0" w:firstLine="422" w:firstLineChars="200"/>
        <w:textAlignment w:val="auto"/>
        <w:rPr>
          <w:rFonts w:ascii="宋体" w:hAnsi="宋体"/>
          <w:color w:val="auto"/>
          <w:sz w:val="21"/>
          <w:szCs w:val="21"/>
          <w:highlight w:val="none"/>
        </w:rPr>
      </w:pPr>
      <w:r>
        <w:rPr>
          <w:rFonts w:hint="eastAsia" w:ascii="宋体" w:hAnsi="宋体"/>
          <w:color w:val="auto"/>
          <w:sz w:val="21"/>
          <w:szCs w:val="21"/>
          <w:highlight w:val="none"/>
        </w:rPr>
        <w:t>1.符合性审查</w:t>
      </w:r>
    </w:p>
    <w:p w14:paraId="22092AC5">
      <w:pPr>
        <w:pStyle w:val="23"/>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727BB860">
      <w:pPr>
        <w:pStyle w:val="6"/>
        <w:keepNext w:val="0"/>
        <w:keepLines w:val="0"/>
        <w:pageBreakBefore w:val="0"/>
        <w:widowControl w:val="0"/>
        <w:kinsoku/>
        <w:wordWrap/>
        <w:overflowPunct/>
        <w:topLinePunct w:val="0"/>
        <w:autoSpaceDE/>
        <w:autoSpaceDN/>
        <w:bidi w:val="0"/>
        <w:adjustRightInd/>
        <w:spacing w:before="0" w:after="0" w:line="360" w:lineRule="auto"/>
        <w:ind w:left="0" w:leftChars="0" w:firstLine="422" w:firstLineChars="200"/>
        <w:textAlignment w:val="auto"/>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1CEFC358">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24AE88CA">
      <w:pPr>
        <w:pStyle w:val="6"/>
        <w:keepNext w:val="0"/>
        <w:keepLines w:val="0"/>
        <w:pageBreakBefore w:val="0"/>
        <w:widowControl w:val="0"/>
        <w:kinsoku/>
        <w:wordWrap/>
        <w:overflowPunct/>
        <w:topLinePunct w:val="0"/>
        <w:autoSpaceDE/>
        <w:autoSpaceDN/>
        <w:bidi w:val="0"/>
        <w:adjustRightInd/>
        <w:spacing w:before="0" w:after="0" w:line="360" w:lineRule="auto"/>
        <w:ind w:left="0" w:leftChars="0" w:firstLine="422" w:firstLineChars="200"/>
        <w:textAlignment w:val="auto"/>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63421063">
      <w:pPr>
        <w:pStyle w:val="7"/>
        <w:keepNext w:val="0"/>
        <w:keepLines w:val="0"/>
        <w:pageBreakBefore w:val="0"/>
        <w:widowControl w:val="0"/>
        <w:numPr>
          <w:ilvl w:val="0"/>
          <w:numId w:val="11"/>
        </w:numPr>
        <w:kinsoku/>
        <w:wordWrap/>
        <w:overflowPunct/>
        <w:topLinePunct w:val="0"/>
        <w:autoSpaceDE/>
        <w:autoSpaceDN/>
        <w:bidi w:val="0"/>
        <w:adjustRightInd/>
        <w:spacing w:line="360" w:lineRule="auto"/>
        <w:ind w:left="0" w:leftChars="0" w:firstLine="398" w:firstLineChars="200"/>
        <w:textAlignment w:val="auto"/>
        <w:rPr>
          <w:rFonts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428FF569">
      <w:pPr>
        <w:pStyle w:val="7"/>
        <w:keepNext w:val="0"/>
        <w:keepLines w:val="0"/>
        <w:pageBreakBefore w:val="0"/>
        <w:widowControl w:val="0"/>
        <w:numPr>
          <w:ilvl w:val="0"/>
          <w:numId w:val="11"/>
        </w:numPr>
        <w:kinsoku/>
        <w:wordWrap/>
        <w:overflowPunct/>
        <w:topLinePunct w:val="0"/>
        <w:autoSpaceDE/>
        <w:autoSpaceDN/>
        <w:bidi w:val="0"/>
        <w:adjustRightInd/>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15D18B9B">
      <w:pPr>
        <w:pStyle w:val="7"/>
        <w:keepNext w:val="0"/>
        <w:keepLines w:val="0"/>
        <w:pageBreakBefore w:val="0"/>
        <w:widowControl w:val="0"/>
        <w:numPr>
          <w:ilvl w:val="0"/>
          <w:numId w:val="11"/>
        </w:numPr>
        <w:kinsoku/>
        <w:wordWrap/>
        <w:overflowPunct/>
        <w:topLinePunct w:val="0"/>
        <w:autoSpaceDE/>
        <w:autoSpaceDN/>
        <w:bidi w:val="0"/>
        <w:adjustRightInd/>
        <w:spacing w:line="360" w:lineRule="auto"/>
        <w:ind w:left="0" w:leftChars="0" w:firstLine="398" w:firstLineChars="200"/>
        <w:textAlignment w:val="auto"/>
        <w:rPr>
          <w:rFonts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7A067686">
      <w:pPr>
        <w:pStyle w:val="7"/>
        <w:keepNext w:val="0"/>
        <w:keepLines w:val="0"/>
        <w:pageBreakBefore w:val="0"/>
        <w:widowControl w:val="0"/>
        <w:numPr>
          <w:ilvl w:val="0"/>
          <w:numId w:val="11"/>
        </w:numPr>
        <w:kinsoku/>
        <w:wordWrap/>
        <w:overflowPunct/>
        <w:topLinePunct w:val="0"/>
        <w:autoSpaceDE/>
        <w:autoSpaceDN/>
        <w:bidi w:val="0"/>
        <w:adjustRightInd/>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709E183">
      <w:pPr>
        <w:pStyle w:val="7"/>
        <w:keepNext w:val="0"/>
        <w:keepLines w:val="0"/>
        <w:pageBreakBefore w:val="0"/>
        <w:widowControl w:val="0"/>
        <w:numPr>
          <w:ilvl w:val="0"/>
          <w:numId w:val="11"/>
        </w:numPr>
        <w:kinsoku/>
        <w:wordWrap/>
        <w:overflowPunct/>
        <w:topLinePunct w:val="0"/>
        <w:autoSpaceDE/>
        <w:autoSpaceDN/>
        <w:bidi w:val="0"/>
        <w:adjustRightInd/>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修正后的报价，投标人不确认的；</w:t>
      </w:r>
    </w:p>
    <w:p w14:paraId="1AFA6075">
      <w:pPr>
        <w:pStyle w:val="7"/>
        <w:keepNext w:val="0"/>
        <w:keepLines w:val="0"/>
        <w:pageBreakBefore w:val="0"/>
        <w:widowControl w:val="0"/>
        <w:numPr>
          <w:ilvl w:val="0"/>
          <w:numId w:val="11"/>
        </w:numPr>
        <w:kinsoku/>
        <w:wordWrap/>
        <w:overflowPunct/>
        <w:topLinePunct w:val="0"/>
        <w:autoSpaceDE/>
        <w:autoSpaceDN/>
        <w:bidi w:val="0"/>
        <w:adjustRightInd/>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51063E4D">
      <w:pPr>
        <w:pStyle w:val="7"/>
        <w:keepNext w:val="0"/>
        <w:keepLines w:val="0"/>
        <w:pageBreakBefore w:val="0"/>
        <w:widowControl w:val="0"/>
        <w:numPr>
          <w:ilvl w:val="0"/>
          <w:numId w:val="11"/>
        </w:numPr>
        <w:kinsoku/>
        <w:wordWrap/>
        <w:overflowPunct/>
        <w:topLinePunct w:val="0"/>
        <w:autoSpaceDE/>
        <w:autoSpaceDN/>
        <w:bidi w:val="0"/>
        <w:adjustRightInd/>
        <w:spacing w:line="360" w:lineRule="auto"/>
        <w:ind w:left="0" w:leftChars="0" w:firstLine="398" w:firstLineChars="200"/>
        <w:textAlignment w:val="auto"/>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327951E1">
      <w:pPr>
        <w:pStyle w:val="6"/>
        <w:keepNext w:val="0"/>
        <w:keepLines w:val="0"/>
        <w:pageBreakBefore w:val="0"/>
        <w:widowControl w:val="0"/>
        <w:kinsoku/>
        <w:wordWrap/>
        <w:overflowPunct/>
        <w:topLinePunct w:val="0"/>
        <w:autoSpaceDE/>
        <w:autoSpaceDN/>
        <w:bidi w:val="0"/>
        <w:adjustRightInd/>
        <w:spacing w:before="0" w:after="0" w:line="360" w:lineRule="auto"/>
        <w:ind w:left="0" w:leftChars="0" w:firstLine="422" w:firstLineChars="200"/>
        <w:textAlignment w:val="auto"/>
        <w:rPr>
          <w:rFonts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5C031C6F">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084A0C03">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022EA45F">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7139FDA7">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50A45051">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48A32F64">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3218DF9">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60578D5A">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57A1B92D">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2FDD2040">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7B5FF3AD">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2FB7E638">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1D8874D0">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4945A7A1">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未响应招标文件实质性要求的。</w:t>
      </w:r>
    </w:p>
    <w:p w14:paraId="69C563E7">
      <w:pPr>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22" w:firstLineChars="200"/>
        <w:textAlignment w:val="auto"/>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2C02E3E6">
      <w:pPr>
        <w:pStyle w:val="6"/>
        <w:keepNext w:val="0"/>
        <w:keepLines w:val="0"/>
        <w:pageBreakBefore w:val="0"/>
        <w:widowControl w:val="0"/>
        <w:kinsoku/>
        <w:wordWrap/>
        <w:overflowPunct/>
        <w:topLinePunct w:val="0"/>
        <w:autoSpaceDE/>
        <w:autoSpaceDN/>
        <w:bidi w:val="0"/>
        <w:adjustRightInd/>
        <w:spacing w:before="0" w:after="0" w:line="360" w:lineRule="auto"/>
        <w:ind w:left="0" w:leftChars="0" w:firstLine="422" w:firstLineChars="200"/>
        <w:textAlignment w:val="auto"/>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1D722AB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045BC57">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B4B1D3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0F39E41A">
      <w:pPr>
        <w:pStyle w:val="6"/>
        <w:keepNext w:val="0"/>
        <w:keepLines w:val="0"/>
        <w:pageBreakBefore w:val="0"/>
        <w:widowControl w:val="0"/>
        <w:kinsoku/>
        <w:wordWrap/>
        <w:overflowPunct/>
        <w:topLinePunct w:val="0"/>
        <w:autoSpaceDE/>
        <w:autoSpaceDN/>
        <w:bidi w:val="0"/>
        <w:adjustRightInd/>
        <w:spacing w:before="0" w:after="0" w:line="360" w:lineRule="auto"/>
        <w:ind w:left="0" w:leftChars="0" w:firstLine="422" w:firstLineChars="200"/>
        <w:textAlignment w:val="auto"/>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35062E9D">
      <w:pPr>
        <w:pStyle w:val="6"/>
        <w:keepNext w:val="0"/>
        <w:keepLines w:val="0"/>
        <w:pageBreakBefore w:val="0"/>
        <w:widowControl w:val="0"/>
        <w:kinsoku/>
        <w:wordWrap/>
        <w:overflowPunct/>
        <w:topLinePunct w:val="0"/>
        <w:autoSpaceDE/>
        <w:autoSpaceDN/>
        <w:bidi w:val="0"/>
        <w:adjustRightInd/>
        <w:spacing w:before="0" w:after="0" w:line="360" w:lineRule="auto"/>
        <w:ind w:left="0" w:leftChars="0" w:firstLine="420" w:firstLineChars="200"/>
        <w:textAlignment w:val="auto"/>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.1投标文件报价出现前后不一致的，除“投标文件前附表”另有规定的情形，按照下列规定修正： </w:t>
      </w:r>
    </w:p>
    <w:p w14:paraId="18969EA5">
      <w:pPr>
        <w:pStyle w:val="2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643CBC28">
      <w:pPr>
        <w:pStyle w:val="2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（2）大写金额和小写金额不一致的，以大写金额为准；</w:t>
      </w:r>
    </w:p>
    <w:p w14:paraId="099721CD">
      <w:pPr>
        <w:pStyle w:val="2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34AEDF82">
      <w:pPr>
        <w:pStyle w:val="2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3840EF79">
      <w:pPr>
        <w:pStyle w:val="2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351BD17C">
      <w:pPr>
        <w:pStyle w:val="6"/>
        <w:keepNext w:val="0"/>
        <w:keepLines w:val="0"/>
        <w:pageBreakBefore w:val="0"/>
        <w:widowControl w:val="0"/>
        <w:kinsoku/>
        <w:wordWrap/>
        <w:overflowPunct/>
        <w:topLinePunct w:val="0"/>
        <w:autoSpaceDE/>
        <w:autoSpaceDN/>
        <w:bidi w:val="0"/>
        <w:adjustRightInd/>
        <w:spacing w:before="0" w:after="0" w:line="360" w:lineRule="auto"/>
        <w:ind w:left="0" w:leftChars="0" w:firstLine="420" w:firstLineChars="200"/>
        <w:textAlignment w:val="auto"/>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1D747C1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38DAED86">
      <w:pPr>
        <w:pStyle w:val="6"/>
        <w:keepNext w:val="0"/>
        <w:keepLines w:val="0"/>
        <w:pageBreakBefore w:val="0"/>
        <w:widowControl w:val="0"/>
        <w:numPr>
          <w:ilvl w:val="4"/>
          <w:numId w:val="0"/>
        </w:numPr>
        <w:kinsoku/>
        <w:wordWrap/>
        <w:overflowPunct/>
        <w:topLinePunct w:val="0"/>
        <w:autoSpaceDE/>
        <w:autoSpaceDN/>
        <w:bidi w:val="0"/>
        <w:adjustRightInd/>
        <w:spacing w:before="0" w:after="0" w:line="360" w:lineRule="auto"/>
        <w:ind w:left="0" w:leftChars="0" w:firstLine="422" w:firstLineChars="200"/>
        <w:textAlignment w:val="auto"/>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577EB6E7">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5.1采用综合评分法的</w:t>
      </w:r>
    </w:p>
    <w:p w14:paraId="223DF82B">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7D96467F">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（2）评标委员会独立对每个投标人的投标文件进行评价，并汇总每个投标人的得分。</w:t>
      </w:r>
    </w:p>
    <w:p w14:paraId="78A71A08">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1）评标委员会在评审中发现下列情形之一的，应当启动异常低价投标审查程序：</w:t>
      </w:r>
    </w:p>
    <w:p w14:paraId="0E859DB0">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①投标报价低于全部通过符合性审查供应商投标报价平均值</w:t>
      </w:r>
      <w:r>
        <w:rPr>
          <w:rFonts w:ascii="宋体" w:hAnsi="宋体" w:eastAsia="宋体" w:cs="Times New Roman"/>
          <w:color w:val="auto"/>
          <w:szCs w:val="21"/>
          <w:highlight w:val="none"/>
          <w:u w:val="single"/>
        </w:rPr>
        <w:t>65%</w:t>
      </w:r>
      <w:r>
        <w:rPr>
          <w:rFonts w:hint="eastAsia" w:ascii="宋体" w:hAnsi="宋体" w:eastAsia="宋体" w:cs="Times New Roman"/>
          <w:color w:val="auto"/>
          <w:szCs w:val="21"/>
          <w:highlight w:val="none"/>
        </w:rPr>
        <w:t>的，即投标报价＜全部通过符合性审查供应商投标报价平均值×</w:t>
      </w:r>
      <w:r>
        <w:rPr>
          <w:rFonts w:ascii="宋体" w:hAnsi="宋体" w:eastAsia="宋体" w:cs="Times New Roman"/>
          <w:color w:val="auto"/>
          <w:szCs w:val="21"/>
          <w:highlight w:val="none"/>
          <w:u w:val="single"/>
        </w:rPr>
        <w:t xml:space="preserve"> 65%</w:t>
      </w:r>
      <w:r>
        <w:rPr>
          <w:rFonts w:hint="eastAsia" w:ascii="宋体" w:hAnsi="宋体" w:eastAsia="宋体" w:cs="Times New Roman"/>
          <w:color w:val="auto"/>
          <w:szCs w:val="21"/>
          <w:highlight w:val="none"/>
        </w:rPr>
        <w:t>；</w:t>
      </w:r>
    </w:p>
    <w:p w14:paraId="3C1D646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②投标报价低于通过符合性审查的次低报价供应商投标报价</w:t>
      </w:r>
      <w:r>
        <w:rPr>
          <w:rFonts w:ascii="宋体" w:hAnsi="宋体" w:eastAsia="宋体" w:cs="Times New Roman"/>
          <w:color w:val="auto"/>
          <w:szCs w:val="21"/>
          <w:highlight w:val="none"/>
          <w:u w:val="single"/>
        </w:rPr>
        <w:t>65%</w:t>
      </w:r>
      <w:r>
        <w:rPr>
          <w:rFonts w:hint="eastAsia" w:ascii="宋体" w:hAnsi="宋体" w:eastAsia="宋体" w:cs="Times New Roman"/>
          <w:color w:val="auto"/>
          <w:szCs w:val="21"/>
          <w:highlight w:val="none"/>
        </w:rPr>
        <w:t>的，即投标报价＜通过符合性审查的次低报价供应商投标报价×</w:t>
      </w:r>
      <w:r>
        <w:rPr>
          <w:rFonts w:ascii="宋体" w:hAnsi="宋体" w:eastAsia="宋体" w:cs="Times New Roman"/>
          <w:color w:val="auto"/>
          <w:szCs w:val="21"/>
          <w:highlight w:val="none"/>
          <w:u w:val="single"/>
        </w:rPr>
        <w:t>65%</w:t>
      </w:r>
      <w:r>
        <w:rPr>
          <w:rFonts w:hint="eastAsia" w:ascii="宋体" w:hAnsi="宋体" w:eastAsia="宋体" w:cs="Times New Roman"/>
          <w:color w:val="auto"/>
          <w:szCs w:val="21"/>
          <w:highlight w:val="none"/>
        </w:rPr>
        <w:t>；</w:t>
      </w:r>
    </w:p>
    <w:p w14:paraId="5C5C9400">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③投标报价低于采购项目最高限价</w:t>
      </w:r>
      <w:r>
        <w:rPr>
          <w:rFonts w:ascii="宋体" w:hAnsi="宋体" w:eastAsia="宋体" w:cs="Times New Roman"/>
          <w:color w:val="auto"/>
          <w:szCs w:val="21"/>
          <w:highlight w:val="none"/>
          <w:u w:val="single"/>
        </w:rPr>
        <w:t xml:space="preserve">65% </w:t>
      </w:r>
      <w:r>
        <w:rPr>
          <w:rFonts w:hint="eastAsia" w:ascii="宋体" w:hAnsi="宋体" w:eastAsia="宋体" w:cs="Times New Roman"/>
          <w:color w:val="auto"/>
          <w:szCs w:val="21"/>
          <w:highlight w:val="none"/>
        </w:rPr>
        <w:t>的，即投标报价＜采购项目最高限价×</w:t>
      </w:r>
      <w:r>
        <w:rPr>
          <w:rFonts w:ascii="宋体" w:hAnsi="宋体" w:eastAsia="宋体" w:cs="Times New Roman"/>
          <w:color w:val="auto"/>
          <w:szCs w:val="21"/>
          <w:highlight w:val="none"/>
          <w:u w:val="single"/>
        </w:rPr>
        <w:t>65%</w:t>
      </w:r>
      <w:r>
        <w:rPr>
          <w:rFonts w:hint="eastAsia" w:ascii="宋体" w:hAnsi="宋体" w:eastAsia="宋体" w:cs="Times New Roman"/>
          <w:color w:val="auto"/>
          <w:szCs w:val="21"/>
          <w:highlight w:val="none"/>
        </w:rPr>
        <w:t>；</w:t>
      </w:r>
    </w:p>
    <w:p w14:paraId="136DD9AF">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④评标委员会基于专业判断，认为供应商报价过低，有可能影响产品质量或者不能诚信履约的其他情形。</w:t>
      </w:r>
    </w:p>
    <w:p w14:paraId="55891037">
      <w:pPr>
        <w:snapToGrid w:val="0"/>
        <w:spacing w:line="360"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10C8F27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Times New Roman"/>
          <w:b/>
          <w:color w:val="auto"/>
          <w:szCs w:val="21"/>
          <w:highlight w:val="none"/>
        </w:rPr>
        <w:t>投标供应商不能提供书面说明、证明材料，或者提供的书面说明、证明材料不能证明其报价合理性的，评标委员会应当将其作为无效投标处理。</w:t>
      </w:r>
    </w:p>
    <w:p w14:paraId="21F5D948">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63371F5">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b/>
          <w:color w:val="auto"/>
          <w:szCs w:val="21"/>
          <w:highlight w:val="none"/>
        </w:rPr>
      </w:pPr>
      <w:r>
        <w:rPr>
          <w:rFonts w:hint="eastAsia" w:ascii="宋体" w:hAnsi="宋体" w:eastAsia="宋体" w:cs="Times New Roman"/>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34176CE5">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719A37B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47C40423">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389BA8BE">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9B59757">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209DAF39">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75600630">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ascii="宋体" w:hAnsi="宋体"/>
          <w:b/>
          <w:color w:val="auto"/>
          <w:szCs w:val="21"/>
          <w:highlight w:val="none"/>
        </w:rPr>
      </w:pPr>
      <w:r>
        <w:rPr>
          <w:rFonts w:hint="eastAsia" w:ascii="宋体" w:hAnsi="宋体"/>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p>
    <w:p w14:paraId="5B3D7992">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422E600E">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EC5D9CE">
      <w:pPr>
        <w:snapToGrid w:val="0"/>
        <w:spacing w:line="360" w:lineRule="auto"/>
        <w:ind w:firstLine="424" w:firstLineChars="202"/>
        <w:jc w:val="center"/>
        <w:rPr>
          <w:rFonts w:ascii="宋体" w:hAnsi="宋体"/>
          <w:color w:val="auto"/>
          <w:szCs w:val="21"/>
          <w:highlight w:val="none"/>
        </w:rPr>
      </w:pPr>
    </w:p>
    <w:p w14:paraId="146B0B19">
      <w:pPr>
        <w:snapToGrid w:val="0"/>
        <w:spacing w:line="360" w:lineRule="auto"/>
        <w:ind w:firstLine="424" w:firstLineChars="202"/>
        <w:jc w:val="center"/>
        <w:rPr>
          <w:color w:val="auto"/>
          <w:highlight w:val="none"/>
        </w:rPr>
      </w:pPr>
      <w:r>
        <w:rPr>
          <w:rFonts w:hAnsi="宋体"/>
          <w:color w:val="auto"/>
          <w:highlight w:val="none"/>
        </w:rPr>
        <w:br w:type="page"/>
      </w:r>
      <w:bookmarkStart w:id="137" w:name="_Hlk71707917"/>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27143A97">
      <w:pPr>
        <w:pStyle w:val="4"/>
        <w:keepNext w:val="0"/>
        <w:keepLines w:val="0"/>
        <w:ind w:firstLine="643"/>
        <w:jc w:val="center"/>
        <w:rPr>
          <w:color w:val="auto"/>
          <w:highlight w:val="none"/>
        </w:rPr>
      </w:pPr>
      <w:r>
        <w:rPr>
          <w:rFonts w:hint="eastAsia"/>
          <w:color w:val="auto"/>
          <w:highlight w:val="none"/>
        </w:rPr>
        <w:t>综合评分法</w:t>
      </w:r>
    </w:p>
    <w:bookmarkEnd w:id="137"/>
    <w:tbl>
      <w:tblPr>
        <w:tblStyle w:val="45"/>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349"/>
        <w:gridCol w:w="6486"/>
      </w:tblGrid>
      <w:tr w14:paraId="73E6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93" w:type="dxa"/>
            <w:noWrap/>
            <w:vAlign w:val="center"/>
          </w:tcPr>
          <w:p w14:paraId="731F0FBD">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349" w:type="dxa"/>
            <w:noWrap/>
            <w:vAlign w:val="center"/>
          </w:tcPr>
          <w:p w14:paraId="073A1F28">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486" w:type="dxa"/>
            <w:noWrap/>
            <w:vAlign w:val="center"/>
          </w:tcPr>
          <w:p w14:paraId="33D36B54">
            <w:pPr>
              <w:widowControl/>
              <w:spacing w:line="360" w:lineRule="auto"/>
              <w:contextualSpacing/>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r>
      <w:tr w14:paraId="395A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93" w:type="dxa"/>
            <w:noWrap/>
            <w:vAlign w:val="center"/>
          </w:tcPr>
          <w:p w14:paraId="67F2B215">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49" w:type="dxa"/>
            <w:noWrap/>
            <w:vAlign w:val="center"/>
          </w:tcPr>
          <w:p w14:paraId="3FD39B81">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价格分（满分</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6486" w:type="dxa"/>
            <w:noWrap/>
          </w:tcPr>
          <w:p w14:paraId="19F7847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（1）本项目专门面向中小企业，不重复享受扶持政策。</w:t>
            </w:r>
          </w:p>
          <w:p w14:paraId="1F4B184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）本国产品政策性扣除计算方法。</w:t>
            </w:r>
          </w:p>
          <w:p w14:paraId="73F582B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070813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5BDB1E8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供应商在其投标文件中提供《关于符合本国产品标准的声明函》或财政部会同有关部门规定的有关证明文件，出具符合要求的《声明函》或有关证明文件的，该产品视为本国产品。</w:t>
            </w:r>
          </w:p>
          <w:p w14:paraId="084C2348">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如果所有参与竞争的供应商均可享受本国产品价格评审优惠，则统一不进行价格扣除。</w:t>
            </w:r>
            <w:r>
              <w:rPr>
                <w:rFonts w:hint="eastAsia"/>
                <w:color w:val="auto"/>
                <w:highlight w:val="none"/>
              </w:rPr>
              <w:t>用扣除后的价格参加评审，即评审价=投标报价-本国产品政策性折扣，除上述情况外，评审价=投标报价</w:t>
            </w:r>
            <w:r>
              <w:rPr>
                <w:rFonts w:hint="eastAsia"/>
                <w:color w:val="auto"/>
                <w:highlight w:val="none"/>
                <w:lang w:eastAsia="zh-CN"/>
              </w:rPr>
              <w:t>。</w:t>
            </w:r>
          </w:p>
          <w:p w14:paraId="7DD6A0C9">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）满足招标文件要求且评标报价最低的评标报价为评标基准价，其价格分为满分。</w:t>
            </w:r>
          </w:p>
          <w:p w14:paraId="2DE34A1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）价格分计算公式：        </w:t>
            </w:r>
          </w:p>
          <w:p w14:paraId="32248C09">
            <w:pPr>
              <w:spacing w:line="360" w:lineRule="auto"/>
              <w:ind w:firstLine="420" w:firstLineChars="200"/>
              <w:contextualSpacing/>
              <w:rPr>
                <w:rFonts w:hint="eastAsia" w:ascii="宋体" w:hAnsi="宋体" w:eastAsia="宋体" w:cs="宋体"/>
                <w:bCs/>
                <w:color w:val="auto"/>
                <w:sz w:val="21"/>
                <w:szCs w:val="21"/>
                <w:highlight w:val="none"/>
                <w:lang w:eastAsia="zh-CN"/>
              </w:rPr>
            </w:pPr>
            <w:r>
              <w:rPr>
                <w:rFonts w:hint="eastAsia" w:ascii="宋体" w:hAnsi="宋体"/>
                <w:bCs/>
                <w:color w:val="auto"/>
                <w:szCs w:val="21"/>
                <w:highlight w:val="none"/>
              </w:rPr>
              <w:t>价格分</w:t>
            </w:r>
            <w:r>
              <w:rPr>
                <w:rFonts w:hint="eastAsia" w:ascii="宋体" w:hAnsi="宋体" w:cs="Courier New"/>
                <w:bCs/>
                <w:color w:val="auto"/>
                <w:szCs w:val="21"/>
                <w:highlight w:val="none"/>
              </w:rPr>
              <w:t>=（评标基准价／评标报价）×</w:t>
            </w:r>
            <w:r>
              <w:rPr>
                <w:rFonts w:hint="eastAsia" w:ascii="宋体" w:hAnsi="宋体"/>
                <w:bCs/>
                <w:color w:val="auto"/>
                <w:szCs w:val="21"/>
                <w:highlight w:val="none"/>
                <w:u w:val="single"/>
              </w:rPr>
              <w:t>10</w:t>
            </w:r>
            <w:r>
              <w:rPr>
                <w:rFonts w:hint="eastAsia" w:ascii="宋体" w:hAnsi="宋体" w:cs="Courier New"/>
                <w:bCs/>
                <w:color w:val="auto"/>
                <w:szCs w:val="21"/>
                <w:highlight w:val="none"/>
              </w:rPr>
              <w:t>分</w:t>
            </w:r>
            <w:r>
              <w:rPr>
                <w:rFonts w:hint="eastAsia" w:ascii="宋体" w:hAnsi="宋体" w:cs="Courier New"/>
                <w:bCs/>
                <w:color w:val="auto"/>
                <w:szCs w:val="21"/>
                <w:highlight w:val="none"/>
                <w:lang w:eastAsia="zh-CN"/>
              </w:rPr>
              <w:t>。</w:t>
            </w:r>
          </w:p>
        </w:tc>
      </w:tr>
      <w:tr w14:paraId="41C2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93" w:type="dxa"/>
            <w:noWrap/>
            <w:vAlign w:val="center"/>
          </w:tcPr>
          <w:p w14:paraId="7678AA96">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349" w:type="dxa"/>
            <w:noWrap/>
            <w:vAlign w:val="center"/>
          </w:tcPr>
          <w:p w14:paraId="518D5234">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技术分</w:t>
            </w:r>
          </w:p>
        </w:tc>
        <w:tc>
          <w:tcPr>
            <w:tcW w:w="6486" w:type="dxa"/>
            <w:noWrap/>
            <w:vAlign w:val="center"/>
          </w:tcPr>
          <w:p w14:paraId="5635FA05">
            <w:pPr>
              <w:widowControl/>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r>
      <w:tr w14:paraId="0DAE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93" w:type="dxa"/>
            <w:noWrap/>
            <w:vAlign w:val="center"/>
          </w:tcPr>
          <w:p w14:paraId="1DA330ED">
            <w:pPr>
              <w:adjustRightInd w:val="0"/>
              <w:spacing w:line="360" w:lineRule="auto"/>
              <w:ind w:left="-105" w:leftChars="-50" w:right="-105" w:rightChars="-50"/>
              <w:contextualSpacing/>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shd w:val="clear" w:color="auto" w:fill="FFFFFF"/>
              </w:rPr>
              <w:t>2.1</w:t>
            </w:r>
          </w:p>
        </w:tc>
        <w:tc>
          <w:tcPr>
            <w:tcW w:w="1349" w:type="dxa"/>
            <w:noWrap/>
            <w:vAlign w:val="center"/>
          </w:tcPr>
          <w:p w14:paraId="7DB7B7B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能源诊断方案分</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486" w:type="dxa"/>
            <w:noWrap/>
          </w:tcPr>
          <w:p w14:paraId="06E4BB70">
            <w:pPr>
              <w:widowControl/>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注：未提供节能诊断方案或方案未达最低档的得0分。</w:t>
            </w:r>
          </w:p>
          <w:p w14:paraId="29530A8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一档（5分）</w:t>
            </w:r>
          </w:p>
          <w:p w14:paraId="54C5232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方案整体：内容基本涵盖要求要素，但方案较为笼统，模板化痕迹明显，对本项目特定需求的针对性分析不足。</w:t>
            </w:r>
          </w:p>
          <w:p w14:paraId="6C6C8AC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具体要求：诊断程序、方法或内容深度存在欠缺，服务承诺较为常规，成果清单不够详细或创新性不足。</w:t>
            </w:r>
          </w:p>
          <w:p w14:paraId="3205764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二档（10分）</w:t>
            </w:r>
          </w:p>
          <w:p w14:paraId="195D70F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方案整体：内容较为完整，能结合项目要求进行设计。</w:t>
            </w:r>
          </w:p>
          <w:p w14:paraId="47F9B54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具体要求：各要素基本齐全，逻辑基本清晰。必要性分析、诊断内容、程序和方法合理，服务承诺和成果清单基本满足要求，但部分内容的深度、细节或与本地化特色的结合度有待加强。</w:t>
            </w:r>
          </w:p>
          <w:p w14:paraId="6765B51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三档（15分）</w:t>
            </w:r>
          </w:p>
          <w:p w14:paraId="5BB823F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方案整体：内容完整、逻辑严谨，高度贴合梧州市公共机构（如行政中心、学校等）的建筑特点、用能模式与管理实际，</w:t>
            </w:r>
            <w:r>
              <w:rPr>
                <w:rFonts w:hint="eastAsia" w:ascii="宋体" w:hAnsi="宋体" w:cs="宋体"/>
                <w:color w:val="auto"/>
                <w:sz w:val="21"/>
                <w:szCs w:val="21"/>
                <w:highlight w:val="none"/>
                <w:lang w:val="en-US" w:eastAsia="zh-CN"/>
              </w:rPr>
              <w:t>具有</w:t>
            </w:r>
            <w:r>
              <w:rPr>
                <w:rFonts w:hint="eastAsia" w:ascii="宋体" w:hAnsi="宋体" w:eastAsia="宋体" w:cs="宋体"/>
                <w:color w:val="auto"/>
                <w:sz w:val="21"/>
                <w:szCs w:val="21"/>
                <w:highlight w:val="none"/>
              </w:rPr>
              <w:t>定制化特征。</w:t>
            </w:r>
          </w:p>
          <w:p w14:paraId="14B038A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要求：（1）必要性与效果：深刻阐述诊断对摸清能耗底数、挖掘节能潜力、支撑科学决策的必要性，预期效果具体、可衡量。（2）诊断依据：全面列明并准确引用国家、地方相关法规、政策及技术标准，依据充分。（3）诊断程序：有完整的诊断程序图，各环节衔接合理，可操作性强。（4）诊断内容：覆盖全面，重点突出。公共机构基本概况与用能特点分析；能源资源管理体系建设与运行状况评估；能源资源消费指标的计算、对标与趋势分析；对暖通空调、照明、供配电、用水、围护结构等重点能源资源利用系统的运行效率与配置合理性进行诊断；系统梳理已实施节能技改项目的效果，并从技术与管理两个维度科学测算节能潜力，提出针对性改进建议。（5）诊断方法：方法明确数据采集核定（如现场调查与勘察、资料审核与数据核定）、诊断分析评价（盘存查账与能量平衡分析、综合分析评价）等具体内容。（6）服务承诺：承诺具体、可靠，包括项目团队配置（含相关人员证书）、时间进度保障、质量控制措施、沟通协调机制及保密承诺等。（7）成果清单：交付成果完整、规范，明确包含《能源诊断报告》（含详细数据分析、问题诊断、改造建议及节能量/率测算）、原始数据汇编、关键过程记录等，对后续节能改造指导性强。</w:t>
            </w:r>
          </w:p>
        </w:tc>
      </w:tr>
      <w:tr w14:paraId="78E7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93" w:type="dxa"/>
            <w:noWrap/>
            <w:vAlign w:val="center"/>
          </w:tcPr>
          <w:p w14:paraId="372A24A9">
            <w:pPr>
              <w:adjustRightInd w:val="0"/>
              <w:spacing w:line="360" w:lineRule="auto"/>
              <w:ind w:left="-105" w:leftChars="-50" w:right="-105" w:rightChars="-50"/>
              <w:contextualSpacing/>
              <w:jc w:val="center"/>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2.2</w:t>
            </w:r>
          </w:p>
        </w:tc>
        <w:tc>
          <w:tcPr>
            <w:tcW w:w="1349" w:type="dxa"/>
            <w:noWrap/>
            <w:vAlign w:val="center"/>
          </w:tcPr>
          <w:p w14:paraId="71C2F864">
            <w:pPr>
              <w:adjustRightInd w:val="0"/>
              <w:snapToGrid w:val="0"/>
              <w:spacing w:line="360" w:lineRule="auto"/>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技术方案分（满分</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分）</w:t>
            </w:r>
          </w:p>
        </w:tc>
        <w:tc>
          <w:tcPr>
            <w:tcW w:w="6486" w:type="dxa"/>
            <w:noWrap/>
          </w:tcPr>
          <w:p w14:paraId="092FC4ED">
            <w:pPr>
              <w:widowControl/>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注：未提供技术方案或方案未达最低档的得0分。</w:t>
            </w:r>
          </w:p>
          <w:p w14:paraId="37F3C9E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10分）：提供的技术方案描述与实际情况部分相符，对项目基础信息及节能改造内容（如照明系统节能改造、空调系统节能改造、办公系统节能改造、动力设备（电梯、水泵等）节能改造、供配电系统改造、智慧综合能碳管理运营平台建设等）阐述不够清晰，节能计算过程不明确，基本能满足本项目采购需求。</w:t>
            </w:r>
          </w:p>
          <w:p w14:paraId="2AFEAC8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16分）：提供的技术方案对本项目基础信息及节能改造内容（如照明系统节能改造、空调系统节能改造、办公系统节能改造、动力设备（电梯、水泵等）节能改造、供配电系统改造、智慧综合能碳管理运营平台建设等）、服务要求等相关服务内容进行较详细的描述，具有可操作性，节能计算过程清晰、方法正确，综合节能率不低于5%。</w:t>
            </w:r>
          </w:p>
          <w:p w14:paraId="54D3CDE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22分）：提供的技术方案能清楚地表明对项目基础信息及节能改造内容（如照明系统节能改造、空调系统节能改造、办公系统节能改造、动力设备（电梯、水泵等）节能改造、供配电系统改造、智慧综合能碳管理运营平台建设等）的熟悉程度，现状分析准确，对公共机构需求和项目实施，切合本项目实际，技术方案内容详细，对改造原理、施工工艺、软硬件配置方案等有详细的阐述；节能计算参数、过程透明，综合节能率高于5%，满足本项目服务内容实现与稳定运行的需求。</w:t>
            </w:r>
          </w:p>
          <w:p w14:paraId="2FA6DF1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28分）：提供的技术方案能清楚地表明对项目基础信息及节能改造内容（如照明系统节能改造、空调系统节能改造、办公系统节能改造、动力设备（电梯、水泵等）节能改造、供配电系统改造、智慧综合能碳管理运营平台建设等）的熟悉程度，技术方案详细、逻辑明晰，改造原理、施工工艺、软硬件配置方案能结合项目实际及特点，融入前瞻性优化与风险管理策略，节能计算严谨、准确，综合节能率高于5%并承诺可验证。有利于辅助用户了解节能降碳情况、落地效果，各项内容阐述清晰，为长期运行提供保障，完全满足本项目采购需求。</w:t>
            </w:r>
          </w:p>
        </w:tc>
      </w:tr>
      <w:tr w14:paraId="3694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93" w:type="dxa"/>
            <w:noWrap/>
            <w:vAlign w:val="center"/>
          </w:tcPr>
          <w:p w14:paraId="1F1915C0">
            <w:pPr>
              <w:adjustRightInd w:val="0"/>
              <w:spacing w:line="360" w:lineRule="auto"/>
              <w:ind w:left="-105" w:leftChars="-50" w:right="-105" w:rightChars="-50"/>
              <w:contextualSpacing/>
              <w:jc w:val="center"/>
              <w:textAlignment w:val="baseline"/>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3</w:t>
            </w:r>
          </w:p>
        </w:tc>
        <w:tc>
          <w:tcPr>
            <w:tcW w:w="1349" w:type="dxa"/>
            <w:noWrap/>
            <w:vAlign w:val="center"/>
          </w:tcPr>
          <w:p w14:paraId="37F9DC2B">
            <w:pPr>
              <w:adjustRightInd w:val="0"/>
              <w:snapToGrid w:val="0"/>
              <w:spacing w:line="360" w:lineRule="auto"/>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工作进度及保障措施方案（满分1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486" w:type="dxa"/>
            <w:noWrap/>
          </w:tcPr>
          <w:p w14:paraId="67C1EC6B">
            <w:pPr>
              <w:widowControl/>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注：未提供工作进度及保障措施或工作进度及保障措施未达最低档的得0分。</w:t>
            </w:r>
          </w:p>
          <w:p w14:paraId="6AA31F9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一档（5 分）：提供项目的工作进度及保障措施仅承诺满足本项目采购需求</w:t>
            </w:r>
            <w:r>
              <w:rPr>
                <w:rFonts w:hint="eastAsia" w:ascii="宋体" w:hAnsi="宋体" w:eastAsia="宋体" w:cs="宋体"/>
                <w:color w:val="auto"/>
                <w:sz w:val="21"/>
                <w:szCs w:val="21"/>
                <w:highlight w:val="none"/>
                <w:lang w:val="en-US" w:eastAsia="zh-CN"/>
              </w:rPr>
              <w:t>无具体内容</w:t>
            </w:r>
            <w:r>
              <w:rPr>
                <w:rFonts w:hint="eastAsia" w:ascii="宋体" w:hAnsi="宋体" w:eastAsia="宋体" w:cs="宋体"/>
                <w:color w:val="auto"/>
                <w:sz w:val="21"/>
                <w:szCs w:val="21"/>
                <w:highlight w:val="none"/>
              </w:rPr>
              <w:t>。</w:t>
            </w:r>
          </w:p>
          <w:p w14:paraId="269D675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二档（10分）：提供项目的工作进度及保障措施详细，各主要阶段进度安排满足本项目采购需求，有保证工期的措施，并制定进度计划表。</w:t>
            </w:r>
          </w:p>
          <w:p w14:paraId="587A4F4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15分）：提供项目的工作进度及保障措施详细、明晰，项目进度安排完全满足本项目采购需求，并制定明确的项目实施进度计划表（包含工作任务和时间节点计划、项目实施进度计划、人员职责分工计划安排等），项目进度控制、进度保障措施详细、有针对性，完全满足本项目采购需求。</w:t>
            </w:r>
          </w:p>
        </w:tc>
      </w:tr>
      <w:tr w14:paraId="374B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93" w:type="dxa"/>
            <w:noWrap/>
            <w:vAlign w:val="center"/>
          </w:tcPr>
          <w:p w14:paraId="279F1C72">
            <w:pPr>
              <w:adjustRightInd w:val="0"/>
              <w:spacing w:line="360" w:lineRule="auto"/>
              <w:ind w:left="-105" w:leftChars="-50" w:right="-105" w:rightChars="-50"/>
              <w:contextualSpacing/>
              <w:jc w:val="center"/>
              <w:textAlignment w:val="baseline"/>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4</w:t>
            </w:r>
          </w:p>
        </w:tc>
        <w:tc>
          <w:tcPr>
            <w:tcW w:w="1349" w:type="dxa"/>
            <w:noWrap/>
            <w:vAlign w:val="center"/>
          </w:tcPr>
          <w:p w14:paraId="34245A82">
            <w:pPr>
              <w:adjustRightInd w:val="0"/>
              <w:snapToGrid w:val="0"/>
              <w:spacing w:line="360" w:lineRule="auto"/>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shd w:val="clear" w:color="auto" w:fill="FFFFFF"/>
              </w:rPr>
              <w:t>维护方案（</w:t>
            </w:r>
            <w:r>
              <w:rPr>
                <w:rFonts w:hint="eastAsia" w:ascii="宋体" w:hAnsi="宋体" w:eastAsia="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分）</w:t>
            </w:r>
          </w:p>
        </w:tc>
        <w:tc>
          <w:tcPr>
            <w:tcW w:w="6486" w:type="dxa"/>
            <w:noWrap/>
          </w:tcPr>
          <w:p w14:paraId="0DA100C7">
            <w:pPr>
              <w:widowControl/>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注：未提供维护方案或方案未达最低档的得0分。</w:t>
            </w:r>
          </w:p>
          <w:p w14:paraId="6DA0BDB2">
            <w:pPr>
              <w:widowControl/>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一档（4分）：提供的维护方案内容包含基本的维护服务范围、故障定义及初步的响应要求，但运行维护流程不够清晰或缺乏系统性。</w:t>
            </w:r>
          </w:p>
          <w:p w14:paraId="59858BDE">
            <w:pPr>
              <w:widowControl/>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二档（8分）：提供的维护方案内容较为完整，包含维护服务要求、明确的故障定义及响应要求、合理的故障分类标准以及基本的运行维护流程。总体技术方案能够满足本项目采购需求。</w:t>
            </w:r>
          </w:p>
          <w:p w14:paraId="185B88F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三档（12分）：能结合本项目实际需求制定合理的运行维护制度，维护方案、流程详细，故障定义及响应要求内容明确，有详细维护巡检计划（包含改造替换的设备、系统软件和安全等方面的检查），根据巡检结果，及时</w:t>
            </w:r>
            <w:r>
              <w:rPr>
                <w:rFonts w:hint="eastAsia" w:ascii="宋体" w:hAnsi="宋体" w:cs="宋体"/>
                <w:b w:val="0"/>
                <w:bCs w:val="0"/>
                <w:color w:val="auto"/>
                <w:sz w:val="21"/>
                <w:szCs w:val="21"/>
                <w:highlight w:val="none"/>
                <w:lang w:val="en-US" w:eastAsia="zh-CN"/>
              </w:rPr>
              <w:t>解决</w:t>
            </w:r>
            <w:r>
              <w:rPr>
                <w:rFonts w:hint="eastAsia" w:ascii="宋体" w:hAnsi="宋体" w:eastAsia="宋体" w:cs="宋体"/>
                <w:b w:val="0"/>
                <w:bCs w:val="0"/>
                <w:color w:val="auto"/>
                <w:sz w:val="21"/>
                <w:szCs w:val="21"/>
                <w:highlight w:val="none"/>
              </w:rPr>
              <w:t xml:space="preserve">发现问题，进行节能降碳服务优化。并能将巡检记录及时归档整理，总体方案完全满足本项目采购需求。 </w:t>
            </w:r>
          </w:p>
        </w:tc>
      </w:tr>
      <w:tr w14:paraId="2A4B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3" w:type="dxa"/>
            <w:noWrap/>
            <w:vAlign w:val="center"/>
          </w:tcPr>
          <w:p w14:paraId="5E592975">
            <w:pPr>
              <w:widowControl/>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49" w:type="dxa"/>
            <w:noWrap/>
            <w:vAlign w:val="center"/>
          </w:tcPr>
          <w:p w14:paraId="52721085">
            <w:pPr>
              <w:widowControl/>
              <w:spacing w:line="360" w:lineRule="auto"/>
              <w:contextualSpacing/>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tc>
        <w:tc>
          <w:tcPr>
            <w:tcW w:w="6486" w:type="dxa"/>
            <w:noWrap/>
            <w:vAlign w:val="center"/>
          </w:tcPr>
          <w:p w14:paraId="66AC204D">
            <w:pPr>
              <w:widowControl/>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r>
      <w:tr w14:paraId="5579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893" w:type="dxa"/>
            <w:noWrap/>
            <w:vAlign w:val="center"/>
          </w:tcPr>
          <w:p w14:paraId="5F0ECFBD">
            <w:pPr>
              <w:spacing w:line="360" w:lineRule="auto"/>
              <w:contextualSpacing/>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shd w:val="clear" w:color="auto" w:fill="FFFFFF"/>
                <w:lang w:val="en-US" w:eastAsia="zh-CN"/>
              </w:rPr>
              <w:t>3.1</w:t>
            </w:r>
          </w:p>
        </w:tc>
        <w:tc>
          <w:tcPr>
            <w:tcW w:w="1349" w:type="dxa"/>
            <w:noWrap/>
            <w:vAlign w:val="center"/>
          </w:tcPr>
          <w:p w14:paraId="72485BAD">
            <w:pPr>
              <w:spacing w:line="360" w:lineRule="auto"/>
              <w:contextualSpacing/>
              <w:jc w:val="center"/>
              <w:rPr>
                <w:rFonts w:hint="eastAsia" w:ascii="宋体" w:hAnsi="宋体" w:eastAsia="宋体" w:cs="宋体"/>
                <w:bCs/>
                <w:color w:val="auto"/>
                <w:sz w:val="21"/>
                <w:szCs w:val="21"/>
                <w:highlight w:val="none"/>
              </w:rPr>
            </w:pPr>
            <w:r>
              <w:rPr>
                <w:rFonts w:hint="eastAsia" w:ascii="宋体" w:hAnsi="宋体" w:eastAsia="宋体" w:cs="宋体"/>
                <w:snapToGrid w:val="0"/>
                <w:color w:val="auto"/>
                <w:spacing w:val="-3"/>
                <w:kern w:val="0"/>
                <w:sz w:val="21"/>
                <w:szCs w:val="21"/>
                <w:highlight w:val="none"/>
              </w:rPr>
              <w:t>服务承诺方案</w:t>
            </w:r>
            <w:r>
              <w:rPr>
                <w:rFonts w:hint="eastAsia" w:ascii="宋体" w:hAnsi="宋体" w:eastAsia="宋体" w:cs="宋体"/>
                <w:snapToGrid w:val="0"/>
                <w:color w:val="auto"/>
                <w:spacing w:val="-3"/>
                <w:kern w:val="0"/>
                <w:sz w:val="21"/>
                <w:szCs w:val="21"/>
                <w:highlight w:val="none"/>
                <w:lang w:val="en-US" w:eastAsia="zh-CN"/>
              </w:rPr>
              <w:t>分</w:t>
            </w:r>
            <w:r>
              <w:rPr>
                <w:rFonts w:hint="eastAsia" w:ascii="宋体" w:hAnsi="宋体" w:eastAsia="宋体" w:cs="宋体"/>
                <w:snapToGrid w:val="0"/>
                <w:color w:val="auto"/>
                <w:spacing w:val="-3"/>
                <w:kern w:val="0"/>
                <w:sz w:val="21"/>
                <w:szCs w:val="21"/>
                <w:highlight w:val="none"/>
              </w:rPr>
              <w:t>（满分</w:t>
            </w:r>
            <w:r>
              <w:rPr>
                <w:rFonts w:hint="eastAsia" w:ascii="宋体" w:hAnsi="宋体" w:eastAsia="宋体" w:cs="宋体"/>
                <w:snapToGrid w:val="0"/>
                <w:color w:val="auto"/>
                <w:spacing w:val="-3"/>
                <w:kern w:val="0"/>
                <w:sz w:val="21"/>
                <w:szCs w:val="21"/>
                <w:highlight w:val="none"/>
                <w:lang w:val="en-US" w:eastAsia="zh-CN"/>
              </w:rPr>
              <w:t>20</w:t>
            </w:r>
            <w:r>
              <w:rPr>
                <w:rFonts w:hint="eastAsia" w:ascii="宋体" w:hAnsi="宋体" w:eastAsia="宋体" w:cs="宋体"/>
                <w:snapToGrid w:val="0"/>
                <w:color w:val="auto"/>
                <w:spacing w:val="-3"/>
                <w:kern w:val="0"/>
                <w:sz w:val="21"/>
                <w:szCs w:val="21"/>
                <w:highlight w:val="none"/>
              </w:rPr>
              <w:t>分）</w:t>
            </w:r>
          </w:p>
        </w:tc>
        <w:tc>
          <w:tcPr>
            <w:tcW w:w="6486" w:type="dxa"/>
            <w:noWrap/>
          </w:tcPr>
          <w:p w14:paraId="3F1E99C9">
            <w:pPr>
              <w:spacing w:line="360" w:lineRule="auto"/>
              <w:ind w:firstLine="422" w:firstLineChars="200"/>
              <w:contextualSpacing/>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注：未提供服务承诺方案或服务承诺方案未达最低档的得0分。</w:t>
            </w:r>
          </w:p>
          <w:p w14:paraId="625CD613">
            <w:pPr>
              <w:spacing w:line="360" w:lineRule="auto"/>
              <w:ind w:firstLine="420" w:firstLineChars="200"/>
              <w:contextualSpacing/>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一档（10分）：提供的服务承诺方案包含基础的运维服务要求、故障定义后的响应承诺，基本满足本项目采购需求</w:t>
            </w:r>
            <w:r>
              <w:rPr>
                <w:rFonts w:hint="eastAsia" w:ascii="宋体" w:hAnsi="宋体" w:eastAsia="宋体" w:cs="宋体"/>
                <w:bCs/>
                <w:color w:val="auto"/>
                <w:sz w:val="21"/>
                <w:szCs w:val="21"/>
                <w:highlight w:val="none"/>
                <w:lang w:eastAsia="zh-CN"/>
              </w:rPr>
              <w:t>。</w:t>
            </w:r>
          </w:p>
          <w:p w14:paraId="0BF39489">
            <w:pPr>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15分）：服务承诺方案内容明确，包含运维服务要求、故障定义后的响应时限承诺、具体的人员安排及专业配置要求。能建立有效的双向反馈机制，确保及时了解用户需求并通报处理进展。总体服务保障措施满足本项目采购需求。</w:t>
            </w:r>
          </w:p>
          <w:p w14:paraId="0F27E4A7">
            <w:pPr>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20）：提供的服务承诺服务方案有针对性，能结合本项目实际需求制定。流程详细，故障定义后的响应要求、人员安排及专业配置要求内容明确，能建立有效的反馈机制，及时了解用户需求。有详细巡检计划（包含所有设备安全等方面的检查），并针对巡查中发现的问题进行系统优化，确保问题的及时发现和处理，且能将巡检记录及时归档整理。故障时有替代产品、提供技术支持服务、服务期满后的后续服务方案及优惠方案描述详细，保障各阶段项目服务工作的高效对接，有利于项目的实施，完全满足本项目需求。</w:t>
            </w:r>
          </w:p>
        </w:tc>
      </w:tr>
      <w:tr w14:paraId="201B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28" w:type="dxa"/>
            <w:gridSpan w:val="3"/>
            <w:noWrap/>
          </w:tcPr>
          <w:p w14:paraId="18C13323">
            <w:pPr>
              <w:spacing w:line="360" w:lineRule="auto"/>
              <w:ind w:firstLine="422" w:firstLineChars="200"/>
              <w:contextualSpacing/>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总得分为以上各项评审因素得分合计。</w:t>
            </w:r>
          </w:p>
        </w:tc>
      </w:tr>
    </w:tbl>
    <w:p w14:paraId="47EA41FD">
      <w:pPr>
        <w:pStyle w:val="23"/>
        <w:spacing w:line="360" w:lineRule="auto"/>
        <w:ind w:firstLine="420"/>
        <w:rPr>
          <w:rFonts w:hAnsi="宋体"/>
          <w:bCs/>
          <w:color w:val="auto"/>
          <w:sz w:val="21"/>
          <w:highlight w:val="none"/>
        </w:rPr>
      </w:pPr>
      <w:r>
        <w:rPr>
          <w:rFonts w:hint="eastAsia" w:hAnsi="宋体"/>
          <w:bCs/>
          <w:color w:val="auto"/>
          <w:sz w:val="21"/>
          <w:highlight w:val="none"/>
        </w:rPr>
        <w:t>注：计分方法按四舍五入取至百分位</w:t>
      </w:r>
    </w:p>
    <w:p w14:paraId="0BBFA045">
      <w:pPr>
        <w:pStyle w:val="4"/>
        <w:keepNext w:val="0"/>
        <w:keepLines w:val="0"/>
        <w:ind w:firstLine="602"/>
        <w:jc w:val="center"/>
        <w:rPr>
          <w:color w:val="auto"/>
          <w:sz w:val="30"/>
          <w:szCs w:val="30"/>
          <w:highlight w:val="none"/>
        </w:rPr>
      </w:pPr>
      <w:r>
        <w:rPr>
          <w:rFonts w:hint="eastAsia"/>
          <w:color w:val="auto"/>
          <w:sz w:val="30"/>
          <w:szCs w:val="30"/>
          <w:highlight w:val="none"/>
        </w:rPr>
        <w:t>四、中标候选人推荐原则</w:t>
      </w:r>
    </w:p>
    <w:p w14:paraId="1B817773">
      <w:pPr>
        <w:pStyle w:val="23"/>
        <w:spacing w:line="360" w:lineRule="auto"/>
        <w:ind w:firstLine="482"/>
        <w:contextualSpacing/>
        <w:rPr>
          <w:rFonts w:hAnsi="宋体"/>
          <w:b/>
          <w:bCs/>
          <w:color w:val="auto"/>
          <w:sz w:val="24"/>
          <w:szCs w:val="24"/>
          <w:highlight w:val="none"/>
        </w:rPr>
      </w:pPr>
      <w:r>
        <w:rPr>
          <w:rFonts w:hint="eastAsia" w:hAnsi="宋体"/>
          <w:b/>
          <w:bCs/>
          <w:color w:val="auto"/>
          <w:sz w:val="24"/>
          <w:szCs w:val="24"/>
          <w:highlight w:val="none"/>
        </w:rPr>
        <w:t>综合评分法</w:t>
      </w:r>
    </w:p>
    <w:p w14:paraId="4617AF2A">
      <w:pPr>
        <w:pStyle w:val="23"/>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361977EA">
      <w:pPr>
        <w:pStyle w:val="23"/>
        <w:spacing w:line="360" w:lineRule="auto"/>
        <w:ind w:firstLine="420"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2025672E">
      <w:pPr>
        <w:spacing w:before="120" w:beforeLines="50" w:after="120" w:afterLines="50" w:line="400" w:lineRule="exact"/>
        <w:ind w:firstLine="482"/>
        <w:rPr>
          <w:rFonts w:ascii="宋体" w:hAnsi="宋体"/>
          <w:b/>
          <w:color w:val="auto"/>
          <w:sz w:val="24"/>
          <w:highlight w:val="none"/>
        </w:rPr>
      </w:pPr>
    </w:p>
    <w:p w14:paraId="313ADE03">
      <w:pPr>
        <w:spacing w:before="120" w:beforeLines="50" w:after="120" w:afterLines="50" w:line="400" w:lineRule="exact"/>
        <w:ind w:firstLine="482"/>
        <w:rPr>
          <w:rFonts w:ascii="宋体" w:hAnsi="宋体"/>
          <w:b/>
          <w:color w:val="auto"/>
          <w:sz w:val="24"/>
          <w:highlight w:val="none"/>
        </w:rPr>
      </w:pPr>
    </w:p>
    <w:p w14:paraId="5CEDF449">
      <w:pPr>
        <w:spacing w:before="120" w:beforeLines="50" w:after="120" w:afterLines="50" w:line="400" w:lineRule="exact"/>
        <w:ind w:firstLine="482"/>
        <w:rPr>
          <w:rFonts w:ascii="宋体" w:hAnsi="宋体"/>
          <w:b/>
          <w:color w:val="auto"/>
          <w:sz w:val="24"/>
          <w:highlight w:val="none"/>
        </w:rPr>
      </w:pPr>
    </w:p>
    <w:p w14:paraId="76CC6B08">
      <w:pPr>
        <w:spacing w:before="120" w:beforeLines="50" w:after="120" w:afterLines="50" w:line="400" w:lineRule="exact"/>
        <w:ind w:firstLine="482"/>
        <w:rPr>
          <w:rFonts w:ascii="宋体" w:hAnsi="宋体"/>
          <w:b/>
          <w:color w:val="auto"/>
          <w:sz w:val="24"/>
          <w:highlight w:val="none"/>
        </w:rPr>
      </w:pPr>
    </w:p>
    <w:p w14:paraId="5F695EBB">
      <w:pPr>
        <w:spacing w:before="120" w:beforeLines="50" w:after="120" w:afterLines="50" w:line="400" w:lineRule="exact"/>
        <w:ind w:firstLine="482"/>
        <w:rPr>
          <w:rFonts w:ascii="宋体" w:hAnsi="宋体"/>
          <w:b/>
          <w:color w:val="auto"/>
          <w:sz w:val="24"/>
          <w:highlight w:val="none"/>
        </w:rPr>
      </w:pPr>
    </w:p>
    <w:p w14:paraId="5C43489D">
      <w:pPr>
        <w:spacing w:before="120" w:beforeLines="50" w:after="120" w:afterLines="50" w:line="400" w:lineRule="exact"/>
        <w:ind w:firstLine="482"/>
        <w:rPr>
          <w:rFonts w:ascii="宋体" w:hAnsi="宋体"/>
          <w:b/>
          <w:color w:val="auto"/>
          <w:sz w:val="24"/>
          <w:highlight w:val="none"/>
        </w:rPr>
      </w:pPr>
    </w:p>
    <w:p w14:paraId="39A3E234">
      <w:pPr>
        <w:spacing w:before="120" w:beforeLines="50" w:after="120" w:afterLines="50" w:line="400" w:lineRule="exact"/>
        <w:ind w:firstLine="482"/>
        <w:rPr>
          <w:rFonts w:ascii="宋体" w:hAnsi="宋体"/>
          <w:b/>
          <w:color w:val="auto"/>
          <w:sz w:val="24"/>
          <w:highlight w:val="none"/>
        </w:rPr>
      </w:pPr>
    </w:p>
    <w:p w14:paraId="22808C81">
      <w:pPr>
        <w:spacing w:before="120" w:beforeLines="50" w:after="120" w:afterLines="50" w:line="400" w:lineRule="exact"/>
        <w:ind w:firstLine="482"/>
        <w:rPr>
          <w:rFonts w:ascii="宋体" w:hAnsi="宋体"/>
          <w:b/>
          <w:color w:val="auto"/>
          <w:sz w:val="24"/>
          <w:highlight w:val="none"/>
        </w:rPr>
      </w:pPr>
    </w:p>
    <w:p w14:paraId="661C9F3A">
      <w:pPr>
        <w:spacing w:before="120" w:beforeLines="50" w:after="120" w:afterLines="50" w:line="400" w:lineRule="exact"/>
        <w:ind w:firstLine="482"/>
        <w:rPr>
          <w:rFonts w:ascii="宋体" w:hAnsi="宋体"/>
          <w:b/>
          <w:color w:val="auto"/>
          <w:sz w:val="24"/>
          <w:highlight w:val="none"/>
        </w:rPr>
      </w:pPr>
    </w:p>
    <w:p w14:paraId="0CF80FF0">
      <w:pPr>
        <w:spacing w:before="120" w:beforeLines="50" w:after="120" w:afterLines="50" w:line="400" w:lineRule="exact"/>
        <w:ind w:firstLine="482"/>
        <w:rPr>
          <w:rFonts w:ascii="宋体" w:hAnsi="宋体"/>
          <w:b/>
          <w:color w:val="auto"/>
          <w:sz w:val="24"/>
          <w:highlight w:val="none"/>
        </w:rPr>
      </w:pPr>
    </w:p>
    <w:p w14:paraId="77F3E5F7">
      <w:pPr>
        <w:spacing w:before="120" w:beforeLines="50" w:after="120" w:afterLines="50" w:line="400" w:lineRule="exact"/>
        <w:ind w:firstLine="482"/>
        <w:rPr>
          <w:rFonts w:ascii="宋体" w:hAnsi="宋体"/>
          <w:b/>
          <w:color w:val="auto"/>
          <w:sz w:val="24"/>
          <w:highlight w:val="none"/>
        </w:rPr>
      </w:pPr>
    </w:p>
    <w:p w14:paraId="1F7D9556">
      <w:pPr>
        <w:pStyle w:val="2"/>
        <w:ind w:firstLine="883"/>
        <w:jc w:val="center"/>
        <w:rPr>
          <w:color w:val="auto"/>
          <w:highlight w:val="none"/>
        </w:rPr>
      </w:pPr>
      <w:bookmarkStart w:id="138" w:name="_Toc25250"/>
      <w:r>
        <w:rPr>
          <w:rFonts w:hint="eastAsia"/>
          <w:color w:val="auto"/>
          <w:highlight w:val="none"/>
        </w:rPr>
        <w:br w:type="page"/>
      </w:r>
    </w:p>
    <w:p w14:paraId="3D459BF3">
      <w:pPr>
        <w:pStyle w:val="2"/>
        <w:ind w:firstLine="883"/>
        <w:jc w:val="center"/>
        <w:rPr>
          <w:color w:val="auto"/>
          <w:highlight w:val="none"/>
        </w:rPr>
      </w:pPr>
    </w:p>
    <w:p w14:paraId="5315E135">
      <w:pPr>
        <w:pStyle w:val="2"/>
        <w:ind w:firstLine="883"/>
        <w:jc w:val="center"/>
        <w:rPr>
          <w:color w:val="auto"/>
          <w:highlight w:val="none"/>
        </w:rPr>
      </w:pPr>
    </w:p>
    <w:p w14:paraId="2260F13C">
      <w:pPr>
        <w:pStyle w:val="2"/>
        <w:ind w:firstLine="883"/>
        <w:jc w:val="center"/>
        <w:rPr>
          <w:color w:val="auto"/>
          <w:highlight w:val="none"/>
        </w:rPr>
      </w:pPr>
    </w:p>
    <w:p w14:paraId="724E5AB4">
      <w:pPr>
        <w:pStyle w:val="2"/>
        <w:ind w:firstLine="883"/>
        <w:jc w:val="center"/>
        <w:rPr>
          <w:color w:val="auto"/>
          <w:highlight w:val="none"/>
        </w:rPr>
      </w:pPr>
      <w:r>
        <w:rPr>
          <w:rFonts w:hint="eastAsia"/>
          <w:color w:val="auto"/>
          <w:highlight w:val="none"/>
        </w:rPr>
        <w:t>第五章  拟签订的合同文本</w:t>
      </w:r>
      <w:bookmarkEnd w:id="138"/>
    </w:p>
    <w:p w14:paraId="142F68CD">
      <w:pPr>
        <w:snapToGrid w:val="0"/>
        <w:ind w:firstLine="640"/>
        <w:jc w:val="center"/>
        <w:rPr>
          <w:rFonts w:ascii="宋体" w:hAnsi="宋体"/>
          <w:bCs/>
          <w:color w:val="auto"/>
          <w:sz w:val="32"/>
          <w:szCs w:val="32"/>
          <w:highlight w:val="none"/>
        </w:rPr>
      </w:pPr>
    </w:p>
    <w:p w14:paraId="022F7DB4">
      <w:pPr>
        <w:snapToGrid w:val="0"/>
        <w:ind w:firstLine="640"/>
        <w:jc w:val="center"/>
        <w:rPr>
          <w:rFonts w:ascii="宋体" w:hAnsi="宋体"/>
          <w:bCs/>
          <w:color w:val="auto"/>
          <w:sz w:val="32"/>
          <w:szCs w:val="32"/>
          <w:highlight w:val="none"/>
        </w:rPr>
      </w:pPr>
    </w:p>
    <w:p w14:paraId="409D4676">
      <w:pPr>
        <w:snapToGrid w:val="0"/>
        <w:ind w:firstLine="640"/>
        <w:jc w:val="center"/>
        <w:rPr>
          <w:rFonts w:ascii="宋体" w:hAnsi="宋体"/>
          <w:bCs/>
          <w:color w:val="auto"/>
          <w:sz w:val="32"/>
          <w:szCs w:val="32"/>
          <w:highlight w:val="none"/>
        </w:rPr>
      </w:pPr>
    </w:p>
    <w:p w14:paraId="7B8CA1D7">
      <w:pPr>
        <w:snapToGrid w:val="0"/>
        <w:ind w:firstLine="640"/>
        <w:jc w:val="center"/>
        <w:rPr>
          <w:rFonts w:ascii="宋体" w:hAnsi="宋体"/>
          <w:bCs/>
          <w:color w:val="auto"/>
          <w:sz w:val="32"/>
          <w:szCs w:val="32"/>
          <w:highlight w:val="none"/>
        </w:rPr>
      </w:pPr>
    </w:p>
    <w:p w14:paraId="1823C456">
      <w:pPr>
        <w:snapToGrid w:val="0"/>
        <w:ind w:firstLine="640"/>
        <w:jc w:val="center"/>
        <w:rPr>
          <w:rFonts w:ascii="宋体" w:hAnsi="宋体"/>
          <w:bCs/>
          <w:color w:val="auto"/>
          <w:sz w:val="32"/>
          <w:szCs w:val="32"/>
          <w:highlight w:val="none"/>
        </w:rPr>
      </w:pPr>
    </w:p>
    <w:p w14:paraId="39493069">
      <w:pPr>
        <w:snapToGrid w:val="0"/>
        <w:ind w:firstLine="640"/>
        <w:jc w:val="center"/>
        <w:rPr>
          <w:rFonts w:ascii="宋体" w:hAnsi="宋体"/>
          <w:bCs/>
          <w:color w:val="auto"/>
          <w:sz w:val="32"/>
          <w:szCs w:val="32"/>
          <w:highlight w:val="none"/>
        </w:rPr>
      </w:pPr>
    </w:p>
    <w:p w14:paraId="3A35DC54">
      <w:pPr>
        <w:snapToGrid w:val="0"/>
        <w:ind w:firstLine="640"/>
        <w:jc w:val="center"/>
        <w:rPr>
          <w:rFonts w:ascii="宋体" w:hAnsi="宋体"/>
          <w:bCs/>
          <w:color w:val="auto"/>
          <w:sz w:val="32"/>
          <w:szCs w:val="32"/>
          <w:highlight w:val="none"/>
        </w:rPr>
      </w:pPr>
    </w:p>
    <w:p w14:paraId="25A2225F">
      <w:pPr>
        <w:snapToGrid w:val="0"/>
        <w:ind w:firstLine="640"/>
        <w:jc w:val="center"/>
        <w:rPr>
          <w:rFonts w:ascii="宋体" w:hAnsi="宋体"/>
          <w:bCs/>
          <w:color w:val="auto"/>
          <w:sz w:val="32"/>
          <w:szCs w:val="32"/>
          <w:highlight w:val="none"/>
        </w:rPr>
      </w:pPr>
    </w:p>
    <w:p w14:paraId="0E007A63">
      <w:pPr>
        <w:snapToGrid w:val="0"/>
        <w:ind w:firstLine="640"/>
        <w:jc w:val="center"/>
        <w:rPr>
          <w:rFonts w:ascii="宋体" w:hAnsi="宋体"/>
          <w:bCs/>
          <w:color w:val="auto"/>
          <w:sz w:val="32"/>
          <w:szCs w:val="32"/>
          <w:highlight w:val="none"/>
        </w:rPr>
      </w:pPr>
    </w:p>
    <w:p w14:paraId="7C27530C">
      <w:pPr>
        <w:snapToGrid w:val="0"/>
        <w:ind w:firstLine="640"/>
        <w:jc w:val="center"/>
        <w:rPr>
          <w:rFonts w:ascii="宋体" w:hAnsi="宋体"/>
          <w:bCs/>
          <w:color w:val="auto"/>
          <w:sz w:val="32"/>
          <w:szCs w:val="32"/>
          <w:highlight w:val="none"/>
        </w:rPr>
      </w:pPr>
    </w:p>
    <w:p w14:paraId="3DCB0B19">
      <w:pPr>
        <w:snapToGrid w:val="0"/>
        <w:ind w:firstLine="640"/>
        <w:jc w:val="center"/>
        <w:rPr>
          <w:rFonts w:ascii="宋体" w:hAnsi="宋体"/>
          <w:bCs/>
          <w:color w:val="auto"/>
          <w:sz w:val="32"/>
          <w:szCs w:val="32"/>
          <w:highlight w:val="none"/>
        </w:rPr>
      </w:pPr>
    </w:p>
    <w:p w14:paraId="30FB19AF">
      <w:pPr>
        <w:snapToGrid w:val="0"/>
        <w:spacing w:line="360" w:lineRule="auto"/>
        <w:rPr>
          <w:rFonts w:ascii="宋体" w:hAnsi="宋体"/>
          <w:color w:val="auto"/>
          <w:szCs w:val="21"/>
          <w:highlight w:val="none"/>
        </w:rPr>
      </w:pPr>
    </w:p>
    <w:p w14:paraId="34210C78">
      <w:pPr>
        <w:tabs>
          <w:tab w:val="left" w:pos="4395"/>
        </w:tabs>
        <w:spacing w:line="440" w:lineRule="exact"/>
        <w:ind w:firstLine="643"/>
        <w:rPr>
          <w:rFonts w:ascii="宋体" w:hAnsi="宋体"/>
          <w:bCs/>
          <w:color w:val="auto"/>
          <w:sz w:val="32"/>
          <w:szCs w:val="32"/>
          <w:highlight w:val="none"/>
        </w:rPr>
      </w:pPr>
      <w:r>
        <w:rPr>
          <w:rFonts w:hint="eastAsia" w:ascii="宋体" w:hAnsi="宋体"/>
          <w:b/>
          <w:bCs/>
          <w:color w:val="auto"/>
          <w:sz w:val="32"/>
          <w:szCs w:val="32"/>
          <w:highlight w:val="none"/>
        </w:rPr>
        <w:br w:type="page"/>
      </w:r>
    </w:p>
    <w:p w14:paraId="257F3EA4">
      <w:pPr>
        <w:keepNext w:val="0"/>
        <w:keepLines w:val="0"/>
        <w:pageBreakBefore w:val="0"/>
        <w:widowControl/>
        <w:tabs>
          <w:tab w:val="left" w:pos="3157"/>
        </w:tabs>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val="0"/>
          <w:bCs w:val="0"/>
          <w:snapToGrid w:val="0"/>
          <w:color w:val="auto"/>
          <w:spacing w:val="39"/>
          <w:kern w:val="0"/>
          <w:sz w:val="28"/>
          <w:szCs w:val="28"/>
          <w:highlight w:val="none"/>
          <w:u w:val="none"/>
        </w:rPr>
      </w:pPr>
      <w:r>
        <w:rPr>
          <w:rFonts w:hint="eastAsia" w:ascii="黑体" w:hAnsi="黑体" w:eastAsia="黑体" w:cs="黑体"/>
          <w:b w:val="0"/>
          <w:bCs w:val="0"/>
          <w:snapToGrid w:val="0"/>
          <w:color w:val="auto"/>
          <w:spacing w:val="39"/>
          <w:kern w:val="0"/>
          <w:sz w:val="28"/>
          <w:szCs w:val="28"/>
          <w:highlight w:val="none"/>
          <w:u w:val="none"/>
          <w:lang w:val="en-US" w:eastAsia="zh-CN"/>
        </w:rPr>
        <w:t>委托方（</w:t>
      </w:r>
      <w:r>
        <w:rPr>
          <w:rFonts w:hint="default" w:ascii="黑体" w:hAnsi="黑体" w:eastAsia="黑体" w:cs="黑体"/>
          <w:b w:val="0"/>
          <w:bCs w:val="0"/>
          <w:snapToGrid w:val="0"/>
          <w:color w:val="auto"/>
          <w:spacing w:val="39"/>
          <w:kern w:val="0"/>
          <w:sz w:val="28"/>
          <w:szCs w:val="28"/>
          <w:highlight w:val="none"/>
          <w:u w:val="none"/>
          <w:lang w:val="en-US" w:eastAsia="zh-CN"/>
        </w:rPr>
        <w:t>甲方</w:t>
      </w:r>
      <w:r>
        <w:rPr>
          <w:rFonts w:hint="eastAsia" w:ascii="黑体" w:hAnsi="黑体" w:eastAsia="黑体" w:cs="黑体"/>
          <w:b w:val="0"/>
          <w:bCs w:val="0"/>
          <w:snapToGrid w:val="0"/>
          <w:color w:val="auto"/>
          <w:spacing w:val="39"/>
          <w:kern w:val="0"/>
          <w:sz w:val="28"/>
          <w:szCs w:val="28"/>
          <w:highlight w:val="none"/>
          <w:u w:val="none"/>
          <w:lang w:val="en-US" w:eastAsia="zh-CN"/>
        </w:rPr>
        <w:t>）</w:t>
      </w:r>
      <w:r>
        <w:rPr>
          <w:rFonts w:hint="default" w:ascii="黑体" w:hAnsi="黑体" w:eastAsia="黑体" w:cs="黑体"/>
          <w:b w:val="0"/>
          <w:bCs w:val="0"/>
          <w:snapToGrid w:val="0"/>
          <w:color w:val="auto"/>
          <w:spacing w:val="39"/>
          <w:kern w:val="0"/>
          <w:sz w:val="28"/>
          <w:szCs w:val="28"/>
          <w:highlight w:val="none"/>
          <w:u w:val="none"/>
          <w:lang w:val="en-US" w:eastAsia="zh-CN"/>
        </w:rPr>
        <w:t>合同编号：</w:t>
      </w:r>
    </w:p>
    <w:p w14:paraId="6AF95D94">
      <w:pPr>
        <w:keepNext w:val="0"/>
        <w:keepLines w:val="0"/>
        <w:pageBreakBefore w:val="0"/>
        <w:widowControl/>
        <w:tabs>
          <w:tab w:val="left" w:pos="3157"/>
        </w:tabs>
        <w:kinsoku/>
        <w:wordWrap/>
        <w:overflowPunct/>
        <w:topLinePunct w:val="0"/>
        <w:autoSpaceDE w:val="0"/>
        <w:autoSpaceDN w:val="0"/>
        <w:bidi w:val="0"/>
        <w:adjustRightInd w:val="0"/>
        <w:snapToGrid w:val="0"/>
        <w:spacing w:line="360" w:lineRule="auto"/>
        <w:ind w:left="0" w:leftChars="0" w:firstLine="0" w:firstLineChars="0"/>
        <w:jc w:val="left"/>
        <w:textAlignment w:val="baseline"/>
        <w:rPr>
          <w:rFonts w:hint="eastAsia" w:ascii="黑体" w:hAnsi="黑体" w:eastAsia="黑体" w:cs="黑体"/>
          <w:b w:val="0"/>
          <w:bCs w:val="0"/>
          <w:snapToGrid w:val="0"/>
          <w:color w:val="auto"/>
          <w:spacing w:val="39"/>
          <w:kern w:val="0"/>
          <w:sz w:val="28"/>
          <w:szCs w:val="28"/>
          <w:highlight w:val="none"/>
          <w:u w:val="none"/>
        </w:rPr>
      </w:pPr>
      <w:r>
        <w:rPr>
          <w:rFonts w:hint="eastAsia" w:ascii="黑体" w:hAnsi="黑体" w:eastAsia="黑体" w:cs="黑体"/>
          <w:b w:val="0"/>
          <w:bCs w:val="0"/>
          <w:snapToGrid w:val="0"/>
          <w:color w:val="auto"/>
          <w:spacing w:val="39"/>
          <w:kern w:val="0"/>
          <w:sz w:val="28"/>
          <w:szCs w:val="28"/>
          <w:highlight w:val="none"/>
          <w:u w:val="none"/>
        </w:rPr>
        <w:t>受托方（乙方）合同编号：</w:t>
      </w:r>
    </w:p>
    <w:p w14:paraId="632F7650">
      <w:pPr>
        <w:keepNext w:val="0"/>
        <w:keepLines w:val="0"/>
        <w:pageBreakBefore w:val="0"/>
        <w:kinsoku/>
        <w:wordWrap/>
        <w:overflowPunct/>
        <w:topLinePunct w:val="0"/>
        <w:autoSpaceDE w:val="0"/>
        <w:autoSpaceDN w:val="0"/>
        <w:bidi w:val="0"/>
        <w:adjustRightInd w:val="0"/>
        <w:snapToGrid w:val="0"/>
        <w:spacing w:line="480" w:lineRule="exact"/>
        <w:ind w:left="0" w:leftChars="0" w:firstLine="0" w:firstLineChars="0"/>
        <w:textAlignment w:val="baseline"/>
        <w:rPr>
          <w:rFonts w:asciiTheme="minorEastAsia" w:hAnsiTheme="minorEastAsia" w:eastAsiaTheme="minorEastAsia" w:cstheme="minorEastAsia"/>
          <w:snapToGrid w:val="0"/>
          <w:color w:val="auto"/>
          <w:sz w:val="28"/>
          <w:szCs w:val="28"/>
          <w:highlight w:val="none"/>
        </w:rPr>
      </w:pPr>
    </w:p>
    <w:p w14:paraId="16CA3D1D">
      <w:pPr>
        <w:keepNext w:val="0"/>
        <w:keepLines w:val="0"/>
        <w:pageBreakBefore w:val="0"/>
        <w:kinsoku/>
        <w:wordWrap/>
        <w:overflowPunct/>
        <w:topLinePunct w:val="0"/>
        <w:autoSpaceDE w:val="0"/>
        <w:autoSpaceDN w:val="0"/>
        <w:bidi w:val="0"/>
        <w:adjustRightInd w:val="0"/>
        <w:snapToGrid w:val="0"/>
        <w:spacing w:line="480" w:lineRule="exact"/>
        <w:ind w:left="0" w:leftChars="0" w:firstLine="0" w:firstLineChars="0"/>
        <w:textAlignment w:val="baseline"/>
        <w:rPr>
          <w:rFonts w:asciiTheme="minorEastAsia" w:hAnsiTheme="minorEastAsia" w:eastAsiaTheme="minorEastAsia" w:cstheme="minorEastAsia"/>
          <w:snapToGrid w:val="0"/>
          <w:color w:val="auto"/>
          <w:sz w:val="28"/>
          <w:szCs w:val="28"/>
          <w:highlight w:val="none"/>
        </w:rPr>
      </w:pPr>
    </w:p>
    <w:p w14:paraId="2CCF28DA">
      <w:pPr>
        <w:keepNext w:val="0"/>
        <w:keepLines w:val="0"/>
        <w:pageBreakBefore w:val="0"/>
        <w:kinsoku/>
        <w:wordWrap/>
        <w:overflowPunct/>
        <w:topLinePunct w:val="0"/>
        <w:autoSpaceDE w:val="0"/>
        <w:autoSpaceDN w:val="0"/>
        <w:bidi w:val="0"/>
        <w:adjustRightInd w:val="0"/>
        <w:snapToGrid w:val="0"/>
        <w:spacing w:line="480" w:lineRule="exact"/>
        <w:ind w:left="0" w:leftChars="0" w:firstLine="0" w:firstLineChars="0"/>
        <w:textAlignment w:val="baseline"/>
        <w:rPr>
          <w:rFonts w:asciiTheme="minorEastAsia" w:hAnsiTheme="minorEastAsia" w:eastAsiaTheme="minorEastAsia" w:cstheme="minorEastAsia"/>
          <w:snapToGrid w:val="0"/>
          <w:color w:val="auto"/>
          <w:sz w:val="28"/>
          <w:szCs w:val="28"/>
          <w:highlight w:val="none"/>
        </w:rPr>
      </w:pPr>
    </w:p>
    <w:p w14:paraId="41F584BC">
      <w:pPr>
        <w:keepNext w:val="0"/>
        <w:keepLines w:val="0"/>
        <w:pageBreakBefore w:val="0"/>
        <w:kinsoku/>
        <w:wordWrap/>
        <w:overflowPunct/>
        <w:topLinePunct w:val="0"/>
        <w:autoSpaceDE w:val="0"/>
        <w:autoSpaceDN w:val="0"/>
        <w:bidi w:val="0"/>
        <w:adjustRightInd w:val="0"/>
        <w:snapToGrid w:val="0"/>
        <w:spacing w:line="480" w:lineRule="exact"/>
        <w:ind w:left="0" w:leftChars="0" w:firstLine="0" w:firstLineChars="0"/>
        <w:textAlignment w:val="baseline"/>
        <w:rPr>
          <w:rFonts w:asciiTheme="minorEastAsia" w:hAnsiTheme="minorEastAsia" w:eastAsiaTheme="minorEastAsia" w:cstheme="minorEastAsia"/>
          <w:snapToGrid w:val="0"/>
          <w:color w:val="auto"/>
          <w:sz w:val="28"/>
          <w:szCs w:val="28"/>
          <w:highlight w:val="none"/>
        </w:rPr>
      </w:pPr>
    </w:p>
    <w:p w14:paraId="6B136CA2">
      <w:pPr>
        <w:keepNext w:val="0"/>
        <w:keepLines w:val="0"/>
        <w:pageBreakBefore w:val="0"/>
        <w:kinsoku/>
        <w:wordWrap/>
        <w:overflowPunct/>
        <w:topLinePunct w:val="0"/>
        <w:autoSpaceDE w:val="0"/>
        <w:autoSpaceDN w:val="0"/>
        <w:bidi w:val="0"/>
        <w:adjustRightInd w:val="0"/>
        <w:snapToGrid w:val="0"/>
        <w:spacing w:line="480" w:lineRule="exact"/>
        <w:ind w:left="0" w:leftChars="0" w:firstLine="0" w:firstLineChars="0"/>
        <w:textAlignment w:val="baseline"/>
        <w:rPr>
          <w:rFonts w:asciiTheme="minorEastAsia" w:hAnsiTheme="minorEastAsia" w:eastAsiaTheme="minorEastAsia" w:cstheme="minorEastAsia"/>
          <w:snapToGrid w:val="0"/>
          <w:color w:val="auto"/>
          <w:sz w:val="28"/>
          <w:szCs w:val="28"/>
          <w:highlight w:val="none"/>
        </w:rPr>
      </w:pPr>
    </w:p>
    <w:p w14:paraId="006B3452">
      <w:pPr>
        <w:keepNext w:val="0"/>
        <w:keepLines w:val="0"/>
        <w:pageBreakBefore w:val="0"/>
        <w:kinsoku/>
        <w:wordWrap/>
        <w:overflowPunct/>
        <w:topLinePunct w:val="0"/>
        <w:autoSpaceDE w:val="0"/>
        <w:autoSpaceDN w:val="0"/>
        <w:bidi w:val="0"/>
        <w:adjustRightInd w:val="0"/>
        <w:snapToGrid w:val="0"/>
        <w:spacing w:line="480" w:lineRule="exact"/>
        <w:ind w:left="0" w:leftChars="0" w:firstLine="0" w:firstLineChars="0"/>
        <w:textAlignment w:val="baseline"/>
        <w:rPr>
          <w:rFonts w:asciiTheme="minorEastAsia" w:hAnsiTheme="minorEastAsia" w:eastAsiaTheme="minorEastAsia" w:cstheme="minorEastAsia"/>
          <w:snapToGrid w:val="0"/>
          <w:color w:val="auto"/>
          <w:sz w:val="28"/>
          <w:szCs w:val="28"/>
          <w:highlight w:val="none"/>
        </w:rPr>
      </w:pPr>
    </w:p>
    <w:p w14:paraId="78BCCB3A">
      <w:pPr>
        <w:keepNext w:val="0"/>
        <w:keepLines w:val="0"/>
        <w:pageBreakBefore w:val="0"/>
        <w:kinsoku/>
        <w:wordWrap/>
        <w:overflowPunct/>
        <w:topLinePunct w:val="0"/>
        <w:autoSpaceDE w:val="0"/>
        <w:autoSpaceDN w:val="0"/>
        <w:bidi w:val="0"/>
        <w:adjustRightInd w:val="0"/>
        <w:snapToGrid w:val="0"/>
        <w:spacing w:line="480" w:lineRule="exact"/>
        <w:ind w:left="0" w:leftChars="0" w:firstLine="0" w:firstLineChars="0"/>
        <w:textAlignment w:val="baseline"/>
        <w:rPr>
          <w:rFonts w:asciiTheme="minorEastAsia" w:hAnsiTheme="minorEastAsia" w:eastAsiaTheme="minorEastAsia" w:cstheme="minorEastAsia"/>
          <w:snapToGrid w:val="0"/>
          <w:color w:val="auto"/>
          <w:sz w:val="28"/>
          <w:szCs w:val="28"/>
          <w:highlight w:val="none"/>
        </w:rPr>
      </w:pPr>
    </w:p>
    <w:p w14:paraId="24BC333D">
      <w:pPr>
        <w:keepNext w:val="0"/>
        <w:keepLines w:val="0"/>
        <w:pageBreakBefore w:val="0"/>
        <w:kinsoku/>
        <w:wordWrap/>
        <w:overflowPunct/>
        <w:topLinePunct w:val="0"/>
        <w:autoSpaceDE w:val="0"/>
        <w:autoSpaceDN w:val="0"/>
        <w:bidi w:val="0"/>
        <w:adjustRightInd w:val="0"/>
        <w:snapToGrid w:val="0"/>
        <w:spacing w:line="480" w:lineRule="exact"/>
        <w:ind w:left="0" w:leftChars="0" w:firstLine="0" w:firstLineChars="0"/>
        <w:textAlignment w:val="baseline"/>
        <w:rPr>
          <w:rFonts w:asciiTheme="minorEastAsia" w:hAnsiTheme="minorEastAsia" w:eastAsiaTheme="minorEastAsia" w:cstheme="minorEastAsia"/>
          <w:snapToGrid w:val="0"/>
          <w:color w:val="auto"/>
          <w:sz w:val="28"/>
          <w:szCs w:val="28"/>
          <w:highlight w:val="none"/>
        </w:rPr>
      </w:pPr>
    </w:p>
    <w:p w14:paraId="330934DD">
      <w:pPr>
        <w:keepNext w:val="0"/>
        <w:keepLines w:val="0"/>
        <w:pageBreakBefore w:val="0"/>
        <w:kinsoku/>
        <w:wordWrap/>
        <w:overflowPunct/>
        <w:topLinePunct w:val="0"/>
        <w:autoSpaceDE w:val="0"/>
        <w:autoSpaceDN w:val="0"/>
        <w:bidi w:val="0"/>
        <w:adjustRightInd w:val="0"/>
        <w:snapToGrid w:val="0"/>
        <w:spacing w:line="480" w:lineRule="exact"/>
        <w:ind w:left="0" w:leftChars="0" w:firstLine="0" w:firstLineChars="0"/>
        <w:textAlignment w:val="baseline"/>
        <w:rPr>
          <w:rFonts w:ascii="黑体" w:hAnsi="黑体" w:eastAsia="黑体" w:cs="黑体"/>
          <w:snapToGrid w:val="0"/>
          <w:color w:val="auto"/>
          <w:sz w:val="44"/>
          <w:szCs w:val="44"/>
          <w:highlight w:val="none"/>
        </w:rPr>
      </w:pPr>
    </w:p>
    <w:p w14:paraId="5858B1BE">
      <w:pPr>
        <w:keepNext w:val="0"/>
        <w:keepLines w:val="0"/>
        <w:pageBreakBefore w:val="0"/>
        <w:widowControl/>
        <w:tabs>
          <w:tab w:val="left" w:pos="3157"/>
        </w:tabs>
        <w:kinsoku/>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黑体" w:hAnsi="黑体" w:eastAsia="黑体" w:cs="黑体"/>
          <w:snapToGrid w:val="0"/>
          <w:color w:val="auto"/>
          <w:spacing w:val="39"/>
          <w:kern w:val="0"/>
          <w:sz w:val="48"/>
          <w:szCs w:val="48"/>
          <w:highlight w:val="none"/>
          <w:u w:val="single"/>
        </w:rPr>
      </w:pPr>
      <w:r>
        <w:rPr>
          <w:rFonts w:hint="eastAsia" w:ascii="黑体" w:hAnsi="黑体" w:eastAsia="黑体" w:cs="黑体"/>
          <w:snapToGrid w:val="0"/>
          <w:color w:val="auto"/>
          <w:spacing w:val="39"/>
          <w:kern w:val="0"/>
          <w:sz w:val="48"/>
          <w:szCs w:val="48"/>
          <w:highlight w:val="none"/>
          <w:u w:val="single"/>
        </w:rPr>
        <w:t>梧州市本级行政事业单位和团体组织、国有企业、医院能源（用电）费用托管项目（一期）</w:t>
      </w:r>
    </w:p>
    <w:p w14:paraId="2B85E06E">
      <w:pPr>
        <w:keepNext w:val="0"/>
        <w:keepLines w:val="0"/>
        <w:pageBreakBefore w:val="0"/>
        <w:widowControl/>
        <w:tabs>
          <w:tab w:val="left" w:pos="3157"/>
        </w:tabs>
        <w:kinsoku/>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黑体" w:hAnsi="黑体" w:eastAsia="黑体" w:cs="黑体"/>
          <w:snapToGrid w:val="0"/>
          <w:color w:val="auto"/>
          <w:spacing w:val="39"/>
          <w:kern w:val="0"/>
          <w:sz w:val="48"/>
          <w:szCs w:val="48"/>
          <w:highlight w:val="none"/>
          <w:u w:val="single"/>
        </w:rPr>
      </w:pPr>
      <w:r>
        <w:rPr>
          <w:rFonts w:hint="eastAsia" w:ascii="黑体" w:hAnsi="黑体" w:eastAsia="黑体" w:cs="黑体"/>
          <w:snapToGrid w:val="0"/>
          <w:color w:val="auto"/>
          <w:spacing w:val="39"/>
          <w:kern w:val="0"/>
          <w:sz w:val="48"/>
          <w:szCs w:val="48"/>
          <w:highlight w:val="none"/>
          <w:u w:val="none"/>
        </w:rPr>
        <w:t>能源费用托管项目合同</w:t>
      </w:r>
    </w:p>
    <w:p w14:paraId="23736549">
      <w:pPr>
        <w:keepNext w:val="0"/>
        <w:keepLines w:val="0"/>
        <w:pageBreakBefore w:val="0"/>
        <w:kinsoku/>
        <w:wordWrap/>
        <w:overflowPunct/>
        <w:topLinePunct w:val="0"/>
        <w:autoSpaceDE w:val="0"/>
        <w:autoSpaceDN w:val="0"/>
        <w:bidi w:val="0"/>
        <w:adjustRightInd w:val="0"/>
        <w:snapToGrid w:val="0"/>
        <w:spacing w:line="480" w:lineRule="exact"/>
        <w:ind w:left="0" w:leftChars="0" w:firstLine="0" w:firstLineChars="0"/>
        <w:textAlignment w:val="baseline"/>
        <w:rPr>
          <w:rFonts w:asciiTheme="minorEastAsia" w:hAnsiTheme="minorEastAsia" w:eastAsiaTheme="minorEastAsia" w:cstheme="minorEastAsia"/>
          <w:snapToGrid w:val="0"/>
          <w:color w:val="auto"/>
          <w:sz w:val="28"/>
          <w:szCs w:val="28"/>
          <w:highlight w:val="none"/>
        </w:rPr>
      </w:pPr>
    </w:p>
    <w:p w14:paraId="2BE7BBC8">
      <w:pPr>
        <w:keepNext w:val="0"/>
        <w:keepLines w:val="0"/>
        <w:pageBreakBefore w:val="0"/>
        <w:kinsoku/>
        <w:wordWrap/>
        <w:overflowPunct/>
        <w:topLinePunct w:val="0"/>
        <w:autoSpaceDE w:val="0"/>
        <w:autoSpaceDN w:val="0"/>
        <w:bidi w:val="0"/>
        <w:adjustRightInd w:val="0"/>
        <w:snapToGrid w:val="0"/>
        <w:spacing w:line="480" w:lineRule="exact"/>
        <w:ind w:left="0" w:leftChars="0" w:firstLine="0" w:firstLineChars="0"/>
        <w:textAlignment w:val="baseline"/>
        <w:rPr>
          <w:rFonts w:asciiTheme="minorEastAsia" w:hAnsiTheme="minorEastAsia" w:eastAsiaTheme="minorEastAsia" w:cstheme="minorEastAsia"/>
          <w:snapToGrid w:val="0"/>
          <w:color w:val="auto"/>
          <w:sz w:val="28"/>
          <w:szCs w:val="28"/>
          <w:highlight w:val="none"/>
        </w:rPr>
      </w:pPr>
    </w:p>
    <w:p w14:paraId="13931EC3">
      <w:pPr>
        <w:keepNext w:val="0"/>
        <w:keepLines w:val="0"/>
        <w:pageBreakBefore w:val="0"/>
        <w:kinsoku/>
        <w:wordWrap/>
        <w:overflowPunct/>
        <w:topLinePunct w:val="0"/>
        <w:autoSpaceDE w:val="0"/>
        <w:autoSpaceDN w:val="0"/>
        <w:bidi w:val="0"/>
        <w:adjustRightInd w:val="0"/>
        <w:snapToGrid w:val="0"/>
        <w:spacing w:line="480" w:lineRule="exact"/>
        <w:ind w:left="0" w:leftChars="0" w:firstLine="0" w:firstLineChars="0"/>
        <w:textAlignment w:val="baseline"/>
        <w:rPr>
          <w:rFonts w:asciiTheme="minorEastAsia" w:hAnsiTheme="minorEastAsia" w:eastAsiaTheme="minorEastAsia" w:cstheme="minorEastAsia"/>
          <w:snapToGrid w:val="0"/>
          <w:color w:val="auto"/>
          <w:sz w:val="28"/>
          <w:szCs w:val="28"/>
          <w:highlight w:val="none"/>
        </w:rPr>
      </w:pPr>
    </w:p>
    <w:p w14:paraId="1B680938">
      <w:pPr>
        <w:keepNext w:val="0"/>
        <w:keepLines w:val="0"/>
        <w:pageBreakBefore w:val="0"/>
        <w:widowControl/>
        <w:tabs>
          <w:tab w:val="left" w:pos="7437"/>
        </w:tabs>
        <w:kinsoku/>
        <w:wordWrap/>
        <w:overflowPunct/>
        <w:topLinePunct w:val="0"/>
        <w:autoSpaceDE w:val="0"/>
        <w:autoSpaceDN w:val="0"/>
        <w:bidi w:val="0"/>
        <w:adjustRightInd w:val="0"/>
        <w:snapToGrid w:val="0"/>
        <w:spacing w:line="480" w:lineRule="exact"/>
        <w:ind w:left="0" w:leftChars="0" w:firstLine="0" w:firstLineChars="0"/>
        <w:textAlignment w:val="baseline"/>
        <w:rPr>
          <w:rFonts w:hint="eastAsia" w:ascii="黑体" w:hAnsi="黑体" w:eastAsia="黑体" w:cs="黑体"/>
          <w:snapToGrid w:val="0"/>
          <w:color w:val="auto"/>
          <w:kern w:val="0"/>
          <w:sz w:val="28"/>
          <w:szCs w:val="28"/>
          <w:highlight w:val="none"/>
          <w:u w:val="single"/>
        </w:rPr>
      </w:pPr>
      <w:r>
        <w:rPr>
          <w:rFonts w:hint="eastAsia" w:ascii="黑体" w:hAnsi="黑体" w:eastAsia="黑体" w:cs="黑体"/>
          <w:snapToGrid w:val="0"/>
          <w:color w:val="auto"/>
          <w:kern w:val="0"/>
          <w:sz w:val="28"/>
          <w:szCs w:val="28"/>
          <w:highlight w:val="none"/>
        </w:rPr>
        <w:t>委托方（甲方</w:t>
      </w:r>
      <w:r>
        <w:rPr>
          <w:rFonts w:hint="eastAsia" w:ascii="黑体" w:hAnsi="黑体" w:eastAsia="黑体" w:cs="黑体"/>
          <w:snapToGrid w:val="0"/>
          <w:color w:val="auto"/>
          <w:spacing w:val="-55"/>
          <w:w w:val="80"/>
          <w:kern w:val="0"/>
          <w:sz w:val="28"/>
          <w:szCs w:val="28"/>
          <w:highlight w:val="none"/>
        </w:rPr>
        <w:t>）：</w:t>
      </w:r>
      <w:r>
        <w:rPr>
          <w:rFonts w:hint="eastAsia" w:ascii="黑体" w:hAnsi="黑体" w:eastAsia="黑体" w:cs="黑体"/>
          <w:snapToGrid w:val="0"/>
          <w:color w:val="auto"/>
          <w:kern w:val="0"/>
          <w:sz w:val="28"/>
          <w:szCs w:val="28"/>
          <w:highlight w:val="none"/>
          <w:u w:val="single"/>
        </w:rPr>
        <w:tab/>
      </w:r>
    </w:p>
    <w:p w14:paraId="457E3510">
      <w:pPr>
        <w:keepNext w:val="0"/>
        <w:keepLines w:val="0"/>
        <w:pageBreakBefore w:val="0"/>
        <w:widowControl/>
        <w:tabs>
          <w:tab w:val="left" w:pos="7437"/>
        </w:tabs>
        <w:kinsoku/>
        <w:wordWrap/>
        <w:overflowPunct/>
        <w:topLinePunct w:val="0"/>
        <w:autoSpaceDE w:val="0"/>
        <w:autoSpaceDN w:val="0"/>
        <w:bidi w:val="0"/>
        <w:adjustRightInd w:val="0"/>
        <w:snapToGrid w:val="0"/>
        <w:spacing w:line="480" w:lineRule="exact"/>
        <w:ind w:left="0" w:leftChars="0" w:firstLine="0" w:firstLineChars="0"/>
        <w:textAlignment w:val="baseline"/>
        <w:rPr>
          <w:rFonts w:hint="eastAsia" w:ascii="黑体" w:hAnsi="黑体" w:eastAsia="黑体" w:cs="黑体"/>
          <w:snapToGrid w:val="0"/>
          <w:color w:val="auto"/>
          <w:kern w:val="0"/>
          <w:sz w:val="28"/>
          <w:szCs w:val="28"/>
          <w:highlight w:val="none"/>
          <w:u w:val="single"/>
        </w:rPr>
      </w:pPr>
      <w:r>
        <w:rPr>
          <w:rFonts w:hint="eastAsia" w:ascii="黑体" w:hAnsi="黑体" w:eastAsia="黑体" w:cs="黑体"/>
          <w:snapToGrid w:val="0"/>
          <w:color w:val="auto"/>
          <w:spacing w:val="1"/>
          <w:kern w:val="0"/>
          <w:sz w:val="28"/>
          <w:szCs w:val="28"/>
          <w:highlight w:val="none"/>
        </w:rPr>
        <w:t>受托方（乙方</w:t>
      </w:r>
      <w:r>
        <w:rPr>
          <w:rFonts w:hint="eastAsia" w:ascii="黑体" w:hAnsi="黑体" w:eastAsia="黑体" w:cs="黑体"/>
          <w:snapToGrid w:val="0"/>
          <w:color w:val="auto"/>
          <w:spacing w:val="-55"/>
          <w:w w:val="80"/>
          <w:kern w:val="0"/>
          <w:sz w:val="28"/>
          <w:szCs w:val="28"/>
          <w:highlight w:val="none"/>
        </w:rPr>
        <w:t>）：</w:t>
      </w:r>
      <w:r>
        <w:rPr>
          <w:rFonts w:hint="eastAsia" w:ascii="黑体" w:hAnsi="黑体" w:eastAsia="黑体" w:cs="黑体"/>
          <w:snapToGrid w:val="0"/>
          <w:color w:val="auto"/>
          <w:kern w:val="0"/>
          <w:sz w:val="28"/>
          <w:szCs w:val="28"/>
          <w:highlight w:val="none"/>
          <w:u w:val="single"/>
        </w:rPr>
        <w:tab/>
      </w:r>
    </w:p>
    <w:p w14:paraId="1EBD0F6F">
      <w:pPr>
        <w:keepNext w:val="0"/>
        <w:keepLines w:val="0"/>
        <w:pageBreakBefore w:val="0"/>
        <w:widowControl/>
        <w:tabs>
          <w:tab w:val="left" w:pos="7437"/>
        </w:tabs>
        <w:kinsoku/>
        <w:wordWrap/>
        <w:overflowPunct/>
        <w:topLinePunct w:val="0"/>
        <w:autoSpaceDE w:val="0"/>
        <w:autoSpaceDN w:val="0"/>
        <w:bidi w:val="0"/>
        <w:adjustRightInd w:val="0"/>
        <w:snapToGrid w:val="0"/>
        <w:spacing w:line="480" w:lineRule="exact"/>
        <w:ind w:left="0" w:leftChars="0" w:firstLine="0" w:firstLineChars="0"/>
        <w:textAlignment w:val="baseline"/>
        <w:rPr>
          <w:rFonts w:hint="eastAsia" w:ascii="黑体" w:hAnsi="黑体" w:eastAsia="黑体" w:cs="黑体"/>
          <w:snapToGrid w:val="0"/>
          <w:color w:val="auto"/>
          <w:kern w:val="0"/>
          <w:sz w:val="28"/>
          <w:szCs w:val="28"/>
          <w:highlight w:val="none"/>
          <w:u w:val="single"/>
        </w:rPr>
      </w:pPr>
      <w:r>
        <w:rPr>
          <w:rFonts w:hint="eastAsia" w:ascii="黑体" w:hAnsi="黑体" w:eastAsia="黑体" w:cs="黑体"/>
          <w:snapToGrid w:val="0"/>
          <w:color w:val="auto"/>
          <w:spacing w:val="-2"/>
          <w:kern w:val="0"/>
          <w:sz w:val="28"/>
          <w:szCs w:val="28"/>
          <w:highlight w:val="none"/>
        </w:rPr>
        <w:t>签订时间：</w:t>
      </w:r>
      <w:r>
        <w:rPr>
          <w:rFonts w:hint="eastAsia" w:ascii="黑体" w:hAnsi="黑体" w:eastAsia="黑体" w:cs="黑体"/>
          <w:snapToGrid w:val="0"/>
          <w:color w:val="auto"/>
          <w:kern w:val="0"/>
          <w:sz w:val="28"/>
          <w:szCs w:val="28"/>
          <w:highlight w:val="none"/>
          <w:u w:val="single"/>
        </w:rPr>
        <w:tab/>
      </w:r>
    </w:p>
    <w:p w14:paraId="4882F21C">
      <w:pPr>
        <w:keepNext w:val="0"/>
        <w:keepLines w:val="0"/>
        <w:pageBreakBefore w:val="0"/>
        <w:widowControl/>
        <w:tabs>
          <w:tab w:val="left" w:pos="7437"/>
        </w:tabs>
        <w:kinsoku/>
        <w:wordWrap/>
        <w:overflowPunct/>
        <w:topLinePunct w:val="0"/>
        <w:autoSpaceDE w:val="0"/>
        <w:autoSpaceDN w:val="0"/>
        <w:bidi w:val="0"/>
        <w:adjustRightInd w:val="0"/>
        <w:snapToGrid w:val="0"/>
        <w:spacing w:line="480" w:lineRule="exact"/>
        <w:ind w:left="0" w:leftChars="0" w:firstLine="0" w:firstLineChars="0"/>
        <w:textAlignment w:val="baseline"/>
        <w:rPr>
          <w:rFonts w:hint="eastAsia" w:ascii="黑体" w:hAnsi="黑体" w:eastAsia="黑体" w:cs="黑体"/>
          <w:snapToGrid w:val="0"/>
          <w:color w:val="auto"/>
          <w:kern w:val="0"/>
          <w:sz w:val="28"/>
          <w:szCs w:val="28"/>
          <w:highlight w:val="none"/>
          <w:u w:val="single"/>
        </w:rPr>
      </w:pPr>
      <w:r>
        <w:rPr>
          <w:rFonts w:hint="eastAsia" w:ascii="黑体" w:hAnsi="黑体" w:eastAsia="黑体" w:cs="黑体"/>
          <w:snapToGrid w:val="0"/>
          <w:color w:val="auto"/>
          <w:spacing w:val="-2"/>
          <w:kern w:val="0"/>
          <w:sz w:val="28"/>
          <w:szCs w:val="28"/>
          <w:highlight w:val="none"/>
          <w:lang w:eastAsia="en-US"/>
        </w:rPr>
        <w:t>签订地点：</w:t>
      </w:r>
      <w:r>
        <w:rPr>
          <w:rFonts w:hint="eastAsia" w:ascii="黑体" w:hAnsi="黑体" w:eastAsia="黑体" w:cs="黑体"/>
          <w:snapToGrid w:val="0"/>
          <w:color w:val="auto"/>
          <w:spacing w:val="-2"/>
          <w:kern w:val="0"/>
          <w:sz w:val="28"/>
          <w:szCs w:val="28"/>
          <w:highlight w:val="none"/>
          <w:u w:val="single"/>
        </w:rPr>
        <w:t xml:space="preserve">                                        </w:t>
      </w:r>
    </w:p>
    <w:p w14:paraId="463DC6A7">
      <w:pPr>
        <w:keepNext w:val="0"/>
        <w:keepLines w:val="0"/>
        <w:pageBreakBefore w:val="0"/>
        <w:widowControl/>
        <w:kinsoku/>
        <w:wordWrap/>
        <w:overflowPunct/>
        <w:topLinePunct w:val="0"/>
        <w:autoSpaceDE w:val="0"/>
        <w:autoSpaceDN w:val="0"/>
        <w:bidi w:val="0"/>
        <w:adjustRightInd w:val="0"/>
        <w:snapToGrid w:val="0"/>
        <w:spacing w:line="480" w:lineRule="exact"/>
        <w:ind w:left="0" w:leftChars="0" w:firstLine="0" w:firstLineChars="0"/>
        <w:textAlignment w:val="baseline"/>
        <w:rPr>
          <w:rFonts w:asciiTheme="minorEastAsia" w:hAnsiTheme="minorEastAsia" w:eastAsiaTheme="minorEastAsia" w:cstheme="minorEastAsia"/>
          <w:snapToGrid w:val="0"/>
          <w:color w:val="auto"/>
          <w:kern w:val="0"/>
          <w:sz w:val="28"/>
          <w:szCs w:val="28"/>
          <w:highlight w:val="none"/>
          <w:u w:val="single"/>
          <w:lang w:eastAsia="en-US"/>
        </w:rPr>
      </w:pPr>
    </w:p>
    <w:p w14:paraId="39698DB1">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left"/>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kern w:val="0"/>
          <w:sz w:val="28"/>
          <w:szCs w:val="28"/>
          <w:highlight w:val="none"/>
          <w:lang w:eastAsia="en-US"/>
        </w:rPr>
        <w:br w:type="page"/>
      </w:r>
    </w:p>
    <w:tbl>
      <w:tblPr>
        <w:tblStyle w:val="109"/>
        <w:tblW w:w="5004" w:type="pct"/>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autofit"/>
        <w:tblCellMar>
          <w:top w:w="0" w:type="dxa"/>
          <w:left w:w="0" w:type="dxa"/>
          <w:bottom w:w="0" w:type="dxa"/>
          <w:right w:w="0" w:type="dxa"/>
        </w:tblCellMar>
      </w:tblPr>
      <w:tblGrid>
        <w:gridCol w:w="1454"/>
        <w:gridCol w:w="2168"/>
        <w:gridCol w:w="1239"/>
        <w:gridCol w:w="445"/>
        <w:gridCol w:w="1085"/>
        <w:gridCol w:w="1931"/>
      </w:tblGrid>
      <w:tr w14:paraId="340CD9F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restart"/>
            <w:tcBorders>
              <w:top w:val="single" w:color="231F20" w:sz="4" w:space="0"/>
              <w:left w:val="single" w:color="231F20" w:sz="4" w:space="0"/>
              <w:bottom w:val="nil"/>
            </w:tcBorders>
            <w:vAlign w:val="center"/>
          </w:tcPr>
          <w:p w14:paraId="378F6011">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pacing w:val="12"/>
                <w:kern w:val="0"/>
                <w:sz w:val="28"/>
                <w:szCs w:val="28"/>
                <w:highlight w:val="none"/>
                <w:lang w:eastAsia="en-US"/>
              </w:rPr>
            </w:pPr>
            <w:r>
              <w:rPr>
                <w:rFonts w:hint="eastAsia" w:asciiTheme="minorEastAsia" w:hAnsiTheme="minorEastAsia" w:eastAsiaTheme="minorEastAsia" w:cstheme="minorEastAsia"/>
                <w:snapToGrid w:val="0"/>
                <w:color w:val="auto"/>
                <w:spacing w:val="12"/>
                <w:kern w:val="0"/>
                <w:sz w:val="28"/>
                <w:szCs w:val="28"/>
                <w:highlight w:val="none"/>
                <w:lang w:eastAsia="en-US"/>
              </w:rPr>
              <w:t>委托方</w:t>
            </w:r>
          </w:p>
          <w:p w14:paraId="4911F420">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2"/>
                <w:kern w:val="0"/>
                <w:sz w:val="28"/>
                <w:szCs w:val="28"/>
                <w:highlight w:val="none"/>
                <w:lang w:eastAsia="en-US"/>
              </w:rPr>
              <w:t>（甲方）</w:t>
            </w:r>
          </w:p>
        </w:tc>
        <w:tc>
          <w:tcPr>
            <w:tcW w:w="1302" w:type="pct"/>
            <w:tcBorders>
              <w:top w:val="single" w:color="231F20" w:sz="4" w:space="0"/>
            </w:tcBorders>
            <w:vAlign w:val="center"/>
          </w:tcPr>
          <w:p w14:paraId="51D80752">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5"/>
                <w:kern w:val="0"/>
                <w:sz w:val="28"/>
                <w:szCs w:val="28"/>
                <w:highlight w:val="none"/>
                <w:lang w:eastAsia="en-US"/>
              </w:rPr>
              <w:t>单位名称</w:t>
            </w:r>
          </w:p>
        </w:tc>
        <w:tc>
          <w:tcPr>
            <w:tcW w:w="2823" w:type="pct"/>
            <w:gridSpan w:val="4"/>
            <w:tcBorders>
              <w:top w:val="single" w:color="231F20" w:sz="4" w:space="0"/>
              <w:right w:val="single" w:color="231F20" w:sz="4" w:space="0"/>
            </w:tcBorders>
            <w:vAlign w:val="center"/>
          </w:tcPr>
          <w:p w14:paraId="1715FA6C">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0FC1DF9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381C366F">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096B1CAD">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5"/>
                <w:kern w:val="0"/>
                <w:sz w:val="28"/>
                <w:szCs w:val="28"/>
                <w:highlight w:val="none"/>
                <w:lang w:eastAsia="en-US"/>
              </w:rPr>
              <w:t>法定代表人</w:t>
            </w:r>
          </w:p>
        </w:tc>
        <w:tc>
          <w:tcPr>
            <w:tcW w:w="744" w:type="pct"/>
            <w:vAlign w:val="center"/>
          </w:tcPr>
          <w:p w14:paraId="11128CED">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919" w:type="pct"/>
            <w:gridSpan w:val="2"/>
            <w:vAlign w:val="center"/>
          </w:tcPr>
          <w:p w14:paraId="22BFFDE0">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5"/>
                <w:kern w:val="0"/>
                <w:sz w:val="28"/>
                <w:szCs w:val="28"/>
                <w:highlight w:val="none"/>
                <w:lang w:eastAsia="en-US"/>
              </w:rPr>
              <w:t>委托代理人</w:t>
            </w:r>
          </w:p>
        </w:tc>
        <w:tc>
          <w:tcPr>
            <w:tcW w:w="1160" w:type="pct"/>
            <w:tcBorders>
              <w:right w:val="single" w:color="231F20" w:sz="4" w:space="0"/>
            </w:tcBorders>
            <w:vAlign w:val="center"/>
          </w:tcPr>
          <w:p w14:paraId="5C232253">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69F0AD1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57EECDAE">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45C53616">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3"/>
                <w:kern w:val="0"/>
                <w:sz w:val="28"/>
                <w:szCs w:val="28"/>
                <w:highlight w:val="none"/>
                <w:lang w:eastAsia="en-US"/>
              </w:rPr>
              <w:t>联系人</w:t>
            </w:r>
          </w:p>
        </w:tc>
        <w:tc>
          <w:tcPr>
            <w:tcW w:w="2823" w:type="pct"/>
            <w:gridSpan w:val="4"/>
            <w:tcBorders>
              <w:right w:val="single" w:color="231F20" w:sz="4" w:space="0"/>
            </w:tcBorders>
            <w:vAlign w:val="center"/>
          </w:tcPr>
          <w:p w14:paraId="2324F493">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4F799BE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5E04BEEA">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2841DA35">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4"/>
                <w:kern w:val="0"/>
                <w:sz w:val="28"/>
                <w:szCs w:val="28"/>
                <w:highlight w:val="none"/>
                <w:lang w:eastAsia="en-US"/>
              </w:rPr>
              <w:t>通信地址</w:t>
            </w:r>
          </w:p>
        </w:tc>
        <w:tc>
          <w:tcPr>
            <w:tcW w:w="2823" w:type="pct"/>
            <w:gridSpan w:val="4"/>
            <w:tcBorders>
              <w:right w:val="single" w:color="231F20" w:sz="4" w:space="0"/>
            </w:tcBorders>
            <w:vAlign w:val="center"/>
          </w:tcPr>
          <w:p w14:paraId="5290F34B">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5B5A2CC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7D1A9604">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60146E54">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
                <w:kern w:val="0"/>
                <w:sz w:val="28"/>
                <w:szCs w:val="28"/>
                <w:highlight w:val="none"/>
                <w:lang w:eastAsia="en-US"/>
              </w:rPr>
              <w:t>电话</w:t>
            </w:r>
          </w:p>
        </w:tc>
        <w:tc>
          <w:tcPr>
            <w:tcW w:w="1011" w:type="pct"/>
            <w:gridSpan w:val="2"/>
            <w:vAlign w:val="center"/>
          </w:tcPr>
          <w:p w14:paraId="228500DF">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652" w:type="pct"/>
            <w:vAlign w:val="center"/>
          </w:tcPr>
          <w:p w14:paraId="4B202697">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0"/>
                <w:kern w:val="0"/>
                <w:sz w:val="28"/>
                <w:szCs w:val="28"/>
                <w:highlight w:val="none"/>
                <w:lang w:eastAsia="en-US"/>
              </w:rPr>
              <w:t>传真</w:t>
            </w:r>
          </w:p>
        </w:tc>
        <w:tc>
          <w:tcPr>
            <w:tcW w:w="1160" w:type="pct"/>
            <w:tcBorders>
              <w:right w:val="single" w:color="231F20" w:sz="4" w:space="0"/>
            </w:tcBorders>
            <w:vAlign w:val="center"/>
          </w:tcPr>
          <w:p w14:paraId="4832A05D">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1F9644E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4191F355">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784817B5">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0"/>
                <w:kern w:val="0"/>
                <w:sz w:val="28"/>
                <w:szCs w:val="28"/>
                <w:highlight w:val="none"/>
                <w:lang w:eastAsia="en-US"/>
              </w:rPr>
              <w:t>电子邮箱</w:t>
            </w:r>
          </w:p>
        </w:tc>
        <w:tc>
          <w:tcPr>
            <w:tcW w:w="2823" w:type="pct"/>
            <w:gridSpan w:val="4"/>
            <w:tcBorders>
              <w:right w:val="single" w:color="231F20" w:sz="4" w:space="0"/>
            </w:tcBorders>
            <w:vAlign w:val="center"/>
          </w:tcPr>
          <w:p w14:paraId="35390E9D">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4943401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119AC68A">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1BDC2201">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4"/>
                <w:kern w:val="0"/>
                <w:sz w:val="28"/>
                <w:szCs w:val="28"/>
                <w:highlight w:val="none"/>
                <w:lang w:eastAsia="en-US"/>
              </w:rPr>
              <w:t>开户银行</w:t>
            </w:r>
          </w:p>
        </w:tc>
        <w:tc>
          <w:tcPr>
            <w:tcW w:w="2823" w:type="pct"/>
            <w:gridSpan w:val="4"/>
            <w:tcBorders>
              <w:right w:val="single" w:color="231F20" w:sz="4" w:space="0"/>
            </w:tcBorders>
            <w:vAlign w:val="center"/>
          </w:tcPr>
          <w:p w14:paraId="78038A85">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2479A73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31446EBD">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46248A52">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0"/>
                <w:kern w:val="0"/>
                <w:sz w:val="28"/>
                <w:szCs w:val="28"/>
                <w:highlight w:val="none"/>
                <w:lang w:eastAsia="en-US"/>
              </w:rPr>
              <w:t>账号</w:t>
            </w:r>
          </w:p>
        </w:tc>
        <w:tc>
          <w:tcPr>
            <w:tcW w:w="2823" w:type="pct"/>
            <w:gridSpan w:val="4"/>
            <w:tcBorders>
              <w:right w:val="single" w:color="231F20" w:sz="4" w:space="0"/>
            </w:tcBorders>
            <w:vAlign w:val="center"/>
          </w:tcPr>
          <w:p w14:paraId="0FF91AAF">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03E6D32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tcBorders>
            <w:vAlign w:val="center"/>
          </w:tcPr>
          <w:p w14:paraId="7434E99C">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4B4DB79A">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6"/>
                <w:kern w:val="0"/>
                <w:sz w:val="28"/>
                <w:szCs w:val="28"/>
                <w:highlight w:val="none"/>
                <w:lang w:eastAsia="en-US"/>
              </w:rPr>
              <w:t>纳税人识别号</w:t>
            </w:r>
          </w:p>
        </w:tc>
        <w:tc>
          <w:tcPr>
            <w:tcW w:w="2823" w:type="pct"/>
            <w:gridSpan w:val="4"/>
            <w:tcBorders>
              <w:right w:val="single" w:color="231F20" w:sz="4" w:space="0"/>
            </w:tcBorders>
            <w:vAlign w:val="center"/>
          </w:tcPr>
          <w:p w14:paraId="7BA8732D">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24540DF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restart"/>
            <w:tcBorders>
              <w:left w:val="single" w:color="231F20" w:sz="4" w:space="0"/>
              <w:bottom w:val="nil"/>
            </w:tcBorders>
            <w:vAlign w:val="center"/>
          </w:tcPr>
          <w:p w14:paraId="1B7EC798">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pacing w:val="13"/>
                <w:kern w:val="0"/>
                <w:sz w:val="28"/>
                <w:szCs w:val="28"/>
                <w:highlight w:val="none"/>
                <w:lang w:eastAsia="en-US"/>
              </w:rPr>
            </w:pPr>
            <w:r>
              <w:rPr>
                <w:rFonts w:hint="eastAsia" w:asciiTheme="minorEastAsia" w:hAnsiTheme="minorEastAsia" w:eastAsiaTheme="minorEastAsia" w:cstheme="minorEastAsia"/>
                <w:snapToGrid w:val="0"/>
                <w:color w:val="auto"/>
                <w:spacing w:val="13"/>
                <w:kern w:val="0"/>
                <w:sz w:val="28"/>
                <w:szCs w:val="28"/>
                <w:highlight w:val="none"/>
                <w:lang w:eastAsia="en-US"/>
              </w:rPr>
              <w:t>受托方</w:t>
            </w:r>
          </w:p>
          <w:p w14:paraId="0A1F8BCC">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2"/>
                <w:kern w:val="0"/>
                <w:sz w:val="28"/>
                <w:szCs w:val="28"/>
                <w:highlight w:val="none"/>
                <w:lang w:eastAsia="en-US"/>
              </w:rPr>
              <w:t>（乙方）</w:t>
            </w:r>
          </w:p>
        </w:tc>
        <w:tc>
          <w:tcPr>
            <w:tcW w:w="1302" w:type="pct"/>
            <w:vAlign w:val="center"/>
          </w:tcPr>
          <w:p w14:paraId="08D63CF3">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5"/>
                <w:kern w:val="0"/>
                <w:sz w:val="28"/>
                <w:szCs w:val="28"/>
                <w:highlight w:val="none"/>
                <w:lang w:eastAsia="en-US"/>
              </w:rPr>
              <w:t>单位名称</w:t>
            </w:r>
          </w:p>
        </w:tc>
        <w:tc>
          <w:tcPr>
            <w:tcW w:w="2823" w:type="pct"/>
            <w:gridSpan w:val="4"/>
            <w:tcBorders>
              <w:right w:val="single" w:color="231F20" w:sz="4" w:space="0"/>
            </w:tcBorders>
            <w:vAlign w:val="center"/>
          </w:tcPr>
          <w:p w14:paraId="6F6C004A">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000722F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2D41833D">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6F3FF1CC">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5"/>
                <w:kern w:val="0"/>
                <w:sz w:val="28"/>
                <w:szCs w:val="28"/>
                <w:highlight w:val="none"/>
                <w:lang w:eastAsia="en-US"/>
              </w:rPr>
              <w:t>法定代表人</w:t>
            </w:r>
          </w:p>
        </w:tc>
        <w:tc>
          <w:tcPr>
            <w:tcW w:w="744" w:type="pct"/>
            <w:vAlign w:val="center"/>
          </w:tcPr>
          <w:p w14:paraId="4D45CD80">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919" w:type="pct"/>
            <w:gridSpan w:val="2"/>
            <w:vAlign w:val="center"/>
          </w:tcPr>
          <w:p w14:paraId="06501477">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5"/>
                <w:kern w:val="0"/>
                <w:sz w:val="28"/>
                <w:szCs w:val="28"/>
                <w:highlight w:val="none"/>
                <w:lang w:eastAsia="en-US"/>
              </w:rPr>
              <w:t>委托代理人</w:t>
            </w:r>
          </w:p>
        </w:tc>
        <w:tc>
          <w:tcPr>
            <w:tcW w:w="1160" w:type="pct"/>
            <w:tcBorders>
              <w:right w:val="single" w:color="231F20" w:sz="4" w:space="0"/>
            </w:tcBorders>
            <w:vAlign w:val="center"/>
          </w:tcPr>
          <w:p w14:paraId="1294110D">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624E760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01474C56">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511C9A6A">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3"/>
                <w:kern w:val="0"/>
                <w:sz w:val="28"/>
                <w:szCs w:val="28"/>
                <w:highlight w:val="none"/>
                <w:lang w:eastAsia="en-US"/>
              </w:rPr>
              <w:t>联系人</w:t>
            </w:r>
          </w:p>
        </w:tc>
        <w:tc>
          <w:tcPr>
            <w:tcW w:w="2823" w:type="pct"/>
            <w:gridSpan w:val="4"/>
            <w:tcBorders>
              <w:right w:val="single" w:color="231F20" w:sz="4" w:space="0"/>
            </w:tcBorders>
            <w:vAlign w:val="center"/>
          </w:tcPr>
          <w:p w14:paraId="063469D7">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3D7F518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1F8E843D">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1B2A568B">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4"/>
                <w:kern w:val="0"/>
                <w:sz w:val="28"/>
                <w:szCs w:val="28"/>
                <w:highlight w:val="none"/>
                <w:lang w:eastAsia="en-US"/>
              </w:rPr>
              <w:t>通信地址</w:t>
            </w:r>
          </w:p>
        </w:tc>
        <w:tc>
          <w:tcPr>
            <w:tcW w:w="2823" w:type="pct"/>
            <w:gridSpan w:val="4"/>
            <w:tcBorders>
              <w:right w:val="single" w:color="231F20" w:sz="4" w:space="0"/>
            </w:tcBorders>
            <w:vAlign w:val="center"/>
          </w:tcPr>
          <w:p w14:paraId="0D66F68D">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467AAF7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6984337D">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42A6F266">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
                <w:kern w:val="0"/>
                <w:sz w:val="28"/>
                <w:szCs w:val="28"/>
                <w:highlight w:val="none"/>
                <w:lang w:eastAsia="en-US"/>
              </w:rPr>
              <w:t>电话</w:t>
            </w:r>
          </w:p>
        </w:tc>
        <w:tc>
          <w:tcPr>
            <w:tcW w:w="744" w:type="pct"/>
            <w:vAlign w:val="center"/>
          </w:tcPr>
          <w:p w14:paraId="17E639D9">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919" w:type="pct"/>
            <w:gridSpan w:val="2"/>
            <w:vAlign w:val="center"/>
          </w:tcPr>
          <w:p w14:paraId="599DFA64">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0"/>
                <w:kern w:val="0"/>
                <w:sz w:val="28"/>
                <w:szCs w:val="28"/>
                <w:highlight w:val="none"/>
                <w:lang w:eastAsia="en-US"/>
              </w:rPr>
              <w:t>传真</w:t>
            </w:r>
          </w:p>
        </w:tc>
        <w:tc>
          <w:tcPr>
            <w:tcW w:w="1160" w:type="pct"/>
            <w:tcBorders>
              <w:right w:val="single" w:color="231F20" w:sz="4" w:space="0"/>
            </w:tcBorders>
            <w:vAlign w:val="center"/>
          </w:tcPr>
          <w:p w14:paraId="31D64320">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5412264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288114E6">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259868F2">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0"/>
                <w:kern w:val="0"/>
                <w:sz w:val="28"/>
                <w:szCs w:val="28"/>
                <w:highlight w:val="none"/>
                <w:lang w:eastAsia="en-US"/>
              </w:rPr>
              <w:t>电子邮箱</w:t>
            </w:r>
          </w:p>
        </w:tc>
        <w:tc>
          <w:tcPr>
            <w:tcW w:w="2823" w:type="pct"/>
            <w:gridSpan w:val="4"/>
            <w:tcBorders>
              <w:right w:val="single" w:color="231F20" w:sz="4" w:space="0"/>
            </w:tcBorders>
            <w:vAlign w:val="center"/>
          </w:tcPr>
          <w:p w14:paraId="4631FB6F">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53BD2A9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40B77B75">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53AF2B6F">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4"/>
                <w:kern w:val="0"/>
                <w:sz w:val="28"/>
                <w:szCs w:val="28"/>
                <w:highlight w:val="none"/>
                <w:lang w:eastAsia="en-US"/>
              </w:rPr>
              <w:t>开户银行</w:t>
            </w:r>
          </w:p>
        </w:tc>
        <w:tc>
          <w:tcPr>
            <w:tcW w:w="2823" w:type="pct"/>
            <w:gridSpan w:val="4"/>
            <w:tcBorders>
              <w:right w:val="single" w:color="231F20" w:sz="4" w:space="0"/>
            </w:tcBorders>
            <w:vAlign w:val="center"/>
          </w:tcPr>
          <w:p w14:paraId="29F2CB55">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0703533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nil"/>
            </w:tcBorders>
            <w:vAlign w:val="center"/>
          </w:tcPr>
          <w:p w14:paraId="42C0EEEF">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vAlign w:val="center"/>
          </w:tcPr>
          <w:p w14:paraId="56A7D62D">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0"/>
                <w:kern w:val="0"/>
                <w:sz w:val="28"/>
                <w:szCs w:val="28"/>
                <w:highlight w:val="none"/>
                <w:lang w:eastAsia="en-US"/>
              </w:rPr>
              <w:t>账号</w:t>
            </w:r>
          </w:p>
        </w:tc>
        <w:tc>
          <w:tcPr>
            <w:tcW w:w="2823" w:type="pct"/>
            <w:gridSpan w:val="4"/>
            <w:tcBorders>
              <w:right w:val="single" w:color="231F20" w:sz="4" w:space="0"/>
            </w:tcBorders>
            <w:vAlign w:val="center"/>
          </w:tcPr>
          <w:p w14:paraId="5013BC5B">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2347C7D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7" w:hRule="atLeast"/>
        </w:trPr>
        <w:tc>
          <w:tcPr>
            <w:tcW w:w="874" w:type="pct"/>
            <w:vMerge w:val="continue"/>
            <w:tcBorders>
              <w:top w:val="nil"/>
              <w:left w:val="single" w:color="231F20" w:sz="4" w:space="0"/>
              <w:bottom w:val="single" w:color="231F20" w:sz="4" w:space="0"/>
            </w:tcBorders>
            <w:vAlign w:val="center"/>
          </w:tcPr>
          <w:p w14:paraId="1A0538F2">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02" w:type="pct"/>
            <w:tcBorders>
              <w:bottom w:val="single" w:color="231F20" w:sz="4" w:space="0"/>
            </w:tcBorders>
            <w:vAlign w:val="center"/>
          </w:tcPr>
          <w:p w14:paraId="042A27BA">
            <w:pPr>
              <w:keepNext w:val="0"/>
              <w:keepLines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6"/>
                <w:kern w:val="0"/>
                <w:sz w:val="28"/>
                <w:szCs w:val="28"/>
                <w:highlight w:val="none"/>
                <w:lang w:eastAsia="en-US"/>
              </w:rPr>
              <w:t>纳税人识别号</w:t>
            </w:r>
          </w:p>
        </w:tc>
        <w:tc>
          <w:tcPr>
            <w:tcW w:w="2823" w:type="pct"/>
            <w:gridSpan w:val="4"/>
            <w:tcBorders>
              <w:bottom w:val="single" w:color="231F20" w:sz="4" w:space="0"/>
              <w:right w:val="single" w:color="231F20" w:sz="4" w:space="0"/>
            </w:tcBorders>
            <w:vAlign w:val="center"/>
          </w:tcPr>
          <w:p w14:paraId="7C7206D6">
            <w:pPr>
              <w:keepNext w:val="0"/>
              <w:keepLines w:val="0"/>
              <w:pageBreakBefore w:val="0"/>
              <w:kinsoku/>
              <w:wordWrap/>
              <w:overflowPunct/>
              <w:topLinePunct w:val="0"/>
              <w:autoSpaceDE w:val="0"/>
              <w:autoSpaceDN w:val="0"/>
              <w:bidi w:val="0"/>
              <w:adjustRightInd w:val="0"/>
              <w:snapToGrid w:val="0"/>
              <w:ind w:left="0" w:leftChars="0" w:firstLine="0" w:firstLineChars="0"/>
              <w:jc w:val="center"/>
              <w:textAlignment w:val="baseline"/>
              <w:rPr>
                <w:rFonts w:asciiTheme="minorEastAsia" w:hAnsiTheme="minorEastAsia" w:eastAsiaTheme="minorEastAsia" w:cstheme="minorEastAsia"/>
                <w:snapToGrid w:val="0"/>
                <w:color w:val="auto"/>
                <w:sz w:val="28"/>
                <w:szCs w:val="28"/>
                <w:highlight w:val="none"/>
                <w:lang w:eastAsia="en-US"/>
              </w:rPr>
            </w:pPr>
          </w:p>
        </w:tc>
      </w:tr>
    </w:tbl>
    <w:p w14:paraId="4887849B">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lang w:eastAsia="en-US"/>
        </w:rPr>
      </w:pPr>
    </w:p>
    <w:p w14:paraId="4DC04D7E">
      <w:pPr>
        <w:widowControl/>
        <w:autoSpaceDE w:val="0"/>
        <w:autoSpaceDN w:val="0"/>
        <w:adjustRightInd w:val="0"/>
        <w:snapToGrid w:val="0"/>
        <w:spacing w:line="480" w:lineRule="exact"/>
        <w:ind w:firstLine="58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5"/>
          <w:kern w:val="0"/>
          <w:sz w:val="28"/>
          <w:szCs w:val="28"/>
          <w:highlight w:val="none"/>
        </w:rPr>
        <w:t>鉴于本合同双方同意按“能源费用托管”模式就</w:t>
      </w:r>
      <w:r>
        <w:rPr>
          <w:rFonts w:hint="eastAsia" w:asciiTheme="minorEastAsia" w:hAnsiTheme="minorEastAsia" w:eastAsiaTheme="minorEastAsia" w:cstheme="minorEastAsia"/>
          <w:snapToGrid w:val="0"/>
          <w:color w:val="auto"/>
          <w:kern w:val="0"/>
          <w:sz w:val="28"/>
          <w:szCs w:val="28"/>
          <w:highlight w:val="none"/>
          <w:u w:val="single"/>
          <w:lang w:eastAsia="zh-CN"/>
        </w:rPr>
        <w:t>梧州市本级行政事业单位和团体组织、国有企业、医院能源（用电）费用托管项目（一期）</w:t>
      </w:r>
      <w:r>
        <w:rPr>
          <w:rFonts w:hint="eastAsia" w:asciiTheme="minorEastAsia" w:hAnsiTheme="minorEastAsia" w:eastAsiaTheme="minorEastAsia" w:cstheme="minorEastAsia"/>
          <w:snapToGrid w:val="0"/>
          <w:color w:val="auto"/>
          <w:spacing w:val="5"/>
          <w:kern w:val="0"/>
          <w:sz w:val="28"/>
          <w:szCs w:val="28"/>
          <w:highlight w:val="none"/>
        </w:rPr>
        <w:t>项目</w:t>
      </w:r>
      <w:r>
        <w:rPr>
          <w:rFonts w:hint="eastAsia" w:asciiTheme="minorEastAsia" w:hAnsiTheme="minorEastAsia" w:eastAsiaTheme="minorEastAsia" w:cstheme="minorEastAsia"/>
          <w:snapToGrid w:val="0"/>
          <w:color w:val="auto"/>
          <w:spacing w:val="4"/>
          <w:kern w:val="0"/>
          <w:sz w:val="28"/>
          <w:szCs w:val="28"/>
          <w:highlight w:val="none"/>
        </w:rPr>
        <w:t>（以下简称“项目”或“本项目”</w:t>
      </w:r>
      <w:r>
        <w:rPr>
          <w:rFonts w:hint="eastAsia" w:asciiTheme="minorEastAsia" w:hAnsiTheme="minorEastAsia" w:eastAsiaTheme="minorEastAsia" w:cstheme="minorEastAsia"/>
          <w:snapToGrid w:val="0"/>
          <w:color w:val="auto"/>
          <w:spacing w:val="-24"/>
          <w:w w:val="54"/>
          <w:kern w:val="0"/>
          <w:sz w:val="28"/>
          <w:szCs w:val="28"/>
          <w:highlight w:val="none"/>
        </w:rPr>
        <w:t>），</w:t>
      </w:r>
      <w:r>
        <w:rPr>
          <w:rFonts w:hint="eastAsia" w:asciiTheme="minorEastAsia" w:hAnsiTheme="minorEastAsia" w:eastAsiaTheme="minorEastAsia" w:cstheme="minorEastAsia"/>
          <w:snapToGrid w:val="0"/>
          <w:color w:val="auto"/>
          <w:spacing w:val="4"/>
          <w:kern w:val="0"/>
          <w:sz w:val="28"/>
          <w:szCs w:val="28"/>
          <w:highlight w:val="none"/>
        </w:rPr>
        <w:t>由乙方</w:t>
      </w:r>
      <w:r>
        <w:rPr>
          <w:rFonts w:hint="eastAsia" w:asciiTheme="minorEastAsia" w:hAnsiTheme="minorEastAsia" w:eastAsiaTheme="minorEastAsia" w:cstheme="minorEastAsia"/>
          <w:snapToGrid w:val="0"/>
          <w:color w:val="auto"/>
          <w:spacing w:val="11"/>
          <w:kern w:val="0"/>
          <w:sz w:val="28"/>
          <w:szCs w:val="28"/>
          <w:highlight w:val="none"/>
        </w:rPr>
        <w:t>为项目提供专项节能服务，甲方支付相应的能源</w:t>
      </w:r>
      <w:r>
        <w:rPr>
          <w:rFonts w:hint="eastAsia" w:asciiTheme="minorEastAsia" w:hAnsiTheme="minorEastAsia" w:eastAsiaTheme="minorEastAsia" w:cstheme="minorEastAsia"/>
          <w:snapToGrid w:val="0"/>
          <w:color w:val="auto"/>
          <w:spacing w:val="10"/>
          <w:kern w:val="0"/>
          <w:sz w:val="28"/>
          <w:szCs w:val="28"/>
          <w:highlight w:val="none"/>
        </w:rPr>
        <w:t>托管费用。双方经过平等协商，在真实、充分地表</w:t>
      </w:r>
      <w:r>
        <w:rPr>
          <w:rFonts w:hint="eastAsia" w:asciiTheme="minorEastAsia" w:hAnsiTheme="minorEastAsia" w:eastAsiaTheme="minorEastAsia" w:cstheme="minorEastAsia"/>
          <w:snapToGrid w:val="0"/>
          <w:color w:val="auto"/>
          <w:spacing w:val="11"/>
          <w:kern w:val="0"/>
          <w:sz w:val="28"/>
          <w:szCs w:val="28"/>
          <w:highlight w:val="none"/>
        </w:rPr>
        <w:t>达各自意愿的基础上，根据《中华人民共和国民法典》等法律法规的规定，达成如下协议，并由双方共同</w:t>
      </w:r>
      <w:r>
        <w:rPr>
          <w:rFonts w:hint="eastAsia" w:asciiTheme="minorEastAsia" w:hAnsiTheme="minorEastAsia" w:eastAsiaTheme="minorEastAsia" w:cstheme="minorEastAsia"/>
          <w:snapToGrid w:val="0"/>
          <w:color w:val="auto"/>
          <w:spacing w:val="7"/>
          <w:kern w:val="0"/>
          <w:sz w:val="28"/>
          <w:szCs w:val="28"/>
          <w:highlight w:val="none"/>
        </w:rPr>
        <w:t>恪守。</w:t>
      </w:r>
    </w:p>
    <w:p w14:paraId="2A7C3578">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z w:val="28"/>
          <w:szCs w:val="28"/>
          <w:highlight w:val="none"/>
        </w:rPr>
      </w:pPr>
      <w:r>
        <w:rPr>
          <w:rFonts w:hint="eastAsia" w:ascii="黑体" w:hAnsi="黑体" w:eastAsia="黑体" w:cs="黑体"/>
          <w:snapToGrid w:val="0"/>
          <w:color w:val="auto"/>
          <w:spacing w:val="4"/>
          <w:position w:val="1"/>
          <w:sz w:val="28"/>
          <w:szCs w:val="28"/>
          <w:highlight w:val="none"/>
        </w:rPr>
        <w:t>第1节  术语和定义</w:t>
      </w:r>
    </w:p>
    <w:p w14:paraId="4E2FE93F">
      <w:pPr>
        <w:widowControl/>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3"/>
          <w:kern w:val="0"/>
          <w:sz w:val="28"/>
          <w:szCs w:val="28"/>
          <w:highlight w:val="none"/>
        </w:rPr>
        <w:t>双方确定，本合同及相关附件中所涉及的有关名词和技术术语，其定义和解释如下：</w:t>
      </w:r>
    </w:p>
    <w:p w14:paraId="0E55BE83">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1.1合同能源管理：指甲乙双方以契约形式约定项目节能目标，乙</w:t>
      </w:r>
      <w:r>
        <w:rPr>
          <w:rFonts w:hint="eastAsia" w:asciiTheme="minorEastAsia" w:hAnsiTheme="minorEastAsia" w:eastAsiaTheme="minorEastAsia" w:cstheme="minorEastAsia"/>
          <w:snapToGrid w:val="0"/>
          <w:color w:val="auto"/>
          <w:spacing w:val="13"/>
          <w:sz w:val="28"/>
          <w:szCs w:val="28"/>
          <w:highlight w:val="none"/>
        </w:rPr>
        <w:t>方为实现节能目标向甲方提供服务，甲方以合同约定的节能效益、节能服务费或能源托管费支付乙方的投入及合理利润的节能服务机制。</w:t>
      </w:r>
    </w:p>
    <w:p w14:paraId="4FADA22B">
      <w:pPr>
        <w:autoSpaceDE w:val="0"/>
        <w:autoSpaceDN w:val="0"/>
        <w:adjustRightInd w:val="0"/>
        <w:snapToGrid w:val="0"/>
        <w:spacing w:line="480" w:lineRule="exact"/>
        <w:ind w:firstLine="56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
          <w:sz w:val="28"/>
          <w:szCs w:val="28"/>
          <w:highlight w:val="none"/>
        </w:rPr>
        <w:t>1.2能源费用托管：指用能单位委托节能服务公司</w:t>
      </w:r>
      <w:r>
        <w:rPr>
          <w:rFonts w:hint="eastAsia" w:asciiTheme="minorEastAsia" w:hAnsiTheme="minorEastAsia" w:eastAsiaTheme="minorEastAsia" w:cstheme="minorEastAsia"/>
          <w:snapToGrid w:val="0"/>
          <w:color w:val="auto"/>
          <w:spacing w:val="-31"/>
          <w:sz w:val="28"/>
          <w:szCs w:val="28"/>
          <w:highlight w:val="none"/>
        </w:rPr>
        <w:t>，</w:t>
      </w:r>
      <w:r>
        <w:rPr>
          <w:rFonts w:hint="eastAsia" w:asciiTheme="minorEastAsia" w:hAnsiTheme="minorEastAsia" w:eastAsiaTheme="minorEastAsia" w:cstheme="minorEastAsia"/>
          <w:snapToGrid w:val="0"/>
          <w:color w:val="auto"/>
          <w:spacing w:val="1"/>
          <w:sz w:val="28"/>
          <w:szCs w:val="28"/>
          <w:highlight w:val="none"/>
        </w:rPr>
        <w:t>进行电、水等能源资源系</w:t>
      </w:r>
      <w:r>
        <w:rPr>
          <w:rFonts w:hint="eastAsia" w:asciiTheme="minorEastAsia" w:hAnsiTheme="minorEastAsia" w:eastAsiaTheme="minorEastAsia" w:cstheme="minorEastAsia"/>
          <w:snapToGrid w:val="0"/>
          <w:color w:val="auto"/>
          <w:spacing w:val="12"/>
          <w:sz w:val="28"/>
          <w:szCs w:val="28"/>
          <w:highlight w:val="none"/>
        </w:rPr>
        <w:t>统的运行、管理、维护和改造，用能单位将根据能源基准确定的费用支付给节能服务公司作为托管费用，</w:t>
      </w:r>
      <w:r>
        <w:rPr>
          <w:rFonts w:hint="eastAsia" w:asciiTheme="minorEastAsia" w:hAnsiTheme="minorEastAsia" w:eastAsiaTheme="minorEastAsia" w:cstheme="minorEastAsia"/>
          <w:snapToGrid w:val="0"/>
          <w:color w:val="auto"/>
          <w:spacing w:val="16"/>
          <w:sz w:val="28"/>
          <w:szCs w:val="28"/>
          <w:highlight w:val="none"/>
        </w:rPr>
        <w:t>节能服务公司通过科学的管理运行和节能技术的应用达到节约能源资源、减少费用支出等目的，获取合</w:t>
      </w:r>
      <w:r>
        <w:rPr>
          <w:rFonts w:hint="eastAsia" w:asciiTheme="minorEastAsia" w:hAnsiTheme="minorEastAsia" w:eastAsiaTheme="minorEastAsia" w:cstheme="minorEastAsia"/>
          <w:snapToGrid w:val="0"/>
          <w:color w:val="auto"/>
          <w:spacing w:val="17"/>
          <w:sz w:val="28"/>
          <w:szCs w:val="28"/>
          <w:highlight w:val="none"/>
        </w:rPr>
        <w:t>理的利润的一种合同能源管理形式。</w:t>
      </w:r>
    </w:p>
    <w:p w14:paraId="033AB441">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1.3能源托管费用：指甲乙双方签订能源费用托管项目合同后，甲方支付给乙方的能源托管款项。</w:t>
      </w:r>
      <w:r>
        <w:rPr>
          <w:rFonts w:hint="eastAsia" w:asciiTheme="minorEastAsia" w:hAnsiTheme="minorEastAsia" w:eastAsiaTheme="minorEastAsia" w:cstheme="minorEastAsia"/>
          <w:snapToGrid w:val="0"/>
          <w:color w:val="auto"/>
          <w:spacing w:val="12"/>
          <w:sz w:val="28"/>
          <w:szCs w:val="28"/>
          <w:highlight w:val="none"/>
        </w:rPr>
        <w:t>本合同能源托管费用可包括：</w:t>
      </w:r>
      <w:r>
        <w:rPr>
          <w:rFonts w:hint="eastAsia" w:asciiTheme="minorEastAsia" w:hAnsiTheme="minorEastAsia" w:eastAsiaTheme="minorEastAsia" w:cstheme="minorEastAsia"/>
          <w:snapToGrid w:val="0"/>
          <w:color w:val="auto"/>
          <w:spacing w:val="12"/>
          <w:sz w:val="28"/>
          <w:szCs w:val="28"/>
          <w:highlight w:val="none"/>
          <w:lang w:eastAsia="zh-CN"/>
        </w:rPr>
        <w:t>☑</w:t>
      </w:r>
      <w:r>
        <w:rPr>
          <w:rFonts w:hint="eastAsia" w:asciiTheme="minorEastAsia" w:hAnsiTheme="minorEastAsia" w:eastAsiaTheme="minorEastAsia" w:cstheme="minorEastAsia"/>
          <w:snapToGrid w:val="0"/>
          <w:color w:val="auto"/>
          <w:spacing w:val="12"/>
          <w:sz w:val="28"/>
          <w:szCs w:val="28"/>
          <w:highlight w:val="none"/>
        </w:rPr>
        <w:t>电费、□蒸汽费、□燃气费、</w:t>
      </w:r>
      <w:r>
        <w:rPr>
          <w:rFonts w:hint="eastAsia" w:asciiTheme="minorEastAsia" w:hAnsiTheme="minorEastAsia" w:eastAsiaTheme="minorEastAsia" w:cstheme="minorEastAsia"/>
          <w:snapToGrid w:val="0"/>
          <w:color w:val="auto"/>
          <w:spacing w:val="12"/>
          <w:sz w:val="28"/>
          <w:szCs w:val="28"/>
          <w:highlight w:val="none"/>
        </w:rPr>
        <w:t>□</w:t>
      </w:r>
      <w:r>
        <w:rPr>
          <w:rFonts w:hint="eastAsia" w:asciiTheme="minorEastAsia" w:hAnsiTheme="minorEastAsia" w:eastAsiaTheme="minorEastAsia" w:cstheme="minorEastAsia"/>
          <w:snapToGrid w:val="0"/>
          <w:color w:val="auto"/>
          <w:spacing w:val="12"/>
          <w:sz w:val="28"/>
          <w:szCs w:val="28"/>
          <w:highlight w:val="none"/>
        </w:rPr>
        <w:t>水费、☑运维费。</w:t>
      </w:r>
    </w:p>
    <w:p w14:paraId="5EB10A02">
      <w:pPr>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1"/>
          <w:sz w:val="28"/>
          <w:szCs w:val="28"/>
          <w:highlight w:val="none"/>
        </w:rPr>
        <w:t>1.4能源托管期：指乙方向甲方提供能源费用托管服务，甲方向乙方支付能源托管费用的期限。</w:t>
      </w:r>
    </w:p>
    <w:p w14:paraId="672046A9">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1.</w:t>
      </w:r>
      <w:r>
        <w:rPr>
          <w:rFonts w:hint="eastAsia" w:asciiTheme="minorEastAsia" w:hAnsiTheme="minorEastAsia" w:eastAsiaTheme="minorEastAsia" w:cstheme="minorEastAsia"/>
          <w:snapToGrid w:val="0"/>
          <w:color w:val="auto"/>
          <w:spacing w:val="10"/>
          <w:sz w:val="28"/>
          <w:szCs w:val="28"/>
          <w:highlight w:val="none"/>
          <w:lang w:val="en-US" w:eastAsia="zh-CN"/>
        </w:rPr>
        <w:t>5</w:t>
      </w:r>
      <w:r>
        <w:rPr>
          <w:rFonts w:hint="eastAsia" w:asciiTheme="minorEastAsia" w:hAnsiTheme="minorEastAsia" w:eastAsiaTheme="minorEastAsia" w:cstheme="minorEastAsia"/>
          <w:snapToGrid w:val="0"/>
          <w:color w:val="auto"/>
          <w:spacing w:val="10"/>
          <w:sz w:val="28"/>
          <w:szCs w:val="28"/>
          <w:highlight w:val="none"/>
        </w:rPr>
        <w:t>节能设备：指本项目下所有由乙方采购并安装的设备、设施、仪器、软件等设备、财产。</w:t>
      </w:r>
    </w:p>
    <w:p w14:paraId="0B20996F">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1.</w:t>
      </w:r>
      <w:r>
        <w:rPr>
          <w:rFonts w:hint="eastAsia" w:asciiTheme="minorEastAsia" w:hAnsiTheme="minorEastAsia" w:eastAsiaTheme="minorEastAsia" w:cstheme="minorEastAsia"/>
          <w:snapToGrid w:val="0"/>
          <w:color w:val="auto"/>
          <w:spacing w:val="10"/>
          <w:sz w:val="28"/>
          <w:szCs w:val="28"/>
          <w:highlight w:val="none"/>
          <w:lang w:val="en-US" w:eastAsia="zh-CN"/>
        </w:rPr>
        <w:t>6</w:t>
      </w:r>
      <w:r>
        <w:rPr>
          <w:rFonts w:hint="eastAsia" w:asciiTheme="minorEastAsia" w:hAnsiTheme="minorEastAsia" w:eastAsiaTheme="minorEastAsia" w:cstheme="minorEastAsia"/>
          <w:snapToGrid w:val="0"/>
          <w:color w:val="auto"/>
          <w:spacing w:val="10"/>
          <w:sz w:val="28"/>
          <w:szCs w:val="28"/>
          <w:highlight w:val="none"/>
        </w:rPr>
        <w:t>甲方现有设备：指与项目建设或运行相关的，甲方自有的除乙方节能设备之外的其他所有设备设施及仪器等财产。</w:t>
      </w:r>
    </w:p>
    <w:p w14:paraId="732178DC">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pacing w:val="-9"/>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1.</w:t>
      </w:r>
      <w:r>
        <w:rPr>
          <w:rFonts w:hint="eastAsia" w:asciiTheme="minorEastAsia" w:hAnsiTheme="minorEastAsia" w:eastAsiaTheme="minorEastAsia" w:cstheme="minorEastAsia"/>
          <w:snapToGrid w:val="0"/>
          <w:color w:val="auto"/>
          <w:spacing w:val="10"/>
          <w:sz w:val="28"/>
          <w:szCs w:val="28"/>
          <w:highlight w:val="none"/>
          <w:lang w:val="en-US" w:eastAsia="zh-CN"/>
        </w:rPr>
        <w:t>7</w:t>
      </w:r>
      <w:r>
        <w:rPr>
          <w:rFonts w:hint="eastAsia" w:asciiTheme="minorEastAsia" w:hAnsiTheme="minorEastAsia" w:eastAsiaTheme="minorEastAsia" w:cstheme="minorEastAsia"/>
          <w:snapToGrid w:val="0"/>
          <w:color w:val="auto"/>
          <w:spacing w:val="10"/>
          <w:sz w:val="28"/>
          <w:szCs w:val="28"/>
          <w:highlight w:val="none"/>
        </w:rPr>
        <w:t>其他：</w:t>
      </w:r>
      <w:r>
        <w:rPr>
          <w:rFonts w:hint="eastAsia" w:asciiTheme="minorEastAsia" w:hAnsiTheme="minorEastAsia" w:eastAsiaTheme="minorEastAsia" w:cstheme="minorEastAsia"/>
          <w:snapToGrid w:val="0"/>
          <w:color w:val="auto"/>
          <w:spacing w:val="10"/>
          <w:sz w:val="28"/>
          <w:szCs w:val="28"/>
          <w:highlight w:val="none"/>
          <w:u w:val="single"/>
        </w:rPr>
        <w:t xml:space="preserve">    </w:t>
      </w:r>
      <w:r>
        <w:rPr>
          <w:rFonts w:hint="eastAsia" w:asciiTheme="minorEastAsia" w:hAnsiTheme="minorEastAsia" w:eastAsiaTheme="minorEastAsia" w:cstheme="minorEastAsia"/>
          <w:snapToGrid w:val="0"/>
          <w:color w:val="auto"/>
          <w:spacing w:val="10"/>
          <w:sz w:val="28"/>
          <w:szCs w:val="28"/>
          <w:highlight w:val="none"/>
        </w:rPr>
        <w:t>。</w:t>
      </w:r>
    </w:p>
    <w:p w14:paraId="2CE91E48">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第2节  托管期限</w:t>
      </w:r>
    </w:p>
    <w:p w14:paraId="3DAC15E0">
      <w:pPr>
        <w:autoSpaceDE w:val="0"/>
        <w:autoSpaceDN w:val="0"/>
        <w:adjustRightInd w:val="0"/>
        <w:snapToGrid w:val="0"/>
        <w:spacing w:line="480" w:lineRule="exact"/>
        <w:ind w:firstLine="63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9"/>
          <w:sz w:val="28"/>
          <w:szCs w:val="28"/>
          <w:highlight w:val="none"/>
        </w:rPr>
        <w:t>2.1本项目托管期为自项目移交托管之日起至能</w:t>
      </w:r>
      <w:r>
        <w:rPr>
          <w:rFonts w:hint="eastAsia" w:asciiTheme="minorEastAsia" w:hAnsiTheme="minorEastAsia" w:eastAsiaTheme="minorEastAsia" w:cstheme="minorEastAsia"/>
          <w:snapToGrid w:val="0"/>
          <w:color w:val="auto"/>
          <w:spacing w:val="18"/>
          <w:sz w:val="28"/>
          <w:szCs w:val="28"/>
          <w:highlight w:val="none"/>
        </w:rPr>
        <w:t>源托管期届满且双方履行完毕各自权利与义务之</w:t>
      </w:r>
      <w:r>
        <w:rPr>
          <w:rFonts w:hint="eastAsia" w:asciiTheme="minorEastAsia" w:hAnsiTheme="minorEastAsia" w:eastAsiaTheme="minorEastAsia" w:cstheme="minorEastAsia"/>
          <w:snapToGrid w:val="0"/>
          <w:color w:val="auto"/>
          <w:spacing w:val="-5"/>
          <w:sz w:val="28"/>
          <w:szCs w:val="28"/>
          <w:highlight w:val="none"/>
        </w:rPr>
        <w:t>日止，能源托</w:t>
      </w:r>
      <w:r>
        <w:rPr>
          <w:rFonts w:hint="eastAsia" w:asciiTheme="minorEastAsia" w:hAnsiTheme="minorEastAsia" w:eastAsiaTheme="minorEastAsia" w:cstheme="minorEastAsia"/>
          <w:snapToGrid w:val="0"/>
          <w:color w:val="auto"/>
          <w:spacing w:val="19"/>
          <w:sz w:val="28"/>
          <w:szCs w:val="28"/>
          <w:highlight w:val="none"/>
        </w:rPr>
        <w:t>管期为：</w:t>
      </w:r>
      <w:r>
        <w:rPr>
          <w:rFonts w:hint="eastAsia" w:asciiTheme="minorEastAsia" w:hAnsiTheme="minorEastAsia" w:eastAsiaTheme="minorEastAsia" w:cstheme="minorEastAsia"/>
          <w:snapToGrid w:val="0"/>
          <w:color w:val="auto"/>
          <w:spacing w:val="3"/>
          <w:sz w:val="28"/>
          <w:szCs w:val="28"/>
          <w:highlight w:val="none"/>
          <w:u w:val="none"/>
          <w:lang w:val="en-US" w:eastAsia="zh-CN"/>
        </w:rPr>
        <w:t xml:space="preserve">   </w:t>
      </w:r>
      <w:r>
        <w:rPr>
          <w:rFonts w:hint="eastAsia" w:asciiTheme="minorEastAsia" w:hAnsiTheme="minorEastAsia" w:eastAsiaTheme="minorEastAsia" w:cstheme="minorEastAsia"/>
          <w:snapToGrid w:val="0"/>
          <w:color w:val="auto"/>
          <w:spacing w:val="3"/>
          <w:sz w:val="28"/>
          <w:szCs w:val="28"/>
          <w:highlight w:val="none"/>
          <w:u w:val="single"/>
          <w:lang w:val="en-US" w:eastAsia="zh-CN"/>
        </w:rPr>
        <w:t xml:space="preserve"> </w:t>
      </w:r>
      <w:r>
        <w:rPr>
          <w:rFonts w:hint="eastAsia" w:asciiTheme="minorEastAsia" w:hAnsiTheme="minorEastAsia" w:eastAsiaTheme="minorEastAsia" w:cstheme="minorEastAsia"/>
          <w:snapToGrid w:val="0"/>
          <w:color w:val="auto"/>
          <w:spacing w:val="-5"/>
          <w:sz w:val="28"/>
          <w:szCs w:val="28"/>
          <w:highlight w:val="none"/>
        </w:rPr>
        <w:t>个合同月（即</w:t>
      </w:r>
      <w:r>
        <w:rPr>
          <w:rFonts w:hint="eastAsia" w:asciiTheme="minorEastAsia" w:hAnsiTheme="minorEastAsia" w:eastAsiaTheme="minorEastAsia" w:cstheme="minorEastAsia"/>
          <w:snapToGrid w:val="0"/>
          <w:color w:val="auto"/>
          <w:spacing w:val="-5"/>
          <w:sz w:val="28"/>
          <w:szCs w:val="28"/>
          <w:highlight w:val="none"/>
          <w:u w:val="single"/>
        </w:rPr>
        <w:t xml:space="preserve">   </w:t>
      </w:r>
      <w:r>
        <w:rPr>
          <w:rFonts w:hint="eastAsia" w:asciiTheme="minorEastAsia" w:hAnsiTheme="minorEastAsia" w:eastAsiaTheme="minorEastAsia" w:cstheme="minorEastAsia"/>
          <w:snapToGrid w:val="0"/>
          <w:color w:val="auto"/>
          <w:spacing w:val="-5"/>
          <w:sz w:val="28"/>
          <w:szCs w:val="28"/>
          <w:highlight w:val="none"/>
        </w:rPr>
        <w:t>年</w:t>
      </w:r>
      <w:r>
        <w:rPr>
          <w:rFonts w:hint="eastAsia" w:asciiTheme="minorEastAsia" w:hAnsiTheme="minorEastAsia" w:eastAsiaTheme="minorEastAsia" w:cstheme="minorEastAsia"/>
          <w:snapToGrid w:val="0"/>
          <w:color w:val="auto"/>
          <w:spacing w:val="-5"/>
          <w:sz w:val="28"/>
          <w:szCs w:val="28"/>
          <w:highlight w:val="none"/>
          <w:u w:val="single"/>
        </w:rPr>
        <w:t xml:space="preserve">  </w:t>
      </w:r>
      <w:r>
        <w:rPr>
          <w:rFonts w:hint="eastAsia" w:asciiTheme="minorEastAsia" w:hAnsiTheme="minorEastAsia" w:eastAsiaTheme="minorEastAsia" w:cstheme="minorEastAsia"/>
          <w:snapToGrid w:val="0"/>
          <w:color w:val="auto"/>
          <w:spacing w:val="-5"/>
          <w:sz w:val="28"/>
          <w:szCs w:val="28"/>
          <w:highlight w:val="none"/>
        </w:rPr>
        <w:t>月</w:t>
      </w:r>
      <w:r>
        <w:rPr>
          <w:rFonts w:hint="eastAsia" w:asciiTheme="minorEastAsia" w:hAnsiTheme="minorEastAsia" w:eastAsiaTheme="minorEastAsia" w:cstheme="minorEastAsia"/>
          <w:snapToGrid w:val="0"/>
          <w:color w:val="auto"/>
          <w:spacing w:val="-5"/>
          <w:sz w:val="28"/>
          <w:szCs w:val="28"/>
          <w:highlight w:val="none"/>
          <w:u w:val="single"/>
        </w:rPr>
        <w:t xml:space="preserve">  </w:t>
      </w:r>
      <w:r>
        <w:rPr>
          <w:rFonts w:hint="eastAsia" w:asciiTheme="minorEastAsia" w:hAnsiTheme="minorEastAsia" w:eastAsiaTheme="minorEastAsia" w:cstheme="minorEastAsia"/>
          <w:snapToGrid w:val="0"/>
          <w:color w:val="auto"/>
          <w:spacing w:val="-5"/>
          <w:sz w:val="28"/>
          <w:szCs w:val="28"/>
          <w:highlight w:val="none"/>
        </w:rPr>
        <w:t>日至</w:t>
      </w:r>
      <w:r>
        <w:rPr>
          <w:rFonts w:hint="eastAsia" w:asciiTheme="minorEastAsia" w:hAnsiTheme="minorEastAsia" w:eastAsiaTheme="minorEastAsia" w:cstheme="minorEastAsia"/>
          <w:snapToGrid w:val="0"/>
          <w:color w:val="auto"/>
          <w:spacing w:val="-5"/>
          <w:sz w:val="28"/>
          <w:szCs w:val="28"/>
          <w:highlight w:val="none"/>
          <w:u w:val="single"/>
        </w:rPr>
        <w:t xml:space="preserve">    </w:t>
      </w:r>
      <w:r>
        <w:rPr>
          <w:rFonts w:hint="eastAsia" w:asciiTheme="minorEastAsia" w:hAnsiTheme="minorEastAsia" w:eastAsiaTheme="minorEastAsia" w:cstheme="minorEastAsia"/>
          <w:snapToGrid w:val="0"/>
          <w:color w:val="auto"/>
          <w:spacing w:val="-5"/>
          <w:sz w:val="28"/>
          <w:szCs w:val="28"/>
          <w:highlight w:val="none"/>
        </w:rPr>
        <w:t>年</w:t>
      </w:r>
      <w:r>
        <w:rPr>
          <w:rFonts w:hint="eastAsia" w:asciiTheme="minorEastAsia" w:hAnsiTheme="minorEastAsia" w:eastAsiaTheme="minorEastAsia" w:cstheme="minorEastAsia"/>
          <w:snapToGrid w:val="0"/>
          <w:color w:val="auto"/>
          <w:spacing w:val="-5"/>
          <w:sz w:val="28"/>
          <w:szCs w:val="28"/>
          <w:highlight w:val="none"/>
          <w:u w:val="single"/>
        </w:rPr>
        <w:t xml:space="preserve">  </w:t>
      </w:r>
      <w:r>
        <w:rPr>
          <w:rFonts w:hint="eastAsia" w:asciiTheme="minorEastAsia" w:hAnsiTheme="minorEastAsia" w:eastAsiaTheme="minorEastAsia" w:cstheme="minorEastAsia"/>
          <w:snapToGrid w:val="0"/>
          <w:color w:val="auto"/>
          <w:spacing w:val="-5"/>
          <w:sz w:val="28"/>
          <w:szCs w:val="28"/>
          <w:highlight w:val="none"/>
        </w:rPr>
        <w:t>月</w:t>
      </w:r>
      <w:r>
        <w:rPr>
          <w:rFonts w:hint="eastAsia" w:asciiTheme="minorEastAsia" w:hAnsiTheme="minorEastAsia" w:eastAsiaTheme="minorEastAsia" w:cstheme="minorEastAsia"/>
          <w:snapToGrid w:val="0"/>
          <w:color w:val="auto"/>
          <w:spacing w:val="-5"/>
          <w:sz w:val="28"/>
          <w:szCs w:val="28"/>
          <w:highlight w:val="none"/>
          <w:u w:val="single"/>
        </w:rPr>
        <w:t xml:space="preserve">  </w:t>
      </w:r>
      <w:r>
        <w:rPr>
          <w:rFonts w:hint="eastAsia" w:asciiTheme="minorEastAsia" w:hAnsiTheme="minorEastAsia" w:eastAsiaTheme="minorEastAsia" w:cstheme="minorEastAsia"/>
          <w:snapToGrid w:val="0"/>
          <w:color w:val="auto"/>
          <w:spacing w:val="-5"/>
          <w:sz w:val="28"/>
          <w:szCs w:val="28"/>
          <w:highlight w:val="none"/>
        </w:rPr>
        <w:t>日止</w:t>
      </w:r>
      <w:r>
        <w:rPr>
          <w:rFonts w:hint="eastAsia" w:asciiTheme="minorEastAsia" w:hAnsiTheme="minorEastAsia" w:eastAsiaTheme="minorEastAsia" w:cstheme="minorEastAsia"/>
          <w:snapToGrid w:val="0"/>
          <w:color w:val="auto"/>
          <w:spacing w:val="-6"/>
          <w:sz w:val="28"/>
          <w:szCs w:val="28"/>
          <w:highlight w:val="none"/>
        </w:rPr>
        <w:t>）。</w:t>
      </w:r>
    </w:p>
    <w:p w14:paraId="16ABF5E4">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2.2能源托管期包括节能改造项目建设和运行管理两个阶段。其中，节能改造项目建设期为</w:t>
      </w:r>
      <w:r>
        <w:rPr>
          <w:rFonts w:hint="eastAsia" w:asciiTheme="minorEastAsia" w:hAnsiTheme="minorEastAsia" w:eastAsiaTheme="minorEastAsia" w:cstheme="minorEastAsia"/>
          <w:snapToGrid w:val="0"/>
          <w:color w:val="auto"/>
          <w:spacing w:val="14"/>
          <w:sz w:val="28"/>
          <w:szCs w:val="28"/>
          <w:highlight w:val="none"/>
          <w:u w:val="single"/>
        </w:rPr>
        <w:t xml:space="preserve">   </w:t>
      </w:r>
      <w:r>
        <w:rPr>
          <w:rFonts w:hint="eastAsia" w:asciiTheme="minorEastAsia" w:hAnsiTheme="minorEastAsia" w:eastAsiaTheme="minorEastAsia" w:cstheme="minorEastAsia"/>
          <w:snapToGrid w:val="0"/>
          <w:color w:val="auto"/>
          <w:spacing w:val="14"/>
          <w:sz w:val="28"/>
          <w:szCs w:val="28"/>
          <w:highlight w:val="none"/>
        </w:rPr>
        <w:t>个</w:t>
      </w:r>
      <w:r>
        <w:rPr>
          <w:rFonts w:hint="eastAsia" w:asciiTheme="minorEastAsia" w:hAnsiTheme="minorEastAsia" w:eastAsiaTheme="minorEastAsia" w:cstheme="minorEastAsia"/>
          <w:snapToGrid w:val="0"/>
          <w:color w:val="auto"/>
          <w:spacing w:val="16"/>
          <w:sz w:val="28"/>
          <w:szCs w:val="28"/>
          <w:highlight w:val="none"/>
        </w:rPr>
        <w:t>日历天，自合同生效且甲方提供了项目建设的必要条件之日起，至乙方实施完成节能改造并通过验收日</w:t>
      </w:r>
      <w:r>
        <w:rPr>
          <w:rFonts w:hint="eastAsia" w:asciiTheme="minorEastAsia" w:hAnsiTheme="minorEastAsia" w:eastAsiaTheme="minorEastAsia" w:cstheme="minorEastAsia"/>
          <w:snapToGrid w:val="0"/>
          <w:color w:val="auto"/>
          <w:spacing w:val="9"/>
          <w:sz w:val="28"/>
          <w:szCs w:val="28"/>
          <w:highlight w:val="none"/>
        </w:rPr>
        <w:t>止。其中，施工期为</w:t>
      </w:r>
      <w:r>
        <w:rPr>
          <w:rFonts w:hint="eastAsia" w:asciiTheme="minorEastAsia" w:hAnsiTheme="minorEastAsia" w:eastAsiaTheme="minorEastAsia" w:cstheme="minorEastAsia"/>
          <w:snapToGrid w:val="0"/>
          <w:color w:val="auto"/>
          <w:spacing w:val="9"/>
          <w:sz w:val="28"/>
          <w:szCs w:val="28"/>
          <w:highlight w:val="none"/>
          <w:u w:val="single"/>
        </w:rPr>
        <w:t xml:space="preserve">   </w:t>
      </w:r>
      <w:r>
        <w:rPr>
          <w:rFonts w:hint="eastAsia" w:asciiTheme="minorEastAsia" w:hAnsiTheme="minorEastAsia" w:eastAsiaTheme="minorEastAsia" w:cstheme="minorEastAsia"/>
          <w:snapToGrid w:val="0"/>
          <w:color w:val="auto"/>
          <w:spacing w:val="9"/>
          <w:sz w:val="28"/>
          <w:szCs w:val="28"/>
          <w:highlight w:val="none"/>
        </w:rPr>
        <w:t>个日历天，验收期为</w:t>
      </w:r>
      <w:r>
        <w:rPr>
          <w:rFonts w:hint="eastAsia" w:asciiTheme="minorEastAsia" w:hAnsiTheme="minorEastAsia" w:eastAsiaTheme="minorEastAsia" w:cstheme="minorEastAsia"/>
          <w:snapToGrid w:val="0"/>
          <w:color w:val="auto"/>
          <w:spacing w:val="9"/>
          <w:sz w:val="28"/>
          <w:szCs w:val="28"/>
          <w:highlight w:val="none"/>
          <w:u w:val="single"/>
        </w:rPr>
        <w:t xml:space="preserve">   </w:t>
      </w:r>
      <w:r>
        <w:rPr>
          <w:rFonts w:hint="eastAsia" w:asciiTheme="minorEastAsia" w:hAnsiTheme="minorEastAsia" w:eastAsiaTheme="minorEastAsia" w:cstheme="minorEastAsia"/>
          <w:snapToGrid w:val="0"/>
          <w:color w:val="auto"/>
          <w:spacing w:val="9"/>
          <w:sz w:val="28"/>
          <w:szCs w:val="28"/>
          <w:highlight w:val="none"/>
        </w:rPr>
        <w:t>个日历天，剩余的期限为运行管理期。在节能改造</w:t>
      </w:r>
      <w:r>
        <w:rPr>
          <w:rFonts w:hint="eastAsia" w:asciiTheme="minorEastAsia" w:hAnsiTheme="minorEastAsia" w:eastAsiaTheme="minorEastAsia" w:cstheme="minorEastAsia"/>
          <w:snapToGrid w:val="0"/>
          <w:color w:val="auto"/>
          <w:spacing w:val="11"/>
          <w:sz w:val="28"/>
          <w:szCs w:val="28"/>
          <w:highlight w:val="none"/>
        </w:rPr>
        <w:t>项目建设内，非因乙方原因造成工程延误的，则工期相应顺延。</w:t>
      </w:r>
    </w:p>
    <w:p w14:paraId="37AB874B">
      <w:pPr>
        <w:autoSpaceDE w:val="0"/>
        <w:autoSpaceDN w:val="0"/>
        <w:adjustRightInd w:val="0"/>
        <w:snapToGrid w:val="0"/>
        <w:spacing w:line="480" w:lineRule="exact"/>
        <w:ind w:firstLine="5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8"/>
          <w:sz w:val="28"/>
          <w:szCs w:val="28"/>
          <w:highlight w:val="none"/>
        </w:rPr>
        <w:t>2.3其他：</w:t>
      </w:r>
      <w:r>
        <w:rPr>
          <w:rFonts w:hint="eastAsia" w:asciiTheme="minorEastAsia" w:hAnsiTheme="minorEastAsia" w:eastAsiaTheme="minorEastAsia" w:cstheme="minorEastAsia"/>
          <w:snapToGrid w:val="0"/>
          <w:color w:val="auto"/>
          <w:spacing w:val="-8"/>
          <w:sz w:val="28"/>
          <w:szCs w:val="28"/>
          <w:highlight w:val="none"/>
          <w:u w:val="single"/>
        </w:rPr>
        <w:t xml:space="preserve">    </w:t>
      </w:r>
      <w:r>
        <w:rPr>
          <w:rFonts w:hint="eastAsia" w:asciiTheme="minorEastAsia" w:hAnsiTheme="minorEastAsia" w:eastAsiaTheme="minorEastAsia" w:cstheme="minorEastAsia"/>
          <w:snapToGrid w:val="0"/>
          <w:color w:val="auto"/>
          <w:spacing w:val="-8"/>
          <w:sz w:val="28"/>
          <w:szCs w:val="28"/>
          <w:highlight w:val="none"/>
        </w:rPr>
        <w:t>。</w:t>
      </w:r>
    </w:p>
    <w:p w14:paraId="1049A311">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第3节  托管内容</w:t>
      </w:r>
    </w:p>
    <w:p w14:paraId="76939B6C">
      <w:pPr>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spacing w:val="12"/>
          <w:sz w:val="28"/>
          <w:szCs w:val="28"/>
          <w:highlight w:val="none"/>
        </w:rPr>
      </w:pPr>
      <w:r>
        <w:rPr>
          <w:rFonts w:hint="eastAsia" w:asciiTheme="minorEastAsia" w:hAnsiTheme="minorEastAsia" w:eastAsiaTheme="minorEastAsia" w:cstheme="minorEastAsia"/>
          <w:snapToGrid w:val="0"/>
          <w:color w:val="auto"/>
          <w:spacing w:val="12"/>
          <w:sz w:val="28"/>
          <w:szCs w:val="28"/>
          <w:highlight w:val="none"/>
        </w:rPr>
        <w:t>3.1甲方委托乙方托管项目能源资源系统，托管的能源资源系统范围详见下表：</w:t>
      </w:r>
    </w:p>
    <w:p w14:paraId="2679294E">
      <w:pPr>
        <w:autoSpaceDE w:val="0"/>
        <w:autoSpaceDN w:val="0"/>
        <w:adjustRightInd w:val="0"/>
        <w:snapToGrid w:val="0"/>
        <w:spacing w:line="480" w:lineRule="exact"/>
        <w:ind w:firstLine="628"/>
        <w:jc w:val="center"/>
        <w:textAlignment w:val="baseline"/>
        <w:rPr>
          <w:rFonts w:hint="default" w:ascii="黑体" w:hAnsi="黑体" w:eastAsia="黑体" w:cs="黑体"/>
          <w:snapToGrid w:val="0"/>
          <w:color w:val="auto"/>
          <w:sz w:val="28"/>
          <w:szCs w:val="28"/>
          <w:highlight w:val="none"/>
          <w:lang w:val="en-US" w:eastAsia="zh-CN"/>
        </w:rPr>
      </w:pPr>
      <w:r>
        <w:rPr>
          <w:rFonts w:hint="eastAsia" w:ascii="黑体" w:hAnsi="黑体" w:eastAsia="黑体" w:cs="黑体"/>
          <w:snapToGrid w:val="0"/>
          <w:color w:val="auto"/>
          <w:sz w:val="28"/>
          <w:szCs w:val="28"/>
          <w:highlight w:val="none"/>
        </w:rPr>
        <w:t>托管的能源资源系统范围</w:t>
      </w:r>
      <w:r>
        <w:rPr>
          <w:rFonts w:hint="eastAsia" w:ascii="黑体" w:hAnsi="黑体" w:eastAsia="黑体" w:cs="黑体"/>
          <w:snapToGrid w:val="0"/>
          <w:color w:val="auto"/>
          <w:sz w:val="28"/>
          <w:szCs w:val="28"/>
          <w:highlight w:val="none"/>
          <w:lang w:eastAsia="zh-CN"/>
        </w:rPr>
        <w:t>：</w:t>
      </w:r>
      <w:r>
        <w:rPr>
          <w:rFonts w:hint="eastAsia" w:ascii="黑体" w:hAnsi="黑体" w:eastAsia="黑体" w:cs="黑体"/>
          <w:snapToGrid w:val="0"/>
          <w:color w:val="auto"/>
          <w:sz w:val="28"/>
          <w:szCs w:val="28"/>
          <w:highlight w:val="none"/>
          <w:lang w:val="en-US" w:eastAsia="zh-CN"/>
        </w:rPr>
        <w:t>详见附件1</w:t>
      </w:r>
    </w:p>
    <w:p w14:paraId="6A16FFB7">
      <w:pPr>
        <w:autoSpaceDE w:val="0"/>
        <w:autoSpaceDN w:val="0"/>
        <w:adjustRightInd w:val="0"/>
        <w:snapToGrid w:val="0"/>
        <w:spacing w:line="480" w:lineRule="exact"/>
        <w:ind w:firstLine="628"/>
        <w:jc w:val="center"/>
        <w:textAlignment w:val="baseline"/>
        <w:rPr>
          <w:rFonts w:ascii="黑体" w:hAnsi="黑体" w:eastAsia="黑体" w:cs="黑体"/>
          <w:snapToGrid w:val="0"/>
          <w:color w:val="auto"/>
          <w:sz w:val="28"/>
          <w:szCs w:val="28"/>
          <w:highlight w:val="none"/>
        </w:rPr>
      </w:pPr>
    </w:p>
    <w:p w14:paraId="218C8F15">
      <w:pPr>
        <w:autoSpaceDE w:val="0"/>
        <w:autoSpaceDN w:val="0"/>
        <w:adjustRightInd w:val="0"/>
        <w:snapToGrid w:val="0"/>
        <w:spacing w:line="480" w:lineRule="exact"/>
        <w:ind w:firstLine="59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9"/>
          <w:sz w:val="28"/>
          <w:szCs w:val="28"/>
          <w:highlight w:val="none"/>
        </w:rPr>
        <w:t>乙方负责投资项目改造的全部工作，包括节能改造</w:t>
      </w:r>
      <w:r>
        <w:rPr>
          <w:rFonts w:hint="eastAsia" w:asciiTheme="minorEastAsia" w:hAnsiTheme="minorEastAsia" w:eastAsiaTheme="minorEastAsia" w:cstheme="minorEastAsia"/>
          <w:snapToGrid w:val="0"/>
          <w:color w:val="auto"/>
          <w:spacing w:val="9"/>
          <w:sz w:val="28"/>
          <w:szCs w:val="28"/>
          <w:highlight w:val="none"/>
          <w:lang w:eastAsia="zh-CN"/>
        </w:rPr>
        <w:t>（</w:t>
      </w:r>
      <w:r>
        <w:rPr>
          <w:rFonts w:hint="eastAsia" w:asciiTheme="minorEastAsia" w:hAnsiTheme="minorEastAsia" w:eastAsiaTheme="minorEastAsia" w:cstheme="minorEastAsia"/>
          <w:snapToGrid w:val="0"/>
          <w:color w:val="auto"/>
          <w:spacing w:val="9"/>
          <w:sz w:val="28"/>
          <w:szCs w:val="28"/>
          <w:highlight w:val="none"/>
          <w:u w:val="none"/>
          <w:lang w:val="en-US" w:eastAsia="zh-CN"/>
        </w:rPr>
        <w:t>包括空调系统、照明系统、办公设备系统、动力系统、热水系统及特殊用能系统等的改造</w:t>
      </w:r>
      <w:r>
        <w:rPr>
          <w:rFonts w:hint="eastAsia" w:asciiTheme="minorEastAsia" w:hAnsiTheme="minorEastAsia" w:eastAsiaTheme="minorEastAsia" w:cstheme="minorEastAsia"/>
          <w:snapToGrid w:val="0"/>
          <w:color w:val="auto"/>
          <w:spacing w:val="9"/>
          <w:sz w:val="28"/>
          <w:szCs w:val="28"/>
          <w:highlight w:val="none"/>
          <w:lang w:eastAsia="zh-CN"/>
        </w:rPr>
        <w:t>）</w:t>
      </w:r>
      <w:r>
        <w:rPr>
          <w:rFonts w:hint="eastAsia" w:asciiTheme="minorEastAsia" w:hAnsiTheme="minorEastAsia" w:eastAsiaTheme="minorEastAsia" w:cstheme="minorEastAsia"/>
          <w:snapToGrid w:val="0"/>
          <w:color w:val="auto"/>
          <w:spacing w:val="9"/>
          <w:sz w:val="28"/>
          <w:szCs w:val="28"/>
          <w:highlight w:val="none"/>
        </w:rPr>
        <w:t>和</w:t>
      </w:r>
      <w:r>
        <w:rPr>
          <w:rFonts w:hint="eastAsia" w:asciiTheme="minorEastAsia" w:hAnsiTheme="minorEastAsia" w:eastAsiaTheme="minorEastAsia" w:cstheme="minorEastAsia"/>
          <w:snapToGrid w:val="0"/>
          <w:color w:val="auto"/>
          <w:spacing w:val="9"/>
          <w:sz w:val="28"/>
          <w:szCs w:val="28"/>
          <w:highlight w:val="none"/>
          <w:u w:val="single"/>
          <w:lang w:val="en-US" w:eastAsia="zh-CN"/>
        </w:rPr>
        <w:t>智慧综合能碳管理运营平台建设</w:t>
      </w:r>
      <w:r>
        <w:rPr>
          <w:rFonts w:hint="eastAsia" w:asciiTheme="minorEastAsia" w:hAnsiTheme="minorEastAsia" w:eastAsiaTheme="minorEastAsia" w:cstheme="minorEastAsia"/>
          <w:snapToGrid w:val="0"/>
          <w:color w:val="auto"/>
          <w:spacing w:val="9"/>
          <w:sz w:val="28"/>
          <w:szCs w:val="28"/>
          <w:highlight w:val="none"/>
        </w:rPr>
        <w:t>，提高能源效率，降低能源等费用，对托</w:t>
      </w:r>
      <w:r>
        <w:rPr>
          <w:rFonts w:hint="eastAsia" w:asciiTheme="minorEastAsia" w:hAnsiTheme="minorEastAsia" w:eastAsiaTheme="minorEastAsia" w:cstheme="minorEastAsia"/>
          <w:snapToGrid w:val="0"/>
          <w:color w:val="auto"/>
          <w:spacing w:val="15"/>
          <w:sz w:val="28"/>
          <w:szCs w:val="28"/>
          <w:highlight w:val="none"/>
        </w:rPr>
        <w:t>管项目</w:t>
      </w:r>
      <w:r>
        <w:rPr>
          <w:rFonts w:hint="eastAsia" w:asciiTheme="minorEastAsia" w:hAnsiTheme="minorEastAsia" w:eastAsiaTheme="minorEastAsia" w:cstheme="minorEastAsia"/>
          <w:snapToGrid w:val="0"/>
          <w:color w:val="auto"/>
          <w:spacing w:val="15"/>
          <w:sz w:val="28"/>
          <w:szCs w:val="28"/>
          <w:highlight w:val="none"/>
          <w:lang w:eastAsia="zh-CN"/>
        </w:rPr>
        <w:t>☑</w:t>
      </w:r>
      <w:r>
        <w:rPr>
          <w:rFonts w:hint="eastAsia" w:asciiTheme="minorEastAsia" w:hAnsiTheme="minorEastAsia" w:eastAsiaTheme="minorEastAsia" w:cstheme="minorEastAsia"/>
          <w:snapToGrid w:val="0"/>
          <w:color w:val="auto"/>
          <w:spacing w:val="15"/>
          <w:sz w:val="28"/>
          <w:szCs w:val="28"/>
          <w:highlight w:val="none"/>
        </w:rPr>
        <w:t>电费、□蒸汽费、□燃气费、</w:t>
      </w:r>
      <w:r>
        <w:rPr>
          <w:rFonts w:hint="eastAsia" w:asciiTheme="minorEastAsia" w:hAnsiTheme="minorEastAsia" w:eastAsiaTheme="minorEastAsia" w:cstheme="minorEastAsia"/>
          <w:snapToGrid w:val="0"/>
          <w:color w:val="auto"/>
          <w:spacing w:val="15"/>
          <w:sz w:val="28"/>
          <w:szCs w:val="28"/>
          <w:highlight w:val="none"/>
          <w:lang w:eastAsia="zh-CN"/>
        </w:rPr>
        <w:t>□</w:t>
      </w:r>
      <w:r>
        <w:rPr>
          <w:rFonts w:hint="eastAsia" w:asciiTheme="minorEastAsia" w:hAnsiTheme="minorEastAsia" w:eastAsiaTheme="minorEastAsia" w:cstheme="minorEastAsia"/>
          <w:snapToGrid w:val="0"/>
          <w:color w:val="auto"/>
          <w:spacing w:val="15"/>
          <w:sz w:val="28"/>
          <w:szCs w:val="28"/>
          <w:highlight w:val="none"/>
        </w:rPr>
        <w:t>水费、</w:t>
      </w:r>
      <w:r>
        <w:rPr>
          <w:rFonts w:hint="eastAsia" w:asciiTheme="minorEastAsia" w:hAnsiTheme="minorEastAsia" w:eastAsiaTheme="minorEastAsia" w:cstheme="minorEastAsia"/>
          <w:snapToGrid w:val="0"/>
          <w:color w:val="auto"/>
          <w:spacing w:val="15"/>
          <w:sz w:val="28"/>
          <w:szCs w:val="28"/>
          <w:highlight w:val="none"/>
          <w:lang w:eastAsia="zh-CN"/>
        </w:rPr>
        <w:t>☑</w:t>
      </w:r>
      <w:r>
        <w:rPr>
          <w:rFonts w:hint="eastAsia" w:asciiTheme="minorEastAsia" w:hAnsiTheme="minorEastAsia" w:eastAsiaTheme="minorEastAsia" w:cstheme="minorEastAsia"/>
          <w:snapToGrid w:val="0"/>
          <w:color w:val="auto"/>
          <w:spacing w:val="15"/>
          <w:sz w:val="28"/>
          <w:szCs w:val="28"/>
          <w:highlight w:val="none"/>
        </w:rPr>
        <w:t>运维费等费用进行承包。改造项目的投资规模由乙方自</w:t>
      </w:r>
      <w:r>
        <w:rPr>
          <w:rFonts w:hint="eastAsia" w:asciiTheme="minorEastAsia" w:hAnsiTheme="minorEastAsia" w:eastAsiaTheme="minorEastAsia" w:cstheme="minorEastAsia"/>
          <w:snapToGrid w:val="0"/>
          <w:color w:val="auto"/>
          <w:spacing w:val="13"/>
          <w:sz w:val="28"/>
          <w:szCs w:val="28"/>
          <w:highlight w:val="none"/>
        </w:rPr>
        <w:t>行控制，托管期内的经济效益风险由乙方自行承担。</w:t>
      </w:r>
    </w:p>
    <w:p w14:paraId="6F79A9D4">
      <w:pPr>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2"/>
          <w:sz w:val="28"/>
          <w:szCs w:val="28"/>
          <w:highlight w:val="none"/>
        </w:rPr>
        <w:t>3.2乙方负责托管能源资源系统的</w:t>
      </w:r>
      <w:r>
        <w:rPr>
          <w:rFonts w:hint="eastAsia" w:asciiTheme="minorEastAsia" w:hAnsiTheme="minorEastAsia" w:eastAsiaTheme="minorEastAsia" w:cstheme="minorEastAsia"/>
          <w:snapToGrid w:val="0"/>
          <w:color w:val="auto"/>
          <w:spacing w:val="11"/>
          <w:sz w:val="28"/>
          <w:szCs w:val="28"/>
          <w:highlight w:val="none"/>
        </w:rPr>
        <w:t>节能改造。</w:t>
      </w:r>
    </w:p>
    <w:p w14:paraId="2130B7D0">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3.2.1乙方根据节能诊断结果及双方设定的</w:t>
      </w:r>
      <w:r>
        <w:rPr>
          <w:rFonts w:hint="eastAsia" w:asciiTheme="minorEastAsia" w:hAnsiTheme="minorEastAsia" w:eastAsiaTheme="minorEastAsia" w:cstheme="minorEastAsia"/>
          <w:snapToGrid w:val="0"/>
          <w:color w:val="auto"/>
          <w:spacing w:val="12"/>
          <w:sz w:val="28"/>
          <w:szCs w:val="28"/>
          <w:highlight w:val="none"/>
        </w:rPr>
        <w:t>节能目标，编制节能改造方案，通过甲方审批后实施，</w:t>
      </w:r>
      <w:r>
        <w:rPr>
          <w:rFonts w:hint="eastAsia" w:asciiTheme="minorEastAsia" w:hAnsiTheme="minorEastAsia" w:eastAsiaTheme="minorEastAsia" w:cstheme="minorEastAsia"/>
          <w:snapToGrid w:val="0"/>
          <w:color w:val="auto"/>
          <w:spacing w:val="16"/>
          <w:sz w:val="28"/>
          <w:szCs w:val="28"/>
          <w:highlight w:val="none"/>
        </w:rPr>
        <w:t>本次改造范围见下表：</w:t>
      </w:r>
    </w:p>
    <w:p w14:paraId="7B56BAD0">
      <w:pPr>
        <w:autoSpaceDE w:val="0"/>
        <w:autoSpaceDN w:val="0"/>
        <w:adjustRightInd w:val="0"/>
        <w:snapToGrid w:val="0"/>
        <w:spacing w:line="480" w:lineRule="exact"/>
        <w:ind w:firstLine="628"/>
        <w:jc w:val="center"/>
        <w:textAlignment w:val="baseline"/>
        <w:rPr>
          <w:rFonts w:ascii="黑体" w:hAnsi="黑体" w:eastAsia="黑体" w:cs="黑体"/>
          <w:snapToGrid w:val="0"/>
          <w:color w:val="auto"/>
          <w:spacing w:val="17"/>
          <w:sz w:val="28"/>
          <w:szCs w:val="28"/>
          <w:highlight w:val="none"/>
          <w:lang w:eastAsia="en-US"/>
        </w:rPr>
      </w:pPr>
      <w:r>
        <w:rPr>
          <w:rFonts w:hint="eastAsia" w:ascii="黑体" w:hAnsi="黑体" w:eastAsia="黑体" w:cs="黑体"/>
          <w:snapToGrid w:val="0"/>
          <w:color w:val="auto"/>
          <w:spacing w:val="17"/>
          <w:sz w:val="28"/>
          <w:szCs w:val="28"/>
          <w:highlight w:val="none"/>
          <w:lang w:eastAsia="en-US"/>
        </w:rPr>
        <w:t>乙方改造边界范围</w:t>
      </w:r>
    </w:p>
    <w:tbl>
      <w:tblPr>
        <w:tblStyle w:val="109"/>
        <w:tblW w:w="8315" w:type="dxa"/>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158"/>
        <w:gridCol w:w="7157"/>
      </w:tblGrid>
      <w:tr w14:paraId="7746EFF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1158" w:type="dxa"/>
            <w:tcBorders>
              <w:bottom w:val="single" w:color="231F20" w:sz="2" w:space="0"/>
              <w:right w:val="single" w:color="231F20" w:sz="2" w:space="0"/>
            </w:tcBorders>
            <w:vAlign w:val="center"/>
          </w:tcPr>
          <w:p w14:paraId="166F4C58">
            <w:pPr>
              <w:autoSpaceDE w:val="0"/>
              <w:autoSpaceDN w:val="0"/>
              <w:adjustRightInd w:val="0"/>
              <w:snapToGrid w:val="0"/>
              <w:spacing w:line="480" w:lineRule="exact"/>
              <w:jc w:val="both"/>
              <w:textAlignment w:val="baseline"/>
              <w:rPr>
                <w:rFonts w:hint="default" w:asciiTheme="minorEastAsia" w:hAnsiTheme="minorEastAsia" w:eastAsiaTheme="minorEastAsia" w:cstheme="minorEastAsia"/>
                <w:snapToGrid w:val="0"/>
                <w:color w:val="auto"/>
                <w:sz w:val="28"/>
                <w:szCs w:val="28"/>
                <w:highlight w:val="none"/>
                <w:lang w:val="en-US" w:eastAsia="zh-CN"/>
              </w:rPr>
            </w:pPr>
            <w:r>
              <w:rPr>
                <w:rFonts w:hint="eastAsia" w:asciiTheme="minorEastAsia" w:hAnsiTheme="minorEastAsia" w:eastAsiaTheme="minorEastAsia" w:cstheme="minorEastAsia"/>
                <w:snapToGrid w:val="0"/>
                <w:color w:val="auto"/>
                <w:sz w:val="28"/>
                <w:szCs w:val="28"/>
                <w:highlight w:val="none"/>
                <w:lang w:val="en-US" w:eastAsia="zh-CN"/>
              </w:rPr>
              <w:t>改造边界</w:t>
            </w:r>
          </w:p>
        </w:tc>
        <w:tc>
          <w:tcPr>
            <w:tcW w:w="7157" w:type="dxa"/>
            <w:tcBorders>
              <w:left w:val="single" w:color="231F20" w:sz="2" w:space="0"/>
              <w:bottom w:val="single" w:color="231F20" w:sz="2" w:space="0"/>
            </w:tcBorders>
            <w:vAlign w:val="center"/>
          </w:tcPr>
          <w:p w14:paraId="7C09EC19">
            <w:pPr>
              <w:autoSpaceDE w:val="0"/>
              <w:autoSpaceDN w:val="0"/>
              <w:adjustRightInd w:val="0"/>
              <w:snapToGrid w:val="0"/>
              <w:spacing w:line="480" w:lineRule="exact"/>
              <w:ind w:firstLine="560"/>
              <w:jc w:val="both"/>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z w:val="28"/>
                <w:szCs w:val="28"/>
                <w:highlight w:val="none"/>
                <w:lang w:val="en-US" w:eastAsia="zh-CN"/>
              </w:rPr>
              <w:t>梧州市本级行政事业单位、团体组织、医院用电系统</w:t>
            </w:r>
          </w:p>
        </w:tc>
      </w:tr>
      <w:tr w14:paraId="34FA9F3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5" w:hRule="atLeast"/>
        </w:trPr>
        <w:tc>
          <w:tcPr>
            <w:tcW w:w="1158" w:type="dxa"/>
            <w:tcBorders>
              <w:top w:val="single" w:color="231F20" w:sz="2" w:space="0"/>
              <w:bottom w:val="single" w:color="231F20" w:sz="2" w:space="0"/>
              <w:right w:val="single" w:color="231F20" w:sz="2" w:space="0"/>
            </w:tcBorders>
            <w:vAlign w:val="center"/>
          </w:tcPr>
          <w:p w14:paraId="0C758B58">
            <w:pPr>
              <w:autoSpaceDE w:val="0"/>
              <w:autoSpaceDN w:val="0"/>
              <w:adjustRightInd w:val="0"/>
              <w:snapToGrid w:val="0"/>
              <w:spacing w:line="480" w:lineRule="exact"/>
              <w:jc w:val="both"/>
              <w:textAlignment w:val="baseline"/>
              <w:rPr>
                <w:rFonts w:hint="default" w:asciiTheme="minorEastAsia" w:hAnsiTheme="minorEastAsia" w:eastAsiaTheme="minorEastAsia" w:cstheme="minorEastAsia"/>
                <w:snapToGrid w:val="0"/>
                <w:color w:val="auto"/>
                <w:sz w:val="28"/>
                <w:szCs w:val="28"/>
                <w:highlight w:val="none"/>
                <w:lang w:val="en-US" w:eastAsia="zh-CN"/>
              </w:rPr>
            </w:pPr>
            <w:r>
              <w:rPr>
                <w:rFonts w:hint="eastAsia" w:asciiTheme="minorEastAsia" w:hAnsiTheme="minorEastAsia" w:eastAsiaTheme="minorEastAsia" w:cstheme="minorEastAsia"/>
                <w:snapToGrid w:val="0"/>
                <w:color w:val="auto"/>
                <w:sz w:val="28"/>
                <w:szCs w:val="28"/>
                <w:highlight w:val="none"/>
                <w:lang w:val="en-US" w:eastAsia="zh-CN"/>
              </w:rPr>
              <w:t>改造范围</w:t>
            </w:r>
          </w:p>
        </w:tc>
        <w:tc>
          <w:tcPr>
            <w:tcW w:w="7157" w:type="dxa"/>
            <w:tcBorders>
              <w:top w:val="single" w:color="231F20" w:sz="2" w:space="0"/>
              <w:left w:val="single" w:color="231F20" w:sz="2" w:space="0"/>
              <w:bottom w:val="single" w:color="231F20" w:sz="2" w:space="0"/>
            </w:tcBorders>
            <w:vAlign w:val="center"/>
          </w:tcPr>
          <w:p w14:paraId="375B7862">
            <w:pPr>
              <w:autoSpaceDE w:val="0"/>
              <w:autoSpaceDN w:val="0"/>
              <w:adjustRightInd w:val="0"/>
              <w:snapToGrid w:val="0"/>
              <w:spacing w:line="480" w:lineRule="exact"/>
              <w:ind w:firstLine="56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z w:val="28"/>
                <w:szCs w:val="28"/>
                <w:highlight w:val="none"/>
                <w:lang w:val="en-US" w:eastAsia="zh-CN"/>
              </w:rPr>
              <w:t>包括空调系统、照明系统、办公设备系统、动力系统、热水系统及特殊用能设备等</w:t>
            </w:r>
          </w:p>
        </w:tc>
      </w:tr>
    </w:tbl>
    <w:p w14:paraId="15D7F6C1">
      <w:pPr>
        <w:autoSpaceDE w:val="0"/>
        <w:autoSpaceDN w:val="0"/>
        <w:adjustRightInd w:val="0"/>
        <w:snapToGrid w:val="0"/>
        <w:spacing w:line="480" w:lineRule="exact"/>
        <w:ind w:firstLine="63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8"/>
          <w:sz w:val="28"/>
          <w:szCs w:val="28"/>
          <w:highlight w:val="none"/>
        </w:rPr>
        <w:t>3.2.2如在本能源费用托管项目节能改造期间出现乙方作为专业的节能服务提供者合理预料之外</w:t>
      </w:r>
      <w:r>
        <w:rPr>
          <w:rFonts w:hint="eastAsia" w:asciiTheme="minorEastAsia" w:hAnsiTheme="minorEastAsia" w:eastAsiaTheme="minorEastAsia" w:cstheme="minorEastAsia"/>
          <w:snapToGrid w:val="0"/>
          <w:color w:val="auto"/>
          <w:spacing w:val="12"/>
          <w:sz w:val="28"/>
          <w:szCs w:val="28"/>
          <w:highlight w:val="none"/>
        </w:rPr>
        <w:t>的情况，导致原有项目方案需要修改，则乙方有权对原有项目方案进行修改。</w:t>
      </w:r>
    </w:p>
    <w:p w14:paraId="615D1DAB">
      <w:pPr>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1"/>
          <w:sz w:val="28"/>
          <w:szCs w:val="28"/>
          <w:highlight w:val="none"/>
        </w:rPr>
        <w:t>3.2.3本项目运行期间，在不影响甲方生产经营的前提下，乙方有权为优化托管方案、提高节能效</w:t>
      </w:r>
      <w:r>
        <w:rPr>
          <w:rFonts w:hint="eastAsia" w:asciiTheme="minorEastAsia" w:hAnsiTheme="minorEastAsia" w:eastAsiaTheme="minorEastAsia" w:cstheme="minorEastAsia"/>
          <w:snapToGrid w:val="0"/>
          <w:color w:val="auto"/>
          <w:spacing w:val="5"/>
          <w:sz w:val="28"/>
          <w:szCs w:val="28"/>
          <w:highlight w:val="none"/>
        </w:rPr>
        <w:t>益对项目进行改造，包括但不限于对相关设备或设施进行添加、替换、去除、改造，或者是对相关操作、维</w:t>
      </w:r>
      <w:r>
        <w:rPr>
          <w:rFonts w:hint="eastAsia" w:asciiTheme="minorEastAsia" w:hAnsiTheme="minorEastAsia" w:eastAsiaTheme="minorEastAsia" w:cstheme="minorEastAsia"/>
          <w:snapToGrid w:val="0"/>
          <w:color w:val="auto"/>
          <w:spacing w:val="-2"/>
          <w:sz w:val="28"/>
          <w:szCs w:val="28"/>
          <w:highlight w:val="none"/>
        </w:rPr>
        <w:t>护程序和方法进行修改。乙方应编制相关改造方案并在改造方案实施</w:t>
      </w:r>
      <w:r>
        <w:rPr>
          <w:rFonts w:hint="eastAsia" w:asciiTheme="minorEastAsia" w:hAnsiTheme="minorEastAsia" w:eastAsiaTheme="minorEastAsia" w:cstheme="minorEastAsia"/>
          <w:snapToGrid w:val="0"/>
          <w:color w:val="auto"/>
          <w:spacing w:val="-3"/>
          <w:sz w:val="28"/>
          <w:szCs w:val="28"/>
          <w:highlight w:val="none"/>
        </w:rPr>
        <w:t>前30日将改造方案书面告知</w:t>
      </w:r>
      <w:r>
        <w:rPr>
          <w:rFonts w:hint="eastAsia" w:asciiTheme="minorEastAsia" w:hAnsiTheme="minorEastAsia" w:eastAsiaTheme="minorEastAsia" w:cstheme="minorEastAsia"/>
          <w:snapToGrid w:val="0"/>
          <w:color w:val="auto"/>
          <w:spacing w:val="6"/>
          <w:sz w:val="28"/>
          <w:szCs w:val="28"/>
          <w:highlight w:val="none"/>
        </w:rPr>
        <w:t>甲方。</w:t>
      </w:r>
    </w:p>
    <w:p w14:paraId="4F0006BE">
      <w:pPr>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2"/>
          <w:sz w:val="28"/>
          <w:szCs w:val="28"/>
          <w:highlight w:val="none"/>
        </w:rPr>
        <w:t>3.3托管能源资源系统的运行管理责任。</w:t>
      </w:r>
    </w:p>
    <w:p w14:paraId="4538E48F">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3.3.1甲方现有设备全部归甲方所有，新增节能设备在能源托管期</w:t>
      </w:r>
      <w:r>
        <w:rPr>
          <w:rFonts w:hint="eastAsia" w:asciiTheme="minorEastAsia" w:hAnsiTheme="minorEastAsia" w:eastAsiaTheme="minorEastAsia" w:cstheme="minorEastAsia"/>
          <w:snapToGrid w:val="0"/>
          <w:color w:val="auto"/>
          <w:spacing w:val="15"/>
          <w:sz w:val="28"/>
          <w:szCs w:val="28"/>
          <w:highlight w:val="none"/>
        </w:rPr>
        <w:t>间归乙方所有，甲方享有使用</w:t>
      </w:r>
      <w:r>
        <w:rPr>
          <w:rFonts w:hint="eastAsia" w:asciiTheme="minorEastAsia" w:hAnsiTheme="minorEastAsia" w:eastAsiaTheme="minorEastAsia" w:cstheme="minorEastAsia"/>
          <w:snapToGrid w:val="0"/>
          <w:color w:val="auto"/>
          <w:spacing w:val="16"/>
          <w:sz w:val="28"/>
          <w:szCs w:val="28"/>
          <w:highlight w:val="none"/>
        </w:rPr>
        <w:t>权，托管期结束且甲方付清本合同约定的所有</w:t>
      </w:r>
      <w:r>
        <w:rPr>
          <w:rFonts w:hint="eastAsia" w:asciiTheme="minorEastAsia" w:hAnsiTheme="minorEastAsia" w:eastAsiaTheme="minorEastAsia" w:cstheme="minorEastAsia"/>
          <w:snapToGrid w:val="0"/>
          <w:color w:val="auto"/>
          <w:spacing w:val="15"/>
          <w:sz w:val="28"/>
          <w:szCs w:val="28"/>
          <w:highlight w:val="none"/>
        </w:rPr>
        <w:t>款项后节能设备归甲方所有。</w:t>
      </w:r>
    </w:p>
    <w:p w14:paraId="4CEA425E">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3.3.2托管期开始60个日历天内，乙方应协助甲方共同评估甲方现有设备存在的故障、安</w:t>
      </w:r>
      <w:r>
        <w:rPr>
          <w:rFonts w:hint="eastAsia" w:asciiTheme="minorEastAsia" w:hAnsiTheme="minorEastAsia" w:eastAsiaTheme="minorEastAsia" w:cstheme="minorEastAsia"/>
          <w:snapToGrid w:val="0"/>
          <w:color w:val="auto"/>
          <w:spacing w:val="9"/>
          <w:sz w:val="28"/>
          <w:szCs w:val="28"/>
          <w:highlight w:val="none"/>
        </w:rPr>
        <w:t>全隐患、</w:t>
      </w:r>
      <w:r>
        <w:rPr>
          <w:rFonts w:hint="eastAsia" w:asciiTheme="minorEastAsia" w:hAnsiTheme="minorEastAsia" w:eastAsiaTheme="minorEastAsia" w:cstheme="minorEastAsia"/>
          <w:snapToGrid w:val="0"/>
          <w:color w:val="auto"/>
          <w:spacing w:val="13"/>
          <w:sz w:val="28"/>
          <w:szCs w:val="28"/>
          <w:highlight w:val="none"/>
        </w:rPr>
        <w:t>设备功能及性能等，出具用能设备现状评估单并统一维修所有故障设备，消除安全隐患，保障设备正</w:t>
      </w:r>
      <w:r>
        <w:rPr>
          <w:rFonts w:hint="eastAsia" w:asciiTheme="minorEastAsia" w:hAnsiTheme="minorEastAsia" w:eastAsiaTheme="minorEastAsia" w:cstheme="minorEastAsia"/>
          <w:snapToGrid w:val="0"/>
          <w:color w:val="auto"/>
          <w:spacing w:val="12"/>
          <w:sz w:val="28"/>
          <w:szCs w:val="28"/>
          <w:highlight w:val="none"/>
        </w:rPr>
        <w:t>常运</w:t>
      </w:r>
      <w:r>
        <w:rPr>
          <w:rFonts w:hint="eastAsia" w:asciiTheme="minorEastAsia" w:hAnsiTheme="minorEastAsia" w:eastAsiaTheme="minorEastAsia" w:cstheme="minorEastAsia"/>
          <w:snapToGrid w:val="0"/>
          <w:color w:val="auto"/>
          <w:spacing w:val="11"/>
          <w:sz w:val="28"/>
          <w:szCs w:val="28"/>
          <w:highlight w:val="none"/>
        </w:rPr>
        <w:t>行，甲方应向乙方支付相应维保费。</w:t>
      </w:r>
    </w:p>
    <w:p w14:paraId="1A951AB9">
      <w:pPr>
        <w:autoSpaceDE w:val="0"/>
        <w:autoSpaceDN w:val="0"/>
        <w:adjustRightInd w:val="0"/>
        <w:snapToGrid w:val="0"/>
        <w:spacing w:line="480" w:lineRule="exact"/>
        <w:ind w:firstLine="63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8"/>
          <w:sz w:val="28"/>
          <w:szCs w:val="28"/>
          <w:highlight w:val="none"/>
        </w:rPr>
        <w:t>3.3.3在完成节能改造建设及调试后，乙方</w:t>
      </w:r>
      <w:r>
        <w:rPr>
          <w:rFonts w:hint="eastAsia" w:asciiTheme="minorEastAsia" w:hAnsiTheme="minorEastAsia" w:eastAsiaTheme="minorEastAsia" w:cstheme="minorEastAsia"/>
          <w:snapToGrid w:val="0"/>
          <w:color w:val="auto"/>
          <w:spacing w:val="17"/>
          <w:sz w:val="28"/>
          <w:szCs w:val="28"/>
          <w:highlight w:val="none"/>
        </w:rPr>
        <w:t>应根据设定的节能目标在不影响甲方的正常使用需求</w:t>
      </w:r>
      <w:r>
        <w:rPr>
          <w:rFonts w:hint="eastAsia" w:asciiTheme="minorEastAsia" w:hAnsiTheme="minorEastAsia" w:eastAsiaTheme="minorEastAsia" w:cstheme="minorEastAsia"/>
          <w:snapToGrid w:val="0"/>
          <w:color w:val="auto"/>
          <w:spacing w:val="15"/>
          <w:sz w:val="28"/>
          <w:szCs w:val="28"/>
          <w:highlight w:val="none"/>
        </w:rPr>
        <w:t>的情况下编制运行策略。甲方应积极配合乙方进行建筑的节能运行，并督导建筑管理单位严格执行。乙</w:t>
      </w:r>
      <w:r>
        <w:rPr>
          <w:rFonts w:hint="eastAsia" w:asciiTheme="minorEastAsia" w:hAnsiTheme="minorEastAsia" w:eastAsiaTheme="minorEastAsia" w:cstheme="minorEastAsia"/>
          <w:snapToGrid w:val="0"/>
          <w:color w:val="auto"/>
          <w:spacing w:val="21"/>
          <w:sz w:val="28"/>
          <w:szCs w:val="28"/>
          <w:highlight w:val="none"/>
        </w:rPr>
        <w:t>方应配合甲方对建筑管理单位的人员开展节能培训工作，保障机电系统的高效运行</w:t>
      </w:r>
      <w:r>
        <w:rPr>
          <w:rFonts w:hint="eastAsia" w:asciiTheme="minorEastAsia" w:hAnsiTheme="minorEastAsia" w:eastAsiaTheme="minorEastAsia" w:cstheme="minorEastAsia"/>
          <w:snapToGrid w:val="0"/>
          <w:color w:val="auto"/>
          <w:spacing w:val="20"/>
          <w:sz w:val="28"/>
          <w:szCs w:val="28"/>
          <w:highlight w:val="none"/>
        </w:rPr>
        <w:t>，以保证节能量的</w:t>
      </w:r>
      <w:r>
        <w:rPr>
          <w:rFonts w:hint="eastAsia" w:asciiTheme="minorEastAsia" w:hAnsiTheme="minorEastAsia" w:eastAsiaTheme="minorEastAsia" w:cstheme="minorEastAsia"/>
          <w:snapToGrid w:val="0"/>
          <w:color w:val="auto"/>
          <w:spacing w:val="6"/>
          <w:sz w:val="28"/>
          <w:szCs w:val="28"/>
          <w:highlight w:val="none"/>
        </w:rPr>
        <w:t>实现。</w:t>
      </w:r>
    </w:p>
    <w:p w14:paraId="28C1D227">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3.3.4乙方应以全面节能为目标，结合项目使用功能情况现状，协助甲方建立完善节能管理体系。</w:t>
      </w:r>
    </w:p>
    <w:p w14:paraId="036318AF">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3.4如节能改造范围包括</w:t>
      </w:r>
      <w:r>
        <w:rPr>
          <w:rFonts w:hint="eastAsia" w:asciiTheme="minorEastAsia" w:hAnsiTheme="minorEastAsia" w:eastAsiaTheme="minorEastAsia" w:cstheme="minorEastAsia"/>
          <w:snapToGrid w:val="0"/>
          <w:color w:val="auto"/>
          <w:sz w:val="28"/>
          <w:szCs w:val="28"/>
          <w:highlight w:val="none"/>
        </w:rPr>
        <w:t>LED</w:t>
      </w:r>
      <w:r>
        <w:rPr>
          <w:rFonts w:hint="eastAsia" w:asciiTheme="minorEastAsia" w:hAnsiTheme="minorEastAsia" w:eastAsiaTheme="minorEastAsia" w:cstheme="minorEastAsia"/>
          <w:snapToGrid w:val="0"/>
          <w:color w:val="auto"/>
          <w:spacing w:val="14"/>
          <w:sz w:val="28"/>
          <w:szCs w:val="28"/>
          <w:highlight w:val="none"/>
        </w:rPr>
        <w:t>灯改造，在托管期内乙方对所</w:t>
      </w:r>
      <w:r>
        <w:rPr>
          <w:rFonts w:hint="eastAsia" w:asciiTheme="minorEastAsia" w:hAnsiTheme="minorEastAsia" w:eastAsiaTheme="minorEastAsia" w:cstheme="minorEastAsia"/>
          <w:snapToGrid w:val="0"/>
          <w:color w:val="auto"/>
          <w:spacing w:val="13"/>
          <w:sz w:val="28"/>
          <w:szCs w:val="28"/>
          <w:highlight w:val="none"/>
        </w:rPr>
        <w:t>改造</w:t>
      </w:r>
      <w:r>
        <w:rPr>
          <w:rFonts w:hint="eastAsia" w:asciiTheme="minorEastAsia" w:hAnsiTheme="minorEastAsia" w:eastAsiaTheme="minorEastAsia" w:cstheme="minorEastAsia"/>
          <w:snapToGrid w:val="0"/>
          <w:color w:val="auto"/>
          <w:sz w:val="28"/>
          <w:szCs w:val="28"/>
          <w:highlight w:val="none"/>
        </w:rPr>
        <w:t>LED</w:t>
      </w:r>
      <w:r>
        <w:rPr>
          <w:rFonts w:hint="eastAsia" w:asciiTheme="minorEastAsia" w:hAnsiTheme="minorEastAsia" w:eastAsiaTheme="minorEastAsia" w:cstheme="minorEastAsia"/>
          <w:snapToGrid w:val="0"/>
          <w:color w:val="auto"/>
          <w:spacing w:val="13"/>
          <w:sz w:val="28"/>
          <w:szCs w:val="28"/>
          <w:highlight w:val="none"/>
        </w:rPr>
        <w:t>灯实行全面质量保证，在托</w:t>
      </w:r>
      <w:r>
        <w:rPr>
          <w:rFonts w:hint="eastAsia" w:asciiTheme="minorEastAsia" w:hAnsiTheme="minorEastAsia" w:eastAsiaTheme="minorEastAsia" w:cstheme="minorEastAsia"/>
          <w:snapToGrid w:val="0"/>
          <w:color w:val="auto"/>
          <w:spacing w:val="14"/>
          <w:sz w:val="28"/>
          <w:szCs w:val="28"/>
          <w:highlight w:val="none"/>
        </w:rPr>
        <w:t>管期内如所改造</w:t>
      </w:r>
      <w:r>
        <w:rPr>
          <w:rFonts w:hint="eastAsia" w:asciiTheme="minorEastAsia" w:hAnsiTheme="minorEastAsia" w:eastAsiaTheme="minorEastAsia" w:cstheme="minorEastAsia"/>
          <w:snapToGrid w:val="0"/>
          <w:color w:val="auto"/>
          <w:sz w:val="28"/>
          <w:szCs w:val="28"/>
          <w:highlight w:val="none"/>
        </w:rPr>
        <w:t>LED</w:t>
      </w:r>
      <w:r>
        <w:rPr>
          <w:rFonts w:hint="eastAsia" w:asciiTheme="minorEastAsia" w:hAnsiTheme="minorEastAsia" w:eastAsiaTheme="minorEastAsia" w:cstheme="minorEastAsia"/>
          <w:snapToGrid w:val="0"/>
          <w:color w:val="auto"/>
          <w:spacing w:val="14"/>
          <w:sz w:val="28"/>
          <w:szCs w:val="28"/>
          <w:highlight w:val="none"/>
        </w:rPr>
        <w:t>灯具有质量问题，乙方负责以旧换新方式免费提供灯具，甲方负责更换。</w:t>
      </w:r>
    </w:p>
    <w:p w14:paraId="00AFC16D">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3.5 供能时间、质量。</w:t>
      </w:r>
    </w:p>
    <w:p w14:paraId="7161724E">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3.5.1 甲方的供能时间要求：</w:t>
      </w:r>
      <w:r>
        <w:rPr>
          <w:rFonts w:hint="eastAsia" w:asciiTheme="minorEastAsia" w:hAnsiTheme="minorEastAsia" w:eastAsiaTheme="minorEastAsia" w:cstheme="minorEastAsia"/>
          <w:snapToGrid w:val="0"/>
          <w:color w:val="auto"/>
          <w:spacing w:val="10"/>
          <w:sz w:val="28"/>
          <w:szCs w:val="28"/>
          <w:highlight w:val="none"/>
          <w:u w:val="single"/>
        </w:rPr>
        <w:t>　　</w:t>
      </w:r>
      <w:r>
        <w:rPr>
          <w:rFonts w:hint="eastAsia" w:asciiTheme="minorEastAsia" w:hAnsiTheme="minorEastAsia" w:eastAsiaTheme="minorEastAsia" w:cstheme="minorEastAsia"/>
          <w:snapToGrid w:val="0"/>
          <w:color w:val="auto"/>
          <w:spacing w:val="10"/>
          <w:sz w:val="28"/>
          <w:szCs w:val="28"/>
          <w:highlight w:val="none"/>
        </w:rPr>
        <w:t>。</w:t>
      </w:r>
    </w:p>
    <w:p w14:paraId="6660450F">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3.5.2 甲方的供能质量要求：</w:t>
      </w:r>
      <w:r>
        <w:rPr>
          <w:rFonts w:hint="eastAsia" w:asciiTheme="minorEastAsia" w:hAnsiTheme="minorEastAsia" w:eastAsiaTheme="minorEastAsia" w:cstheme="minorEastAsia"/>
          <w:snapToGrid w:val="0"/>
          <w:color w:val="auto"/>
          <w:spacing w:val="10"/>
          <w:sz w:val="28"/>
          <w:szCs w:val="28"/>
          <w:highlight w:val="none"/>
          <w:u w:val="single"/>
        </w:rPr>
        <w:t>　　</w:t>
      </w:r>
      <w:r>
        <w:rPr>
          <w:rFonts w:hint="eastAsia" w:asciiTheme="minorEastAsia" w:hAnsiTheme="minorEastAsia" w:eastAsiaTheme="minorEastAsia" w:cstheme="minorEastAsia"/>
          <w:snapToGrid w:val="0"/>
          <w:color w:val="auto"/>
          <w:spacing w:val="10"/>
          <w:sz w:val="28"/>
          <w:szCs w:val="28"/>
          <w:highlight w:val="none"/>
        </w:rPr>
        <w:t>。</w:t>
      </w:r>
    </w:p>
    <w:p w14:paraId="32D293D7">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3.6 其他：</w:t>
      </w:r>
      <w:r>
        <w:rPr>
          <w:rFonts w:hint="eastAsia" w:asciiTheme="minorEastAsia" w:hAnsiTheme="minorEastAsia" w:eastAsiaTheme="minorEastAsia" w:cstheme="minorEastAsia"/>
          <w:snapToGrid w:val="0"/>
          <w:color w:val="auto"/>
          <w:spacing w:val="10"/>
          <w:sz w:val="28"/>
          <w:szCs w:val="28"/>
          <w:highlight w:val="none"/>
          <w:u w:val="single"/>
        </w:rPr>
        <w:t>　　</w:t>
      </w:r>
      <w:r>
        <w:rPr>
          <w:rFonts w:hint="eastAsia" w:asciiTheme="minorEastAsia" w:hAnsiTheme="minorEastAsia" w:eastAsiaTheme="minorEastAsia" w:cstheme="minorEastAsia"/>
          <w:snapToGrid w:val="0"/>
          <w:color w:val="auto"/>
          <w:spacing w:val="10"/>
          <w:sz w:val="28"/>
          <w:szCs w:val="28"/>
          <w:highlight w:val="none"/>
        </w:rPr>
        <w:t>。</w:t>
      </w:r>
    </w:p>
    <w:p w14:paraId="227E570E">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第4节  费用计算</w:t>
      </w:r>
    </w:p>
    <w:p w14:paraId="582EE4F3">
      <w:pPr>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7"/>
          <w:sz w:val="28"/>
          <w:szCs w:val="28"/>
          <w:highlight w:val="none"/>
        </w:rPr>
        <w:t>4.1乙方应在合同生效之日起</w:t>
      </w:r>
      <w:r>
        <w:rPr>
          <w:rFonts w:hint="eastAsia" w:asciiTheme="minorEastAsia" w:hAnsiTheme="minorEastAsia" w:eastAsiaTheme="minorEastAsia" w:cstheme="minorEastAsia"/>
          <w:snapToGrid w:val="0"/>
          <w:color w:val="auto"/>
          <w:spacing w:val="17"/>
          <w:sz w:val="28"/>
          <w:szCs w:val="28"/>
          <w:highlight w:val="none"/>
          <w:u w:val="single"/>
        </w:rPr>
        <w:t xml:space="preserve">    </w:t>
      </w:r>
      <w:r>
        <w:rPr>
          <w:rFonts w:hint="eastAsia" w:asciiTheme="minorEastAsia" w:hAnsiTheme="minorEastAsia" w:eastAsiaTheme="minorEastAsia" w:cstheme="minorEastAsia"/>
          <w:snapToGrid w:val="0"/>
          <w:color w:val="auto"/>
          <w:spacing w:val="17"/>
          <w:sz w:val="28"/>
          <w:szCs w:val="28"/>
          <w:highlight w:val="none"/>
        </w:rPr>
        <w:t>个日历天内向甲方提交详细</w:t>
      </w:r>
      <w:r>
        <w:rPr>
          <w:rFonts w:hint="eastAsia" w:asciiTheme="minorEastAsia" w:hAnsiTheme="minorEastAsia" w:eastAsiaTheme="minorEastAsia" w:cstheme="minorEastAsia"/>
          <w:snapToGrid w:val="0"/>
          <w:color w:val="auto"/>
          <w:spacing w:val="16"/>
          <w:sz w:val="28"/>
          <w:szCs w:val="28"/>
          <w:highlight w:val="none"/>
        </w:rPr>
        <w:t>的能源托管方案（含改造方案和节</w:t>
      </w:r>
      <w:r>
        <w:rPr>
          <w:rFonts w:hint="eastAsia" w:asciiTheme="minorEastAsia" w:hAnsiTheme="minorEastAsia" w:eastAsiaTheme="minorEastAsia" w:cstheme="minorEastAsia"/>
          <w:snapToGrid w:val="0"/>
          <w:color w:val="auto"/>
          <w:sz w:val="28"/>
          <w:szCs w:val="28"/>
          <w:highlight w:val="none"/>
        </w:rPr>
        <w:t>能运维方案等）。</w:t>
      </w:r>
    </w:p>
    <w:p w14:paraId="7A223CEB">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4.2乙方应按能源托管方案的要求，在托管期内协助甲方进行能源资源系统的运行管理，享有</w:t>
      </w:r>
      <w:r>
        <w:rPr>
          <w:rFonts w:hint="eastAsia" w:asciiTheme="minorEastAsia" w:hAnsiTheme="minorEastAsia" w:eastAsiaTheme="minorEastAsia" w:cstheme="minorEastAsia"/>
          <w:snapToGrid w:val="0"/>
          <w:color w:val="auto"/>
          <w:spacing w:val="12"/>
          <w:sz w:val="28"/>
          <w:szCs w:val="28"/>
          <w:highlight w:val="none"/>
        </w:rPr>
        <w:t>能源</w:t>
      </w:r>
      <w:r>
        <w:rPr>
          <w:rFonts w:hint="eastAsia" w:asciiTheme="minorEastAsia" w:hAnsiTheme="minorEastAsia" w:eastAsiaTheme="minorEastAsia" w:cstheme="minorEastAsia"/>
          <w:snapToGrid w:val="0"/>
          <w:color w:val="auto"/>
          <w:spacing w:val="13"/>
          <w:sz w:val="28"/>
          <w:szCs w:val="28"/>
          <w:highlight w:val="none"/>
        </w:rPr>
        <w:t>托管节省</w:t>
      </w:r>
      <w:r>
        <w:rPr>
          <w:rFonts w:hint="eastAsia" w:asciiTheme="minorEastAsia" w:hAnsiTheme="minorEastAsia" w:eastAsiaTheme="minorEastAsia" w:cstheme="minorEastAsia"/>
          <w:snapToGrid w:val="0"/>
          <w:color w:val="auto"/>
          <w:spacing w:val="13"/>
          <w:sz w:val="28"/>
          <w:szCs w:val="28"/>
          <w:highlight w:val="none"/>
          <w:lang w:eastAsia="zh-CN"/>
        </w:rPr>
        <w:t>☑</w:t>
      </w:r>
      <w:r>
        <w:rPr>
          <w:rFonts w:hint="eastAsia" w:asciiTheme="minorEastAsia" w:hAnsiTheme="minorEastAsia" w:eastAsiaTheme="minorEastAsia" w:cstheme="minorEastAsia"/>
          <w:snapToGrid w:val="0"/>
          <w:color w:val="auto"/>
          <w:spacing w:val="13"/>
          <w:sz w:val="28"/>
          <w:szCs w:val="28"/>
          <w:highlight w:val="none"/>
        </w:rPr>
        <w:t>电费、□蒸汽费、□燃气费、</w:t>
      </w:r>
      <w:r>
        <w:rPr>
          <w:rFonts w:hint="eastAsia" w:asciiTheme="minorEastAsia" w:hAnsiTheme="minorEastAsia" w:eastAsiaTheme="minorEastAsia" w:cstheme="minorEastAsia"/>
          <w:snapToGrid w:val="0"/>
          <w:color w:val="auto"/>
          <w:spacing w:val="13"/>
          <w:sz w:val="28"/>
          <w:szCs w:val="28"/>
          <w:highlight w:val="none"/>
          <w:lang w:eastAsia="zh-CN"/>
        </w:rPr>
        <w:t>□</w:t>
      </w:r>
      <w:r>
        <w:rPr>
          <w:rFonts w:hint="eastAsia" w:asciiTheme="minorEastAsia" w:hAnsiTheme="minorEastAsia" w:eastAsiaTheme="minorEastAsia" w:cstheme="minorEastAsia"/>
          <w:snapToGrid w:val="0"/>
          <w:color w:val="auto"/>
          <w:spacing w:val="12"/>
          <w:sz w:val="28"/>
          <w:szCs w:val="28"/>
          <w:highlight w:val="none"/>
        </w:rPr>
        <w:t>水费、</w:t>
      </w:r>
      <w:r>
        <w:rPr>
          <w:rFonts w:hint="eastAsia" w:asciiTheme="minorEastAsia" w:hAnsiTheme="minorEastAsia" w:eastAsiaTheme="minorEastAsia" w:cstheme="minorEastAsia"/>
          <w:snapToGrid w:val="0"/>
          <w:color w:val="auto"/>
          <w:spacing w:val="13"/>
          <w:sz w:val="28"/>
          <w:szCs w:val="28"/>
          <w:highlight w:val="none"/>
          <w:lang w:eastAsia="zh-CN"/>
        </w:rPr>
        <w:t>☑</w:t>
      </w:r>
      <w:r>
        <w:rPr>
          <w:rFonts w:hint="eastAsia" w:asciiTheme="minorEastAsia" w:hAnsiTheme="minorEastAsia" w:eastAsiaTheme="minorEastAsia" w:cstheme="minorEastAsia"/>
          <w:snapToGrid w:val="0"/>
          <w:color w:val="auto"/>
          <w:spacing w:val="12"/>
          <w:sz w:val="28"/>
          <w:szCs w:val="28"/>
          <w:highlight w:val="none"/>
        </w:rPr>
        <w:t>运维费等费用的收益权，承担能源托管</w:t>
      </w:r>
      <w:r>
        <w:rPr>
          <w:rFonts w:hint="eastAsia" w:asciiTheme="minorEastAsia" w:hAnsiTheme="minorEastAsia" w:eastAsiaTheme="minorEastAsia" w:cstheme="minorEastAsia"/>
          <w:snapToGrid w:val="0"/>
          <w:color w:val="auto"/>
          <w:spacing w:val="12"/>
          <w:sz w:val="28"/>
          <w:szCs w:val="28"/>
          <w:highlight w:val="none"/>
          <w:lang w:eastAsia="zh-CN"/>
        </w:rPr>
        <w:t>☑</w:t>
      </w:r>
      <w:r>
        <w:rPr>
          <w:rFonts w:hint="eastAsia" w:asciiTheme="minorEastAsia" w:hAnsiTheme="minorEastAsia" w:eastAsiaTheme="minorEastAsia" w:cstheme="minorEastAsia"/>
          <w:snapToGrid w:val="0"/>
          <w:color w:val="auto"/>
          <w:spacing w:val="12"/>
          <w:sz w:val="28"/>
          <w:szCs w:val="28"/>
          <w:highlight w:val="none"/>
        </w:rPr>
        <w:t>电费、□蒸汽</w:t>
      </w:r>
      <w:r>
        <w:rPr>
          <w:rFonts w:hint="eastAsia" w:asciiTheme="minorEastAsia" w:hAnsiTheme="minorEastAsia" w:eastAsiaTheme="minorEastAsia" w:cstheme="minorEastAsia"/>
          <w:snapToGrid w:val="0"/>
          <w:color w:val="auto"/>
          <w:spacing w:val="10"/>
          <w:sz w:val="28"/>
          <w:szCs w:val="28"/>
          <w:highlight w:val="none"/>
        </w:rPr>
        <w:t>费、□燃气费、</w:t>
      </w:r>
      <w:r>
        <w:rPr>
          <w:rFonts w:hint="eastAsia" w:asciiTheme="minorEastAsia" w:hAnsiTheme="minorEastAsia" w:eastAsiaTheme="minorEastAsia" w:cstheme="minorEastAsia"/>
          <w:snapToGrid w:val="0"/>
          <w:color w:val="auto"/>
          <w:spacing w:val="10"/>
          <w:sz w:val="28"/>
          <w:szCs w:val="28"/>
          <w:highlight w:val="none"/>
          <w:lang w:eastAsia="zh-CN"/>
        </w:rPr>
        <w:t>□</w:t>
      </w:r>
      <w:r>
        <w:rPr>
          <w:rFonts w:hint="eastAsia" w:asciiTheme="minorEastAsia" w:hAnsiTheme="minorEastAsia" w:eastAsiaTheme="minorEastAsia" w:cstheme="minorEastAsia"/>
          <w:snapToGrid w:val="0"/>
          <w:color w:val="auto"/>
          <w:spacing w:val="10"/>
          <w:sz w:val="28"/>
          <w:szCs w:val="28"/>
          <w:highlight w:val="none"/>
        </w:rPr>
        <w:t>水费、</w:t>
      </w:r>
      <w:r>
        <w:rPr>
          <w:rFonts w:hint="eastAsia" w:asciiTheme="minorEastAsia" w:hAnsiTheme="minorEastAsia" w:eastAsiaTheme="minorEastAsia" w:cstheme="minorEastAsia"/>
          <w:snapToGrid w:val="0"/>
          <w:color w:val="auto"/>
          <w:spacing w:val="13"/>
          <w:sz w:val="28"/>
          <w:szCs w:val="28"/>
          <w:highlight w:val="none"/>
          <w:lang w:eastAsia="zh-CN"/>
        </w:rPr>
        <w:t>☑</w:t>
      </w:r>
      <w:r>
        <w:rPr>
          <w:rFonts w:hint="eastAsia" w:asciiTheme="minorEastAsia" w:hAnsiTheme="minorEastAsia" w:eastAsiaTheme="minorEastAsia" w:cstheme="minorEastAsia"/>
          <w:snapToGrid w:val="0"/>
          <w:color w:val="auto"/>
          <w:spacing w:val="10"/>
          <w:sz w:val="28"/>
          <w:szCs w:val="28"/>
          <w:highlight w:val="none"/>
        </w:rPr>
        <w:t>运维费等费用超支的风险（按实际用能量</w:t>
      </w:r>
      <w:r>
        <w:rPr>
          <w:rFonts w:hint="eastAsia" w:asciiTheme="minorEastAsia" w:hAnsiTheme="minorEastAsia" w:eastAsiaTheme="minorEastAsia" w:cstheme="minorEastAsia"/>
          <w:snapToGrid w:val="0"/>
          <w:color w:val="auto"/>
          <w:spacing w:val="9"/>
          <w:sz w:val="28"/>
          <w:szCs w:val="28"/>
          <w:highlight w:val="none"/>
        </w:rPr>
        <w:t>进行托管的模式除外）。</w:t>
      </w:r>
    </w:p>
    <w:p w14:paraId="6287C020">
      <w:pPr>
        <w:autoSpaceDE w:val="0"/>
        <w:autoSpaceDN w:val="0"/>
        <w:adjustRightInd w:val="0"/>
        <w:snapToGrid w:val="0"/>
        <w:spacing w:line="480" w:lineRule="exact"/>
        <w:ind w:firstLine="59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9"/>
          <w:sz w:val="28"/>
          <w:szCs w:val="28"/>
          <w:highlight w:val="none"/>
        </w:rPr>
        <w:t>4.3甲乙双方应对托管项目现有的能源资源系统设施、设备进行登记造册，设施设备的数量</w:t>
      </w:r>
      <w:r>
        <w:rPr>
          <w:rFonts w:hint="eastAsia" w:asciiTheme="minorEastAsia" w:hAnsiTheme="minorEastAsia" w:eastAsiaTheme="minorEastAsia" w:cstheme="minorEastAsia"/>
          <w:snapToGrid w:val="0"/>
          <w:color w:val="auto"/>
          <w:spacing w:val="8"/>
          <w:sz w:val="28"/>
          <w:szCs w:val="28"/>
          <w:highlight w:val="none"/>
        </w:rPr>
        <w:t>、功率、</w:t>
      </w:r>
      <w:r>
        <w:rPr>
          <w:rFonts w:hint="eastAsia" w:asciiTheme="minorEastAsia" w:hAnsiTheme="minorEastAsia" w:eastAsiaTheme="minorEastAsia" w:cstheme="minorEastAsia"/>
          <w:snapToGrid w:val="0"/>
          <w:color w:val="auto"/>
          <w:spacing w:val="12"/>
          <w:sz w:val="28"/>
          <w:szCs w:val="28"/>
          <w:highlight w:val="none"/>
        </w:rPr>
        <w:t>使用时间、状态经双方评估签字确认。确认后的设施、设备总功率作为</w:t>
      </w:r>
      <w:r>
        <w:rPr>
          <w:rFonts w:hint="eastAsia" w:asciiTheme="minorEastAsia" w:hAnsiTheme="minorEastAsia" w:eastAsiaTheme="minorEastAsia" w:cstheme="minorEastAsia"/>
          <w:snapToGrid w:val="0"/>
          <w:color w:val="auto"/>
          <w:spacing w:val="11"/>
          <w:sz w:val="28"/>
          <w:szCs w:val="28"/>
          <w:highlight w:val="none"/>
        </w:rPr>
        <w:t>能源托管的基准功率。</w:t>
      </w:r>
    </w:p>
    <w:p w14:paraId="36C69C4D">
      <w:pPr>
        <w:autoSpaceDE w:val="0"/>
        <w:autoSpaceDN w:val="0"/>
        <w:adjustRightInd w:val="0"/>
        <w:snapToGrid w:val="0"/>
        <w:spacing w:line="480" w:lineRule="exact"/>
        <w:ind w:firstLine="59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8"/>
          <w:sz w:val="28"/>
          <w:szCs w:val="28"/>
          <w:highlight w:val="none"/>
        </w:rPr>
        <w:t>4.4能源托管量计算办法：</w:t>
      </w:r>
    </w:p>
    <w:p w14:paraId="01DEA4A0">
      <w:pPr>
        <w:autoSpaceDE w:val="0"/>
        <w:autoSpaceDN w:val="0"/>
        <w:adjustRightInd w:val="0"/>
        <w:snapToGrid w:val="0"/>
        <w:spacing w:line="480" w:lineRule="exact"/>
        <w:ind w:left="279" w:leftChars="133" w:firstLine="300" w:firstLineChars="1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4.4.1托管基准量：年托管基准量分别为</w:t>
      </w:r>
      <w:r>
        <w:rPr>
          <w:rFonts w:hint="eastAsia" w:asciiTheme="minorEastAsia" w:hAnsiTheme="minorEastAsia" w:eastAsiaTheme="minorEastAsia" w:cstheme="minorEastAsia"/>
          <w:snapToGrid w:val="0"/>
          <w:color w:val="auto"/>
          <w:spacing w:val="13"/>
          <w:sz w:val="28"/>
          <w:szCs w:val="28"/>
          <w:highlight w:val="none"/>
          <w:lang w:eastAsia="zh-CN"/>
        </w:rPr>
        <w:t>□</w:t>
      </w:r>
      <w:r>
        <w:rPr>
          <w:rFonts w:hint="eastAsia" w:asciiTheme="minorEastAsia" w:hAnsiTheme="minorEastAsia" w:eastAsiaTheme="minorEastAsia" w:cstheme="minorEastAsia"/>
          <w:snapToGrid w:val="0"/>
          <w:color w:val="auto"/>
          <w:spacing w:val="10"/>
          <w:sz w:val="28"/>
          <w:szCs w:val="28"/>
          <w:highlight w:val="none"/>
        </w:rPr>
        <w:t>电量</w:t>
      </w:r>
      <w:r>
        <w:rPr>
          <w:rFonts w:hint="eastAsia" w:asciiTheme="minorEastAsia" w:hAnsiTheme="minorEastAsia" w:eastAsiaTheme="minorEastAsia" w:cstheme="minorEastAsia"/>
          <w:snapToGrid w:val="0"/>
          <w:color w:val="auto"/>
          <w:spacing w:val="10"/>
          <w:sz w:val="28"/>
          <w:szCs w:val="28"/>
          <w:highlight w:val="none"/>
          <w:u w:val="single"/>
          <w:lang w:val="en-US" w:eastAsia="zh-CN"/>
        </w:rPr>
        <w:t xml:space="preserve"> </w:t>
      </w:r>
      <w:r>
        <w:rPr>
          <w:rFonts w:hint="eastAsia" w:asciiTheme="minorEastAsia" w:hAnsiTheme="minorEastAsia" w:eastAsiaTheme="minorEastAsia" w:cstheme="minorEastAsia"/>
          <w:snapToGrid w:val="0"/>
          <w:color w:val="auto"/>
          <w:spacing w:val="10"/>
          <w:sz w:val="28"/>
          <w:szCs w:val="28"/>
          <w:highlight w:val="none"/>
          <w:u w:val="single"/>
        </w:rPr>
        <w:t xml:space="preserve"> </w:t>
      </w:r>
      <w:r>
        <w:rPr>
          <w:rFonts w:hint="eastAsia" w:asciiTheme="minorEastAsia" w:hAnsiTheme="minorEastAsia" w:eastAsiaTheme="minorEastAsia" w:cstheme="minorEastAsia"/>
          <w:snapToGrid w:val="0"/>
          <w:color w:val="auto"/>
          <w:sz w:val="28"/>
          <w:szCs w:val="28"/>
          <w:highlight w:val="none"/>
        </w:rPr>
        <w:t>kW</w:t>
      </w:r>
      <w:r>
        <w:rPr>
          <w:rFonts w:hint="eastAsia" w:asciiTheme="minorEastAsia" w:hAnsiTheme="minorEastAsia" w:eastAsiaTheme="minorEastAsia" w:cstheme="minorEastAsia"/>
          <w:snapToGrid w:val="0"/>
          <w:color w:val="auto"/>
          <w:sz w:val="28"/>
          <w:szCs w:val="28"/>
          <w:highlight w:val="none"/>
          <w:lang w:eastAsia="zh-CN"/>
        </w:rPr>
        <w:t>、</w:t>
      </w:r>
      <w:r>
        <w:rPr>
          <w:rFonts w:hint="eastAsia" w:asciiTheme="minorEastAsia" w:hAnsiTheme="minorEastAsia" w:eastAsiaTheme="minorEastAsia" w:cstheme="minorEastAsia"/>
          <w:snapToGrid w:val="0"/>
          <w:color w:val="auto"/>
          <w:spacing w:val="10"/>
          <w:sz w:val="28"/>
          <w:szCs w:val="28"/>
          <w:highlight w:val="none"/>
        </w:rPr>
        <w:t>□蒸汽量</w:t>
      </w:r>
      <w:r>
        <w:rPr>
          <w:rFonts w:hint="eastAsia" w:asciiTheme="minorEastAsia" w:hAnsiTheme="minorEastAsia" w:eastAsiaTheme="minorEastAsia" w:cstheme="minorEastAsia"/>
          <w:snapToGrid w:val="0"/>
          <w:color w:val="auto"/>
          <w:spacing w:val="10"/>
          <w:sz w:val="28"/>
          <w:szCs w:val="28"/>
          <w:highlight w:val="none"/>
          <w:u w:val="single"/>
        </w:rPr>
        <w:t xml:space="preserve">   </w:t>
      </w:r>
      <w:r>
        <w:rPr>
          <w:rFonts w:hint="eastAsia" w:asciiTheme="minorEastAsia" w:hAnsiTheme="minorEastAsia" w:eastAsiaTheme="minorEastAsia" w:cstheme="minorEastAsia"/>
          <w:snapToGrid w:val="0"/>
          <w:color w:val="auto"/>
          <w:spacing w:val="10"/>
          <w:sz w:val="28"/>
          <w:szCs w:val="28"/>
          <w:highlight w:val="none"/>
        </w:rPr>
        <w:t>m³、□燃气量</w:t>
      </w:r>
      <w:r>
        <w:rPr>
          <w:rFonts w:hint="eastAsia" w:asciiTheme="minorEastAsia" w:hAnsiTheme="minorEastAsia" w:eastAsiaTheme="minorEastAsia" w:cstheme="minorEastAsia"/>
          <w:snapToGrid w:val="0"/>
          <w:color w:val="auto"/>
          <w:spacing w:val="10"/>
          <w:sz w:val="28"/>
          <w:szCs w:val="28"/>
          <w:highlight w:val="none"/>
          <w:u w:val="single"/>
        </w:rPr>
        <w:t xml:space="preserve">    </w:t>
      </w:r>
      <w:r>
        <w:rPr>
          <w:rFonts w:hint="eastAsia" w:asciiTheme="minorEastAsia" w:hAnsiTheme="minorEastAsia" w:eastAsiaTheme="minorEastAsia" w:cstheme="minorEastAsia"/>
          <w:snapToGrid w:val="0"/>
          <w:color w:val="auto"/>
          <w:spacing w:val="10"/>
          <w:sz w:val="28"/>
          <w:szCs w:val="28"/>
          <w:highlight w:val="none"/>
        </w:rPr>
        <w:t>m³、</w:t>
      </w:r>
      <w:r>
        <w:rPr>
          <w:rFonts w:hint="eastAsia" w:asciiTheme="minorEastAsia" w:hAnsiTheme="minorEastAsia" w:eastAsiaTheme="minorEastAsia" w:cstheme="minorEastAsia"/>
          <w:snapToGrid w:val="0"/>
          <w:color w:val="auto"/>
          <w:spacing w:val="13"/>
          <w:sz w:val="28"/>
          <w:szCs w:val="28"/>
          <w:highlight w:val="none"/>
          <w:lang w:eastAsia="zh-CN"/>
        </w:rPr>
        <w:t>□</w:t>
      </w:r>
      <w:r>
        <w:rPr>
          <w:rFonts w:hint="eastAsia" w:asciiTheme="minorEastAsia" w:hAnsiTheme="minorEastAsia" w:eastAsiaTheme="minorEastAsia" w:cstheme="minorEastAsia"/>
          <w:snapToGrid w:val="0"/>
          <w:color w:val="auto"/>
          <w:spacing w:val="10"/>
          <w:sz w:val="28"/>
          <w:szCs w:val="28"/>
          <w:highlight w:val="none"/>
        </w:rPr>
        <w:t>水</w:t>
      </w:r>
      <w:r>
        <w:rPr>
          <w:rFonts w:hint="eastAsia" w:asciiTheme="minorEastAsia" w:hAnsiTheme="minorEastAsia" w:eastAsiaTheme="minorEastAsia" w:cstheme="minorEastAsia"/>
          <w:snapToGrid w:val="0"/>
          <w:color w:val="auto"/>
          <w:spacing w:val="11"/>
          <w:sz w:val="28"/>
          <w:szCs w:val="28"/>
          <w:highlight w:val="none"/>
        </w:rPr>
        <w:t>量</w:t>
      </w:r>
      <w:r>
        <w:rPr>
          <w:rFonts w:hint="eastAsia" w:asciiTheme="minorEastAsia" w:hAnsiTheme="minorEastAsia" w:eastAsiaTheme="minorEastAsia" w:cstheme="minorEastAsia"/>
          <w:snapToGrid w:val="0"/>
          <w:color w:val="auto"/>
          <w:spacing w:val="11"/>
          <w:sz w:val="28"/>
          <w:szCs w:val="28"/>
          <w:highlight w:val="none"/>
          <w:u w:val="single"/>
        </w:rPr>
        <w:t xml:space="preserve"> </w:t>
      </w:r>
      <w:r>
        <w:rPr>
          <w:rFonts w:hint="eastAsia" w:asciiTheme="minorEastAsia" w:hAnsiTheme="minorEastAsia" w:eastAsiaTheme="minorEastAsia" w:cstheme="minorEastAsia"/>
          <w:snapToGrid w:val="0"/>
          <w:color w:val="auto"/>
          <w:spacing w:val="11"/>
          <w:sz w:val="28"/>
          <w:szCs w:val="28"/>
          <w:highlight w:val="none"/>
          <w:u w:val="single"/>
          <w:lang w:val="en-US" w:eastAsia="zh-CN"/>
        </w:rPr>
        <w:t xml:space="preserve">  </w:t>
      </w:r>
      <w:r>
        <w:rPr>
          <w:rFonts w:hint="eastAsia" w:asciiTheme="minorEastAsia" w:hAnsiTheme="minorEastAsia" w:eastAsiaTheme="minorEastAsia" w:cstheme="minorEastAsia"/>
          <w:snapToGrid w:val="0"/>
          <w:color w:val="auto"/>
          <w:spacing w:val="11"/>
          <w:sz w:val="28"/>
          <w:szCs w:val="28"/>
          <w:highlight w:val="none"/>
          <w:u w:val="single"/>
        </w:rPr>
        <w:t xml:space="preserve"> </w:t>
      </w:r>
      <w:r>
        <w:rPr>
          <w:rFonts w:hint="eastAsia" w:asciiTheme="minorEastAsia" w:hAnsiTheme="minorEastAsia" w:eastAsiaTheme="minorEastAsia" w:cstheme="minorEastAsia"/>
          <w:snapToGrid w:val="0"/>
          <w:color w:val="auto"/>
          <w:spacing w:val="11"/>
          <w:sz w:val="28"/>
          <w:szCs w:val="28"/>
          <w:highlight w:val="none"/>
        </w:rPr>
        <w:t>m³;年托管基准量分解至12个月，各月托管基准量按下表：</w:t>
      </w:r>
    </w:p>
    <w:tbl>
      <w:tblPr>
        <w:tblStyle w:val="109"/>
        <w:tblW w:w="9765"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052"/>
        <w:gridCol w:w="1257"/>
        <w:gridCol w:w="1256"/>
        <w:gridCol w:w="1257"/>
        <w:gridCol w:w="1312"/>
        <w:gridCol w:w="1312"/>
        <w:gridCol w:w="1319"/>
      </w:tblGrid>
      <w:tr w14:paraId="0B79C1E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6" w:hRule="atLeast"/>
          <w:jc w:val="center"/>
        </w:trPr>
        <w:tc>
          <w:tcPr>
            <w:tcW w:w="2052" w:type="dxa"/>
            <w:tcBorders>
              <w:top w:val="single" w:color="231F20" w:sz="4" w:space="0"/>
              <w:left w:val="single" w:color="231F20" w:sz="4" w:space="0"/>
              <w:bottom w:val="single" w:color="231F20" w:sz="4" w:space="0"/>
            </w:tcBorders>
            <w:vAlign w:val="center"/>
          </w:tcPr>
          <w:p w14:paraId="570348C8">
            <w:pPr>
              <w:keepNext w:val="0"/>
              <w:keepLines w:val="0"/>
              <w:pageBreakBefore w:val="0"/>
              <w:widowControl/>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7"/>
                <w:kern w:val="0"/>
                <w:sz w:val="28"/>
                <w:szCs w:val="28"/>
                <w:highlight w:val="none"/>
                <w:lang w:eastAsia="en-US"/>
              </w:rPr>
              <w:t>时间</w:t>
            </w:r>
          </w:p>
        </w:tc>
        <w:tc>
          <w:tcPr>
            <w:tcW w:w="1257" w:type="dxa"/>
            <w:tcBorders>
              <w:top w:val="single" w:color="231F20" w:sz="4" w:space="0"/>
              <w:bottom w:val="single" w:color="231F20" w:sz="4" w:space="0"/>
            </w:tcBorders>
            <w:vAlign w:val="center"/>
          </w:tcPr>
          <w:p w14:paraId="7D205B5C">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9"/>
                <w:sz w:val="28"/>
                <w:szCs w:val="28"/>
                <w:highlight w:val="none"/>
                <w:lang w:eastAsia="en-US"/>
              </w:rPr>
              <w:t>1月</w:t>
            </w:r>
          </w:p>
        </w:tc>
        <w:tc>
          <w:tcPr>
            <w:tcW w:w="1256" w:type="dxa"/>
            <w:tcBorders>
              <w:top w:val="single" w:color="231F20" w:sz="4" w:space="0"/>
              <w:bottom w:val="single" w:color="231F20" w:sz="4" w:space="0"/>
            </w:tcBorders>
            <w:vAlign w:val="center"/>
          </w:tcPr>
          <w:p w14:paraId="1088133A">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2"/>
                <w:sz w:val="28"/>
                <w:szCs w:val="28"/>
                <w:highlight w:val="none"/>
                <w:lang w:eastAsia="en-US"/>
              </w:rPr>
              <w:t>2月</w:t>
            </w:r>
          </w:p>
        </w:tc>
        <w:tc>
          <w:tcPr>
            <w:tcW w:w="1257" w:type="dxa"/>
            <w:tcBorders>
              <w:top w:val="single" w:color="231F20" w:sz="4" w:space="0"/>
              <w:bottom w:val="single" w:color="231F20" w:sz="4" w:space="0"/>
            </w:tcBorders>
            <w:vAlign w:val="center"/>
          </w:tcPr>
          <w:p w14:paraId="215222F5">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1"/>
                <w:sz w:val="28"/>
                <w:szCs w:val="28"/>
                <w:highlight w:val="none"/>
                <w:lang w:eastAsia="en-US"/>
              </w:rPr>
              <w:t>3月</w:t>
            </w:r>
          </w:p>
        </w:tc>
        <w:tc>
          <w:tcPr>
            <w:tcW w:w="1312" w:type="dxa"/>
            <w:tcBorders>
              <w:top w:val="single" w:color="231F20" w:sz="4" w:space="0"/>
              <w:bottom w:val="single" w:color="231F20" w:sz="4" w:space="0"/>
            </w:tcBorders>
            <w:vAlign w:val="center"/>
          </w:tcPr>
          <w:p w14:paraId="2232F31A">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3"/>
                <w:sz w:val="28"/>
                <w:szCs w:val="28"/>
                <w:highlight w:val="none"/>
                <w:lang w:eastAsia="en-US"/>
              </w:rPr>
              <w:t>4月</w:t>
            </w:r>
          </w:p>
        </w:tc>
        <w:tc>
          <w:tcPr>
            <w:tcW w:w="1312" w:type="dxa"/>
            <w:tcBorders>
              <w:top w:val="single" w:color="231F20" w:sz="4" w:space="0"/>
              <w:bottom w:val="single" w:color="231F20" w:sz="4" w:space="0"/>
            </w:tcBorders>
            <w:vAlign w:val="center"/>
          </w:tcPr>
          <w:p w14:paraId="1D518EFB">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0"/>
                <w:sz w:val="28"/>
                <w:szCs w:val="28"/>
                <w:highlight w:val="none"/>
                <w:lang w:eastAsia="en-US"/>
              </w:rPr>
              <w:t>5月</w:t>
            </w:r>
          </w:p>
        </w:tc>
        <w:tc>
          <w:tcPr>
            <w:tcW w:w="1319" w:type="dxa"/>
            <w:tcBorders>
              <w:top w:val="single" w:color="231F20" w:sz="4" w:space="0"/>
              <w:bottom w:val="single" w:color="231F20" w:sz="4" w:space="0"/>
              <w:right w:val="single" w:color="231F20" w:sz="4" w:space="0"/>
            </w:tcBorders>
            <w:vAlign w:val="center"/>
          </w:tcPr>
          <w:p w14:paraId="341E819B">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0"/>
                <w:sz w:val="28"/>
                <w:szCs w:val="28"/>
                <w:highlight w:val="none"/>
                <w:lang w:eastAsia="en-US"/>
              </w:rPr>
              <w:t>6月</w:t>
            </w:r>
          </w:p>
        </w:tc>
      </w:tr>
      <w:tr w14:paraId="508699B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63" w:hRule="atLeast"/>
          <w:jc w:val="center"/>
        </w:trPr>
        <w:tc>
          <w:tcPr>
            <w:tcW w:w="2052" w:type="dxa"/>
            <w:tcBorders>
              <w:top w:val="single" w:color="231F20" w:sz="4" w:space="0"/>
              <w:left w:val="single" w:color="231F20" w:sz="4" w:space="0"/>
            </w:tcBorders>
            <w:vAlign w:val="center"/>
          </w:tcPr>
          <w:p w14:paraId="0A21F920">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6"/>
                <w:sz w:val="28"/>
                <w:szCs w:val="28"/>
                <w:highlight w:val="none"/>
                <w:lang w:eastAsia="en-US"/>
              </w:rPr>
              <w:t>基准电量（</w:t>
            </w:r>
            <w:r>
              <w:rPr>
                <w:rFonts w:hint="eastAsia" w:asciiTheme="minorEastAsia" w:hAnsiTheme="minorEastAsia" w:eastAsiaTheme="minorEastAsia" w:cstheme="minorEastAsia"/>
                <w:snapToGrid w:val="0"/>
                <w:color w:val="auto"/>
                <w:sz w:val="28"/>
                <w:szCs w:val="28"/>
                <w:highlight w:val="none"/>
                <w:lang w:eastAsia="en-US"/>
              </w:rPr>
              <w:t>kWh</w:t>
            </w:r>
            <w:r>
              <w:rPr>
                <w:rFonts w:hint="eastAsia" w:asciiTheme="minorEastAsia" w:hAnsiTheme="minorEastAsia" w:eastAsiaTheme="minorEastAsia" w:cstheme="minorEastAsia"/>
                <w:snapToGrid w:val="0"/>
                <w:color w:val="auto"/>
                <w:spacing w:val="6"/>
                <w:sz w:val="28"/>
                <w:szCs w:val="28"/>
                <w:highlight w:val="none"/>
                <w:lang w:eastAsia="en-US"/>
              </w:rPr>
              <w:t>）</w:t>
            </w:r>
          </w:p>
        </w:tc>
        <w:tc>
          <w:tcPr>
            <w:tcW w:w="1257" w:type="dxa"/>
            <w:tcBorders>
              <w:top w:val="single" w:color="231F20" w:sz="4" w:space="0"/>
            </w:tcBorders>
            <w:vAlign w:val="center"/>
          </w:tcPr>
          <w:p w14:paraId="7ADB6810">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6" w:type="dxa"/>
            <w:tcBorders>
              <w:top w:val="single" w:color="231F20" w:sz="4" w:space="0"/>
            </w:tcBorders>
            <w:vAlign w:val="center"/>
          </w:tcPr>
          <w:p w14:paraId="2361317B">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7" w:type="dxa"/>
            <w:tcBorders>
              <w:top w:val="single" w:color="231F20" w:sz="4" w:space="0"/>
            </w:tcBorders>
            <w:vAlign w:val="center"/>
          </w:tcPr>
          <w:p w14:paraId="140D5A86">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2" w:type="dxa"/>
            <w:tcBorders>
              <w:top w:val="single" w:color="231F20" w:sz="4" w:space="0"/>
            </w:tcBorders>
            <w:vAlign w:val="center"/>
          </w:tcPr>
          <w:p w14:paraId="58E3D3A6">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2" w:type="dxa"/>
            <w:tcBorders>
              <w:top w:val="single" w:color="231F20" w:sz="4" w:space="0"/>
            </w:tcBorders>
            <w:vAlign w:val="center"/>
          </w:tcPr>
          <w:p w14:paraId="34270F5B">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9" w:type="dxa"/>
            <w:tcBorders>
              <w:top w:val="single" w:color="231F20" w:sz="4" w:space="0"/>
              <w:right w:val="single" w:color="231F20" w:sz="4" w:space="0"/>
            </w:tcBorders>
            <w:vAlign w:val="center"/>
          </w:tcPr>
          <w:p w14:paraId="0F667C1B">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716DB67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2" w:hRule="atLeast"/>
          <w:jc w:val="center"/>
        </w:trPr>
        <w:tc>
          <w:tcPr>
            <w:tcW w:w="2052" w:type="dxa"/>
            <w:tcBorders>
              <w:left w:val="single" w:color="231F20" w:sz="4" w:space="0"/>
            </w:tcBorders>
            <w:vAlign w:val="center"/>
          </w:tcPr>
          <w:p w14:paraId="7F30FC95">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7" w:type="dxa"/>
            <w:vAlign w:val="center"/>
          </w:tcPr>
          <w:p w14:paraId="48E5CA6A">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6" w:type="dxa"/>
            <w:vAlign w:val="center"/>
          </w:tcPr>
          <w:p w14:paraId="03D90AB6">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7" w:type="dxa"/>
            <w:vAlign w:val="center"/>
          </w:tcPr>
          <w:p w14:paraId="490F11DE">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2" w:type="dxa"/>
            <w:vAlign w:val="center"/>
          </w:tcPr>
          <w:p w14:paraId="0856370E">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2" w:type="dxa"/>
            <w:vAlign w:val="center"/>
          </w:tcPr>
          <w:p w14:paraId="5A23C302">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9" w:type="dxa"/>
            <w:tcBorders>
              <w:right w:val="single" w:color="231F20" w:sz="4" w:space="0"/>
            </w:tcBorders>
            <w:vAlign w:val="center"/>
          </w:tcPr>
          <w:p w14:paraId="4DA7E296">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6870917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57" w:hRule="atLeast"/>
          <w:jc w:val="center"/>
        </w:trPr>
        <w:tc>
          <w:tcPr>
            <w:tcW w:w="2052" w:type="dxa"/>
            <w:tcBorders>
              <w:left w:val="single" w:color="231F20" w:sz="4" w:space="0"/>
            </w:tcBorders>
            <w:vAlign w:val="center"/>
          </w:tcPr>
          <w:p w14:paraId="756E4726">
            <w:pPr>
              <w:keepNext w:val="0"/>
              <w:keepLines w:val="0"/>
              <w:pageBreakBefore w:val="0"/>
              <w:widowControl/>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24"/>
                <w:w w:val="108"/>
                <w:kern w:val="0"/>
                <w:position w:val="2"/>
                <w:sz w:val="28"/>
                <w:szCs w:val="28"/>
                <w:highlight w:val="none"/>
                <w:lang w:eastAsia="en-US"/>
              </w:rPr>
              <w:t>……</w:t>
            </w:r>
          </w:p>
        </w:tc>
        <w:tc>
          <w:tcPr>
            <w:tcW w:w="1257" w:type="dxa"/>
            <w:vAlign w:val="center"/>
          </w:tcPr>
          <w:p w14:paraId="7F227D9D">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6" w:type="dxa"/>
            <w:vAlign w:val="center"/>
          </w:tcPr>
          <w:p w14:paraId="7CEF6569">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7" w:type="dxa"/>
            <w:vAlign w:val="center"/>
          </w:tcPr>
          <w:p w14:paraId="71C8B010">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2" w:type="dxa"/>
            <w:vAlign w:val="center"/>
          </w:tcPr>
          <w:p w14:paraId="5D16567C">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2" w:type="dxa"/>
            <w:vAlign w:val="center"/>
          </w:tcPr>
          <w:p w14:paraId="473A2455">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9" w:type="dxa"/>
            <w:tcBorders>
              <w:right w:val="single" w:color="231F20" w:sz="4" w:space="0"/>
            </w:tcBorders>
            <w:vAlign w:val="center"/>
          </w:tcPr>
          <w:p w14:paraId="6339C06F">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56EE68C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85" w:hRule="atLeast"/>
          <w:jc w:val="center"/>
        </w:trPr>
        <w:tc>
          <w:tcPr>
            <w:tcW w:w="2052" w:type="dxa"/>
            <w:tcBorders>
              <w:left w:val="single" w:color="231F20" w:sz="4" w:space="0"/>
              <w:bottom w:val="single" w:color="231F20" w:sz="4" w:space="0"/>
            </w:tcBorders>
            <w:vAlign w:val="center"/>
          </w:tcPr>
          <w:p w14:paraId="7C74F218">
            <w:pPr>
              <w:keepNext w:val="0"/>
              <w:keepLines w:val="0"/>
              <w:pageBreakBefore w:val="0"/>
              <w:widowControl/>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7"/>
                <w:kern w:val="0"/>
                <w:sz w:val="28"/>
                <w:szCs w:val="28"/>
                <w:highlight w:val="none"/>
                <w:lang w:eastAsia="en-US"/>
              </w:rPr>
              <w:t>时间</w:t>
            </w:r>
          </w:p>
        </w:tc>
        <w:tc>
          <w:tcPr>
            <w:tcW w:w="1257" w:type="dxa"/>
            <w:tcBorders>
              <w:bottom w:val="single" w:color="231F20" w:sz="4" w:space="0"/>
            </w:tcBorders>
            <w:vAlign w:val="center"/>
          </w:tcPr>
          <w:p w14:paraId="19F84A53">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1"/>
                <w:sz w:val="28"/>
                <w:szCs w:val="28"/>
                <w:highlight w:val="none"/>
                <w:lang w:eastAsia="en-US"/>
              </w:rPr>
              <w:t>7月</w:t>
            </w:r>
          </w:p>
        </w:tc>
        <w:tc>
          <w:tcPr>
            <w:tcW w:w="1256" w:type="dxa"/>
            <w:tcBorders>
              <w:bottom w:val="single" w:color="231F20" w:sz="4" w:space="0"/>
            </w:tcBorders>
            <w:vAlign w:val="center"/>
          </w:tcPr>
          <w:p w14:paraId="66ECD932">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2"/>
                <w:sz w:val="28"/>
                <w:szCs w:val="28"/>
                <w:highlight w:val="none"/>
                <w:lang w:eastAsia="en-US"/>
              </w:rPr>
              <w:t>8月</w:t>
            </w:r>
          </w:p>
        </w:tc>
        <w:tc>
          <w:tcPr>
            <w:tcW w:w="1257" w:type="dxa"/>
            <w:tcBorders>
              <w:bottom w:val="single" w:color="231F20" w:sz="4" w:space="0"/>
            </w:tcBorders>
            <w:vAlign w:val="center"/>
          </w:tcPr>
          <w:p w14:paraId="4D33535C">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0"/>
                <w:sz w:val="28"/>
                <w:szCs w:val="28"/>
                <w:highlight w:val="none"/>
                <w:lang w:eastAsia="en-US"/>
              </w:rPr>
              <w:t>9月</w:t>
            </w:r>
          </w:p>
        </w:tc>
        <w:tc>
          <w:tcPr>
            <w:tcW w:w="1312" w:type="dxa"/>
            <w:tcBorders>
              <w:bottom w:val="single" w:color="231F20" w:sz="4" w:space="0"/>
            </w:tcBorders>
            <w:vAlign w:val="center"/>
          </w:tcPr>
          <w:p w14:paraId="689A0676">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5"/>
                <w:sz w:val="28"/>
                <w:szCs w:val="28"/>
                <w:highlight w:val="none"/>
                <w:lang w:eastAsia="en-US"/>
              </w:rPr>
              <w:t>10月</w:t>
            </w:r>
          </w:p>
        </w:tc>
        <w:tc>
          <w:tcPr>
            <w:tcW w:w="1312" w:type="dxa"/>
            <w:tcBorders>
              <w:bottom w:val="single" w:color="231F20" w:sz="4" w:space="0"/>
            </w:tcBorders>
            <w:vAlign w:val="center"/>
          </w:tcPr>
          <w:p w14:paraId="49ECBC5D">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5"/>
                <w:sz w:val="28"/>
                <w:szCs w:val="28"/>
                <w:highlight w:val="none"/>
                <w:lang w:eastAsia="en-US"/>
              </w:rPr>
              <w:t>11月</w:t>
            </w:r>
          </w:p>
        </w:tc>
        <w:tc>
          <w:tcPr>
            <w:tcW w:w="1319" w:type="dxa"/>
            <w:tcBorders>
              <w:bottom w:val="single" w:color="231F20" w:sz="4" w:space="0"/>
              <w:right w:val="single" w:color="231F20" w:sz="4" w:space="0"/>
            </w:tcBorders>
            <w:vAlign w:val="center"/>
          </w:tcPr>
          <w:p w14:paraId="3272F7ED">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5"/>
                <w:sz w:val="28"/>
                <w:szCs w:val="28"/>
                <w:highlight w:val="none"/>
                <w:lang w:eastAsia="en-US"/>
              </w:rPr>
              <w:t>12月</w:t>
            </w:r>
          </w:p>
        </w:tc>
      </w:tr>
      <w:tr w14:paraId="46C4D14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63" w:hRule="atLeast"/>
          <w:jc w:val="center"/>
        </w:trPr>
        <w:tc>
          <w:tcPr>
            <w:tcW w:w="2052" w:type="dxa"/>
            <w:tcBorders>
              <w:top w:val="single" w:color="231F20" w:sz="4" w:space="0"/>
              <w:left w:val="single" w:color="231F20" w:sz="4" w:space="0"/>
            </w:tcBorders>
            <w:vAlign w:val="center"/>
          </w:tcPr>
          <w:p w14:paraId="78866666">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6"/>
                <w:sz w:val="28"/>
                <w:szCs w:val="28"/>
                <w:highlight w:val="none"/>
                <w:lang w:eastAsia="en-US"/>
              </w:rPr>
              <w:t>基准电量（</w:t>
            </w:r>
            <w:r>
              <w:rPr>
                <w:rFonts w:hint="eastAsia" w:asciiTheme="minorEastAsia" w:hAnsiTheme="minorEastAsia" w:eastAsiaTheme="minorEastAsia" w:cstheme="minorEastAsia"/>
                <w:snapToGrid w:val="0"/>
                <w:color w:val="auto"/>
                <w:sz w:val="28"/>
                <w:szCs w:val="28"/>
                <w:highlight w:val="none"/>
                <w:lang w:eastAsia="en-US"/>
              </w:rPr>
              <w:t>kWh</w:t>
            </w:r>
            <w:r>
              <w:rPr>
                <w:rFonts w:hint="eastAsia" w:asciiTheme="minorEastAsia" w:hAnsiTheme="minorEastAsia" w:eastAsiaTheme="minorEastAsia" w:cstheme="minorEastAsia"/>
                <w:snapToGrid w:val="0"/>
                <w:color w:val="auto"/>
                <w:spacing w:val="6"/>
                <w:sz w:val="28"/>
                <w:szCs w:val="28"/>
                <w:highlight w:val="none"/>
                <w:lang w:eastAsia="en-US"/>
              </w:rPr>
              <w:t>）</w:t>
            </w:r>
          </w:p>
        </w:tc>
        <w:tc>
          <w:tcPr>
            <w:tcW w:w="1257" w:type="dxa"/>
            <w:tcBorders>
              <w:top w:val="single" w:color="231F20" w:sz="4" w:space="0"/>
            </w:tcBorders>
            <w:vAlign w:val="center"/>
          </w:tcPr>
          <w:p w14:paraId="4E95C8FC">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6" w:type="dxa"/>
            <w:tcBorders>
              <w:top w:val="single" w:color="231F20" w:sz="4" w:space="0"/>
            </w:tcBorders>
            <w:vAlign w:val="center"/>
          </w:tcPr>
          <w:p w14:paraId="6D7A1A8B">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7" w:type="dxa"/>
            <w:tcBorders>
              <w:top w:val="single" w:color="231F20" w:sz="4" w:space="0"/>
            </w:tcBorders>
            <w:vAlign w:val="center"/>
          </w:tcPr>
          <w:p w14:paraId="32E1CF54">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2" w:type="dxa"/>
            <w:tcBorders>
              <w:top w:val="single" w:color="231F20" w:sz="4" w:space="0"/>
            </w:tcBorders>
            <w:vAlign w:val="center"/>
          </w:tcPr>
          <w:p w14:paraId="4D3435E5">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2" w:type="dxa"/>
            <w:tcBorders>
              <w:top w:val="single" w:color="231F20" w:sz="4" w:space="0"/>
            </w:tcBorders>
            <w:vAlign w:val="center"/>
          </w:tcPr>
          <w:p w14:paraId="269FA2E4">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9" w:type="dxa"/>
            <w:tcBorders>
              <w:top w:val="single" w:color="231F20" w:sz="4" w:space="0"/>
              <w:right w:val="single" w:color="231F20" w:sz="4" w:space="0"/>
            </w:tcBorders>
            <w:vAlign w:val="center"/>
          </w:tcPr>
          <w:p w14:paraId="512816EA">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2A37D8E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72" w:hRule="atLeast"/>
          <w:jc w:val="center"/>
        </w:trPr>
        <w:tc>
          <w:tcPr>
            <w:tcW w:w="2052" w:type="dxa"/>
            <w:tcBorders>
              <w:left w:val="single" w:color="231F20" w:sz="4" w:space="0"/>
            </w:tcBorders>
            <w:vAlign w:val="center"/>
          </w:tcPr>
          <w:p w14:paraId="302085CE">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7" w:type="dxa"/>
            <w:vAlign w:val="center"/>
          </w:tcPr>
          <w:p w14:paraId="0E95ACEA">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6" w:type="dxa"/>
            <w:vAlign w:val="center"/>
          </w:tcPr>
          <w:p w14:paraId="5A79C062">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7" w:type="dxa"/>
            <w:vAlign w:val="center"/>
          </w:tcPr>
          <w:p w14:paraId="5F8373D2">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2" w:type="dxa"/>
            <w:vAlign w:val="center"/>
          </w:tcPr>
          <w:p w14:paraId="263AB6C2">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2" w:type="dxa"/>
            <w:vAlign w:val="center"/>
          </w:tcPr>
          <w:p w14:paraId="38F71EB3">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9" w:type="dxa"/>
            <w:tcBorders>
              <w:right w:val="single" w:color="231F20" w:sz="4" w:space="0"/>
            </w:tcBorders>
            <w:vAlign w:val="center"/>
          </w:tcPr>
          <w:p w14:paraId="2D63AC65">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16CEA06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85" w:hRule="atLeast"/>
          <w:jc w:val="center"/>
        </w:trPr>
        <w:tc>
          <w:tcPr>
            <w:tcW w:w="2052" w:type="dxa"/>
            <w:tcBorders>
              <w:left w:val="single" w:color="231F20" w:sz="4" w:space="0"/>
              <w:bottom w:val="single" w:color="231F20" w:sz="4" w:space="0"/>
            </w:tcBorders>
            <w:vAlign w:val="center"/>
          </w:tcPr>
          <w:p w14:paraId="5BF985CF">
            <w:pPr>
              <w:keepNext w:val="0"/>
              <w:keepLines w:val="0"/>
              <w:pageBreakBefore w:val="0"/>
              <w:widowControl/>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24"/>
                <w:w w:val="108"/>
                <w:kern w:val="0"/>
                <w:position w:val="2"/>
                <w:sz w:val="28"/>
                <w:szCs w:val="28"/>
                <w:highlight w:val="none"/>
                <w:lang w:eastAsia="en-US"/>
              </w:rPr>
              <w:t>……</w:t>
            </w:r>
          </w:p>
        </w:tc>
        <w:tc>
          <w:tcPr>
            <w:tcW w:w="1257" w:type="dxa"/>
            <w:tcBorders>
              <w:bottom w:val="single" w:color="231F20" w:sz="4" w:space="0"/>
            </w:tcBorders>
            <w:vAlign w:val="center"/>
          </w:tcPr>
          <w:p w14:paraId="51C9BF54">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6" w:type="dxa"/>
            <w:tcBorders>
              <w:bottom w:val="single" w:color="231F20" w:sz="4" w:space="0"/>
            </w:tcBorders>
            <w:vAlign w:val="center"/>
          </w:tcPr>
          <w:p w14:paraId="2CB8C1D8">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57" w:type="dxa"/>
            <w:tcBorders>
              <w:bottom w:val="single" w:color="231F20" w:sz="4" w:space="0"/>
            </w:tcBorders>
            <w:vAlign w:val="center"/>
          </w:tcPr>
          <w:p w14:paraId="16395A71">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2" w:type="dxa"/>
            <w:tcBorders>
              <w:bottom w:val="single" w:color="231F20" w:sz="4" w:space="0"/>
            </w:tcBorders>
            <w:vAlign w:val="center"/>
          </w:tcPr>
          <w:p w14:paraId="573C5872">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2" w:type="dxa"/>
            <w:tcBorders>
              <w:bottom w:val="single" w:color="231F20" w:sz="4" w:space="0"/>
            </w:tcBorders>
            <w:vAlign w:val="center"/>
          </w:tcPr>
          <w:p w14:paraId="7D6A7095">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319" w:type="dxa"/>
            <w:tcBorders>
              <w:bottom w:val="single" w:color="231F20" w:sz="4" w:space="0"/>
              <w:right w:val="single" w:color="231F20" w:sz="4" w:space="0"/>
            </w:tcBorders>
            <w:vAlign w:val="center"/>
          </w:tcPr>
          <w:p w14:paraId="2F21D10B">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r>
    </w:tbl>
    <w:p w14:paraId="594F35FB">
      <w:pPr>
        <w:widowControl/>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1"/>
          <w:kern w:val="0"/>
          <w:sz w:val="28"/>
          <w:szCs w:val="28"/>
          <w:highlight w:val="none"/>
        </w:rPr>
        <w:t>本托管年度的起始结算月为 ____ 月，即自 ____ 年 ____ 月1日起至 ____ 年 ____ 月最后一日止的周期。</w:t>
      </w:r>
    </w:p>
    <w:p w14:paraId="0AE3901A">
      <w:pPr>
        <w:autoSpaceDE w:val="0"/>
        <w:autoSpaceDN w:val="0"/>
        <w:adjustRightInd w:val="0"/>
        <w:snapToGrid w:val="0"/>
        <w:spacing w:line="480" w:lineRule="exact"/>
        <w:ind w:firstLine="58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5"/>
          <w:sz w:val="28"/>
          <w:szCs w:val="28"/>
          <w:highlight w:val="none"/>
        </w:rPr>
        <w:t>4.4.2能源托管量调整办法：详见</w:t>
      </w:r>
      <w:r>
        <w:rPr>
          <w:rFonts w:hint="eastAsia" w:asciiTheme="minorEastAsia" w:hAnsiTheme="minorEastAsia" w:eastAsiaTheme="minorEastAsia" w:cstheme="minorEastAsia"/>
          <w:snapToGrid w:val="0"/>
          <w:color w:val="auto"/>
          <w:spacing w:val="4"/>
          <w:sz w:val="28"/>
          <w:szCs w:val="28"/>
          <w:highlight w:val="none"/>
        </w:rPr>
        <w:t>附件。</w:t>
      </w:r>
    </w:p>
    <w:p w14:paraId="60130345">
      <w:pPr>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2"/>
          <w:sz w:val="28"/>
          <w:szCs w:val="28"/>
          <w:highlight w:val="none"/>
        </w:rPr>
        <w:t>4.4.3托管调整时间：每季度调整一次或双方协商的时间、周期，对发生在调整日之前的调整量按</w:t>
      </w:r>
      <w:r>
        <w:rPr>
          <w:rFonts w:hint="eastAsia" w:asciiTheme="minorEastAsia" w:hAnsiTheme="minorEastAsia" w:eastAsiaTheme="minorEastAsia" w:cstheme="minorEastAsia"/>
          <w:snapToGrid w:val="0"/>
          <w:color w:val="auto"/>
          <w:spacing w:val="-4"/>
          <w:sz w:val="28"/>
          <w:szCs w:val="28"/>
          <w:highlight w:val="none"/>
        </w:rPr>
        <w:t>照第4.4.2条调整办法采取多退少补一次性调整，发生在</w:t>
      </w:r>
      <w:r>
        <w:rPr>
          <w:rFonts w:hint="eastAsia" w:asciiTheme="minorEastAsia" w:hAnsiTheme="minorEastAsia" w:eastAsiaTheme="minorEastAsia" w:cstheme="minorEastAsia"/>
          <w:snapToGrid w:val="0"/>
          <w:color w:val="auto"/>
          <w:spacing w:val="-5"/>
          <w:sz w:val="28"/>
          <w:szCs w:val="28"/>
          <w:highlight w:val="none"/>
        </w:rPr>
        <w:t>调整日之后的量按照调整后的基准量进行</w:t>
      </w:r>
      <w:r>
        <w:rPr>
          <w:rFonts w:hint="eastAsia" w:asciiTheme="minorEastAsia" w:hAnsiTheme="minorEastAsia" w:eastAsiaTheme="minorEastAsia" w:cstheme="minorEastAsia"/>
          <w:snapToGrid w:val="0"/>
          <w:color w:val="auto"/>
          <w:spacing w:val="8"/>
          <w:sz w:val="28"/>
          <w:szCs w:val="28"/>
          <w:highlight w:val="none"/>
        </w:rPr>
        <w:t>结算。</w:t>
      </w:r>
    </w:p>
    <w:p w14:paraId="290DC43C">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4.4.4托管调整费用的支付：应在托管量调整确认后的30日内完成托管调整费用的支付。在托管</w:t>
      </w:r>
      <w:r>
        <w:rPr>
          <w:rFonts w:hint="eastAsia" w:asciiTheme="minorEastAsia" w:hAnsiTheme="minorEastAsia" w:eastAsiaTheme="minorEastAsia" w:cstheme="minorEastAsia"/>
          <w:snapToGrid w:val="0"/>
          <w:color w:val="auto"/>
          <w:spacing w:val="15"/>
          <w:sz w:val="28"/>
          <w:szCs w:val="28"/>
          <w:highlight w:val="none"/>
        </w:rPr>
        <w:t>量调整双方确认期间，不得因托管调整量未确认而迟延支付原托管费。</w:t>
      </w:r>
    </w:p>
    <w:p w14:paraId="4A83EBB1">
      <w:pPr>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7"/>
          <w:sz w:val="28"/>
          <w:szCs w:val="28"/>
          <w:highlight w:val="none"/>
        </w:rPr>
        <w:t>4.5托管费用计算办法：托管费用=托管量×能源结算价格+调整费用，</w:t>
      </w:r>
      <w:r>
        <w:rPr>
          <w:rFonts w:hint="eastAsia" w:asciiTheme="minorEastAsia" w:hAnsiTheme="minorEastAsia" w:eastAsiaTheme="minorEastAsia" w:cstheme="minorEastAsia"/>
          <w:snapToGrid w:val="0"/>
          <w:color w:val="auto"/>
          <w:spacing w:val="16"/>
          <w:sz w:val="28"/>
          <w:szCs w:val="28"/>
          <w:highlight w:val="none"/>
        </w:rPr>
        <w:t>其中，</w:t>
      </w:r>
      <w:r>
        <w:rPr>
          <w:rFonts w:hint="eastAsia" w:asciiTheme="minorEastAsia" w:hAnsiTheme="minorEastAsia" w:eastAsiaTheme="minorEastAsia" w:cstheme="minorEastAsia"/>
          <w:snapToGrid w:val="0"/>
          <w:color w:val="auto"/>
          <w:spacing w:val="16"/>
          <w:sz w:val="28"/>
          <w:szCs w:val="28"/>
          <w:highlight w:val="none"/>
          <w:lang w:eastAsia="zh-CN"/>
        </w:rPr>
        <w:t>□</w:t>
      </w:r>
      <w:r>
        <w:rPr>
          <w:rFonts w:hint="eastAsia" w:asciiTheme="minorEastAsia" w:hAnsiTheme="minorEastAsia" w:eastAsiaTheme="minorEastAsia" w:cstheme="minorEastAsia"/>
          <w:snapToGrid w:val="0"/>
          <w:color w:val="auto"/>
          <w:spacing w:val="16"/>
          <w:sz w:val="28"/>
          <w:szCs w:val="28"/>
          <w:highlight w:val="none"/>
        </w:rPr>
        <w:t>结算电价以当期</w:t>
      </w:r>
      <w:r>
        <w:rPr>
          <w:rFonts w:hint="eastAsia" w:asciiTheme="minorEastAsia" w:hAnsiTheme="minorEastAsia" w:eastAsiaTheme="minorEastAsia" w:cstheme="minorEastAsia"/>
          <w:snapToGrid w:val="0"/>
          <w:color w:val="auto"/>
          <w:spacing w:val="18"/>
          <w:sz w:val="28"/>
          <w:szCs w:val="28"/>
          <w:highlight w:val="none"/>
        </w:rPr>
        <w:t>供电部门结算电价为准；□气价以当期燃气公司结算气价为准；□汽价以蒸汽销售公司</w:t>
      </w:r>
      <w:r>
        <w:rPr>
          <w:rFonts w:hint="eastAsia" w:asciiTheme="minorEastAsia" w:hAnsiTheme="minorEastAsia" w:eastAsiaTheme="minorEastAsia" w:cstheme="minorEastAsia"/>
          <w:snapToGrid w:val="0"/>
          <w:color w:val="auto"/>
          <w:spacing w:val="17"/>
          <w:sz w:val="28"/>
          <w:szCs w:val="28"/>
          <w:highlight w:val="none"/>
        </w:rPr>
        <w:t>结算汽价为准；</w:t>
      </w:r>
      <w:r>
        <w:rPr>
          <w:rFonts w:hint="eastAsia" w:asciiTheme="minorEastAsia" w:hAnsiTheme="minorEastAsia" w:eastAsiaTheme="minorEastAsia" w:cstheme="minorEastAsia"/>
          <w:snapToGrid w:val="0"/>
          <w:color w:val="auto"/>
          <w:spacing w:val="17"/>
          <w:sz w:val="28"/>
          <w:szCs w:val="28"/>
          <w:highlight w:val="none"/>
          <w:lang w:eastAsia="zh-CN"/>
        </w:rPr>
        <w:t>□</w:t>
      </w:r>
      <w:r>
        <w:rPr>
          <w:rFonts w:hint="eastAsia" w:asciiTheme="minorEastAsia" w:hAnsiTheme="minorEastAsia" w:eastAsiaTheme="minorEastAsia" w:cstheme="minorEastAsia"/>
          <w:snapToGrid w:val="0"/>
          <w:color w:val="auto"/>
          <w:spacing w:val="16"/>
          <w:sz w:val="28"/>
          <w:szCs w:val="28"/>
          <w:highlight w:val="none"/>
        </w:rPr>
        <w:t>水价以供水公司结算水价为准；□如能源结算价格甲乙双方有另行约定的，以双方约定价格</w:t>
      </w:r>
      <w:r>
        <w:rPr>
          <w:rFonts w:hint="eastAsia" w:asciiTheme="minorEastAsia" w:hAnsiTheme="minorEastAsia" w:eastAsiaTheme="minorEastAsia" w:cstheme="minorEastAsia"/>
          <w:snapToGrid w:val="0"/>
          <w:color w:val="auto"/>
          <w:spacing w:val="15"/>
          <w:sz w:val="28"/>
          <w:szCs w:val="28"/>
          <w:highlight w:val="none"/>
        </w:rPr>
        <w:t>为准。</w:t>
      </w:r>
    </w:p>
    <w:p w14:paraId="1D070295">
      <w:pPr>
        <w:widowControl/>
        <w:autoSpaceDE w:val="0"/>
        <w:autoSpaceDN w:val="0"/>
        <w:adjustRightInd w:val="0"/>
        <w:snapToGrid w:val="0"/>
        <w:spacing w:line="480" w:lineRule="exact"/>
        <w:ind w:firstLine="620" w:firstLineChars="200"/>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5"/>
          <w:kern w:val="0"/>
          <w:sz w:val="28"/>
          <w:szCs w:val="28"/>
          <w:highlight w:val="none"/>
          <w:lang w:eastAsia="en-US"/>
        </w:rPr>
        <w:t>年托管费用如下表：</w:t>
      </w:r>
    </w:p>
    <w:tbl>
      <w:tblPr>
        <w:tblStyle w:val="109"/>
        <w:tblW w:w="4998" w:type="pct"/>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autofit"/>
        <w:tblCellMar>
          <w:top w:w="0" w:type="dxa"/>
          <w:left w:w="0" w:type="dxa"/>
          <w:bottom w:w="0" w:type="dxa"/>
          <w:right w:w="0" w:type="dxa"/>
        </w:tblCellMar>
      </w:tblPr>
      <w:tblGrid>
        <w:gridCol w:w="1661"/>
        <w:gridCol w:w="1796"/>
        <w:gridCol w:w="2134"/>
        <w:gridCol w:w="17"/>
        <w:gridCol w:w="2704"/>
      </w:tblGrid>
      <w:tr w14:paraId="124B3E7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4" w:hRule="atLeast"/>
        </w:trPr>
        <w:tc>
          <w:tcPr>
            <w:tcW w:w="999" w:type="pct"/>
            <w:tcBorders>
              <w:top w:val="single" w:color="231F20" w:sz="4" w:space="0"/>
              <w:left w:val="single" w:color="231F20" w:sz="4" w:space="0"/>
              <w:bottom w:val="single" w:color="231F20" w:sz="4" w:space="0"/>
            </w:tcBorders>
            <w:vAlign w:val="center"/>
          </w:tcPr>
          <w:p w14:paraId="0ABC402A">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5"/>
                <w:kern w:val="0"/>
                <w:sz w:val="28"/>
                <w:szCs w:val="28"/>
                <w:highlight w:val="none"/>
                <w:lang w:eastAsia="en-US"/>
              </w:rPr>
              <w:t>用能月份</w:t>
            </w:r>
          </w:p>
        </w:tc>
        <w:tc>
          <w:tcPr>
            <w:tcW w:w="1080" w:type="pct"/>
            <w:tcBorders>
              <w:top w:val="single" w:color="231F20" w:sz="4" w:space="0"/>
              <w:bottom w:val="single" w:color="231F20" w:sz="4" w:space="0"/>
            </w:tcBorders>
            <w:vAlign w:val="center"/>
          </w:tcPr>
          <w:p w14:paraId="110AFD8D">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5"/>
                <w:kern w:val="0"/>
                <w:sz w:val="28"/>
                <w:szCs w:val="28"/>
                <w:highlight w:val="none"/>
                <w:lang w:eastAsia="en-US"/>
              </w:rPr>
              <w:t>结算月份</w:t>
            </w:r>
          </w:p>
        </w:tc>
        <w:tc>
          <w:tcPr>
            <w:tcW w:w="1293" w:type="pct"/>
            <w:gridSpan w:val="2"/>
            <w:tcBorders>
              <w:top w:val="single" w:color="231F20" w:sz="4" w:space="0"/>
              <w:bottom w:val="single" w:color="231F20" w:sz="4" w:space="0"/>
            </w:tcBorders>
            <w:vAlign w:val="center"/>
          </w:tcPr>
          <w:p w14:paraId="2AFE94A1">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4"/>
                <w:kern w:val="0"/>
                <w:sz w:val="28"/>
                <w:szCs w:val="28"/>
                <w:highlight w:val="none"/>
                <w:lang w:eastAsia="en-US"/>
              </w:rPr>
              <w:t>托管量</w:t>
            </w:r>
          </w:p>
        </w:tc>
        <w:tc>
          <w:tcPr>
            <w:tcW w:w="1626" w:type="pct"/>
            <w:tcBorders>
              <w:top w:val="single" w:color="231F20" w:sz="4" w:space="0"/>
              <w:bottom w:val="single" w:color="231F20" w:sz="4" w:space="0"/>
              <w:right w:val="single" w:color="231F20" w:sz="4" w:space="0"/>
            </w:tcBorders>
            <w:vAlign w:val="center"/>
          </w:tcPr>
          <w:p w14:paraId="0C865218">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5"/>
                <w:kern w:val="0"/>
                <w:sz w:val="28"/>
                <w:szCs w:val="28"/>
                <w:highlight w:val="none"/>
                <w:lang w:eastAsia="en-US"/>
              </w:rPr>
              <w:t>托管费用</w:t>
            </w:r>
          </w:p>
        </w:tc>
      </w:tr>
      <w:tr w14:paraId="190C01E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6" w:hRule="atLeast"/>
        </w:trPr>
        <w:tc>
          <w:tcPr>
            <w:tcW w:w="999" w:type="pct"/>
            <w:vMerge w:val="restart"/>
            <w:tcBorders>
              <w:top w:val="single" w:color="231F20" w:sz="4" w:space="0"/>
              <w:left w:val="single" w:color="231F20" w:sz="4" w:space="0"/>
              <w:bottom w:val="nil"/>
            </w:tcBorders>
            <w:vAlign w:val="center"/>
          </w:tcPr>
          <w:p w14:paraId="038150A7">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2"/>
                <w:sz w:val="28"/>
                <w:szCs w:val="28"/>
                <w:highlight w:val="none"/>
                <w:lang w:eastAsia="en-US"/>
              </w:rPr>
              <w:t>1—12</w:t>
            </w:r>
          </w:p>
        </w:tc>
        <w:tc>
          <w:tcPr>
            <w:tcW w:w="1080" w:type="pct"/>
            <w:vMerge w:val="restart"/>
            <w:tcBorders>
              <w:top w:val="single" w:color="231F20" w:sz="4" w:space="0"/>
              <w:bottom w:val="nil"/>
            </w:tcBorders>
            <w:vAlign w:val="center"/>
          </w:tcPr>
          <w:p w14:paraId="2EC44EF3">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3"/>
                <w:sz w:val="28"/>
                <w:szCs w:val="28"/>
                <w:highlight w:val="none"/>
                <w:lang w:eastAsia="en-US"/>
              </w:rPr>
              <w:t>11—次年1</w:t>
            </w:r>
          </w:p>
        </w:tc>
        <w:tc>
          <w:tcPr>
            <w:tcW w:w="1283" w:type="pct"/>
            <w:tcBorders>
              <w:top w:val="single" w:color="231F20" w:sz="4" w:space="0"/>
            </w:tcBorders>
            <w:vAlign w:val="center"/>
          </w:tcPr>
          <w:p w14:paraId="1AA0047B">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3"/>
                <w:sz w:val="28"/>
                <w:szCs w:val="28"/>
                <w:highlight w:val="none"/>
                <w:lang w:eastAsia="en-US"/>
              </w:rPr>
              <w:t>电量（kWh）</w:t>
            </w:r>
          </w:p>
        </w:tc>
        <w:tc>
          <w:tcPr>
            <w:tcW w:w="10" w:type="pct"/>
            <w:tcBorders>
              <w:top w:val="single" w:color="231F20" w:sz="4" w:space="0"/>
            </w:tcBorders>
            <w:vAlign w:val="center"/>
          </w:tcPr>
          <w:p w14:paraId="126B4597">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626" w:type="pct"/>
            <w:tcBorders>
              <w:top w:val="single" w:color="231F20" w:sz="4" w:space="0"/>
              <w:right w:val="single" w:color="231F20" w:sz="4" w:space="0"/>
            </w:tcBorders>
            <w:vAlign w:val="center"/>
          </w:tcPr>
          <w:p w14:paraId="214DF7C3">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5"/>
                <w:kern w:val="0"/>
                <w:sz w:val="28"/>
                <w:szCs w:val="28"/>
                <w:highlight w:val="none"/>
                <w:lang w:eastAsia="en-US"/>
              </w:rPr>
              <w:t>元（大写：元）</w:t>
            </w:r>
          </w:p>
        </w:tc>
      </w:tr>
      <w:tr w14:paraId="2C300F2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2" w:hRule="atLeast"/>
        </w:trPr>
        <w:tc>
          <w:tcPr>
            <w:tcW w:w="999" w:type="pct"/>
            <w:vMerge w:val="continue"/>
            <w:tcBorders>
              <w:top w:val="nil"/>
              <w:left w:val="single" w:color="231F20" w:sz="4" w:space="0"/>
              <w:bottom w:val="nil"/>
            </w:tcBorders>
            <w:vAlign w:val="center"/>
          </w:tcPr>
          <w:p w14:paraId="23FF9563">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080" w:type="pct"/>
            <w:vMerge w:val="continue"/>
            <w:tcBorders>
              <w:top w:val="nil"/>
              <w:bottom w:val="nil"/>
            </w:tcBorders>
            <w:vAlign w:val="center"/>
          </w:tcPr>
          <w:p w14:paraId="4BFCED77">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83" w:type="pct"/>
            <w:vAlign w:val="center"/>
          </w:tcPr>
          <w:p w14:paraId="3E77C5EF">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0" w:type="pct"/>
            <w:vAlign w:val="center"/>
          </w:tcPr>
          <w:p w14:paraId="402F0D20">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626" w:type="pct"/>
            <w:tcBorders>
              <w:right w:val="single" w:color="231F20" w:sz="4" w:space="0"/>
            </w:tcBorders>
            <w:vAlign w:val="center"/>
          </w:tcPr>
          <w:p w14:paraId="1BD9E7C2">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p>
        </w:tc>
      </w:tr>
      <w:tr w14:paraId="5811FA6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1" w:hRule="atLeast"/>
        </w:trPr>
        <w:tc>
          <w:tcPr>
            <w:tcW w:w="999" w:type="pct"/>
            <w:vMerge w:val="continue"/>
            <w:tcBorders>
              <w:top w:val="nil"/>
              <w:left w:val="single" w:color="231F20" w:sz="4" w:space="0"/>
            </w:tcBorders>
            <w:vAlign w:val="center"/>
          </w:tcPr>
          <w:p w14:paraId="403AF98C">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080" w:type="pct"/>
            <w:vMerge w:val="continue"/>
            <w:tcBorders>
              <w:top w:val="nil"/>
            </w:tcBorders>
            <w:vAlign w:val="center"/>
          </w:tcPr>
          <w:p w14:paraId="169EDE3C">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283" w:type="pct"/>
            <w:vAlign w:val="center"/>
          </w:tcPr>
          <w:p w14:paraId="521E62EB">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24"/>
                <w:w w:val="108"/>
                <w:kern w:val="0"/>
                <w:position w:val="2"/>
                <w:sz w:val="28"/>
                <w:szCs w:val="28"/>
                <w:highlight w:val="none"/>
                <w:lang w:eastAsia="en-US"/>
              </w:rPr>
              <w:t>……</w:t>
            </w:r>
          </w:p>
        </w:tc>
        <w:tc>
          <w:tcPr>
            <w:tcW w:w="10" w:type="pct"/>
            <w:vAlign w:val="center"/>
          </w:tcPr>
          <w:p w14:paraId="2948DE19">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626" w:type="pct"/>
            <w:tcBorders>
              <w:right w:val="single" w:color="231F20" w:sz="4" w:space="0"/>
            </w:tcBorders>
            <w:vAlign w:val="center"/>
          </w:tcPr>
          <w:p w14:paraId="7284262A">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5"/>
                <w:kern w:val="0"/>
                <w:sz w:val="28"/>
                <w:szCs w:val="28"/>
                <w:highlight w:val="none"/>
                <w:lang w:eastAsia="en-US"/>
              </w:rPr>
              <w:t>元（大写：元）</w:t>
            </w:r>
          </w:p>
        </w:tc>
      </w:tr>
      <w:tr w14:paraId="08893B0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1" w:hRule="atLeast"/>
        </w:trPr>
        <w:tc>
          <w:tcPr>
            <w:tcW w:w="999" w:type="pct"/>
            <w:tcBorders>
              <w:left w:val="single" w:color="231F20" w:sz="4" w:space="0"/>
            </w:tcBorders>
            <w:vAlign w:val="center"/>
          </w:tcPr>
          <w:p w14:paraId="4CBFF93E">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24"/>
                <w:w w:val="108"/>
                <w:kern w:val="0"/>
                <w:position w:val="2"/>
                <w:sz w:val="28"/>
                <w:szCs w:val="28"/>
                <w:highlight w:val="none"/>
                <w:lang w:eastAsia="en-US"/>
              </w:rPr>
              <w:t>……</w:t>
            </w:r>
          </w:p>
        </w:tc>
        <w:tc>
          <w:tcPr>
            <w:tcW w:w="1080" w:type="pct"/>
            <w:vAlign w:val="center"/>
          </w:tcPr>
          <w:p w14:paraId="6CD8DD4E">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24"/>
                <w:w w:val="108"/>
                <w:kern w:val="0"/>
                <w:position w:val="2"/>
                <w:sz w:val="28"/>
                <w:szCs w:val="28"/>
                <w:highlight w:val="none"/>
                <w:lang w:eastAsia="en-US"/>
              </w:rPr>
              <w:t>……</w:t>
            </w:r>
          </w:p>
        </w:tc>
        <w:tc>
          <w:tcPr>
            <w:tcW w:w="1283" w:type="pct"/>
            <w:vAlign w:val="center"/>
          </w:tcPr>
          <w:p w14:paraId="4B258B18">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0" w:type="pct"/>
            <w:vAlign w:val="center"/>
          </w:tcPr>
          <w:p w14:paraId="6E7E0156">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626" w:type="pct"/>
            <w:tcBorders>
              <w:right w:val="single" w:color="231F20" w:sz="4" w:space="0"/>
            </w:tcBorders>
            <w:vAlign w:val="center"/>
          </w:tcPr>
          <w:p w14:paraId="1B2E10CF">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4961FE1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9" w:hRule="atLeast"/>
        </w:trPr>
        <w:tc>
          <w:tcPr>
            <w:tcW w:w="2079" w:type="pct"/>
            <w:gridSpan w:val="2"/>
            <w:tcBorders>
              <w:left w:val="single" w:color="231F20" w:sz="4" w:space="0"/>
              <w:bottom w:val="single" w:color="231F20" w:sz="4" w:space="0"/>
            </w:tcBorders>
            <w:vAlign w:val="center"/>
          </w:tcPr>
          <w:p w14:paraId="28DA16C2">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2"/>
                <w:kern w:val="0"/>
                <w:sz w:val="28"/>
                <w:szCs w:val="28"/>
                <w:highlight w:val="none"/>
                <w:lang w:eastAsia="en-US"/>
              </w:rPr>
              <w:t>合计</w:t>
            </w:r>
          </w:p>
        </w:tc>
        <w:tc>
          <w:tcPr>
            <w:tcW w:w="1293" w:type="pct"/>
            <w:gridSpan w:val="2"/>
            <w:tcBorders>
              <w:bottom w:val="single" w:color="231F20" w:sz="4" w:space="0"/>
            </w:tcBorders>
            <w:vAlign w:val="center"/>
          </w:tcPr>
          <w:p w14:paraId="24569951">
            <w:pPr>
              <w:keepNext w:val="0"/>
              <w:keepLines w:val="0"/>
              <w:pageBreakBefore w:val="0"/>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1626" w:type="pct"/>
            <w:tcBorders>
              <w:bottom w:val="single" w:color="231F20" w:sz="4" w:space="0"/>
              <w:right w:val="single" w:color="231F20" w:sz="4" w:space="0"/>
            </w:tcBorders>
            <w:vAlign w:val="center"/>
          </w:tcPr>
          <w:p w14:paraId="50E67FF7">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5"/>
                <w:kern w:val="0"/>
                <w:sz w:val="28"/>
                <w:szCs w:val="28"/>
                <w:highlight w:val="none"/>
                <w:lang w:eastAsia="en-US"/>
              </w:rPr>
              <w:t>元（大写：元）</w:t>
            </w:r>
          </w:p>
        </w:tc>
      </w:tr>
    </w:tbl>
    <w:p w14:paraId="3E5E3771">
      <w:pPr>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spacing w:val="16"/>
          <w:sz w:val="28"/>
          <w:szCs w:val="28"/>
          <w:highlight w:val="none"/>
        </w:rPr>
      </w:pPr>
      <w:r>
        <w:rPr>
          <w:rFonts w:hint="eastAsia" w:asciiTheme="minorEastAsia" w:hAnsiTheme="minorEastAsia" w:eastAsiaTheme="minorEastAsia" w:cstheme="minorEastAsia"/>
          <w:snapToGrid w:val="0"/>
          <w:color w:val="auto"/>
          <w:spacing w:val="17"/>
          <w:sz w:val="28"/>
          <w:szCs w:val="28"/>
          <w:highlight w:val="none"/>
        </w:rPr>
        <w:t>注：现阶段结算□电价为</w:t>
      </w:r>
      <w:r>
        <w:rPr>
          <w:rFonts w:hint="eastAsia" w:asciiTheme="minorEastAsia" w:hAnsiTheme="minorEastAsia" w:eastAsiaTheme="minorEastAsia" w:cstheme="minorEastAsia"/>
          <w:snapToGrid w:val="0"/>
          <w:color w:val="auto"/>
          <w:spacing w:val="17"/>
          <w:sz w:val="28"/>
          <w:szCs w:val="28"/>
          <w:highlight w:val="none"/>
          <w:u w:val="single"/>
        </w:rPr>
        <w:t xml:space="preserve">    </w:t>
      </w:r>
      <w:r>
        <w:rPr>
          <w:rFonts w:hint="eastAsia" w:asciiTheme="minorEastAsia" w:hAnsiTheme="minorEastAsia" w:eastAsiaTheme="minorEastAsia" w:cstheme="minorEastAsia"/>
          <w:snapToGrid w:val="0"/>
          <w:color w:val="auto"/>
          <w:spacing w:val="17"/>
          <w:sz w:val="28"/>
          <w:szCs w:val="28"/>
          <w:highlight w:val="none"/>
        </w:rPr>
        <w:t>元/</w:t>
      </w:r>
      <w:r>
        <w:rPr>
          <w:rFonts w:hint="eastAsia" w:asciiTheme="minorEastAsia" w:hAnsiTheme="minorEastAsia" w:eastAsiaTheme="minorEastAsia" w:cstheme="minorEastAsia"/>
          <w:snapToGrid w:val="0"/>
          <w:color w:val="auto"/>
          <w:sz w:val="28"/>
          <w:szCs w:val="28"/>
          <w:highlight w:val="none"/>
        </w:rPr>
        <w:t>kWh</w:t>
      </w:r>
      <w:r>
        <w:rPr>
          <w:rFonts w:hint="eastAsia" w:asciiTheme="minorEastAsia" w:hAnsiTheme="minorEastAsia" w:eastAsiaTheme="minorEastAsia" w:cstheme="minorEastAsia"/>
          <w:snapToGrid w:val="0"/>
          <w:color w:val="auto"/>
          <w:spacing w:val="17"/>
          <w:sz w:val="28"/>
          <w:szCs w:val="28"/>
          <w:highlight w:val="none"/>
        </w:rPr>
        <w:t>、□气价为</w:t>
      </w:r>
      <w:r>
        <w:rPr>
          <w:rFonts w:hint="eastAsia" w:asciiTheme="minorEastAsia" w:hAnsiTheme="minorEastAsia" w:eastAsiaTheme="minorEastAsia" w:cstheme="minorEastAsia"/>
          <w:snapToGrid w:val="0"/>
          <w:color w:val="auto"/>
          <w:spacing w:val="17"/>
          <w:sz w:val="28"/>
          <w:szCs w:val="28"/>
          <w:highlight w:val="none"/>
          <w:u w:val="single"/>
        </w:rPr>
        <w:t xml:space="preserve">    </w:t>
      </w:r>
      <w:r>
        <w:rPr>
          <w:rFonts w:hint="eastAsia" w:asciiTheme="minorEastAsia" w:hAnsiTheme="minorEastAsia" w:eastAsiaTheme="minorEastAsia" w:cstheme="minorEastAsia"/>
          <w:snapToGrid w:val="0"/>
          <w:color w:val="auto"/>
          <w:spacing w:val="17"/>
          <w:sz w:val="28"/>
          <w:szCs w:val="28"/>
          <w:highlight w:val="none"/>
        </w:rPr>
        <w:t>元/m³、□汽价为</w:t>
      </w:r>
      <w:r>
        <w:rPr>
          <w:rFonts w:hint="eastAsia" w:asciiTheme="minorEastAsia" w:hAnsiTheme="minorEastAsia" w:eastAsiaTheme="minorEastAsia" w:cstheme="minorEastAsia"/>
          <w:snapToGrid w:val="0"/>
          <w:color w:val="auto"/>
          <w:spacing w:val="17"/>
          <w:sz w:val="28"/>
          <w:szCs w:val="28"/>
          <w:highlight w:val="none"/>
          <w:u w:val="single"/>
        </w:rPr>
        <w:t xml:space="preserve">    </w:t>
      </w:r>
      <w:r>
        <w:rPr>
          <w:rFonts w:hint="eastAsia" w:asciiTheme="minorEastAsia" w:hAnsiTheme="minorEastAsia" w:eastAsiaTheme="minorEastAsia" w:cstheme="minorEastAsia"/>
          <w:snapToGrid w:val="0"/>
          <w:color w:val="auto"/>
          <w:spacing w:val="17"/>
          <w:sz w:val="28"/>
          <w:szCs w:val="28"/>
          <w:highlight w:val="none"/>
        </w:rPr>
        <w:t>元/m³、</w:t>
      </w:r>
      <w:r>
        <w:rPr>
          <w:rFonts w:hint="eastAsia" w:asciiTheme="minorEastAsia" w:hAnsiTheme="minorEastAsia" w:eastAsiaTheme="minorEastAsia" w:cstheme="minorEastAsia"/>
          <w:snapToGrid w:val="0"/>
          <w:color w:val="auto"/>
          <w:spacing w:val="16"/>
          <w:sz w:val="28"/>
          <w:szCs w:val="28"/>
          <w:highlight w:val="none"/>
        </w:rPr>
        <w:t>□水价为</w:t>
      </w:r>
      <w:r>
        <w:rPr>
          <w:rFonts w:hint="eastAsia" w:asciiTheme="minorEastAsia" w:hAnsiTheme="minorEastAsia" w:eastAsiaTheme="minorEastAsia" w:cstheme="minorEastAsia"/>
          <w:snapToGrid w:val="0"/>
          <w:color w:val="auto"/>
          <w:spacing w:val="16"/>
          <w:sz w:val="28"/>
          <w:szCs w:val="28"/>
          <w:highlight w:val="none"/>
          <w:u w:val="single"/>
        </w:rPr>
        <w:t xml:space="preserve">    </w:t>
      </w:r>
      <w:r>
        <w:rPr>
          <w:rFonts w:hint="eastAsia" w:asciiTheme="minorEastAsia" w:hAnsiTheme="minorEastAsia" w:eastAsiaTheme="minorEastAsia" w:cstheme="minorEastAsia"/>
          <w:snapToGrid w:val="0"/>
          <w:color w:val="auto"/>
          <w:spacing w:val="16"/>
          <w:sz w:val="28"/>
          <w:szCs w:val="28"/>
          <w:highlight w:val="none"/>
        </w:rPr>
        <w:t>元/m³。</w:t>
      </w:r>
    </w:p>
    <w:p w14:paraId="5BDB4084">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pacing w:val="13"/>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4.6甲方按月支付托管费用给乙方，乙方根据实际发生费用缴付至当地相应用能管理部门。</w:t>
      </w:r>
    </w:p>
    <w:p w14:paraId="69BDB56B">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4.7甲乙双方按照如下标准和方式进行节</w:t>
      </w:r>
      <w:r>
        <w:rPr>
          <w:rFonts w:hint="eastAsia" w:asciiTheme="minorEastAsia" w:hAnsiTheme="minorEastAsia" w:eastAsiaTheme="minorEastAsia" w:cstheme="minorEastAsia"/>
          <w:snapToGrid w:val="0"/>
          <w:color w:val="auto"/>
          <w:spacing w:val="13"/>
          <w:sz w:val="28"/>
          <w:szCs w:val="28"/>
          <w:highlight w:val="none"/>
        </w:rPr>
        <w:t>能改造项目的验收。</w:t>
      </w:r>
    </w:p>
    <w:p w14:paraId="4F9E9673">
      <w:pPr>
        <w:autoSpaceDE w:val="0"/>
        <w:autoSpaceDN w:val="0"/>
        <w:adjustRightInd w:val="0"/>
        <w:snapToGrid w:val="0"/>
        <w:spacing w:line="480" w:lineRule="exact"/>
        <w:ind w:firstLine="59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9"/>
          <w:sz w:val="28"/>
          <w:szCs w:val="28"/>
          <w:highlight w:val="none"/>
        </w:rPr>
        <w:t>4.7.1本项目应满足下述第</w:t>
      </w:r>
      <w:r>
        <w:rPr>
          <w:rFonts w:hint="eastAsia" w:asciiTheme="minorEastAsia" w:hAnsiTheme="minorEastAsia" w:eastAsiaTheme="minorEastAsia" w:cstheme="minorEastAsia"/>
          <w:snapToGrid w:val="0"/>
          <w:color w:val="auto"/>
          <w:spacing w:val="9"/>
          <w:sz w:val="28"/>
          <w:szCs w:val="28"/>
          <w:highlight w:val="none"/>
          <w:u w:val="single"/>
        </w:rPr>
        <w:t xml:space="preserve">   </w:t>
      </w:r>
      <w:r>
        <w:rPr>
          <w:rFonts w:hint="eastAsia" w:asciiTheme="minorEastAsia" w:hAnsiTheme="minorEastAsia" w:eastAsiaTheme="minorEastAsia" w:cstheme="minorEastAsia"/>
          <w:snapToGrid w:val="0"/>
          <w:color w:val="auto"/>
          <w:spacing w:val="9"/>
          <w:sz w:val="28"/>
          <w:szCs w:val="28"/>
          <w:highlight w:val="none"/>
        </w:rPr>
        <w:t>项验收标准：</w:t>
      </w:r>
    </w:p>
    <w:p w14:paraId="1EAF0154">
      <w:pPr>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1"/>
          <w:sz w:val="28"/>
          <w:szCs w:val="28"/>
          <w:highlight w:val="none"/>
        </w:rPr>
        <w:t>（1）符合国家和行业相关设计和施工验收规范、标准和要求。</w:t>
      </w:r>
    </w:p>
    <w:p w14:paraId="55E0EC21">
      <w:pPr>
        <w:autoSpaceDE w:val="0"/>
        <w:autoSpaceDN w:val="0"/>
        <w:adjustRightInd w:val="0"/>
        <w:snapToGrid w:val="0"/>
        <w:spacing w:line="480" w:lineRule="exact"/>
        <w:ind w:firstLine="57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4"/>
          <w:sz w:val="28"/>
          <w:szCs w:val="28"/>
          <w:highlight w:val="none"/>
        </w:rPr>
        <w:t>（2）其他标准（如甲方具体要求</w:t>
      </w:r>
      <w:r>
        <w:rPr>
          <w:rFonts w:hint="eastAsia" w:asciiTheme="minorEastAsia" w:hAnsiTheme="minorEastAsia" w:eastAsiaTheme="minorEastAsia" w:cstheme="minorEastAsia"/>
          <w:snapToGrid w:val="0"/>
          <w:color w:val="auto"/>
          <w:spacing w:val="-43"/>
          <w:w w:val="82"/>
          <w:sz w:val="28"/>
          <w:szCs w:val="28"/>
          <w:highlight w:val="none"/>
        </w:rPr>
        <w:t>）：</w:t>
      </w:r>
      <w:r>
        <w:rPr>
          <w:rFonts w:hint="eastAsia" w:asciiTheme="minorEastAsia" w:hAnsiTheme="minorEastAsia" w:eastAsiaTheme="minorEastAsia" w:cstheme="minorEastAsia"/>
          <w:snapToGrid w:val="0"/>
          <w:color w:val="auto"/>
          <w:spacing w:val="-43"/>
          <w:w w:val="82"/>
          <w:sz w:val="28"/>
          <w:szCs w:val="28"/>
          <w:highlight w:val="none"/>
          <w:u w:val="single"/>
        </w:rPr>
        <w:t xml:space="preserve">                                            </w:t>
      </w:r>
      <w:r>
        <w:rPr>
          <w:rFonts w:hint="eastAsia" w:asciiTheme="minorEastAsia" w:hAnsiTheme="minorEastAsia" w:eastAsiaTheme="minorEastAsia" w:cstheme="minorEastAsia"/>
          <w:snapToGrid w:val="0"/>
          <w:color w:val="auto"/>
          <w:spacing w:val="4"/>
          <w:sz w:val="28"/>
          <w:szCs w:val="28"/>
          <w:highlight w:val="none"/>
        </w:rPr>
        <w:t>。</w:t>
      </w:r>
    </w:p>
    <w:p w14:paraId="4B654DEF">
      <w:pPr>
        <w:autoSpaceDE w:val="0"/>
        <w:autoSpaceDN w:val="0"/>
        <w:adjustRightInd w:val="0"/>
        <w:snapToGrid w:val="0"/>
        <w:spacing w:line="480" w:lineRule="exact"/>
        <w:ind w:firstLine="58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7"/>
          <w:sz w:val="28"/>
          <w:szCs w:val="28"/>
          <w:highlight w:val="none"/>
        </w:rPr>
        <w:t>4.7.2验收模式：由甲乙双方共同进行，可采取甲方测试，乙方见</w:t>
      </w:r>
      <w:r>
        <w:rPr>
          <w:rFonts w:hint="eastAsia" w:asciiTheme="minorEastAsia" w:hAnsiTheme="minorEastAsia" w:eastAsiaTheme="minorEastAsia" w:cstheme="minorEastAsia"/>
          <w:snapToGrid w:val="0"/>
          <w:color w:val="auto"/>
          <w:spacing w:val="6"/>
          <w:sz w:val="28"/>
          <w:szCs w:val="28"/>
          <w:highlight w:val="none"/>
        </w:rPr>
        <w:t>证模式；或可采取乙方测试，甲方</w:t>
      </w:r>
      <w:r>
        <w:rPr>
          <w:rFonts w:hint="eastAsia" w:asciiTheme="minorEastAsia" w:hAnsiTheme="minorEastAsia" w:eastAsiaTheme="minorEastAsia" w:cstheme="minorEastAsia"/>
          <w:snapToGrid w:val="0"/>
          <w:color w:val="auto"/>
          <w:spacing w:val="15"/>
          <w:sz w:val="28"/>
          <w:szCs w:val="28"/>
          <w:highlight w:val="none"/>
        </w:rPr>
        <w:t>见证并确认的模式。</w:t>
      </w:r>
    </w:p>
    <w:p w14:paraId="6E037A7F">
      <w:pPr>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1"/>
          <w:sz w:val="28"/>
          <w:szCs w:val="28"/>
          <w:highlight w:val="none"/>
        </w:rPr>
        <w:t>4.7.3验收期限：自本项目改造完毕乙方提请验收之日起，甲方在日内</w:t>
      </w:r>
      <w:r>
        <w:rPr>
          <w:rFonts w:hint="eastAsia" w:asciiTheme="minorEastAsia" w:hAnsiTheme="minorEastAsia" w:eastAsiaTheme="minorEastAsia" w:cstheme="minorEastAsia"/>
          <w:snapToGrid w:val="0"/>
          <w:color w:val="auto"/>
          <w:spacing w:val="10"/>
          <w:sz w:val="28"/>
          <w:szCs w:val="28"/>
          <w:highlight w:val="none"/>
        </w:rPr>
        <w:t>完成验收并提供验收合格</w:t>
      </w:r>
      <w:r>
        <w:rPr>
          <w:rFonts w:hint="eastAsia" w:asciiTheme="minorEastAsia" w:hAnsiTheme="minorEastAsia" w:eastAsiaTheme="minorEastAsia" w:cstheme="minorEastAsia"/>
          <w:snapToGrid w:val="0"/>
          <w:color w:val="auto"/>
          <w:spacing w:val="15"/>
          <w:sz w:val="28"/>
          <w:szCs w:val="28"/>
          <w:highlight w:val="none"/>
        </w:rPr>
        <w:t>报告给乙方。如因甲方原因未能在上述时间内提供验收报</w:t>
      </w:r>
      <w:r>
        <w:rPr>
          <w:rFonts w:hint="eastAsia" w:asciiTheme="minorEastAsia" w:hAnsiTheme="minorEastAsia" w:eastAsiaTheme="minorEastAsia" w:cstheme="minorEastAsia"/>
          <w:snapToGrid w:val="0"/>
          <w:color w:val="auto"/>
          <w:spacing w:val="14"/>
          <w:sz w:val="28"/>
          <w:szCs w:val="28"/>
          <w:highlight w:val="none"/>
        </w:rPr>
        <w:t>告的，视同验收合格。</w:t>
      </w:r>
    </w:p>
    <w:p w14:paraId="22F77368">
      <w:pPr>
        <w:autoSpaceDE w:val="0"/>
        <w:autoSpaceDN w:val="0"/>
        <w:adjustRightInd w:val="0"/>
        <w:snapToGrid w:val="0"/>
        <w:spacing w:line="480" w:lineRule="exact"/>
        <w:ind w:firstLine="592" w:firstLineChars="200"/>
        <w:textAlignment w:val="baseline"/>
        <w:rPr>
          <w:rFonts w:asciiTheme="minorEastAsia" w:hAnsiTheme="minorEastAsia" w:eastAsiaTheme="minorEastAsia" w:cstheme="minorEastAsia"/>
          <w:snapToGrid w:val="0"/>
          <w:color w:val="auto"/>
          <w:spacing w:val="11"/>
          <w:sz w:val="28"/>
          <w:szCs w:val="28"/>
          <w:highlight w:val="none"/>
        </w:rPr>
      </w:pPr>
      <w:r>
        <w:rPr>
          <w:rFonts w:hint="eastAsia" w:asciiTheme="minorEastAsia" w:hAnsiTheme="minorEastAsia" w:eastAsiaTheme="minorEastAsia" w:cstheme="minorEastAsia"/>
          <w:snapToGrid w:val="0"/>
          <w:color w:val="auto"/>
          <w:spacing w:val="8"/>
          <w:sz w:val="28"/>
          <w:szCs w:val="28"/>
          <w:highlight w:val="none"/>
        </w:rPr>
        <w:t>4.7.4如验收结果达不到第4.7.1条规定的验收标准的，由双方共同进行重测，以重</w:t>
      </w:r>
      <w:r>
        <w:rPr>
          <w:rFonts w:hint="eastAsia" w:asciiTheme="minorEastAsia" w:hAnsiTheme="minorEastAsia" w:eastAsiaTheme="minorEastAsia" w:cstheme="minorEastAsia"/>
          <w:snapToGrid w:val="0"/>
          <w:color w:val="auto"/>
          <w:spacing w:val="7"/>
          <w:sz w:val="28"/>
          <w:szCs w:val="28"/>
          <w:highlight w:val="none"/>
        </w:rPr>
        <w:t>测结果为准。重</w:t>
      </w:r>
      <w:r>
        <w:rPr>
          <w:rFonts w:hint="eastAsia" w:asciiTheme="minorEastAsia" w:hAnsiTheme="minorEastAsia" w:eastAsiaTheme="minorEastAsia" w:cstheme="minorEastAsia"/>
          <w:snapToGrid w:val="0"/>
          <w:color w:val="auto"/>
          <w:spacing w:val="12"/>
          <w:sz w:val="28"/>
          <w:szCs w:val="28"/>
          <w:highlight w:val="none"/>
        </w:rPr>
        <w:t>测后仍达不到验收标准的，乙方应负责整改并再次提请验收。甲方收到验收申请后，按照第4.7.1条~第</w:t>
      </w:r>
      <w:r>
        <w:rPr>
          <w:rFonts w:hint="eastAsia" w:asciiTheme="minorEastAsia" w:hAnsiTheme="minorEastAsia" w:eastAsiaTheme="minorEastAsia" w:cstheme="minorEastAsia"/>
          <w:snapToGrid w:val="0"/>
          <w:color w:val="auto"/>
          <w:spacing w:val="11"/>
          <w:sz w:val="28"/>
          <w:szCs w:val="28"/>
          <w:highlight w:val="none"/>
        </w:rPr>
        <w:t>4.7.3条规定的标准、模式、期限再次组织验收。</w:t>
      </w:r>
    </w:p>
    <w:p w14:paraId="670B5FCD">
      <w:pPr>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spacing w:val="11"/>
          <w:sz w:val="28"/>
          <w:szCs w:val="28"/>
          <w:highlight w:val="none"/>
        </w:rPr>
      </w:pPr>
      <w:r>
        <w:rPr>
          <w:rFonts w:hint="eastAsia" w:asciiTheme="minorEastAsia" w:hAnsiTheme="minorEastAsia" w:eastAsiaTheme="minorEastAsia" w:cstheme="minorEastAsia"/>
          <w:snapToGrid w:val="0"/>
          <w:color w:val="auto"/>
          <w:spacing w:val="11"/>
          <w:sz w:val="28"/>
          <w:szCs w:val="28"/>
          <w:highlight w:val="none"/>
        </w:rPr>
        <w:t>4.8光伏发电费用支付：乙方建设的光伏发电系统所产生的光伏发电量，优先提供给学校使用。</w:t>
      </w:r>
    </w:p>
    <w:p w14:paraId="22C2EA14">
      <w:pPr>
        <w:autoSpaceDE w:val="0"/>
        <w:autoSpaceDN w:val="0"/>
        <w:adjustRightInd w:val="0"/>
        <w:snapToGrid w:val="0"/>
        <w:spacing w:line="480" w:lineRule="exact"/>
        <w:ind w:firstLine="5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8"/>
          <w:sz w:val="28"/>
          <w:szCs w:val="28"/>
          <w:highlight w:val="none"/>
        </w:rPr>
        <w:t>4.8其他：</w:t>
      </w:r>
      <w:r>
        <w:rPr>
          <w:rFonts w:hint="eastAsia" w:asciiTheme="minorEastAsia" w:hAnsiTheme="minorEastAsia" w:eastAsiaTheme="minorEastAsia" w:cstheme="minorEastAsia"/>
          <w:snapToGrid w:val="0"/>
          <w:color w:val="auto"/>
          <w:spacing w:val="-8"/>
          <w:sz w:val="28"/>
          <w:szCs w:val="28"/>
          <w:highlight w:val="none"/>
          <w:u w:val="single"/>
        </w:rPr>
        <w:t xml:space="preserve">      </w:t>
      </w:r>
      <w:r>
        <w:rPr>
          <w:rFonts w:hint="eastAsia" w:asciiTheme="minorEastAsia" w:hAnsiTheme="minorEastAsia" w:eastAsiaTheme="minorEastAsia" w:cstheme="minorEastAsia"/>
          <w:snapToGrid w:val="0"/>
          <w:color w:val="auto"/>
          <w:spacing w:val="-8"/>
          <w:sz w:val="28"/>
          <w:szCs w:val="28"/>
          <w:highlight w:val="none"/>
        </w:rPr>
        <w:t>。</w:t>
      </w:r>
    </w:p>
    <w:p w14:paraId="19EC985A">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第5节  费用支付</w:t>
      </w:r>
    </w:p>
    <w:p w14:paraId="42408DC9">
      <w:pPr>
        <w:autoSpaceDE w:val="0"/>
        <w:autoSpaceDN w:val="0"/>
        <w:adjustRightInd w:val="0"/>
        <w:snapToGrid w:val="0"/>
        <w:spacing w:line="480" w:lineRule="exact"/>
        <w:ind w:firstLine="584" w:firstLineChars="200"/>
        <w:textAlignment w:val="baseline"/>
        <w:rPr>
          <w:rFonts w:hint="eastAsia" w:asciiTheme="minorEastAsia" w:hAnsiTheme="minorEastAsia" w:eastAsiaTheme="minorEastAsia" w:cstheme="minorEastAsia"/>
          <w:snapToGrid w:val="0"/>
          <w:color w:val="auto"/>
          <w:spacing w:val="6"/>
          <w:sz w:val="28"/>
          <w:szCs w:val="28"/>
          <w:highlight w:val="none"/>
        </w:rPr>
      </w:pPr>
      <w:r>
        <w:rPr>
          <w:rFonts w:hint="eastAsia" w:asciiTheme="minorEastAsia" w:hAnsiTheme="minorEastAsia" w:eastAsiaTheme="minorEastAsia" w:cstheme="minorEastAsia"/>
          <w:snapToGrid w:val="0"/>
          <w:color w:val="auto"/>
          <w:spacing w:val="6"/>
          <w:sz w:val="28"/>
          <w:szCs w:val="28"/>
          <w:highlight w:val="none"/>
        </w:rPr>
        <w:t>5.1</w:t>
      </w:r>
    </w:p>
    <w:p w14:paraId="24E44946">
      <w:pPr>
        <w:autoSpaceDE w:val="0"/>
        <w:autoSpaceDN w:val="0"/>
        <w:adjustRightInd w:val="0"/>
        <w:snapToGrid w:val="0"/>
        <w:spacing w:line="480" w:lineRule="exact"/>
        <w:ind w:firstLine="584" w:firstLineChars="200"/>
        <w:textAlignment w:val="baseline"/>
        <w:rPr>
          <w:rFonts w:hint="eastAsia" w:asciiTheme="minorEastAsia" w:hAnsiTheme="minorEastAsia" w:eastAsiaTheme="minorEastAsia" w:cstheme="minorEastAsia"/>
          <w:snapToGrid w:val="0"/>
          <w:color w:val="auto"/>
          <w:spacing w:val="6"/>
          <w:sz w:val="28"/>
          <w:szCs w:val="28"/>
          <w:highlight w:val="none"/>
        </w:rPr>
      </w:pPr>
      <w:r>
        <w:rPr>
          <w:rFonts w:hint="eastAsia" w:asciiTheme="minorEastAsia" w:hAnsiTheme="minorEastAsia" w:eastAsiaTheme="minorEastAsia" w:cstheme="minorEastAsia"/>
          <w:snapToGrid w:val="0"/>
          <w:color w:val="auto"/>
          <w:spacing w:val="6"/>
          <w:sz w:val="28"/>
          <w:szCs w:val="28"/>
          <w:highlight w:val="none"/>
          <w:lang w:val="en-US" w:eastAsia="zh-CN"/>
        </w:rPr>
        <w:t>5.1.1</w:t>
      </w:r>
      <w:r>
        <w:rPr>
          <w:rFonts w:hint="eastAsia" w:asciiTheme="minorEastAsia" w:hAnsiTheme="minorEastAsia" w:eastAsiaTheme="minorEastAsia" w:cstheme="minorEastAsia"/>
          <w:snapToGrid w:val="0"/>
          <w:color w:val="auto"/>
          <w:spacing w:val="6"/>
          <w:sz w:val="28"/>
          <w:szCs w:val="28"/>
          <w:highlight w:val="none"/>
        </w:rPr>
        <w:t>改造期：按</w:t>
      </w:r>
      <w:r>
        <w:rPr>
          <w:rFonts w:hint="eastAsia" w:asciiTheme="minorEastAsia" w:hAnsiTheme="minorEastAsia" w:eastAsiaTheme="minorEastAsia" w:cstheme="minorEastAsia"/>
          <w:snapToGrid w:val="0"/>
          <w:color w:val="auto"/>
          <w:spacing w:val="6"/>
          <w:sz w:val="28"/>
          <w:szCs w:val="28"/>
          <w:highlight w:val="none"/>
          <w:lang w:val="en-US" w:eastAsia="zh-CN"/>
        </w:rPr>
        <w:t>月</w:t>
      </w:r>
      <w:r>
        <w:rPr>
          <w:rFonts w:hint="eastAsia" w:asciiTheme="minorEastAsia" w:hAnsiTheme="minorEastAsia" w:eastAsiaTheme="minorEastAsia" w:cstheme="minorEastAsia"/>
          <w:snapToGrid w:val="0"/>
          <w:color w:val="auto"/>
          <w:spacing w:val="6"/>
          <w:sz w:val="28"/>
          <w:szCs w:val="28"/>
          <w:highlight w:val="none"/>
        </w:rPr>
        <w:t>度据实结算。</w:t>
      </w:r>
    </w:p>
    <w:p w14:paraId="5A88E514">
      <w:pPr>
        <w:autoSpaceDE w:val="0"/>
        <w:autoSpaceDN w:val="0"/>
        <w:adjustRightInd w:val="0"/>
        <w:snapToGrid w:val="0"/>
        <w:spacing w:line="480" w:lineRule="exact"/>
        <w:ind w:firstLine="584" w:firstLineChars="200"/>
        <w:textAlignment w:val="baseline"/>
        <w:rPr>
          <w:rFonts w:hint="eastAsia" w:asciiTheme="minorEastAsia" w:hAnsiTheme="minorEastAsia" w:eastAsiaTheme="minorEastAsia" w:cstheme="minorEastAsia"/>
          <w:snapToGrid w:val="0"/>
          <w:color w:val="auto"/>
          <w:spacing w:val="6"/>
          <w:sz w:val="28"/>
          <w:szCs w:val="28"/>
          <w:highlight w:val="none"/>
        </w:rPr>
      </w:pPr>
      <w:r>
        <w:rPr>
          <w:rFonts w:hint="eastAsia" w:asciiTheme="minorEastAsia" w:hAnsiTheme="minorEastAsia" w:eastAsiaTheme="minorEastAsia" w:cstheme="minorEastAsia"/>
          <w:snapToGrid w:val="0"/>
          <w:color w:val="auto"/>
          <w:spacing w:val="6"/>
          <w:sz w:val="28"/>
          <w:szCs w:val="28"/>
          <w:highlight w:val="none"/>
          <w:lang w:val="en-US" w:eastAsia="zh-CN"/>
        </w:rPr>
        <w:t>5.1.2</w:t>
      </w:r>
      <w:r>
        <w:rPr>
          <w:rFonts w:hint="eastAsia" w:asciiTheme="minorEastAsia" w:hAnsiTheme="minorEastAsia" w:eastAsiaTheme="minorEastAsia" w:cstheme="minorEastAsia"/>
          <w:snapToGrid w:val="0"/>
          <w:color w:val="auto"/>
          <w:spacing w:val="6"/>
          <w:sz w:val="28"/>
          <w:szCs w:val="28"/>
          <w:highlight w:val="none"/>
        </w:rPr>
        <w:t>运营期：托管运营管理服务费用=采购预算金额×中标折扣，按</w:t>
      </w:r>
      <w:r>
        <w:rPr>
          <w:rFonts w:hint="eastAsia" w:asciiTheme="minorEastAsia" w:hAnsiTheme="minorEastAsia" w:eastAsiaTheme="minorEastAsia" w:cstheme="minorEastAsia"/>
          <w:snapToGrid w:val="0"/>
          <w:color w:val="auto"/>
          <w:spacing w:val="6"/>
          <w:sz w:val="28"/>
          <w:szCs w:val="28"/>
          <w:highlight w:val="none"/>
          <w:lang w:val="en-US" w:eastAsia="zh-CN"/>
        </w:rPr>
        <w:t>月</w:t>
      </w:r>
      <w:r>
        <w:rPr>
          <w:rFonts w:hint="eastAsia" w:asciiTheme="minorEastAsia" w:hAnsiTheme="minorEastAsia" w:eastAsiaTheme="minorEastAsia" w:cstheme="minorEastAsia"/>
          <w:snapToGrid w:val="0"/>
          <w:color w:val="auto"/>
          <w:spacing w:val="6"/>
          <w:sz w:val="28"/>
          <w:szCs w:val="28"/>
          <w:highlight w:val="none"/>
        </w:rPr>
        <w:t>度平均支付。</w:t>
      </w:r>
    </w:p>
    <w:p w14:paraId="37C05279">
      <w:pPr>
        <w:autoSpaceDE w:val="0"/>
        <w:autoSpaceDN w:val="0"/>
        <w:adjustRightInd w:val="0"/>
        <w:snapToGrid w:val="0"/>
        <w:spacing w:line="480" w:lineRule="exact"/>
        <w:ind w:firstLine="584" w:firstLineChars="200"/>
        <w:textAlignment w:val="baseline"/>
        <w:rPr>
          <w:rFonts w:hint="eastAsia" w:asciiTheme="minorEastAsia" w:hAnsiTheme="minorEastAsia" w:eastAsiaTheme="minorEastAsia" w:cstheme="minorEastAsia"/>
          <w:snapToGrid w:val="0"/>
          <w:color w:val="auto"/>
          <w:spacing w:val="6"/>
          <w:sz w:val="28"/>
          <w:szCs w:val="28"/>
          <w:highlight w:val="none"/>
        </w:rPr>
      </w:pPr>
      <w:r>
        <w:rPr>
          <w:rFonts w:hint="eastAsia" w:asciiTheme="minorEastAsia" w:hAnsiTheme="minorEastAsia" w:eastAsiaTheme="minorEastAsia" w:cstheme="minorEastAsia"/>
          <w:snapToGrid w:val="0"/>
          <w:color w:val="auto"/>
          <w:spacing w:val="6"/>
          <w:sz w:val="28"/>
          <w:szCs w:val="28"/>
          <w:highlight w:val="none"/>
          <w:lang w:val="en-US" w:eastAsia="zh-CN"/>
        </w:rPr>
        <w:t>5.1.3运营期届满后，双方共同确认实际年节能率，若节能率达到或超过5%，甲方应于确认后10个工作日内，全额支付最后一期（月）托管费用；若节能率低于5%，甲方有权从最后一期应付费用中直接扣减50万元，余款于10个工作日内支付。</w:t>
      </w:r>
    </w:p>
    <w:p w14:paraId="3555AA3C">
      <w:pPr>
        <w:autoSpaceDE w:val="0"/>
        <w:autoSpaceDN w:val="0"/>
        <w:adjustRightInd w:val="0"/>
        <w:snapToGrid w:val="0"/>
        <w:spacing w:line="480" w:lineRule="exact"/>
        <w:ind w:firstLine="584" w:firstLineChars="200"/>
        <w:textAlignment w:val="baseline"/>
        <w:rPr>
          <w:rFonts w:hint="eastAsia" w:asciiTheme="minorEastAsia" w:hAnsiTheme="minorEastAsia" w:eastAsiaTheme="minorEastAsia" w:cstheme="minorEastAsia"/>
          <w:snapToGrid w:val="0"/>
          <w:color w:val="auto"/>
          <w:sz w:val="28"/>
          <w:szCs w:val="28"/>
          <w:highlight w:val="none"/>
          <w:lang w:eastAsia="zh-CN"/>
        </w:rPr>
      </w:pPr>
      <w:r>
        <w:rPr>
          <w:rFonts w:hint="eastAsia" w:asciiTheme="minorEastAsia" w:hAnsiTheme="minorEastAsia" w:eastAsiaTheme="minorEastAsia" w:cstheme="minorEastAsia"/>
          <w:snapToGrid w:val="0"/>
          <w:color w:val="auto"/>
          <w:spacing w:val="6"/>
          <w:sz w:val="28"/>
          <w:szCs w:val="28"/>
          <w:highlight w:val="none"/>
          <w:lang w:val="en-US" w:eastAsia="zh-CN"/>
        </w:rPr>
        <w:t>5.2 乙方</w:t>
      </w:r>
      <w:r>
        <w:rPr>
          <w:rFonts w:hint="eastAsia" w:asciiTheme="minorEastAsia" w:hAnsiTheme="minorEastAsia" w:eastAsiaTheme="minorEastAsia" w:cstheme="minorEastAsia"/>
          <w:snapToGrid w:val="0"/>
          <w:color w:val="auto"/>
          <w:spacing w:val="6"/>
          <w:sz w:val="28"/>
          <w:szCs w:val="28"/>
          <w:highlight w:val="none"/>
        </w:rPr>
        <w:t>于每</w:t>
      </w:r>
      <w:r>
        <w:rPr>
          <w:rFonts w:hint="eastAsia" w:asciiTheme="minorEastAsia" w:hAnsiTheme="minorEastAsia" w:eastAsiaTheme="minorEastAsia" w:cstheme="minorEastAsia"/>
          <w:snapToGrid w:val="0"/>
          <w:color w:val="auto"/>
          <w:spacing w:val="6"/>
          <w:sz w:val="28"/>
          <w:szCs w:val="28"/>
          <w:highlight w:val="none"/>
          <w:lang w:val="en-US" w:eastAsia="zh-CN"/>
        </w:rPr>
        <w:t>月</w:t>
      </w:r>
      <w:r>
        <w:rPr>
          <w:rFonts w:hint="eastAsia" w:asciiTheme="minorEastAsia" w:hAnsiTheme="minorEastAsia" w:eastAsiaTheme="minorEastAsia" w:cstheme="minorEastAsia"/>
          <w:snapToGrid w:val="0"/>
          <w:color w:val="auto"/>
          <w:spacing w:val="6"/>
          <w:sz w:val="28"/>
          <w:szCs w:val="28"/>
          <w:highlight w:val="none"/>
        </w:rPr>
        <w:t>度末提交请款函并按</w:t>
      </w:r>
      <w:r>
        <w:rPr>
          <w:rFonts w:hint="eastAsia" w:asciiTheme="minorEastAsia" w:hAnsiTheme="minorEastAsia" w:eastAsiaTheme="minorEastAsia" w:cstheme="minorEastAsia"/>
          <w:snapToGrid w:val="0"/>
          <w:color w:val="auto"/>
          <w:spacing w:val="6"/>
          <w:sz w:val="28"/>
          <w:szCs w:val="28"/>
          <w:highlight w:val="none"/>
          <w:lang w:val="en-US" w:eastAsia="zh-CN"/>
        </w:rPr>
        <w:t>甲方</w:t>
      </w:r>
      <w:r>
        <w:rPr>
          <w:rFonts w:hint="eastAsia" w:asciiTheme="minorEastAsia" w:hAnsiTheme="minorEastAsia" w:eastAsiaTheme="minorEastAsia" w:cstheme="minorEastAsia"/>
          <w:snapToGrid w:val="0"/>
          <w:color w:val="auto"/>
          <w:spacing w:val="6"/>
          <w:sz w:val="28"/>
          <w:szCs w:val="28"/>
          <w:highlight w:val="none"/>
        </w:rPr>
        <w:t>要求开具发票。</w:t>
      </w:r>
    </w:p>
    <w:p w14:paraId="2887B6FA">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5.3甲方采取以下第</w:t>
      </w:r>
      <w:r>
        <w:rPr>
          <w:rFonts w:hint="eastAsia" w:asciiTheme="minorEastAsia" w:hAnsiTheme="minorEastAsia" w:eastAsiaTheme="minorEastAsia" w:cstheme="minorEastAsia"/>
          <w:snapToGrid w:val="0"/>
          <w:color w:val="auto"/>
          <w:spacing w:val="13"/>
          <w:sz w:val="28"/>
          <w:szCs w:val="28"/>
          <w:highlight w:val="none"/>
          <w:u w:val="single"/>
        </w:rPr>
        <w:t xml:space="preserve">   </w:t>
      </w:r>
      <w:r>
        <w:rPr>
          <w:rFonts w:hint="eastAsia" w:asciiTheme="minorEastAsia" w:hAnsiTheme="minorEastAsia" w:eastAsiaTheme="minorEastAsia" w:cstheme="minorEastAsia"/>
          <w:snapToGrid w:val="0"/>
          <w:color w:val="auto"/>
          <w:spacing w:val="13"/>
          <w:sz w:val="28"/>
          <w:szCs w:val="28"/>
          <w:highlight w:val="none"/>
        </w:rPr>
        <w:t>种方式支付能源托管费至乙方指定银行账户。</w:t>
      </w:r>
    </w:p>
    <w:p w14:paraId="1286A8ED">
      <w:pPr>
        <w:autoSpaceDE w:val="0"/>
        <w:autoSpaceDN w:val="0"/>
        <w:adjustRightInd w:val="0"/>
        <w:snapToGrid w:val="0"/>
        <w:spacing w:line="480" w:lineRule="exact"/>
        <w:ind w:firstLine="5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9"/>
          <w:sz w:val="28"/>
          <w:szCs w:val="28"/>
          <w:highlight w:val="none"/>
        </w:rPr>
        <w:t>（1）</w:t>
      </w:r>
      <w:r>
        <w:rPr>
          <w:rFonts w:hint="eastAsia" w:asciiTheme="minorEastAsia" w:hAnsiTheme="minorEastAsia" w:eastAsiaTheme="minorEastAsia" w:cstheme="minorEastAsia"/>
          <w:snapToGrid w:val="0"/>
          <w:color w:val="auto"/>
          <w:spacing w:val="12"/>
          <w:sz w:val="28"/>
          <w:szCs w:val="28"/>
          <w:highlight w:val="none"/>
        </w:rPr>
        <w:t>银行自动划扣方式；</w:t>
      </w:r>
    </w:p>
    <w:p w14:paraId="5F8F6BA5">
      <w:pPr>
        <w:autoSpaceDE w:val="0"/>
        <w:autoSpaceDN w:val="0"/>
        <w:adjustRightInd w:val="0"/>
        <w:snapToGrid w:val="0"/>
        <w:spacing w:line="480" w:lineRule="exact"/>
        <w:ind w:firstLine="5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9"/>
          <w:sz w:val="28"/>
          <w:szCs w:val="28"/>
          <w:highlight w:val="none"/>
        </w:rPr>
        <w:t>（2）电汇。</w:t>
      </w:r>
    </w:p>
    <w:p w14:paraId="606789E9">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5.4乙方收到能源托管费后，应</w:t>
      </w:r>
      <w:r>
        <w:rPr>
          <w:rFonts w:hint="eastAsia" w:asciiTheme="minorEastAsia" w:hAnsiTheme="minorEastAsia" w:eastAsiaTheme="minorEastAsia" w:cstheme="minorEastAsia"/>
          <w:snapToGrid w:val="0"/>
          <w:color w:val="auto"/>
          <w:spacing w:val="13"/>
          <w:sz w:val="28"/>
          <w:szCs w:val="28"/>
          <w:highlight w:val="none"/>
        </w:rPr>
        <w:t>在相应用能管理部门规定的缴费时间缴付</w:t>
      </w:r>
      <w:r>
        <w:rPr>
          <w:rFonts w:hint="eastAsia" w:asciiTheme="minorEastAsia" w:hAnsiTheme="minorEastAsia" w:eastAsiaTheme="minorEastAsia" w:cstheme="minorEastAsia"/>
          <w:snapToGrid w:val="0"/>
          <w:color w:val="auto"/>
          <w:spacing w:val="13"/>
          <w:sz w:val="28"/>
          <w:szCs w:val="28"/>
          <w:highlight w:val="none"/>
          <w:lang w:eastAsia="zh-CN"/>
        </w:rPr>
        <w:t>☑</w:t>
      </w:r>
      <w:r>
        <w:rPr>
          <w:rFonts w:hint="eastAsia" w:asciiTheme="minorEastAsia" w:hAnsiTheme="minorEastAsia" w:eastAsiaTheme="minorEastAsia" w:cstheme="minorEastAsia"/>
          <w:snapToGrid w:val="0"/>
          <w:color w:val="auto"/>
          <w:spacing w:val="13"/>
          <w:sz w:val="28"/>
          <w:szCs w:val="28"/>
          <w:highlight w:val="none"/>
        </w:rPr>
        <w:t>电费、□气费、□汽费、</w:t>
      </w:r>
      <w:r>
        <w:rPr>
          <w:rFonts w:hint="eastAsia" w:asciiTheme="minorEastAsia" w:hAnsiTheme="minorEastAsia" w:eastAsiaTheme="minorEastAsia" w:cstheme="minorEastAsia"/>
          <w:snapToGrid w:val="0"/>
          <w:color w:val="auto"/>
          <w:spacing w:val="13"/>
          <w:sz w:val="28"/>
          <w:szCs w:val="28"/>
          <w:highlight w:val="none"/>
          <w:lang w:eastAsia="zh-CN"/>
        </w:rPr>
        <w:t>□</w:t>
      </w:r>
      <w:r>
        <w:rPr>
          <w:rFonts w:hint="eastAsia" w:asciiTheme="minorEastAsia" w:hAnsiTheme="minorEastAsia" w:eastAsiaTheme="minorEastAsia" w:cstheme="minorEastAsia"/>
          <w:snapToGrid w:val="0"/>
          <w:color w:val="auto"/>
          <w:spacing w:val="13"/>
          <w:sz w:val="28"/>
          <w:szCs w:val="28"/>
          <w:highlight w:val="none"/>
        </w:rPr>
        <w:t>水费，甲方缴费信息如下：</w:t>
      </w:r>
    </w:p>
    <w:tbl>
      <w:tblPr>
        <w:tblStyle w:val="109"/>
        <w:tblW w:w="9347" w:type="dxa"/>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908"/>
        <w:gridCol w:w="3716"/>
        <w:gridCol w:w="3723"/>
      </w:tblGrid>
      <w:tr w14:paraId="4FEC207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2" w:hRule="atLeast"/>
        </w:trPr>
        <w:tc>
          <w:tcPr>
            <w:tcW w:w="1908" w:type="dxa"/>
            <w:tcBorders>
              <w:right w:val="single" w:color="231F20" w:sz="2" w:space="0"/>
            </w:tcBorders>
            <w:vAlign w:val="center"/>
          </w:tcPr>
          <w:p w14:paraId="429D56E7">
            <w:pPr>
              <w:keepNext w:val="0"/>
              <w:keepLines w:val="0"/>
              <w:pageBreakBefore w:val="0"/>
              <w:widowControl/>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1"/>
                <w:kern w:val="0"/>
                <w:sz w:val="28"/>
                <w:szCs w:val="28"/>
                <w:highlight w:val="none"/>
                <w:lang w:eastAsia="en-US"/>
              </w:rPr>
              <w:t>序号</w:t>
            </w:r>
          </w:p>
        </w:tc>
        <w:tc>
          <w:tcPr>
            <w:tcW w:w="3716" w:type="dxa"/>
            <w:tcBorders>
              <w:left w:val="single" w:color="231F20" w:sz="2" w:space="0"/>
              <w:right w:val="single" w:color="231F20" w:sz="2" w:space="0"/>
            </w:tcBorders>
            <w:vAlign w:val="center"/>
          </w:tcPr>
          <w:p w14:paraId="7C970019">
            <w:pPr>
              <w:keepNext w:val="0"/>
              <w:keepLines w:val="0"/>
              <w:pageBreakBefore w:val="0"/>
              <w:widowControl/>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1"/>
                <w:kern w:val="0"/>
                <w:sz w:val="28"/>
                <w:szCs w:val="28"/>
                <w:highlight w:val="none"/>
                <w:lang w:eastAsia="en-US"/>
              </w:rPr>
              <w:t>户名</w:t>
            </w:r>
          </w:p>
        </w:tc>
        <w:tc>
          <w:tcPr>
            <w:tcW w:w="3723" w:type="dxa"/>
            <w:tcBorders>
              <w:left w:val="single" w:color="231F20" w:sz="2" w:space="0"/>
            </w:tcBorders>
            <w:vAlign w:val="center"/>
          </w:tcPr>
          <w:p w14:paraId="6EFC41E3">
            <w:pPr>
              <w:keepNext w:val="0"/>
              <w:keepLines w:val="0"/>
              <w:pageBreakBefore w:val="0"/>
              <w:widowControl/>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1"/>
                <w:kern w:val="0"/>
                <w:sz w:val="28"/>
                <w:szCs w:val="28"/>
                <w:highlight w:val="none"/>
                <w:lang w:eastAsia="en-US"/>
              </w:rPr>
              <w:t>户号</w:t>
            </w:r>
          </w:p>
        </w:tc>
      </w:tr>
      <w:tr w14:paraId="10F3F22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54" w:hRule="atLeast"/>
        </w:trPr>
        <w:tc>
          <w:tcPr>
            <w:tcW w:w="1908" w:type="dxa"/>
            <w:tcBorders>
              <w:bottom w:val="single" w:color="231F20" w:sz="2" w:space="0"/>
              <w:right w:val="single" w:color="231F20" w:sz="2" w:space="0"/>
            </w:tcBorders>
            <w:vAlign w:val="center"/>
          </w:tcPr>
          <w:p w14:paraId="41A2BF05">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z w:val="28"/>
                <w:szCs w:val="28"/>
                <w:highlight w:val="none"/>
                <w:lang w:eastAsia="en-US"/>
              </w:rPr>
              <w:t>1</w:t>
            </w:r>
          </w:p>
        </w:tc>
        <w:tc>
          <w:tcPr>
            <w:tcW w:w="3716" w:type="dxa"/>
            <w:tcBorders>
              <w:left w:val="single" w:color="231F20" w:sz="2" w:space="0"/>
              <w:bottom w:val="single" w:color="231F20" w:sz="2" w:space="0"/>
              <w:right w:val="single" w:color="231F20" w:sz="2" w:space="0"/>
            </w:tcBorders>
            <w:vAlign w:val="center"/>
          </w:tcPr>
          <w:p w14:paraId="24E32D4A">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3723" w:type="dxa"/>
            <w:tcBorders>
              <w:left w:val="single" w:color="231F20" w:sz="2" w:space="0"/>
              <w:bottom w:val="single" w:color="231F20" w:sz="2" w:space="0"/>
            </w:tcBorders>
            <w:vAlign w:val="center"/>
          </w:tcPr>
          <w:p w14:paraId="7E718024">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r>
      <w:tr w14:paraId="29DE89B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7" w:hRule="atLeast"/>
        </w:trPr>
        <w:tc>
          <w:tcPr>
            <w:tcW w:w="1908" w:type="dxa"/>
            <w:tcBorders>
              <w:top w:val="single" w:color="231F20" w:sz="2" w:space="0"/>
              <w:right w:val="single" w:color="231F20" w:sz="2" w:space="0"/>
            </w:tcBorders>
            <w:vAlign w:val="center"/>
          </w:tcPr>
          <w:p w14:paraId="5515D3B9">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z w:val="28"/>
                <w:szCs w:val="28"/>
                <w:highlight w:val="none"/>
                <w:lang w:eastAsia="en-US"/>
              </w:rPr>
              <w:t>2</w:t>
            </w:r>
          </w:p>
        </w:tc>
        <w:tc>
          <w:tcPr>
            <w:tcW w:w="3716" w:type="dxa"/>
            <w:tcBorders>
              <w:top w:val="single" w:color="231F20" w:sz="2" w:space="0"/>
              <w:left w:val="single" w:color="231F20" w:sz="2" w:space="0"/>
              <w:right w:val="single" w:color="231F20" w:sz="2" w:space="0"/>
            </w:tcBorders>
            <w:vAlign w:val="center"/>
          </w:tcPr>
          <w:p w14:paraId="13AF7C5C">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c>
          <w:tcPr>
            <w:tcW w:w="3723" w:type="dxa"/>
            <w:tcBorders>
              <w:top w:val="single" w:color="231F20" w:sz="2" w:space="0"/>
              <w:left w:val="single" w:color="231F20" w:sz="2" w:space="0"/>
            </w:tcBorders>
            <w:vAlign w:val="center"/>
          </w:tcPr>
          <w:p w14:paraId="4C340386">
            <w:pPr>
              <w:keepNext w:val="0"/>
              <w:keepLines w:val="0"/>
              <w:pageBreakBefore w:val="0"/>
              <w:kinsoku/>
              <w:wordWrap/>
              <w:overflowPunct/>
              <w:topLinePunct w:val="0"/>
              <w:autoSpaceDE w:val="0"/>
              <w:autoSpaceDN w:val="0"/>
              <w:bidi w:val="0"/>
              <w:adjustRightInd w:val="0"/>
              <w:snapToGrid w:val="0"/>
              <w:spacing w:line="480" w:lineRule="exact"/>
              <w:ind w:firstLine="0"/>
              <w:jc w:val="center"/>
              <w:textAlignment w:val="baseline"/>
              <w:rPr>
                <w:rFonts w:asciiTheme="minorEastAsia" w:hAnsiTheme="minorEastAsia" w:eastAsiaTheme="minorEastAsia" w:cstheme="minorEastAsia"/>
                <w:snapToGrid w:val="0"/>
                <w:color w:val="auto"/>
                <w:sz w:val="28"/>
                <w:szCs w:val="28"/>
                <w:highlight w:val="none"/>
                <w:lang w:eastAsia="en-US"/>
              </w:rPr>
            </w:pPr>
          </w:p>
        </w:tc>
      </w:tr>
    </w:tbl>
    <w:p w14:paraId="21A39F67">
      <w:pPr>
        <w:autoSpaceDE w:val="0"/>
        <w:autoSpaceDN w:val="0"/>
        <w:adjustRightInd w:val="0"/>
        <w:snapToGrid w:val="0"/>
        <w:spacing w:line="480" w:lineRule="exact"/>
        <w:ind w:firstLine="524" w:firstLineChars="200"/>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9"/>
          <w:sz w:val="28"/>
          <w:szCs w:val="28"/>
          <w:highlight w:val="none"/>
          <w:lang w:eastAsia="en-US"/>
        </w:rPr>
        <w:t>5.</w:t>
      </w:r>
      <w:r>
        <w:rPr>
          <w:rFonts w:hint="eastAsia" w:asciiTheme="minorEastAsia" w:hAnsiTheme="minorEastAsia" w:eastAsiaTheme="minorEastAsia" w:cstheme="minorEastAsia"/>
          <w:snapToGrid w:val="0"/>
          <w:color w:val="auto"/>
          <w:spacing w:val="-9"/>
          <w:sz w:val="28"/>
          <w:szCs w:val="28"/>
          <w:highlight w:val="none"/>
        </w:rPr>
        <w:t>5</w:t>
      </w:r>
      <w:r>
        <w:rPr>
          <w:rFonts w:hint="eastAsia" w:asciiTheme="minorEastAsia" w:hAnsiTheme="minorEastAsia" w:eastAsiaTheme="minorEastAsia" w:cstheme="minorEastAsia"/>
          <w:snapToGrid w:val="0"/>
          <w:color w:val="auto"/>
          <w:spacing w:val="-9"/>
          <w:sz w:val="28"/>
          <w:szCs w:val="28"/>
          <w:highlight w:val="none"/>
          <w:lang w:eastAsia="en-US"/>
        </w:rPr>
        <w:t>其他：</w:t>
      </w:r>
      <w:r>
        <w:rPr>
          <w:rFonts w:hint="eastAsia" w:asciiTheme="minorEastAsia" w:hAnsiTheme="minorEastAsia" w:eastAsiaTheme="minorEastAsia" w:cstheme="minorEastAsia"/>
          <w:snapToGrid w:val="0"/>
          <w:color w:val="auto"/>
          <w:spacing w:val="-9"/>
          <w:sz w:val="28"/>
          <w:szCs w:val="28"/>
          <w:highlight w:val="none"/>
          <w:u w:val="single"/>
        </w:rPr>
        <w:t xml:space="preserve">     </w:t>
      </w:r>
      <w:r>
        <w:rPr>
          <w:rFonts w:hint="eastAsia" w:asciiTheme="minorEastAsia" w:hAnsiTheme="minorEastAsia" w:eastAsiaTheme="minorEastAsia" w:cstheme="minorEastAsia"/>
          <w:snapToGrid w:val="0"/>
          <w:color w:val="auto"/>
          <w:spacing w:val="-9"/>
          <w:sz w:val="28"/>
          <w:szCs w:val="28"/>
          <w:highlight w:val="none"/>
          <w:lang w:eastAsia="en-US"/>
        </w:rPr>
        <w:t>。</w:t>
      </w:r>
    </w:p>
    <w:p w14:paraId="14B9CFEC">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lang w:eastAsia="en-US"/>
        </w:rPr>
      </w:pPr>
      <w:r>
        <w:rPr>
          <w:rFonts w:hint="eastAsia" w:ascii="黑体" w:hAnsi="黑体" w:eastAsia="黑体" w:cs="黑体"/>
          <w:snapToGrid w:val="0"/>
          <w:color w:val="auto"/>
          <w:spacing w:val="4"/>
          <w:position w:val="1"/>
          <w:sz w:val="28"/>
          <w:szCs w:val="28"/>
          <w:highlight w:val="none"/>
          <w:lang w:eastAsia="en-US"/>
        </w:rPr>
        <w:t>第6节</w:t>
      </w:r>
      <w:r>
        <w:rPr>
          <w:rFonts w:hint="eastAsia" w:ascii="黑体" w:hAnsi="黑体" w:eastAsia="黑体" w:cs="黑体"/>
          <w:snapToGrid w:val="0"/>
          <w:color w:val="auto"/>
          <w:spacing w:val="4"/>
          <w:position w:val="1"/>
          <w:sz w:val="28"/>
          <w:szCs w:val="28"/>
          <w:highlight w:val="none"/>
        </w:rPr>
        <w:t xml:space="preserve">  </w:t>
      </w:r>
      <w:r>
        <w:rPr>
          <w:rFonts w:hint="eastAsia" w:ascii="黑体" w:hAnsi="黑体" w:eastAsia="黑体" w:cs="黑体"/>
          <w:snapToGrid w:val="0"/>
          <w:color w:val="auto"/>
          <w:spacing w:val="4"/>
          <w:position w:val="1"/>
          <w:sz w:val="28"/>
          <w:szCs w:val="28"/>
          <w:highlight w:val="none"/>
          <w:lang w:eastAsia="en-US"/>
        </w:rPr>
        <w:t>甲方的权利与义务</w:t>
      </w:r>
    </w:p>
    <w:p w14:paraId="117EEB11">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6.1根据相关法律法规，或基于任何有权的第三方要求，本项目的</w:t>
      </w:r>
      <w:r>
        <w:rPr>
          <w:rFonts w:hint="eastAsia" w:asciiTheme="minorEastAsia" w:hAnsiTheme="minorEastAsia" w:eastAsiaTheme="minorEastAsia" w:cstheme="minorEastAsia"/>
          <w:snapToGrid w:val="0"/>
          <w:color w:val="auto"/>
          <w:spacing w:val="13"/>
          <w:sz w:val="28"/>
          <w:szCs w:val="28"/>
          <w:highlight w:val="none"/>
        </w:rPr>
        <w:t>实施必须由甲方向相应的政府机</w:t>
      </w:r>
      <w:r>
        <w:rPr>
          <w:rFonts w:hint="eastAsia" w:asciiTheme="minorEastAsia" w:hAnsiTheme="minorEastAsia" w:eastAsiaTheme="minorEastAsia" w:cstheme="minorEastAsia"/>
          <w:snapToGrid w:val="0"/>
          <w:color w:val="auto"/>
          <w:spacing w:val="9"/>
          <w:sz w:val="28"/>
          <w:szCs w:val="28"/>
          <w:highlight w:val="none"/>
        </w:rPr>
        <w:t>构或者其他第三方申请许可、同意或批准时，甲方应当根据乙方的请求，及时申请相关许可、同意或批准，</w:t>
      </w:r>
      <w:r>
        <w:rPr>
          <w:rFonts w:hint="eastAsia" w:asciiTheme="minorEastAsia" w:hAnsiTheme="minorEastAsia" w:eastAsiaTheme="minorEastAsia" w:cstheme="minorEastAsia"/>
          <w:snapToGrid w:val="0"/>
          <w:color w:val="auto"/>
          <w:spacing w:val="16"/>
          <w:sz w:val="28"/>
          <w:szCs w:val="28"/>
          <w:highlight w:val="none"/>
        </w:rPr>
        <w:t>并在本合同期间保持其有效性。甲方也应当根据乙方的合理要求，协助其获得其他实施本项目</w:t>
      </w:r>
      <w:r>
        <w:rPr>
          <w:rFonts w:hint="eastAsia" w:asciiTheme="minorEastAsia" w:hAnsiTheme="minorEastAsia" w:eastAsiaTheme="minorEastAsia" w:cstheme="minorEastAsia"/>
          <w:snapToGrid w:val="0"/>
          <w:color w:val="auto"/>
          <w:spacing w:val="15"/>
          <w:sz w:val="28"/>
          <w:szCs w:val="28"/>
          <w:highlight w:val="none"/>
        </w:rPr>
        <w:t>所必需的</w:t>
      </w:r>
      <w:r>
        <w:rPr>
          <w:rFonts w:hint="eastAsia" w:asciiTheme="minorEastAsia" w:hAnsiTheme="minorEastAsia" w:eastAsiaTheme="minorEastAsia" w:cstheme="minorEastAsia"/>
          <w:snapToGrid w:val="0"/>
          <w:color w:val="auto"/>
          <w:spacing w:val="1"/>
          <w:sz w:val="28"/>
          <w:szCs w:val="28"/>
          <w:highlight w:val="none"/>
        </w:rPr>
        <w:t>许可、同意或批准。</w:t>
      </w:r>
    </w:p>
    <w:p w14:paraId="02855E34">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6.2甲方应在合同生效之日起</w:t>
      </w:r>
      <w:r>
        <w:rPr>
          <w:rFonts w:hint="eastAsia" w:asciiTheme="minorEastAsia" w:hAnsiTheme="minorEastAsia" w:eastAsiaTheme="minorEastAsia" w:cstheme="minorEastAsia"/>
          <w:snapToGrid w:val="0"/>
          <w:color w:val="auto"/>
          <w:spacing w:val="13"/>
          <w:sz w:val="28"/>
          <w:szCs w:val="28"/>
          <w:highlight w:val="none"/>
          <w:u w:val="single"/>
        </w:rPr>
        <w:t xml:space="preserve"> </w:t>
      </w:r>
      <w:r>
        <w:rPr>
          <w:rFonts w:hint="eastAsia" w:asciiTheme="minorEastAsia" w:hAnsiTheme="minorEastAsia" w:eastAsiaTheme="minorEastAsia" w:cstheme="minorEastAsia"/>
          <w:snapToGrid w:val="0"/>
          <w:color w:val="auto"/>
          <w:spacing w:val="13"/>
          <w:sz w:val="28"/>
          <w:szCs w:val="28"/>
          <w:highlight w:val="none"/>
          <w:u w:val="single"/>
          <w:lang w:val="en-US" w:eastAsia="zh-CN"/>
        </w:rPr>
        <w:t xml:space="preserve">  </w:t>
      </w:r>
      <w:r>
        <w:rPr>
          <w:rFonts w:hint="eastAsia" w:asciiTheme="minorEastAsia" w:hAnsiTheme="minorEastAsia" w:eastAsiaTheme="minorEastAsia" w:cstheme="minorEastAsia"/>
          <w:snapToGrid w:val="0"/>
          <w:color w:val="auto"/>
          <w:spacing w:val="13"/>
          <w:sz w:val="28"/>
          <w:szCs w:val="28"/>
          <w:highlight w:val="none"/>
          <w:u w:val="single"/>
        </w:rPr>
        <w:t xml:space="preserve"> </w:t>
      </w:r>
      <w:r>
        <w:rPr>
          <w:rFonts w:hint="eastAsia" w:asciiTheme="minorEastAsia" w:hAnsiTheme="minorEastAsia" w:eastAsiaTheme="minorEastAsia" w:cstheme="minorEastAsia"/>
          <w:snapToGrid w:val="0"/>
          <w:color w:val="auto"/>
          <w:spacing w:val="13"/>
          <w:sz w:val="28"/>
          <w:szCs w:val="28"/>
          <w:highlight w:val="none"/>
        </w:rPr>
        <w:t>日内，向乙方提供能源托管所必需的资料和</w:t>
      </w:r>
      <w:r>
        <w:rPr>
          <w:rFonts w:hint="eastAsia" w:asciiTheme="minorEastAsia" w:hAnsiTheme="minorEastAsia" w:eastAsiaTheme="minorEastAsia" w:cstheme="minorEastAsia"/>
          <w:snapToGrid w:val="0"/>
          <w:color w:val="auto"/>
          <w:spacing w:val="12"/>
          <w:sz w:val="28"/>
          <w:szCs w:val="28"/>
          <w:highlight w:val="none"/>
        </w:rPr>
        <w:t>数据，包括物业及物</w:t>
      </w:r>
      <w:r>
        <w:rPr>
          <w:rFonts w:hint="eastAsia" w:asciiTheme="minorEastAsia" w:hAnsiTheme="minorEastAsia" w:eastAsiaTheme="minorEastAsia" w:cstheme="minorEastAsia"/>
          <w:snapToGrid w:val="0"/>
          <w:color w:val="auto"/>
          <w:spacing w:val="5"/>
          <w:sz w:val="28"/>
          <w:szCs w:val="28"/>
          <w:highlight w:val="none"/>
        </w:rPr>
        <w:t>业设备管理档案、资料等（含工程建设竣工资料</w:t>
      </w:r>
      <w:r>
        <w:rPr>
          <w:rFonts w:hint="eastAsia" w:asciiTheme="minorEastAsia" w:hAnsiTheme="minorEastAsia" w:eastAsiaTheme="minorEastAsia" w:cstheme="minorEastAsia"/>
          <w:snapToGrid w:val="0"/>
          <w:color w:val="auto"/>
          <w:spacing w:val="-28"/>
          <w:w w:val="63"/>
          <w:sz w:val="28"/>
          <w:szCs w:val="28"/>
          <w:highlight w:val="none"/>
        </w:rPr>
        <w:t>），</w:t>
      </w:r>
      <w:r>
        <w:rPr>
          <w:rFonts w:hint="eastAsia" w:asciiTheme="minorEastAsia" w:hAnsiTheme="minorEastAsia" w:eastAsiaTheme="minorEastAsia" w:cstheme="minorEastAsia"/>
          <w:snapToGrid w:val="0"/>
          <w:color w:val="auto"/>
          <w:spacing w:val="5"/>
          <w:sz w:val="28"/>
          <w:szCs w:val="28"/>
          <w:highlight w:val="none"/>
        </w:rPr>
        <w:t>并确保其真实、准确、完整。</w:t>
      </w:r>
    </w:p>
    <w:p w14:paraId="7A9BB01D">
      <w:pPr>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2"/>
          <w:sz w:val="28"/>
          <w:szCs w:val="28"/>
          <w:highlight w:val="none"/>
        </w:rPr>
        <w:t>6.3甲方应向乙方无偿提供托管所需管理用房，用于乙方日常能源管理工作。</w:t>
      </w:r>
    </w:p>
    <w:p w14:paraId="5EE85489">
      <w:pPr>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7"/>
          <w:sz w:val="28"/>
          <w:szCs w:val="28"/>
          <w:highlight w:val="none"/>
        </w:rPr>
        <w:t>6.4甲方应将与项目有关的其内部规章制度和</w:t>
      </w:r>
      <w:r>
        <w:rPr>
          <w:rFonts w:hint="eastAsia" w:asciiTheme="minorEastAsia" w:hAnsiTheme="minorEastAsia" w:eastAsiaTheme="minorEastAsia" w:cstheme="minorEastAsia"/>
          <w:snapToGrid w:val="0"/>
          <w:color w:val="auto"/>
          <w:spacing w:val="16"/>
          <w:sz w:val="28"/>
          <w:szCs w:val="28"/>
          <w:highlight w:val="none"/>
        </w:rPr>
        <w:t>特殊安全要求于项目开工前告知乙方、乙方的工作</w:t>
      </w:r>
      <w:r>
        <w:rPr>
          <w:rFonts w:hint="eastAsia" w:asciiTheme="minorEastAsia" w:hAnsiTheme="minorEastAsia" w:eastAsiaTheme="minorEastAsia" w:cstheme="minorEastAsia"/>
          <w:snapToGrid w:val="0"/>
          <w:color w:val="auto"/>
          <w:spacing w:val="13"/>
          <w:sz w:val="28"/>
          <w:szCs w:val="28"/>
          <w:highlight w:val="none"/>
        </w:rPr>
        <w:t>人员或其聘请的第三方，并根据需要提供防护用品。</w:t>
      </w:r>
    </w:p>
    <w:p w14:paraId="715ABB17">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6.5甲方应在合同规定时间内组织完成节能改造项目验收，并向乙方提供验收合</w:t>
      </w:r>
      <w:r>
        <w:rPr>
          <w:rFonts w:hint="eastAsia" w:asciiTheme="minorEastAsia" w:hAnsiTheme="minorEastAsia" w:eastAsiaTheme="minorEastAsia" w:cstheme="minorEastAsia"/>
          <w:snapToGrid w:val="0"/>
          <w:color w:val="auto"/>
          <w:spacing w:val="12"/>
          <w:sz w:val="28"/>
          <w:szCs w:val="28"/>
          <w:highlight w:val="none"/>
        </w:rPr>
        <w:t>格报告。</w:t>
      </w:r>
    </w:p>
    <w:p w14:paraId="62E9D7E3">
      <w:pPr>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7"/>
          <w:sz w:val="28"/>
          <w:szCs w:val="28"/>
          <w:highlight w:val="none"/>
        </w:rPr>
        <w:t>6.6甲方应协调物业管理单位配合乙方执行节能运行策</w:t>
      </w:r>
      <w:r>
        <w:rPr>
          <w:rFonts w:hint="eastAsia" w:asciiTheme="minorEastAsia" w:hAnsiTheme="minorEastAsia" w:eastAsiaTheme="minorEastAsia" w:cstheme="minorEastAsia"/>
          <w:snapToGrid w:val="0"/>
          <w:color w:val="auto"/>
          <w:spacing w:val="16"/>
          <w:sz w:val="28"/>
          <w:szCs w:val="28"/>
          <w:highlight w:val="none"/>
        </w:rPr>
        <w:t>略或节能管理办法，并按照节能管理体系</w:t>
      </w:r>
      <w:r>
        <w:rPr>
          <w:rFonts w:hint="eastAsia" w:asciiTheme="minorEastAsia" w:hAnsiTheme="minorEastAsia" w:eastAsiaTheme="minorEastAsia" w:cstheme="minorEastAsia"/>
          <w:snapToGrid w:val="0"/>
          <w:color w:val="auto"/>
          <w:spacing w:val="20"/>
          <w:sz w:val="28"/>
          <w:szCs w:val="28"/>
          <w:highlight w:val="none"/>
        </w:rPr>
        <w:t>对物业管理单位进行节能评价。如物业管理单位未能执行，造成能源资源浪费的，</w:t>
      </w:r>
      <w:r>
        <w:rPr>
          <w:rFonts w:hint="eastAsia" w:asciiTheme="minorEastAsia" w:hAnsiTheme="minorEastAsia" w:eastAsiaTheme="minorEastAsia" w:cstheme="minorEastAsia"/>
          <w:snapToGrid w:val="0"/>
          <w:color w:val="auto"/>
          <w:spacing w:val="19"/>
          <w:sz w:val="28"/>
          <w:szCs w:val="28"/>
          <w:highlight w:val="none"/>
        </w:rPr>
        <w:t>甲方应要求其及时</w:t>
      </w:r>
      <w:r>
        <w:rPr>
          <w:rFonts w:hint="eastAsia" w:asciiTheme="minorEastAsia" w:hAnsiTheme="minorEastAsia" w:eastAsiaTheme="minorEastAsia" w:cstheme="minorEastAsia"/>
          <w:snapToGrid w:val="0"/>
          <w:color w:val="auto"/>
          <w:spacing w:val="7"/>
          <w:sz w:val="28"/>
          <w:szCs w:val="28"/>
          <w:highlight w:val="none"/>
        </w:rPr>
        <w:t>改正。</w:t>
      </w:r>
    </w:p>
    <w:p w14:paraId="7C3C9B79">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6.7甲方应按照本合同的规定，及时向乙方付款，由于甲方原因造成乙方延迟缴</w:t>
      </w:r>
      <w:r>
        <w:rPr>
          <w:rFonts w:hint="eastAsia" w:asciiTheme="minorEastAsia" w:hAnsiTheme="minorEastAsia" w:eastAsiaTheme="minorEastAsia" w:cstheme="minorEastAsia"/>
          <w:snapToGrid w:val="0"/>
          <w:color w:val="auto"/>
          <w:spacing w:val="12"/>
          <w:sz w:val="28"/>
          <w:szCs w:val="28"/>
          <w:highlight w:val="none"/>
        </w:rPr>
        <w:t>付各类费用而引起</w:t>
      </w:r>
      <w:r>
        <w:rPr>
          <w:rFonts w:hint="eastAsia" w:asciiTheme="minorEastAsia" w:hAnsiTheme="minorEastAsia" w:eastAsiaTheme="minorEastAsia" w:cstheme="minorEastAsia"/>
          <w:snapToGrid w:val="0"/>
          <w:color w:val="auto"/>
          <w:spacing w:val="14"/>
          <w:sz w:val="28"/>
          <w:szCs w:val="28"/>
          <w:highlight w:val="none"/>
        </w:rPr>
        <w:t>的经济损失由甲方承担。</w:t>
      </w:r>
    </w:p>
    <w:p w14:paraId="26C414AC">
      <w:pPr>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2"/>
          <w:sz w:val="28"/>
          <w:szCs w:val="28"/>
          <w:highlight w:val="none"/>
        </w:rPr>
        <w:t>6.8甲方负责合同约定改造范围以外的机</w:t>
      </w:r>
      <w:r>
        <w:rPr>
          <w:rFonts w:hint="eastAsia" w:asciiTheme="minorEastAsia" w:hAnsiTheme="minorEastAsia" w:eastAsiaTheme="minorEastAsia" w:cstheme="minorEastAsia"/>
          <w:snapToGrid w:val="0"/>
          <w:color w:val="auto"/>
          <w:spacing w:val="11"/>
          <w:sz w:val="28"/>
          <w:szCs w:val="28"/>
          <w:highlight w:val="none"/>
        </w:rPr>
        <w:t>电设备、设施大中修及更新改造费用。</w:t>
      </w:r>
    </w:p>
    <w:p w14:paraId="37F45D7F">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pacing w:val="13"/>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6.9甲方负责处理在照明系统改造中更换下来属甲方产权的原灯具。</w:t>
      </w:r>
    </w:p>
    <w:p w14:paraId="12268ED8">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6.10甲方对乙方的管理实施监督检查。</w:t>
      </w:r>
    </w:p>
    <w:p w14:paraId="6001419B">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6.11甲方对违反能源托管方案和规章制度的行为进行处理：包括责令停止违章行为、要求赔偿经济损失及支付违约金、对拒不改正违章行为的责任人采取惩罚措施。</w:t>
      </w:r>
    </w:p>
    <w:p w14:paraId="12557FD0">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6.12甲方不得干涉乙方依法或依本合同规定</w:t>
      </w:r>
      <w:r>
        <w:rPr>
          <w:rFonts w:hint="eastAsia" w:asciiTheme="minorEastAsia" w:hAnsiTheme="minorEastAsia" w:eastAsiaTheme="minorEastAsia" w:cstheme="minorEastAsia"/>
          <w:snapToGrid w:val="0"/>
          <w:color w:val="auto"/>
          <w:spacing w:val="13"/>
          <w:sz w:val="28"/>
          <w:szCs w:val="28"/>
          <w:highlight w:val="none"/>
        </w:rPr>
        <w:t>内容所进行的管理活动。</w:t>
      </w:r>
    </w:p>
    <w:p w14:paraId="7968ADF3">
      <w:pPr>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2"/>
          <w:sz w:val="28"/>
          <w:szCs w:val="28"/>
          <w:highlight w:val="none"/>
        </w:rPr>
        <w:t>6.13甲方负责处理非乙方原因而产生的各</w:t>
      </w:r>
      <w:r>
        <w:rPr>
          <w:rFonts w:hint="eastAsia" w:asciiTheme="minorEastAsia" w:hAnsiTheme="minorEastAsia" w:eastAsiaTheme="minorEastAsia" w:cstheme="minorEastAsia"/>
          <w:snapToGrid w:val="0"/>
          <w:color w:val="auto"/>
          <w:spacing w:val="11"/>
          <w:sz w:val="28"/>
          <w:szCs w:val="28"/>
          <w:highlight w:val="none"/>
        </w:rPr>
        <w:t>种纠纷。</w:t>
      </w:r>
    </w:p>
    <w:p w14:paraId="15C62D08">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6.14甲方应协助乙方向有关政府机构或者组织申请与项目相关的补助、奖励或其他可适用的优惠</w:t>
      </w:r>
      <w:r>
        <w:rPr>
          <w:rFonts w:hint="eastAsia" w:asciiTheme="minorEastAsia" w:hAnsiTheme="minorEastAsia" w:eastAsiaTheme="minorEastAsia" w:cstheme="minorEastAsia"/>
          <w:snapToGrid w:val="0"/>
          <w:color w:val="auto"/>
          <w:spacing w:val="6"/>
          <w:sz w:val="28"/>
          <w:szCs w:val="28"/>
          <w:highlight w:val="none"/>
        </w:rPr>
        <w:t>政策。</w:t>
      </w:r>
    </w:p>
    <w:p w14:paraId="5A6D846B">
      <w:pPr>
        <w:autoSpaceDE w:val="0"/>
        <w:autoSpaceDN w:val="0"/>
        <w:adjustRightInd w:val="0"/>
        <w:snapToGrid w:val="0"/>
        <w:spacing w:line="480" w:lineRule="exact"/>
        <w:ind w:firstLine="49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7"/>
          <w:sz w:val="28"/>
          <w:szCs w:val="28"/>
          <w:highlight w:val="none"/>
        </w:rPr>
        <w:t>6.15甲方应在乙方提交改造方案和节能运维方案（含运行策略）后的</w:t>
      </w:r>
      <w:r>
        <w:rPr>
          <w:rFonts w:hint="eastAsia" w:asciiTheme="minorEastAsia" w:hAnsiTheme="minorEastAsia" w:eastAsiaTheme="minorEastAsia" w:cstheme="minorEastAsia"/>
          <w:snapToGrid w:val="0"/>
          <w:color w:val="auto"/>
          <w:spacing w:val="-17"/>
          <w:sz w:val="28"/>
          <w:szCs w:val="28"/>
          <w:highlight w:val="none"/>
          <w:u w:val="single"/>
        </w:rPr>
        <w:t xml:space="preserve">    </w:t>
      </w:r>
      <w:r>
        <w:rPr>
          <w:rFonts w:hint="eastAsia" w:asciiTheme="minorEastAsia" w:hAnsiTheme="minorEastAsia" w:eastAsiaTheme="minorEastAsia" w:cstheme="minorEastAsia"/>
          <w:snapToGrid w:val="0"/>
          <w:color w:val="auto"/>
          <w:sz w:val="28"/>
          <w:szCs w:val="28"/>
          <w:highlight w:val="none"/>
        </w:rPr>
        <w:t>个工作日内进行审核确认，并在合同签订</w:t>
      </w:r>
      <w:r>
        <w:rPr>
          <w:rFonts w:hint="eastAsia" w:asciiTheme="minorEastAsia" w:hAnsiTheme="minorEastAsia" w:eastAsiaTheme="minorEastAsia" w:cstheme="minorEastAsia"/>
          <w:snapToGrid w:val="0"/>
          <w:color w:val="auto"/>
          <w:sz w:val="28"/>
          <w:szCs w:val="28"/>
          <w:highlight w:val="none"/>
          <w:u w:val="single"/>
        </w:rPr>
        <w:t xml:space="preserve">    </w:t>
      </w:r>
      <w:r>
        <w:rPr>
          <w:rFonts w:hint="eastAsia" w:asciiTheme="minorEastAsia" w:hAnsiTheme="minorEastAsia" w:eastAsiaTheme="minorEastAsia" w:cstheme="minorEastAsia"/>
          <w:snapToGrid w:val="0"/>
          <w:color w:val="auto"/>
          <w:sz w:val="28"/>
          <w:szCs w:val="28"/>
          <w:highlight w:val="none"/>
        </w:rPr>
        <w:t>个月内成立包括甲方、物业、维保、乙方等单位在内的节能工作联合小组。甲方有义务督促物业和维保等单位落</w:t>
      </w:r>
      <w:r>
        <w:rPr>
          <w:rFonts w:hint="eastAsia" w:asciiTheme="minorEastAsia" w:hAnsiTheme="minorEastAsia" w:eastAsiaTheme="minorEastAsia" w:cstheme="minorEastAsia"/>
          <w:snapToGrid w:val="0"/>
          <w:color w:val="auto"/>
          <w:spacing w:val="15"/>
          <w:sz w:val="28"/>
          <w:szCs w:val="28"/>
          <w:highlight w:val="none"/>
        </w:rPr>
        <w:t>实乙方制定的节能运维方案（含运行策略</w:t>
      </w:r>
      <w:r>
        <w:rPr>
          <w:rFonts w:hint="eastAsia" w:asciiTheme="minorEastAsia" w:hAnsiTheme="minorEastAsia" w:eastAsiaTheme="minorEastAsia" w:cstheme="minorEastAsia"/>
          <w:snapToGrid w:val="0"/>
          <w:color w:val="auto"/>
          <w:spacing w:val="-29"/>
          <w:w w:val="64"/>
          <w:sz w:val="28"/>
          <w:szCs w:val="28"/>
          <w:highlight w:val="none"/>
        </w:rPr>
        <w:t>），</w:t>
      </w:r>
      <w:r>
        <w:rPr>
          <w:rFonts w:hint="eastAsia" w:asciiTheme="minorEastAsia" w:hAnsiTheme="minorEastAsia" w:eastAsiaTheme="minorEastAsia" w:cstheme="minorEastAsia"/>
          <w:snapToGrid w:val="0"/>
          <w:color w:val="auto"/>
          <w:spacing w:val="15"/>
          <w:sz w:val="28"/>
          <w:szCs w:val="28"/>
          <w:highlight w:val="none"/>
        </w:rPr>
        <w:t>并及时将节能运维方案（含运行策略）</w:t>
      </w:r>
      <w:r>
        <w:rPr>
          <w:rFonts w:hint="eastAsia" w:asciiTheme="minorEastAsia" w:hAnsiTheme="minorEastAsia" w:eastAsiaTheme="minorEastAsia" w:cstheme="minorEastAsia"/>
          <w:snapToGrid w:val="0"/>
          <w:color w:val="auto"/>
          <w:spacing w:val="17"/>
          <w:sz w:val="28"/>
          <w:szCs w:val="28"/>
          <w:highlight w:val="none"/>
        </w:rPr>
        <w:t>列入甲方采购物业和维保单位的服务内容。</w:t>
      </w:r>
    </w:p>
    <w:p w14:paraId="7146B7C7">
      <w:pPr>
        <w:autoSpaceDE w:val="0"/>
        <w:autoSpaceDN w:val="0"/>
        <w:adjustRightInd w:val="0"/>
        <w:snapToGrid w:val="0"/>
        <w:spacing w:line="480" w:lineRule="exact"/>
        <w:ind w:firstLine="59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9"/>
          <w:sz w:val="28"/>
          <w:szCs w:val="28"/>
          <w:highlight w:val="none"/>
        </w:rPr>
        <w:t>6.16甲方应协助乙方做好能源托管工作和节能宣传、教育活动。</w:t>
      </w:r>
    </w:p>
    <w:p w14:paraId="36C2093F">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6.17甲方应协助乙方做好新增设备的统计、确认及托管量的调整工作。</w:t>
      </w:r>
    </w:p>
    <w:p w14:paraId="5AFAEBBD">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6.18甲方应在本合同签署后</w:t>
      </w:r>
      <w:r>
        <w:rPr>
          <w:rFonts w:hint="eastAsia" w:asciiTheme="minorEastAsia" w:hAnsiTheme="minorEastAsia" w:eastAsiaTheme="minorEastAsia" w:cstheme="minorEastAsia"/>
          <w:snapToGrid w:val="0"/>
          <w:color w:val="auto"/>
          <w:spacing w:val="10"/>
          <w:sz w:val="28"/>
          <w:szCs w:val="28"/>
          <w:highlight w:val="none"/>
          <w:u w:val="single"/>
        </w:rPr>
        <w:t xml:space="preserve">    </w:t>
      </w:r>
      <w:r>
        <w:rPr>
          <w:rFonts w:hint="eastAsia" w:asciiTheme="minorEastAsia" w:hAnsiTheme="minorEastAsia" w:eastAsiaTheme="minorEastAsia" w:cstheme="minorEastAsia"/>
          <w:snapToGrid w:val="0"/>
          <w:color w:val="auto"/>
          <w:spacing w:val="10"/>
          <w:sz w:val="28"/>
          <w:szCs w:val="28"/>
          <w:highlight w:val="none"/>
        </w:rPr>
        <w:t>日内配合乙方完成相关计量表的托管。</w:t>
      </w:r>
    </w:p>
    <w:p w14:paraId="17E59678">
      <w:pPr>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2"/>
          <w:sz w:val="28"/>
          <w:szCs w:val="28"/>
          <w:highlight w:val="none"/>
        </w:rPr>
        <w:t>6.19甲方如欲转让或出租托管界面内建筑的，应提前三个月以书面形式通知乙方。同时，甲方保</w:t>
      </w:r>
      <w:r>
        <w:rPr>
          <w:rFonts w:hint="eastAsia" w:asciiTheme="minorEastAsia" w:hAnsiTheme="minorEastAsia" w:eastAsiaTheme="minorEastAsia" w:cstheme="minorEastAsia"/>
          <w:snapToGrid w:val="0"/>
          <w:color w:val="auto"/>
          <w:spacing w:val="20"/>
          <w:sz w:val="28"/>
          <w:szCs w:val="28"/>
          <w:highlight w:val="none"/>
        </w:rPr>
        <w:t>证使受让方/承租方充分了解甲乙双方在本合同下的权利和义务以及项目设备设施产权的归属，并</w:t>
      </w:r>
      <w:r>
        <w:rPr>
          <w:rFonts w:hint="eastAsia" w:asciiTheme="minorEastAsia" w:hAnsiTheme="minorEastAsia" w:eastAsiaTheme="minorEastAsia" w:cstheme="minorEastAsia"/>
          <w:snapToGrid w:val="0"/>
          <w:color w:val="auto"/>
          <w:spacing w:val="19"/>
          <w:sz w:val="28"/>
          <w:szCs w:val="28"/>
          <w:highlight w:val="none"/>
        </w:rPr>
        <w:t>以受</w:t>
      </w:r>
      <w:r>
        <w:rPr>
          <w:rFonts w:hint="eastAsia" w:asciiTheme="minorEastAsia" w:hAnsiTheme="minorEastAsia" w:eastAsiaTheme="minorEastAsia" w:cstheme="minorEastAsia"/>
          <w:snapToGrid w:val="0"/>
          <w:color w:val="auto"/>
          <w:spacing w:val="21"/>
          <w:sz w:val="28"/>
          <w:szCs w:val="28"/>
          <w:highlight w:val="none"/>
        </w:rPr>
        <w:t>让方/承租方书面同意承担在本合同项下甲方的一切义务为转让/出租生效之前提。如果受让方/承租方</w:t>
      </w:r>
      <w:r>
        <w:rPr>
          <w:rFonts w:hint="eastAsia" w:asciiTheme="minorEastAsia" w:hAnsiTheme="minorEastAsia" w:eastAsiaTheme="minorEastAsia" w:cstheme="minorEastAsia"/>
          <w:snapToGrid w:val="0"/>
          <w:color w:val="auto"/>
          <w:spacing w:val="16"/>
          <w:sz w:val="28"/>
          <w:szCs w:val="28"/>
          <w:highlight w:val="none"/>
        </w:rPr>
        <w:t>不出具书面同意承担在本合同项下甲方的一切义务的，乙方有权单方面决定提前终止本合同，甲方应根</w:t>
      </w:r>
      <w:r>
        <w:rPr>
          <w:rFonts w:hint="eastAsia" w:asciiTheme="minorEastAsia" w:hAnsiTheme="minorEastAsia" w:eastAsiaTheme="minorEastAsia" w:cstheme="minorEastAsia"/>
          <w:snapToGrid w:val="0"/>
          <w:color w:val="auto"/>
          <w:spacing w:val="13"/>
          <w:sz w:val="28"/>
          <w:szCs w:val="28"/>
          <w:highlight w:val="none"/>
        </w:rPr>
        <w:t>据本合同第11.5条的约定赔偿乙方因此遭受的</w:t>
      </w:r>
      <w:r>
        <w:rPr>
          <w:rFonts w:hint="eastAsia" w:asciiTheme="minorEastAsia" w:hAnsiTheme="minorEastAsia" w:eastAsiaTheme="minorEastAsia" w:cstheme="minorEastAsia"/>
          <w:snapToGrid w:val="0"/>
          <w:color w:val="auto"/>
          <w:spacing w:val="12"/>
          <w:sz w:val="28"/>
          <w:szCs w:val="28"/>
          <w:highlight w:val="none"/>
        </w:rPr>
        <w:t>全部损失。</w:t>
      </w:r>
    </w:p>
    <w:p w14:paraId="2B0B7A8F">
      <w:pPr>
        <w:autoSpaceDE w:val="0"/>
        <w:autoSpaceDN w:val="0"/>
        <w:adjustRightInd w:val="0"/>
        <w:snapToGrid w:val="0"/>
        <w:spacing w:line="480" w:lineRule="exact"/>
        <w:ind w:firstLine="5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8"/>
          <w:sz w:val="28"/>
          <w:szCs w:val="28"/>
          <w:highlight w:val="none"/>
        </w:rPr>
        <w:t>6.20其他：</w:t>
      </w:r>
      <w:r>
        <w:rPr>
          <w:rFonts w:hint="eastAsia" w:asciiTheme="minorEastAsia" w:hAnsiTheme="minorEastAsia" w:eastAsiaTheme="minorEastAsia" w:cstheme="minorEastAsia"/>
          <w:snapToGrid w:val="0"/>
          <w:color w:val="auto"/>
          <w:spacing w:val="-8"/>
          <w:sz w:val="28"/>
          <w:szCs w:val="28"/>
          <w:highlight w:val="none"/>
          <w:u w:val="single"/>
        </w:rPr>
        <w:t xml:space="preserve">    </w:t>
      </w:r>
      <w:r>
        <w:rPr>
          <w:rFonts w:hint="eastAsia" w:asciiTheme="minorEastAsia" w:hAnsiTheme="minorEastAsia" w:eastAsiaTheme="minorEastAsia" w:cstheme="minorEastAsia"/>
          <w:snapToGrid w:val="0"/>
          <w:color w:val="auto"/>
          <w:spacing w:val="-8"/>
          <w:sz w:val="28"/>
          <w:szCs w:val="28"/>
          <w:highlight w:val="none"/>
        </w:rPr>
        <w:t>。</w:t>
      </w:r>
    </w:p>
    <w:p w14:paraId="23DB09B0">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第7节  乙方的权利与义务</w:t>
      </w:r>
    </w:p>
    <w:p w14:paraId="30863211">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7.1乙方应制定能源托管方案和相应的规章制度。乙方根据能源托管方案和规章制度</w:t>
      </w:r>
      <w:r>
        <w:rPr>
          <w:rFonts w:hint="eastAsia" w:asciiTheme="minorEastAsia" w:hAnsiTheme="minorEastAsia" w:eastAsiaTheme="minorEastAsia" w:cstheme="minorEastAsia"/>
          <w:snapToGrid w:val="0"/>
          <w:color w:val="auto"/>
          <w:spacing w:val="15"/>
          <w:sz w:val="28"/>
          <w:szCs w:val="28"/>
          <w:highlight w:val="none"/>
        </w:rPr>
        <w:t>提供管理服</w:t>
      </w:r>
      <w:r>
        <w:rPr>
          <w:rFonts w:hint="eastAsia" w:asciiTheme="minorEastAsia" w:hAnsiTheme="minorEastAsia" w:eastAsiaTheme="minorEastAsia" w:cstheme="minorEastAsia"/>
          <w:snapToGrid w:val="0"/>
          <w:color w:val="auto"/>
          <w:spacing w:val="11"/>
          <w:sz w:val="28"/>
          <w:szCs w:val="28"/>
          <w:highlight w:val="none"/>
        </w:rPr>
        <w:t>务时，甲方应给予充分而必要的配合。</w:t>
      </w:r>
    </w:p>
    <w:p w14:paraId="39BB453B">
      <w:pPr>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7"/>
          <w:sz w:val="28"/>
          <w:szCs w:val="28"/>
          <w:highlight w:val="none"/>
        </w:rPr>
        <w:t>7.2乙方应按照本合同及能源托管方案规定的标准和要求</w:t>
      </w:r>
      <w:r>
        <w:rPr>
          <w:rFonts w:hint="eastAsia" w:asciiTheme="minorEastAsia" w:hAnsiTheme="minorEastAsia" w:eastAsiaTheme="minorEastAsia" w:cstheme="minorEastAsia"/>
          <w:snapToGrid w:val="0"/>
          <w:color w:val="auto"/>
          <w:spacing w:val="16"/>
          <w:sz w:val="28"/>
          <w:szCs w:val="28"/>
          <w:highlight w:val="none"/>
        </w:rPr>
        <w:t>，自行或者通过第三方按时完成本项目</w:t>
      </w:r>
      <w:r>
        <w:rPr>
          <w:rFonts w:hint="eastAsia" w:asciiTheme="minorEastAsia" w:hAnsiTheme="minorEastAsia" w:eastAsiaTheme="minorEastAsia" w:cstheme="minorEastAsia"/>
          <w:snapToGrid w:val="0"/>
          <w:color w:val="auto"/>
          <w:spacing w:val="6"/>
          <w:sz w:val="28"/>
          <w:szCs w:val="28"/>
          <w:highlight w:val="none"/>
        </w:rPr>
        <w:t>的设计、建设及运营督导管理。</w:t>
      </w:r>
    </w:p>
    <w:p w14:paraId="7995B735">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7.3乙方应安排专业人员培训、督导物业管理人员执行机电系统节能运行策略及</w:t>
      </w:r>
      <w:r>
        <w:rPr>
          <w:rFonts w:hint="eastAsia" w:asciiTheme="minorEastAsia" w:hAnsiTheme="minorEastAsia" w:eastAsiaTheme="minorEastAsia" w:cstheme="minorEastAsia"/>
          <w:snapToGrid w:val="0"/>
          <w:color w:val="auto"/>
          <w:spacing w:val="12"/>
          <w:sz w:val="28"/>
          <w:szCs w:val="28"/>
          <w:highlight w:val="none"/>
        </w:rPr>
        <w:t>节能管理制度。</w:t>
      </w:r>
    </w:p>
    <w:p w14:paraId="3EE9C9A6">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7.4乙方应根据相应的法律法规要求，申请除必须由甲方申请之外的有关项目的许可、</w:t>
      </w:r>
      <w:r>
        <w:rPr>
          <w:rFonts w:hint="eastAsia" w:asciiTheme="minorEastAsia" w:hAnsiTheme="minorEastAsia" w:eastAsiaTheme="minorEastAsia" w:cstheme="minorEastAsia"/>
          <w:snapToGrid w:val="0"/>
          <w:color w:val="auto"/>
          <w:spacing w:val="15"/>
          <w:sz w:val="28"/>
          <w:szCs w:val="28"/>
          <w:highlight w:val="none"/>
        </w:rPr>
        <w:t>批准和同</w:t>
      </w:r>
      <w:r>
        <w:rPr>
          <w:rFonts w:hint="eastAsia" w:asciiTheme="minorEastAsia" w:hAnsiTheme="minorEastAsia" w:eastAsiaTheme="minorEastAsia" w:cstheme="minorEastAsia"/>
          <w:snapToGrid w:val="0"/>
          <w:color w:val="auto"/>
          <w:spacing w:val="7"/>
          <w:sz w:val="28"/>
          <w:szCs w:val="28"/>
          <w:highlight w:val="none"/>
        </w:rPr>
        <w:t>意，甲方应为乙方申请前述许可、批准、同意提供必要</w:t>
      </w:r>
      <w:r>
        <w:rPr>
          <w:rFonts w:hint="eastAsia" w:asciiTheme="minorEastAsia" w:hAnsiTheme="minorEastAsia" w:eastAsiaTheme="minorEastAsia" w:cstheme="minorEastAsia"/>
          <w:snapToGrid w:val="0"/>
          <w:color w:val="auto"/>
          <w:spacing w:val="6"/>
          <w:sz w:val="28"/>
          <w:szCs w:val="28"/>
          <w:highlight w:val="none"/>
        </w:rPr>
        <w:t>的协助和配合。</w:t>
      </w:r>
    </w:p>
    <w:p w14:paraId="33B10772">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7.5乙方保证从事本能源费用托管项目的人员具备相应的职业资格和应有的素质。如需调整管理</w:t>
      </w:r>
      <w:r>
        <w:rPr>
          <w:rFonts w:hint="eastAsia" w:asciiTheme="minorEastAsia" w:hAnsiTheme="minorEastAsia" w:eastAsiaTheme="minorEastAsia" w:cstheme="minorEastAsia"/>
          <w:snapToGrid w:val="0"/>
          <w:color w:val="auto"/>
          <w:spacing w:val="14"/>
          <w:sz w:val="28"/>
          <w:szCs w:val="28"/>
          <w:highlight w:val="none"/>
        </w:rPr>
        <w:t>人员及技术骨干应事先通报甲方，对甲方提出认为不</w:t>
      </w:r>
      <w:r>
        <w:rPr>
          <w:rFonts w:hint="eastAsia" w:asciiTheme="minorEastAsia" w:hAnsiTheme="minorEastAsia" w:eastAsiaTheme="minorEastAsia" w:cstheme="minorEastAsia"/>
          <w:snapToGrid w:val="0"/>
          <w:color w:val="auto"/>
          <w:spacing w:val="13"/>
          <w:sz w:val="28"/>
          <w:szCs w:val="28"/>
          <w:highlight w:val="none"/>
        </w:rPr>
        <w:t>适合的人员，乙方应作出相应调整。</w:t>
      </w:r>
    </w:p>
    <w:p w14:paraId="57796192">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7.6乙方应建立项目相关的能源管理档案并负责及时记载有关变更情况。</w:t>
      </w:r>
    </w:p>
    <w:p w14:paraId="69EBE87E">
      <w:pPr>
        <w:autoSpaceDE w:val="0"/>
        <w:autoSpaceDN w:val="0"/>
        <w:adjustRightInd w:val="0"/>
        <w:snapToGrid w:val="0"/>
        <w:spacing w:line="480" w:lineRule="exact"/>
        <w:ind w:firstLine="53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6"/>
          <w:sz w:val="28"/>
          <w:szCs w:val="28"/>
          <w:highlight w:val="none"/>
        </w:rPr>
        <w:t>7.7乙方应及时向甲方通告有关能源管理的重大事项，及时处理</w:t>
      </w:r>
      <w:r>
        <w:rPr>
          <w:rFonts w:hint="eastAsia" w:asciiTheme="minorEastAsia" w:hAnsiTheme="minorEastAsia" w:eastAsiaTheme="minorEastAsia" w:cstheme="minorEastAsia"/>
          <w:snapToGrid w:val="0"/>
          <w:color w:val="auto"/>
          <w:spacing w:val="-7"/>
          <w:sz w:val="28"/>
          <w:szCs w:val="28"/>
          <w:highlight w:val="none"/>
        </w:rPr>
        <w:t>使用人员的投诉，接受甲方的</w:t>
      </w:r>
      <w:r>
        <w:rPr>
          <w:rFonts w:hint="eastAsia" w:asciiTheme="minorEastAsia" w:hAnsiTheme="minorEastAsia" w:eastAsiaTheme="minorEastAsia" w:cstheme="minorEastAsia"/>
          <w:snapToGrid w:val="0"/>
          <w:color w:val="auto"/>
          <w:spacing w:val="7"/>
          <w:sz w:val="28"/>
          <w:szCs w:val="28"/>
          <w:highlight w:val="none"/>
        </w:rPr>
        <w:t>监督。</w:t>
      </w:r>
    </w:p>
    <w:p w14:paraId="2B2FBBAE">
      <w:pPr>
        <w:autoSpaceDE w:val="0"/>
        <w:autoSpaceDN w:val="0"/>
        <w:adjustRightInd w:val="0"/>
        <w:snapToGrid w:val="0"/>
        <w:spacing w:line="480" w:lineRule="exact"/>
        <w:ind w:firstLine="59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9"/>
          <w:sz w:val="28"/>
          <w:szCs w:val="28"/>
          <w:highlight w:val="none"/>
        </w:rPr>
        <w:t>7.8乙方可采取规劝等必要措施，制止用能单位（或个人）违反能源托管规章制度的行为。</w:t>
      </w:r>
    </w:p>
    <w:p w14:paraId="6757BBAC">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7.9乙方对在托管期内乙方改造的LED灯实行全面质量保证，托管期内灯具的维护更换由甲方负责，乙方以旧换新方式提供灯具。</w:t>
      </w:r>
    </w:p>
    <w:p w14:paraId="7AAD5210">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7.10乙方安装和调试节能设备应符合国家、行业有关施工管理法律法规和与项目相对应的技术标</w:t>
      </w:r>
      <w:r>
        <w:rPr>
          <w:rFonts w:hint="eastAsia" w:asciiTheme="minorEastAsia" w:hAnsiTheme="minorEastAsia" w:eastAsiaTheme="minorEastAsia" w:cstheme="minorEastAsia"/>
          <w:snapToGrid w:val="0"/>
          <w:color w:val="auto"/>
          <w:spacing w:val="12"/>
          <w:sz w:val="28"/>
          <w:szCs w:val="28"/>
          <w:highlight w:val="none"/>
        </w:rPr>
        <w:t>准规范要求。</w:t>
      </w:r>
    </w:p>
    <w:p w14:paraId="248BDB3F">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7.11乙方应确保其工作人员或者其聘请的第三方在项目实施、运行的整个过程中遵守相关法律法</w:t>
      </w:r>
      <w:r>
        <w:rPr>
          <w:rFonts w:hint="eastAsia" w:asciiTheme="minorEastAsia" w:hAnsiTheme="minorEastAsia" w:eastAsiaTheme="minorEastAsia" w:cstheme="minorEastAsia"/>
          <w:snapToGrid w:val="0"/>
          <w:color w:val="auto"/>
          <w:spacing w:val="9"/>
          <w:sz w:val="28"/>
          <w:szCs w:val="28"/>
          <w:highlight w:val="none"/>
        </w:rPr>
        <w:t>规，以及甲方的相关规章制度。</w:t>
      </w:r>
    </w:p>
    <w:p w14:paraId="54896D4F">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7.12乙方应配合甲方开展节能量评估和节能改造项目验收</w:t>
      </w:r>
      <w:r>
        <w:rPr>
          <w:rFonts w:hint="eastAsia" w:asciiTheme="minorEastAsia" w:hAnsiTheme="minorEastAsia" w:eastAsiaTheme="minorEastAsia" w:cstheme="minorEastAsia"/>
          <w:snapToGrid w:val="0"/>
          <w:color w:val="auto"/>
          <w:spacing w:val="12"/>
          <w:sz w:val="28"/>
          <w:szCs w:val="28"/>
          <w:highlight w:val="none"/>
        </w:rPr>
        <w:t>。</w:t>
      </w:r>
    </w:p>
    <w:p w14:paraId="63B7282B">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7.13乙方对能源托管服务涉及的部分专业性工作</w:t>
      </w:r>
      <w:r>
        <w:rPr>
          <w:rFonts w:hint="eastAsia" w:asciiTheme="minorEastAsia" w:hAnsiTheme="minorEastAsia" w:eastAsiaTheme="minorEastAsia" w:cstheme="minorEastAsia"/>
          <w:snapToGrid w:val="0"/>
          <w:color w:val="auto"/>
          <w:spacing w:val="13"/>
          <w:sz w:val="28"/>
          <w:szCs w:val="28"/>
          <w:highlight w:val="none"/>
        </w:rPr>
        <w:t>内容，可另行委托第三方承担，但应及时报甲方</w:t>
      </w:r>
      <w:r>
        <w:rPr>
          <w:rFonts w:hint="eastAsia" w:asciiTheme="minorEastAsia" w:hAnsiTheme="minorEastAsia" w:eastAsiaTheme="minorEastAsia" w:cstheme="minorEastAsia"/>
          <w:snapToGrid w:val="0"/>
          <w:color w:val="auto"/>
          <w:spacing w:val="16"/>
          <w:sz w:val="28"/>
          <w:szCs w:val="28"/>
          <w:highlight w:val="none"/>
        </w:rPr>
        <w:t>备案。委托的工作内容仅限于分项内容，整体能源费用托管服务项目未经甲方同意不得转让给</w:t>
      </w:r>
      <w:r>
        <w:rPr>
          <w:rFonts w:hint="eastAsia" w:asciiTheme="minorEastAsia" w:hAnsiTheme="minorEastAsia" w:eastAsiaTheme="minorEastAsia" w:cstheme="minorEastAsia"/>
          <w:snapToGrid w:val="0"/>
          <w:color w:val="auto"/>
          <w:spacing w:val="15"/>
          <w:sz w:val="28"/>
          <w:szCs w:val="28"/>
          <w:highlight w:val="none"/>
        </w:rPr>
        <w:t>第三方。</w:t>
      </w:r>
    </w:p>
    <w:p w14:paraId="72156434">
      <w:pPr>
        <w:autoSpaceDE w:val="0"/>
        <w:autoSpaceDN w:val="0"/>
        <w:adjustRightInd w:val="0"/>
        <w:snapToGrid w:val="0"/>
        <w:spacing w:line="480" w:lineRule="exact"/>
        <w:ind w:firstLine="57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4"/>
          <w:sz w:val="28"/>
          <w:szCs w:val="28"/>
          <w:highlight w:val="none"/>
        </w:rPr>
        <w:t>7.14合同终止时，乙方必须向甲方移交原委托管理的各类管理档案、管理用房、物料、工具、图纸资</w:t>
      </w:r>
      <w:r>
        <w:rPr>
          <w:rFonts w:hint="eastAsia" w:asciiTheme="minorEastAsia" w:hAnsiTheme="minorEastAsia" w:eastAsiaTheme="minorEastAsia" w:cstheme="minorEastAsia"/>
          <w:snapToGrid w:val="0"/>
          <w:color w:val="auto"/>
          <w:spacing w:val="15"/>
          <w:sz w:val="28"/>
          <w:szCs w:val="28"/>
          <w:highlight w:val="none"/>
        </w:rPr>
        <w:t>料等。所有移交的内容都应有清单并由双方签收，全部手续完成后签署托管移交确认书。</w:t>
      </w:r>
    </w:p>
    <w:p w14:paraId="2D63FD56">
      <w:pPr>
        <w:autoSpaceDE w:val="0"/>
        <w:autoSpaceDN w:val="0"/>
        <w:adjustRightInd w:val="0"/>
        <w:snapToGrid w:val="0"/>
        <w:spacing w:line="480" w:lineRule="exact"/>
        <w:ind w:firstLine="636" w:firstLineChars="200"/>
        <w:textAlignment w:val="baseline"/>
        <w:rPr>
          <w:rFonts w:hint="eastAsia" w:asciiTheme="minorEastAsia" w:hAnsiTheme="minorEastAsia" w:eastAsiaTheme="minorEastAsia" w:cstheme="minorEastAsia"/>
          <w:snapToGrid w:val="0"/>
          <w:color w:val="auto"/>
          <w:spacing w:val="19"/>
          <w:sz w:val="28"/>
          <w:szCs w:val="28"/>
          <w:highlight w:val="none"/>
        </w:rPr>
      </w:pPr>
      <w:r>
        <w:rPr>
          <w:rFonts w:hint="eastAsia" w:asciiTheme="minorEastAsia" w:hAnsiTheme="minorEastAsia" w:eastAsiaTheme="minorEastAsia" w:cstheme="minorEastAsia"/>
          <w:snapToGrid w:val="0"/>
          <w:color w:val="auto"/>
          <w:spacing w:val="19"/>
          <w:sz w:val="28"/>
          <w:szCs w:val="28"/>
          <w:highlight w:val="none"/>
          <w:lang w:val="en-US" w:eastAsia="zh-CN"/>
        </w:rPr>
        <w:t>7.15</w:t>
      </w:r>
      <w:r>
        <w:rPr>
          <w:rFonts w:hint="eastAsia" w:asciiTheme="minorEastAsia" w:hAnsiTheme="minorEastAsia" w:eastAsiaTheme="minorEastAsia" w:cstheme="minorEastAsia"/>
          <w:snapToGrid w:val="0"/>
          <w:color w:val="auto"/>
          <w:spacing w:val="19"/>
          <w:sz w:val="28"/>
          <w:szCs w:val="28"/>
          <w:highlight w:val="none"/>
        </w:rPr>
        <w:t>其他：</w:t>
      </w:r>
      <w:r>
        <w:rPr>
          <w:rFonts w:hint="eastAsia" w:asciiTheme="minorEastAsia" w:hAnsiTheme="minorEastAsia" w:eastAsiaTheme="minorEastAsia" w:cstheme="minorEastAsia"/>
          <w:snapToGrid w:val="0"/>
          <w:color w:val="auto"/>
          <w:spacing w:val="19"/>
          <w:sz w:val="28"/>
          <w:szCs w:val="28"/>
          <w:highlight w:val="none"/>
          <w:u w:val="single"/>
        </w:rPr>
        <w:t xml:space="preserve">    </w:t>
      </w:r>
      <w:r>
        <w:rPr>
          <w:rFonts w:hint="eastAsia" w:asciiTheme="minorEastAsia" w:hAnsiTheme="minorEastAsia" w:eastAsiaTheme="minorEastAsia" w:cstheme="minorEastAsia"/>
          <w:snapToGrid w:val="0"/>
          <w:color w:val="auto"/>
          <w:spacing w:val="19"/>
          <w:sz w:val="28"/>
          <w:szCs w:val="28"/>
          <w:highlight w:val="none"/>
        </w:rPr>
        <w:t>。</w:t>
      </w:r>
    </w:p>
    <w:p w14:paraId="2E589D01">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第8节  所有权和风险分担</w:t>
      </w:r>
    </w:p>
    <w:p w14:paraId="78450F85">
      <w:pPr>
        <w:autoSpaceDE w:val="0"/>
        <w:autoSpaceDN w:val="0"/>
        <w:adjustRightInd w:val="0"/>
        <w:snapToGrid w:val="0"/>
        <w:spacing w:line="480" w:lineRule="exact"/>
        <w:ind w:firstLine="63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9"/>
          <w:sz w:val="28"/>
          <w:szCs w:val="28"/>
          <w:highlight w:val="none"/>
        </w:rPr>
        <w:t>8.l在本合同到期且甲方付清本合同项下全部款项之前，本项目由乙方投资的节能设备所有权属</w:t>
      </w:r>
      <w:r>
        <w:rPr>
          <w:rFonts w:hint="eastAsia" w:asciiTheme="minorEastAsia" w:hAnsiTheme="minorEastAsia" w:eastAsiaTheme="minorEastAsia" w:cstheme="minorEastAsia"/>
          <w:snapToGrid w:val="0"/>
          <w:color w:val="auto"/>
          <w:spacing w:val="16"/>
          <w:sz w:val="28"/>
          <w:szCs w:val="28"/>
          <w:highlight w:val="none"/>
        </w:rPr>
        <w:t>于乙方。本合同顺利履行完毕且甲方付清本合同</w:t>
      </w:r>
      <w:r>
        <w:rPr>
          <w:rFonts w:hint="eastAsia" w:asciiTheme="minorEastAsia" w:hAnsiTheme="minorEastAsia" w:eastAsiaTheme="minorEastAsia" w:cstheme="minorEastAsia"/>
          <w:snapToGrid w:val="0"/>
          <w:color w:val="auto"/>
          <w:spacing w:val="15"/>
          <w:sz w:val="28"/>
          <w:szCs w:val="28"/>
          <w:highlight w:val="none"/>
        </w:rPr>
        <w:t>约定的各项费用后，该节能设备所有权属于甲方，在设</w:t>
      </w:r>
      <w:r>
        <w:rPr>
          <w:rFonts w:hint="eastAsia" w:asciiTheme="minorEastAsia" w:hAnsiTheme="minorEastAsia" w:eastAsiaTheme="minorEastAsia" w:cstheme="minorEastAsia"/>
          <w:snapToGrid w:val="0"/>
          <w:color w:val="auto"/>
          <w:spacing w:val="18"/>
          <w:sz w:val="28"/>
          <w:szCs w:val="28"/>
          <w:highlight w:val="none"/>
        </w:rPr>
        <w:t>备所有权移交时乙方应保证该节能设备正常运行。</w:t>
      </w:r>
    </w:p>
    <w:p w14:paraId="52B3E24E">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8.2乙方向甲方提交资产移交书面通知之日起，即视为乙方已向甲方移交所</w:t>
      </w:r>
      <w:r>
        <w:rPr>
          <w:rFonts w:hint="eastAsia" w:asciiTheme="minorEastAsia" w:hAnsiTheme="minorEastAsia" w:eastAsiaTheme="minorEastAsia" w:cstheme="minorEastAsia"/>
          <w:snapToGrid w:val="0"/>
          <w:color w:val="auto"/>
          <w:spacing w:val="15"/>
          <w:sz w:val="28"/>
          <w:szCs w:val="28"/>
          <w:highlight w:val="none"/>
        </w:rPr>
        <w:t>有权。节能设备的所</w:t>
      </w:r>
      <w:r>
        <w:rPr>
          <w:rFonts w:hint="eastAsia" w:asciiTheme="minorEastAsia" w:hAnsiTheme="minorEastAsia" w:eastAsiaTheme="minorEastAsia" w:cstheme="minorEastAsia"/>
          <w:snapToGrid w:val="0"/>
          <w:color w:val="auto"/>
          <w:spacing w:val="17"/>
          <w:sz w:val="28"/>
          <w:szCs w:val="28"/>
          <w:highlight w:val="none"/>
        </w:rPr>
        <w:t>有权由乙方移交给甲方时，应同时移交本项目继续运行所</w:t>
      </w:r>
      <w:r>
        <w:rPr>
          <w:rFonts w:hint="eastAsia" w:asciiTheme="minorEastAsia" w:hAnsiTheme="minorEastAsia" w:eastAsiaTheme="minorEastAsia" w:cstheme="minorEastAsia"/>
          <w:snapToGrid w:val="0"/>
          <w:color w:val="auto"/>
          <w:spacing w:val="16"/>
          <w:sz w:val="28"/>
          <w:szCs w:val="28"/>
          <w:highlight w:val="none"/>
        </w:rPr>
        <w:t>必需的资料。如该节能设备的继续使用需要乙</w:t>
      </w:r>
      <w:r>
        <w:rPr>
          <w:rFonts w:hint="eastAsia" w:asciiTheme="minorEastAsia" w:hAnsiTheme="minorEastAsia" w:eastAsiaTheme="minorEastAsia" w:cstheme="minorEastAsia"/>
          <w:snapToGrid w:val="0"/>
          <w:color w:val="auto"/>
          <w:spacing w:val="19"/>
          <w:sz w:val="28"/>
          <w:szCs w:val="28"/>
          <w:highlight w:val="none"/>
        </w:rPr>
        <w:t>方的相关技术和/或相关知识产权的授权，乙方应当无偿向甲方提供该授权。如该节能设备的继续使用</w:t>
      </w:r>
      <w:r>
        <w:rPr>
          <w:rFonts w:hint="eastAsia" w:asciiTheme="minorEastAsia" w:hAnsiTheme="minorEastAsia" w:eastAsiaTheme="minorEastAsia" w:cstheme="minorEastAsia"/>
          <w:snapToGrid w:val="0"/>
          <w:color w:val="auto"/>
          <w:spacing w:val="17"/>
          <w:sz w:val="28"/>
          <w:szCs w:val="28"/>
          <w:highlight w:val="none"/>
        </w:rPr>
        <w:t>涉及第三方的服务和/或相关知识产权的授权，该服务和授权的</w:t>
      </w:r>
      <w:r>
        <w:rPr>
          <w:rFonts w:hint="eastAsia" w:asciiTheme="minorEastAsia" w:hAnsiTheme="minorEastAsia" w:eastAsiaTheme="minorEastAsia" w:cstheme="minorEastAsia"/>
          <w:snapToGrid w:val="0"/>
          <w:color w:val="auto"/>
          <w:spacing w:val="16"/>
          <w:sz w:val="28"/>
          <w:szCs w:val="28"/>
          <w:highlight w:val="none"/>
        </w:rPr>
        <w:t>费用由甲方承担。</w:t>
      </w:r>
    </w:p>
    <w:p w14:paraId="559AD50F">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8.3节能设备的所有权不因甲方违约或者本</w:t>
      </w:r>
      <w:r>
        <w:rPr>
          <w:rFonts w:hint="eastAsia" w:asciiTheme="minorEastAsia" w:hAnsiTheme="minorEastAsia" w:eastAsiaTheme="minorEastAsia" w:cstheme="minorEastAsia"/>
          <w:snapToGrid w:val="0"/>
          <w:color w:val="auto"/>
          <w:spacing w:val="15"/>
          <w:sz w:val="28"/>
          <w:szCs w:val="28"/>
          <w:highlight w:val="none"/>
        </w:rPr>
        <w:t>合同的提前解除而转移。</w:t>
      </w:r>
    </w:p>
    <w:p w14:paraId="6CB5D420">
      <w:pPr>
        <w:autoSpaceDE w:val="0"/>
        <w:autoSpaceDN w:val="0"/>
        <w:adjustRightInd w:val="0"/>
        <w:snapToGrid w:val="0"/>
        <w:spacing w:line="480" w:lineRule="exact"/>
        <w:ind w:firstLine="5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8"/>
          <w:sz w:val="28"/>
          <w:szCs w:val="28"/>
          <w:highlight w:val="none"/>
        </w:rPr>
        <w:t>8.4其他：</w:t>
      </w:r>
      <w:r>
        <w:rPr>
          <w:rFonts w:hint="eastAsia" w:asciiTheme="minorEastAsia" w:hAnsiTheme="minorEastAsia" w:eastAsiaTheme="minorEastAsia" w:cstheme="minorEastAsia"/>
          <w:snapToGrid w:val="0"/>
          <w:color w:val="auto"/>
          <w:spacing w:val="-8"/>
          <w:sz w:val="28"/>
          <w:szCs w:val="28"/>
          <w:highlight w:val="none"/>
          <w:u w:val="single"/>
        </w:rPr>
        <w:t xml:space="preserve">    </w:t>
      </w:r>
      <w:r>
        <w:rPr>
          <w:rFonts w:hint="eastAsia" w:asciiTheme="minorEastAsia" w:hAnsiTheme="minorEastAsia" w:eastAsiaTheme="minorEastAsia" w:cstheme="minorEastAsia"/>
          <w:snapToGrid w:val="0"/>
          <w:color w:val="auto"/>
          <w:spacing w:val="-8"/>
          <w:sz w:val="28"/>
          <w:szCs w:val="28"/>
          <w:highlight w:val="none"/>
        </w:rPr>
        <w:t>。</w:t>
      </w:r>
    </w:p>
    <w:p w14:paraId="3B7C2F19">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第9节  违约责任</w:t>
      </w:r>
    </w:p>
    <w:p w14:paraId="5C6C29C0">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lang w:val="en-US" w:eastAsia="zh-CN"/>
        </w:rPr>
        <w:t xml:space="preserve">9.1 甲方逾期支付能源托管费用的，按以下方式处理： </w:t>
      </w:r>
    </w:p>
    <w:p w14:paraId="47E7ABF7">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default" w:asciiTheme="minorEastAsia" w:hAnsiTheme="minorEastAsia" w:eastAsiaTheme="minorEastAsia" w:cstheme="minorEastAsia"/>
          <w:snapToGrid w:val="0"/>
          <w:color w:val="auto"/>
          <w:spacing w:val="10"/>
          <w:sz w:val="28"/>
          <w:szCs w:val="28"/>
          <w:highlight w:val="none"/>
          <w:lang w:val="en-US" w:eastAsia="zh-CN"/>
        </w:rPr>
        <w:t xml:space="preserve">（1） 每逾期一天按迟延付款款项的万分之五向乙方支付违约金，直至甲方履行完成所有付款义务； </w:t>
      </w:r>
    </w:p>
    <w:p w14:paraId="3B542138">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default" w:asciiTheme="minorEastAsia" w:hAnsiTheme="minorEastAsia" w:eastAsiaTheme="minorEastAsia" w:cstheme="minorEastAsia"/>
          <w:snapToGrid w:val="0"/>
          <w:color w:val="auto"/>
          <w:spacing w:val="10"/>
          <w:sz w:val="28"/>
          <w:szCs w:val="28"/>
          <w:highlight w:val="none"/>
          <w:lang w:val="en-US" w:eastAsia="zh-CN"/>
        </w:rPr>
        <w:t xml:space="preserve">（2） 逾期超过 3 个月的，乙方有权停止缴纳由乙方承担的能源费用直至甲方履行完成所有付款义务，由此引起的一切损失由甲方负责； </w:t>
      </w:r>
    </w:p>
    <w:p w14:paraId="597EB7BF">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default" w:asciiTheme="minorEastAsia" w:hAnsiTheme="minorEastAsia" w:eastAsiaTheme="minorEastAsia" w:cstheme="minorEastAsia"/>
          <w:snapToGrid w:val="0"/>
          <w:color w:val="auto"/>
          <w:spacing w:val="10"/>
          <w:sz w:val="28"/>
          <w:szCs w:val="28"/>
          <w:highlight w:val="none"/>
          <w:lang w:val="en-US" w:eastAsia="zh-CN"/>
        </w:rPr>
        <w:t xml:space="preserve">（3） 逾期超过 4 个月的，乙方有权停止提供合同约定的所有服务内容直至甲方履行完成所有付款义务，由此引起的一切损失由甲方负责； </w:t>
      </w:r>
    </w:p>
    <w:p w14:paraId="02EA0617">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default" w:asciiTheme="minorEastAsia" w:hAnsiTheme="minorEastAsia" w:eastAsiaTheme="minorEastAsia" w:cstheme="minorEastAsia"/>
          <w:snapToGrid w:val="0"/>
          <w:color w:val="auto"/>
          <w:spacing w:val="10"/>
          <w:sz w:val="28"/>
          <w:szCs w:val="28"/>
          <w:highlight w:val="none"/>
          <w:lang w:val="en-US" w:eastAsia="zh-CN"/>
        </w:rPr>
        <w:t xml:space="preserve">（4） 逾期超过 6 个月的，乙方有权书面通知甲方后解除本合同，甲方应按本合同第 11.5 条约定承担违约责任。 </w:t>
      </w:r>
    </w:p>
    <w:p w14:paraId="1C14181F">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default" w:asciiTheme="minorEastAsia" w:hAnsiTheme="minorEastAsia" w:eastAsiaTheme="minorEastAsia" w:cstheme="minorEastAsia"/>
          <w:snapToGrid w:val="0"/>
          <w:color w:val="auto"/>
          <w:spacing w:val="10"/>
          <w:sz w:val="28"/>
          <w:szCs w:val="28"/>
          <w:highlight w:val="none"/>
          <w:lang w:val="en-US" w:eastAsia="zh-CN"/>
        </w:rPr>
        <w:t xml:space="preserve">9.2 甲方未按合同约定履行职责，给乙方造成损失的，乙方可要求甲方据实赔偿。 </w:t>
      </w:r>
    </w:p>
    <w:p w14:paraId="02936C24">
      <w:pPr>
        <w:autoSpaceDE w:val="0"/>
        <w:autoSpaceDN w:val="0"/>
        <w:adjustRightInd w:val="0"/>
        <w:snapToGrid w:val="0"/>
        <w:spacing w:line="480" w:lineRule="exact"/>
        <w:ind w:firstLine="600" w:firstLineChars="200"/>
        <w:textAlignment w:val="baseline"/>
        <w:rPr>
          <w:rFonts w:hint="eastAsia" w:asciiTheme="minorEastAsia" w:hAnsiTheme="minorEastAsia" w:eastAsiaTheme="minorEastAsia" w:cstheme="minorEastAsia"/>
          <w:snapToGrid w:val="0"/>
          <w:color w:val="auto"/>
          <w:spacing w:val="10"/>
          <w:sz w:val="28"/>
          <w:szCs w:val="28"/>
          <w:highlight w:val="none"/>
        </w:rPr>
      </w:pPr>
      <w:r>
        <w:rPr>
          <w:rFonts w:hint="default" w:asciiTheme="minorEastAsia" w:hAnsiTheme="minorEastAsia" w:eastAsiaTheme="minorEastAsia" w:cstheme="minorEastAsia"/>
          <w:snapToGrid w:val="0"/>
          <w:color w:val="auto"/>
          <w:spacing w:val="10"/>
          <w:sz w:val="28"/>
          <w:szCs w:val="28"/>
          <w:highlight w:val="none"/>
          <w:lang w:val="en-US" w:eastAsia="zh-CN"/>
        </w:rPr>
        <w:t xml:space="preserve">9.3 乙方未按合同约定的质量标准履行能源托管服务职责，但未给甲方造成损失的，甲方可要求乙方整改。 </w:t>
      </w:r>
    </w:p>
    <w:p w14:paraId="43DED2E6">
      <w:pPr>
        <w:autoSpaceDE w:val="0"/>
        <w:autoSpaceDN w:val="0"/>
        <w:adjustRightInd w:val="0"/>
        <w:snapToGrid w:val="0"/>
        <w:spacing w:line="480" w:lineRule="exact"/>
        <w:ind w:firstLine="600" w:firstLineChars="200"/>
        <w:textAlignment w:val="baseline"/>
        <w:rPr>
          <w:color w:val="auto"/>
          <w:highlight w:val="none"/>
        </w:rPr>
      </w:pPr>
      <w:r>
        <w:rPr>
          <w:rFonts w:hint="default" w:asciiTheme="minorEastAsia" w:hAnsiTheme="minorEastAsia" w:eastAsiaTheme="minorEastAsia" w:cstheme="minorEastAsia"/>
          <w:snapToGrid w:val="0"/>
          <w:color w:val="auto"/>
          <w:spacing w:val="10"/>
          <w:sz w:val="28"/>
          <w:szCs w:val="28"/>
          <w:highlight w:val="none"/>
          <w:lang w:val="en-US" w:eastAsia="zh-CN"/>
        </w:rPr>
        <w:t>9.4 乙方未按合同约定的质量标准履行能源托管服务职责，给甲方造成损失的，甲方可要求乙方据</w:t>
      </w:r>
      <w:r>
        <w:rPr>
          <w:rFonts w:hint="eastAsia" w:asciiTheme="minorEastAsia" w:hAnsiTheme="minorEastAsia" w:eastAsiaTheme="minorEastAsia" w:cstheme="minorEastAsia"/>
          <w:snapToGrid w:val="0"/>
          <w:color w:val="auto"/>
          <w:spacing w:val="10"/>
          <w:sz w:val="28"/>
          <w:szCs w:val="28"/>
          <w:highlight w:val="none"/>
          <w:lang w:val="en-US" w:eastAsia="zh-CN"/>
        </w:rPr>
        <w:t>实赔偿。</w:t>
      </w:r>
    </w:p>
    <w:p w14:paraId="0B0B5C89">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9.5一方违约后，另一方应采取适当措施，防止损失的扩大，否则不得就扩大部分的损失要求</w:t>
      </w:r>
      <w:r>
        <w:rPr>
          <w:rFonts w:hint="eastAsia" w:asciiTheme="minorEastAsia" w:hAnsiTheme="minorEastAsia" w:eastAsiaTheme="minorEastAsia" w:cstheme="minorEastAsia"/>
          <w:snapToGrid w:val="0"/>
          <w:color w:val="auto"/>
          <w:spacing w:val="9"/>
          <w:sz w:val="28"/>
          <w:szCs w:val="28"/>
          <w:highlight w:val="none"/>
        </w:rPr>
        <w:t>赔偿。</w:t>
      </w:r>
    </w:p>
    <w:p w14:paraId="59CC702F">
      <w:pPr>
        <w:autoSpaceDE w:val="0"/>
        <w:autoSpaceDN w:val="0"/>
        <w:adjustRightInd w:val="0"/>
        <w:snapToGrid w:val="0"/>
        <w:spacing w:line="480" w:lineRule="exact"/>
        <w:ind w:firstLine="5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9"/>
          <w:sz w:val="28"/>
          <w:szCs w:val="28"/>
          <w:highlight w:val="none"/>
        </w:rPr>
        <w:t>9.6其他：</w:t>
      </w:r>
      <w:r>
        <w:rPr>
          <w:rFonts w:hint="eastAsia" w:asciiTheme="minorEastAsia" w:hAnsiTheme="minorEastAsia" w:eastAsiaTheme="minorEastAsia" w:cstheme="minorEastAsia"/>
          <w:snapToGrid w:val="0"/>
          <w:color w:val="auto"/>
          <w:spacing w:val="-9"/>
          <w:sz w:val="28"/>
          <w:szCs w:val="28"/>
          <w:highlight w:val="none"/>
          <w:u w:val="single"/>
        </w:rPr>
        <w:t xml:space="preserve">    </w:t>
      </w:r>
      <w:r>
        <w:rPr>
          <w:rFonts w:hint="eastAsia" w:asciiTheme="minorEastAsia" w:hAnsiTheme="minorEastAsia" w:eastAsiaTheme="minorEastAsia" w:cstheme="minorEastAsia"/>
          <w:snapToGrid w:val="0"/>
          <w:color w:val="auto"/>
          <w:spacing w:val="-9"/>
          <w:sz w:val="28"/>
          <w:szCs w:val="28"/>
          <w:highlight w:val="none"/>
        </w:rPr>
        <w:t>。</w:t>
      </w:r>
    </w:p>
    <w:p w14:paraId="192CCFA7">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第10节不可抗力</w:t>
      </w:r>
    </w:p>
    <w:p w14:paraId="348AE777">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10.1本合同项下的不可抗力是指超出了相关方合理控制范围的任何行为、事件或原因，包括但不</w:t>
      </w:r>
      <w:r>
        <w:rPr>
          <w:rFonts w:hint="eastAsia" w:asciiTheme="minorEastAsia" w:hAnsiTheme="minorEastAsia" w:eastAsiaTheme="minorEastAsia" w:cstheme="minorEastAsia"/>
          <w:snapToGrid w:val="0"/>
          <w:color w:val="auto"/>
          <w:spacing w:val="1"/>
          <w:kern w:val="0"/>
          <w:sz w:val="28"/>
          <w:szCs w:val="28"/>
          <w:highlight w:val="none"/>
        </w:rPr>
        <w:t>限于：</w:t>
      </w:r>
    </w:p>
    <w:p w14:paraId="7965A089">
      <w:pPr>
        <w:autoSpaceDE w:val="0"/>
        <w:autoSpaceDN w:val="0"/>
        <w:adjustRightInd w:val="0"/>
        <w:snapToGrid w:val="0"/>
        <w:spacing w:line="480" w:lineRule="exact"/>
        <w:ind w:firstLine="5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1"/>
          <w:sz w:val="28"/>
          <w:szCs w:val="28"/>
          <w:highlight w:val="none"/>
        </w:rPr>
        <w:t>（1）雷电、洪水、风暴、地震、滑坡、暴雨等自然灾害、海上危险、航行事故、战争、骚乱、暴动、全国紧急</w:t>
      </w:r>
      <w:r>
        <w:rPr>
          <w:rFonts w:hint="eastAsia" w:asciiTheme="minorEastAsia" w:hAnsiTheme="minorEastAsia" w:eastAsiaTheme="minorEastAsia" w:cstheme="minorEastAsia"/>
          <w:snapToGrid w:val="0"/>
          <w:color w:val="auto"/>
          <w:spacing w:val="7"/>
          <w:sz w:val="28"/>
          <w:szCs w:val="28"/>
          <w:highlight w:val="none"/>
        </w:rPr>
        <w:t>状态（无论是实际情况或法律规定的情况）、戒严令、火灾或</w:t>
      </w:r>
      <w:r>
        <w:rPr>
          <w:rFonts w:hint="eastAsia" w:asciiTheme="minorEastAsia" w:hAnsiTheme="minorEastAsia" w:eastAsiaTheme="minorEastAsia" w:cstheme="minorEastAsia"/>
          <w:snapToGrid w:val="0"/>
          <w:color w:val="auto"/>
          <w:spacing w:val="-6"/>
          <w:sz w:val="28"/>
          <w:szCs w:val="28"/>
          <w:highlight w:val="none"/>
        </w:rPr>
        <w:t>流行病、隔离、辐射或放射性污染；</w:t>
      </w:r>
    </w:p>
    <w:p w14:paraId="74A66F76">
      <w:pPr>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1"/>
          <w:sz w:val="28"/>
          <w:szCs w:val="28"/>
          <w:highlight w:val="none"/>
        </w:rPr>
        <w:t>（2）任何政府单位（包括任何有管辖权的法院或仲裁庭以及国际机构）的行动，包括但不限于法律、</w:t>
      </w:r>
      <w:r>
        <w:rPr>
          <w:rFonts w:hint="eastAsia" w:asciiTheme="minorEastAsia" w:hAnsiTheme="minorEastAsia" w:eastAsiaTheme="minorEastAsia" w:cstheme="minorEastAsia"/>
          <w:snapToGrid w:val="0"/>
          <w:color w:val="auto"/>
          <w:spacing w:val="-1"/>
          <w:sz w:val="28"/>
          <w:szCs w:val="28"/>
          <w:highlight w:val="none"/>
        </w:rPr>
        <w:t>法规、规章或其他有法律强制约束力的法案所规定的没收、约束、禁止、干预、征用、要求、指示或</w:t>
      </w:r>
      <w:r>
        <w:rPr>
          <w:rFonts w:hint="eastAsia" w:asciiTheme="minorEastAsia" w:hAnsiTheme="minorEastAsia" w:eastAsiaTheme="minorEastAsia" w:cstheme="minorEastAsia"/>
          <w:snapToGrid w:val="0"/>
          <w:color w:val="auto"/>
          <w:spacing w:val="7"/>
          <w:sz w:val="28"/>
          <w:szCs w:val="28"/>
          <w:highlight w:val="none"/>
        </w:rPr>
        <w:t>禁运。</w:t>
      </w:r>
    </w:p>
    <w:p w14:paraId="58382AA8">
      <w:pPr>
        <w:widowControl/>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7"/>
          <w:kern w:val="0"/>
          <w:sz w:val="28"/>
          <w:szCs w:val="28"/>
          <w:highlight w:val="none"/>
        </w:rPr>
        <w:t>但不得包括一方资金短缺的事实。</w:t>
      </w:r>
    </w:p>
    <w:p w14:paraId="55500C4D">
      <w:pPr>
        <w:autoSpaceDE w:val="0"/>
        <w:autoSpaceDN w:val="0"/>
        <w:adjustRightInd w:val="0"/>
        <w:snapToGrid w:val="0"/>
        <w:spacing w:line="480" w:lineRule="exact"/>
        <w:ind w:firstLine="58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7"/>
          <w:sz w:val="28"/>
          <w:szCs w:val="28"/>
          <w:highlight w:val="none"/>
        </w:rPr>
        <w:t>10.2如果一方（“受影响方”）由于不可抗力事件的发生，无法或预计无</w:t>
      </w:r>
      <w:r>
        <w:rPr>
          <w:rFonts w:hint="eastAsia" w:asciiTheme="minorEastAsia" w:hAnsiTheme="minorEastAsia" w:eastAsiaTheme="minorEastAsia" w:cstheme="minorEastAsia"/>
          <w:snapToGrid w:val="0"/>
          <w:color w:val="auto"/>
          <w:spacing w:val="6"/>
          <w:sz w:val="28"/>
          <w:szCs w:val="28"/>
          <w:highlight w:val="none"/>
        </w:rPr>
        <w:t>法履行本合同项下的义务，</w:t>
      </w:r>
      <w:r>
        <w:rPr>
          <w:rFonts w:hint="eastAsia" w:asciiTheme="minorEastAsia" w:hAnsiTheme="minorEastAsia" w:eastAsiaTheme="minorEastAsia" w:cstheme="minorEastAsia"/>
          <w:snapToGrid w:val="0"/>
          <w:color w:val="auto"/>
          <w:spacing w:val="7"/>
          <w:sz w:val="28"/>
          <w:szCs w:val="28"/>
          <w:highlight w:val="none"/>
        </w:rPr>
        <w:t>受影响方就必须在知晓不可抗力的有关事件的5日内向另一方（“非影响方”）提交书面通知，提供不可抗</w:t>
      </w:r>
      <w:r>
        <w:rPr>
          <w:rFonts w:hint="eastAsia" w:asciiTheme="minorEastAsia" w:hAnsiTheme="minorEastAsia" w:eastAsiaTheme="minorEastAsia" w:cstheme="minorEastAsia"/>
          <w:snapToGrid w:val="0"/>
          <w:color w:val="auto"/>
          <w:spacing w:val="14"/>
          <w:sz w:val="28"/>
          <w:szCs w:val="28"/>
          <w:highlight w:val="none"/>
        </w:rPr>
        <w:t>力事件的细节。</w:t>
      </w:r>
    </w:p>
    <w:p w14:paraId="74E26A07">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10.3受影响方必须采取一切合理的措施，以消除或减轻不可抗力事件有关的影响。</w:t>
      </w:r>
    </w:p>
    <w:p w14:paraId="0C5787B4">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10.4在不可抗力事件持续期间，受影响方的履行义务暂时中止，相应的义务履行期限相应顺延，并</w:t>
      </w:r>
      <w:r>
        <w:rPr>
          <w:rFonts w:hint="eastAsia" w:asciiTheme="minorEastAsia" w:hAnsiTheme="minorEastAsia" w:eastAsiaTheme="minorEastAsia" w:cstheme="minorEastAsia"/>
          <w:snapToGrid w:val="0"/>
          <w:color w:val="auto"/>
          <w:spacing w:val="17"/>
          <w:sz w:val="28"/>
          <w:szCs w:val="28"/>
          <w:highlight w:val="none"/>
        </w:rPr>
        <w:t>将不会对由此造成的损失或损坏承担责任。在不可抗力事件结</w:t>
      </w:r>
      <w:r>
        <w:rPr>
          <w:rFonts w:hint="eastAsia" w:asciiTheme="minorEastAsia" w:hAnsiTheme="minorEastAsia" w:eastAsiaTheme="minorEastAsia" w:cstheme="minorEastAsia"/>
          <w:snapToGrid w:val="0"/>
          <w:color w:val="auto"/>
          <w:spacing w:val="16"/>
          <w:sz w:val="28"/>
          <w:szCs w:val="28"/>
          <w:highlight w:val="none"/>
        </w:rPr>
        <w:t>束后，受影响方应该尽快恢复履行本合同</w:t>
      </w:r>
      <w:r>
        <w:rPr>
          <w:rFonts w:hint="eastAsia" w:asciiTheme="minorEastAsia" w:hAnsiTheme="minorEastAsia" w:eastAsiaTheme="minorEastAsia" w:cstheme="minorEastAsia"/>
          <w:snapToGrid w:val="0"/>
          <w:color w:val="auto"/>
          <w:spacing w:val="13"/>
          <w:sz w:val="28"/>
          <w:szCs w:val="28"/>
          <w:highlight w:val="none"/>
        </w:rPr>
        <w:t>项下的义务。</w:t>
      </w:r>
    </w:p>
    <w:p w14:paraId="5FD75D3E">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10.5如果因为不可抗力事件的影响，受影响方不能履行本合同项下的任何义务，而且非影响方在</w:t>
      </w:r>
      <w:r>
        <w:rPr>
          <w:rFonts w:hint="eastAsia" w:asciiTheme="minorEastAsia" w:hAnsiTheme="minorEastAsia" w:eastAsiaTheme="minorEastAsia" w:cstheme="minorEastAsia"/>
          <w:snapToGrid w:val="0"/>
          <w:color w:val="auto"/>
          <w:spacing w:val="13"/>
          <w:sz w:val="28"/>
          <w:szCs w:val="28"/>
          <w:highlight w:val="none"/>
        </w:rPr>
        <w:t>收到不可抗力通知后，受影响方不能履行义务持续时间达90</w:t>
      </w:r>
      <w:r>
        <w:rPr>
          <w:rFonts w:hint="eastAsia" w:asciiTheme="minorEastAsia" w:hAnsiTheme="minorEastAsia" w:eastAsiaTheme="minorEastAsia" w:cstheme="minorEastAsia"/>
          <w:snapToGrid w:val="0"/>
          <w:color w:val="auto"/>
          <w:spacing w:val="12"/>
          <w:sz w:val="28"/>
          <w:szCs w:val="28"/>
          <w:highlight w:val="none"/>
        </w:rPr>
        <w:t>个连续日，且在此期间，双方没有能够谈判</w:t>
      </w:r>
      <w:r>
        <w:rPr>
          <w:rFonts w:hint="eastAsia" w:asciiTheme="minorEastAsia" w:hAnsiTheme="minorEastAsia" w:eastAsiaTheme="minorEastAsia" w:cstheme="minorEastAsia"/>
          <w:snapToGrid w:val="0"/>
          <w:color w:val="auto"/>
          <w:spacing w:val="16"/>
          <w:sz w:val="28"/>
          <w:szCs w:val="28"/>
          <w:highlight w:val="none"/>
        </w:rPr>
        <w:t>达成一项彼此可以接受的替代方式来执行本合同项下的项目，任何一方可向另一方提供书面通知，解除</w:t>
      </w:r>
      <w:r>
        <w:rPr>
          <w:rFonts w:hint="eastAsia" w:asciiTheme="minorEastAsia" w:hAnsiTheme="minorEastAsia" w:eastAsiaTheme="minorEastAsia" w:cstheme="minorEastAsia"/>
          <w:snapToGrid w:val="0"/>
          <w:color w:val="auto"/>
          <w:spacing w:val="9"/>
          <w:sz w:val="28"/>
          <w:szCs w:val="28"/>
          <w:highlight w:val="none"/>
        </w:rPr>
        <w:t>本合同，而不需承担任何责任。</w:t>
      </w:r>
    </w:p>
    <w:p w14:paraId="3B8991CE">
      <w:pPr>
        <w:autoSpaceDE w:val="0"/>
        <w:autoSpaceDN w:val="0"/>
        <w:adjustRightInd w:val="0"/>
        <w:snapToGrid w:val="0"/>
        <w:spacing w:line="480" w:lineRule="exact"/>
        <w:ind w:firstLine="5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8"/>
          <w:sz w:val="28"/>
          <w:szCs w:val="28"/>
          <w:highlight w:val="none"/>
        </w:rPr>
        <w:t>10.6其他：</w:t>
      </w:r>
      <w:r>
        <w:rPr>
          <w:rFonts w:hint="eastAsia" w:asciiTheme="minorEastAsia" w:hAnsiTheme="minorEastAsia" w:eastAsiaTheme="minorEastAsia" w:cstheme="minorEastAsia"/>
          <w:snapToGrid w:val="0"/>
          <w:color w:val="auto"/>
          <w:spacing w:val="-8"/>
          <w:sz w:val="28"/>
          <w:szCs w:val="28"/>
          <w:highlight w:val="none"/>
          <w:u w:val="single"/>
        </w:rPr>
        <w:t xml:space="preserve">    </w:t>
      </w:r>
      <w:r>
        <w:rPr>
          <w:rFonts w:hint="eastAsia" w:asciiTheme="minorEastAsia" w:hAnsiTheme="minorEastAsia" w:eastAsiaTheme="minorEastAsia" w:cstheme="minorEastAsia"/>
          <w:snapToGrid w:val="0"/>
          <w:color w:val="auto"/>
          <w:spacing w:val="-8"/>
          <w:sz w:val="28"/>
          <w:szCs w:val="28"/>
          <w:highlight w:val="none"/>
        </w:rPr>
        <w:t>。</w:t>
      </w:r>
    </w:p>
    <w:p w14:paraId="0F33260A">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第11节  合同解除</w:t>
      </w:r>
    </w:p>
    <w:p w14:paraId="4B0C18AB">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11.1政府采购合同继续履行将损害国家利益和社会公共利益的，双方当事人应当变更、中止或者</w:t>
      </w:r>
      <w:r>
        <w:rPr>
          <w:rFonts w:hint="eastAsia" w:asciiTheme="minorEastAsia" w:hAnsiTheme="minorEastAsia" w:eastAsiaTheme="minorEastAsia" w:cstheme="minorEastAsia"/>
          <w:snapToGrid w:val="0"/>
          <w:color w:val="auto"/>
          <w:spacing w:val="12"/>
          <w:sz w:val="28"/>
          <w:szCs w:val="28"/>
          <w:highlight w:val="none"/>
        </w:rPr>
        <w:t>终止合同。有过错的一方应当承担赔偿责任，双方都有过错的，各自承担相应的责任。</w:t>
      </w:r>
    </w:p>
    <w:p w14:paraId="02C7D158">
      <w:pPr>
        <w:autoSpaceDE w:val="0"/>
        <w:autoSpaceDN w:val="0"/>
        <w:adjustRightInd w:val="0"/>
        <w:snapToGrid w:val="0"/>
        <w:spacing w:line="480" w:lineRule="exact"/>
        <w:ind w:firstLine="56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2"/>
          <w:sz w:val="28"/>
          <w:szCs w:val="28"/>
          <w:highlight w:val="none"/>
        </w:rPr>
        <w:t>11.2本合同可依照</w:t>
      </w:r>
      <w:r>
        <w:rPr>
          <w:rFonts w:hint="eastAsia" w:asciiTheme="minorEastAsia" w:hAnsiTheme="minorEastAsia" w:eastAsiaTheme="minorEastAsia" w:cstheme="minorEastAsia"/>
          <w:snapToGrid w:val="0"/>
          <w:color w:val="auto"/>
          <w:spacing w:val="2"/>
          <w:sz w:val="28"/>
          <w:szCs w:val="28"/>
          <w:highlight w:val="none"/>
          <w:u w:val="single"/>
        </w:rPr>
        <w:t>第9节（违约责任）</w:t>
      </w:r>
      <w:r>
        <w:rPr>
          <w:rFonts w:hint="eastAsia" w:asciiTheme="minorEastAsia" w:hAnsiTheme="minorEastAsia" w:eastAsiaTheme="minorEastAsia" w:cstheme="minorEastAsia"/>
          <w:snapToGrid w:val="0"/>
          <w:color w:val="auto"/>
          <w:spacing w:val="2"/>
          <w:sz w:val="28"/>
          <w:szCs w:val="28"/>
          <w:highlight w:val="none"/>
        </w:rPr>
        <w:t>和</w:t>
      </w:r>
      <w:r>
        <w:rPr>
          <w:rFonts w:hint="eastAsia" w:asciiTheme="minorEastAsia" w:hAnsiTheme="minorEastAsia" w:eastAsiaTheme="minorEastAsia" w:cstheme="minorEastAsia"/>
          <w:snapToGrid w:val="0"/>
          <w:color w:val="auto"/>
          <w:spacing w:val="2"/>
          <w:sz w:val="28"/>
          <w:szCs w:val="28"/>
          <w:highlight w:val="none"/>
          <w:u w:val="single"/>
        </w:rPr>
        <w:t>第10节（不可抗力）</w:t>
      </w:r>
      <w:r>
        <w:rPr>
          <w:rFonts w:hint="eastAsia" w:asciiTheme="minorEastAsia" w:hAnsiTheme="minorEastAsia" w:eastAsiaTheme="minorEastAsia" w:cstheme="minorEastAsia"/>
          <w:snapToGrid w:val="0"/>
          <w:color w:val="auto"/>
          <w:spacing w:val="2"/>
          <w:sz w:val="28"/>
          <w:szCs w:val="28"/>
          <w:highlight w:val="none"/>
        </w:rPr>
        <w:t>中的约定解除。</w:t>
      </w:r>
    </w:p>
    <w:p w14:paraId="10AD96D0">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11.3乙方在甲方提供必要的改造条件后</w:t>
      </w:r>
      <w:r>
        <w:rPr>
          <w:rFonts w:hint="eastAsia" w:asciiTheme="minorEastAsia" w:hAnsiTheme="minorEastAsia" w:eastAsiaTheme="minorEastAsia" w:cstheme="minorEastAsia"/>
          <w:snapToGrid w:val="0"/>
          <w:color w:val="auto"/>
          <w:spacing w:val="14"/>
          <w:sz w:val="28"/>
          <w:szCs w:val="28"/>
          <w:highlight w:val="none"/>
          <w:u w:val="single"/>
        </w:rPr>
        <w:t xml:space="preserve"> </w:t>
      </w:r>
      <w:r>
        <w:rPr>
          <w:rFonts w:hint="eastAsia" w:asciiTheme="minorEastAsia" w:hAnsiTheme="minorEastAsia" w:eastAsiaTheme="minorEastAsia" w:cstheme="minorEastAsia"/>
          <w:snapToGrid w:val="0"/>
          <w:color w:val="auto"/>
          <w:spacing w:val="14"/>
          <w:sz w:val="28"/>
          <w:szCs w:val="28"/>
          <w:highlight w:val="none"/>
          <w:u w:val="single"/>
          <w:lang w:val="en-US" w:eastAsia="zh-CN"/>
        </w:rPr>
        <w:t>15</w:t>
      </w:r>
      <w:r>
        <w:rPr>
          <w:rFonts w:hint="eastAsia" w:asciiTheme="minorEastAsia" w:hAnsiTheme="minorEastAsia" w:eastAsiaTheme="minorEastAsia" w:cstheme="minorEastAsia"/>
          <w:snapToGrid w:val="0"/>
          <w:color w:val="auto"/>
          <w:spacing w:val="14"/>
          <w:sz w:val="28"/>
          <w:szCs w:val="28"/>
          <w:highlight w:val="none"/>
          <w:u w:val="single"/>
        </w:rPr>
        <w:t xml:space="preserve"> </w:t>
      </w:r>
      <w:r>
        <w:rPr>
          <w:rFonts w:hint="eastAsia" w:asciiTheme="minorEastAsia" w:hAnsiTheme="minorEastAsia" w:eastAsiaTheme="minorEastAsia" w:cstheme="minorEastAsia"/>
          <w:snapToGrid w:val="0"/>
          <w:color w:val="auto"/>
          <w:spacing w:val="14"/>
          <w:sz w:val="28"/>
          <w:szCs w:val="28"/>
          <w:highlight w:val="none"/>
        </w:rPr>
        <w:t>日未开工建设的或乙方在改造过程</w:t>
      </w:r>
      <w:r>
        <w:rPr>
          <w:rFonts w:hint="eastAsia" w:asciiTheme="minorEastAsia" w:hAnsiTheme="minorEastAsia" w:eastAsiaTheme="minorEastAsia" w:cstheme="minorEastAsia"/>
          <w:snapToGrid w:val="0"/>
          <w:color w:val="auto"/>
          <w:spacing w:val="13"/>
          <w:sz w:val="28"/>
          <w:szCs w:val="28"/>
          <w:highlight w:val="none"/>
        </w:rPr>
        <w:t>中发生重大质量、</w:t>
      </w:r>
      <w:r>
        <w:rPr>
          <w:rFonts w:hint="eastAsia" w:asciiTheme="minorEastAsia" w:hAnsiTheme="minorEastAsia" w:eastAsiaTheme="minorEastAsia" w:cstheme="minorEastAsia"/>
          <w:snapToGrid w:val="0"/>
          <w:color w:val="auto"/>
          <w:spacing w:val="15"/>
          <w:sz w:val="28"/>
          <w:szCs w:val="28"/>
          <w:highlight w:val="none"/>
        </w:rPr>
        <w:t>安全事故导致合同无法履行的，甲方有权书面通知乙方后解除本合同。</w:t>
      </w:r>
    </w:p>
    <w:p w14:paraId="56D3CF9A">
      <w:pPr>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1"/>
          <w:sz w:val="28"/>
          <w:szCs w:val="28"/>
          <w:highlight w:val="none"/>
        </w:rPr>
        <w:t>11.4发生下列情形之一时，乙方有权书面通知甲方后解除本合同：</w:t>
      </w:r>
    </w:p>
    <w:p w14:paraId="5CE0B3A1">
      <w:pPr>
        <w:autoSpaceDE w:val="0"/>
        <w:autoSpaceDN w:val="0"/>
        <w:adjustRightInd w:val="0"/>
        <w:snapToGrid w:val="0"/>
        <w:spacing w:line="480" w:lineRule="exact"/>
        <w:ind w:firstLine="492" w:firstLineChars="200"/>
        <w:textAlignment w:val="baseline"/>
        <w:rPr>
          <w:rFonts w:asciiTheme="minorEastAsia" w:hAnsiTheme="minorEastAsia" w:eastAsiaTheme="minorEastAsia" w:cstheme="minorEastAsia"/>
          <w:snapToGrid w:val="0"/>
          <w:color w:val="auto"/>
          <w:spacing w:val="-17"/>
          <w:sz w:val="28"/>
          <w:szCs w:val="28"/>
          <w:highlight w:val="none"/>
        </w:rPr>
      </w:pPr>
      <w:r>
        <w:rPr>
          <w:rFonts w:hint="eastAsia" w:asciiTheme="minorEastAsia" w:hAnsiTheme="minorEastAsia" w:eastAsiaTheme="minorEastAsia" w:cstheme="minorEastAsia"/>
          <w:snapToGrid w:val="0"/>
          <w:color w:val="auto"/>
          <w:spacing w:val="-17"/>
          <w:sz w:val="28"/>
          <w:szCs w:val="28"/>
          <w:highlight w:val="none"/>
        </w:rPr>
        <w:t>（1）经乙方书面通知而甲方未按合同约定提供改造所必要的条件达</w:t>
      </w:r>
      <w:r>
        <w:rPr>
          <w:rFonts w:hint="eastAsia" w:asciiTheme="minorEastAsia" w:hAnsiTheme="minorEastAsia" w:eastAsiaTheme="minorEastAsia" w:cstheme="minorEastAsia"/>
          <w:snapToGrid w:val="0"/>
          <w:color w:val="auto"/>
          <w:spacing w:val="-17"/>
          <w:sz w:val="28"/>
          <w:szCs w:val="28"/>
          <w:highlight w:val="none"/>
          <w:u w:val="single"/>
        </w:rPr>
        <w:t xml:space="preserve">  </w:t>
      </w:r>
      <w:r>
        <w:rPr>
          <w:rFonts w:hint="eastAsia" w:asciiTheme="minorEastAsia" w:hAnsiTheme="minorEastAsia" w:eastAsiaTheme="minorEastAsia" w:cstheme="minorEastAsia"/>
          <w:snapToGrid w:val="0"/>
          <w:color w:val="auto"/>
          <w:spacing w:val="-17"/>
          <w:sz w:val="28"/>
          <w:szCs w:val="28"/>
          <w:highlight w:val="none"/>
          <w:u w:val="single"/>
          <w:lang w:val="en-US" w:eastAsia="zh-CN"/>
        </w:rPr>
        <w:t>60</w:t>
      </w:r>
      <w:r>
        <w:rPr>
          <w:rFonts w:hint="eastAsia" w:asciiTheme="minorEastAsia" w:hAnsiTheme="minorEastAsia" w:eastAsiaTheme="minorEastAsia" w:cstheme="minorEastAsia"/>
          <w:snapToGrid w:val="0"/>
          <w:color w:val="auto"/>
          <w:spacing w:val="-17"/>
          <w:sz w:val="28"/>
          <w:szCs w:val="28"/>
          <w:highlight w:val="none"/>
          <w:u w:val="single"/>
        </w:rPr>
        <w:t xml:space="preserve">  </w:t>
      </w:r>
      <w:r>
        <w:rPr>
          <w:rFonts w:hint="eastAsia" w:asciiTheme="minorEastAsia" w:hAnsiTheme="minorEastAsia" w:eastAsiaTheme="minorEastAsia" w:cstheme="minorEastAsia"/>
          <w:snapToGrid w:val="0"/>
          <w:color w:val="auto"/>
          <w:spacing w:val="-17"/>
          <w:sz w:val="28"/>
          <w:szCs w:val="28"/>
          <w:highlight w:val="none"/>
        </w:rPr>
        <w:t>日；</w:t>
      </w:r>
    </w:p>
    <w:p w14:paraId="479FE867">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（2）甲方迟延履行任何一期付款义务达</w:t>
      </w:r>
      <w:r>
        <w:rPr>
          <w:rFonts w:hint="eastAsia" w:asciiTheme="minorEastAsia" w:hAnsiTheme="minorEastAsia" w:eastAsiaTheme="minorEastAsia" w:cstheme="minorEastAsia"/>
          <w:snapToGrid w:val="0"/>
          <w:color w:val="auto"/>
          <w:spacing w:val="10"/>
          <w:sz w:val="28"/>
          <w:szCs w:val="28"/>
          <w:highlight w:val="none"/>
          <w:u w:val="single"/>
        </w:rPr>
        <w:t>6个月</w:t>
      </w:r>
      <w:r>
        <w:rPr>
          <w:rFonts w:hint="eastAsia" w:asciiTheme="minorEastAsia" w:hAnsiTheme="minorEastAsia" w:eastAsiaTheme="minorEastAsia" w:cstheme="minorEastAsia"/>
          <w:snapToGrid w:val="0"/>
          <w:color w:val="auto"/>
          <w:spacing w:val="10"/>
          <w:sz w:val="28"/>
          <w:szCs w:val="28"/>
          <w:highlight w:val="none"/>
        </w:rPr>
        <w:t>；</w:t>
      </w:r>
    </w:p>
    <w:p w14:paraId="71868E0A">
      <w:pPr>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1"/>
          <w:sz w:val="28"/>
          <w:szCs w:val="28"/>
          <w:highlight w:val="none"/>
        </w:rPr>
        <w:t>（3）在托管合同期内，由于能源资源单价或甲方</w:t>
      </w:r>
      <w:r>
        <w:rPr>
          <w:rFonts w:hint="eastAsia" w:asciiTheme="minorEastAsia" w:hAnsiTheme="minorEastAsia" w:eastAsiaTheme="minorEastAsia" w:cstheme="minorEastAsia"/>
          <w:snapToGrid w:val="0"/>
          <w:color w:val="auto"/>
          <w:spacing w:val="10"/>
          <w:sz w:val="28"/>
          <w:szCs w:val="28"/>
          <w:highlight w:val="none"/>
        </w:rPr>
        <w:t>用能边界发生变化（包括但不限于用能设备、用能面</w:t>
      </w:r>
      <w:r>
        <w:rPr>
          <w:rFonts w:hint="eastAsia" w:asciiTheme="minorEastAsia" w:hAnsiTheme="minorEastAsia" w:eastAsiaTheme="minorEastAsia" w:cstheme="minorEastAsia"/>
          <w:snapToGrid w:val="0"/>
          <w:color w:val="auto"/>
          <w:sz w:val="28"/>
          <w:szCs w:val="28"/>
          <w:highlight w:val="none"/>
        </w:rPr>
        <w:t>积、用能人数、用能时间、用能行为、原有设施损坏、气候异常等）导致能源费用上涨，且甲方因故</w:t>
      </w:r>
      <w:r>
        <w:rPr>
          <w:rFonts w:hint="eastAsia" w:asciiTheme="minorEastAsia" w:hAnsiTheme="minorEastAsia" w:eastAsiaTheme="minorEastAsia" w:cstheme="minorEastAsia"/>
          <w:snapToGrid w:val="0"/>
          <w:color w:val="auto"/>
          <w:spacing w:val="13"/>
          <w:sz w:val="28"/>
          <w:szCs w:val="28"/>
          <w:highlight w:val="none"/>
        </w:rPr>
        <w:t>无法支付调整费用，致使双方无法正常履行合同。</w:t>
      </w:r>
    </w:p>
    <w:p w14:paraId="6580A10C">
      <w:pPr>
        <w:autoSpaceDE w:val="0"/>
        <w:autoSpaceDN w:val="0"/>
        <w:adjustRightInd w:val="0"/>
        <w:snapToGrid w:val="0"/>
        <w:spacing w:line="480" w:lineRule="exact"/>
        <w:ind w:firstLine="624" w:firstLineChars="200"/>
        <w:textAlignment w:val="baseline"/>
        <w:rPr>
          <w:rFonts w:hint="eastAsia" w:asciiTheme="minorEastAsia" w:hAnsiTheme="minorEastAsia" w:eastAsiaTheme="minorEastAsia" w:cstheme="minorEastAsia"/>
          <w:snapToGrid w:val="0"/>
          <w:color w:val="auto"/>
          <w:spacing w:val="16"/>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11.5合同解除后，本项目应终止实施。如乙方完工前因甲方违约导致本合同解除的，甲方应支付乙方已投入的费用及已投入费用总金额20%的违约金。甲方付清上述款项后，乙方已完成的项目建设部分（如有）归属甲方所有。</w:t>
      </w:r>
    </w:p>
    <w:p w14:paraId="23EC5EAF">
      <w:pPr>
        <w:autoSpaceDE w:val="0"/>
        <w:autoSpaceDN w:val="0"/>
        <w:adjustRightInd w:val="0"/>
        <w:snapToGrid w:val="0"/>
        <w:spacing w:line="480" w:lineRule="exact"/>
        <w:ind w:firstLine="624" w:firstLineChars="200"/>
        <w:textAlignment w:val="baseline"/>
        <w:rPr>
          <w:rFonts w:hint="eastAsia" w:asciiTheme="minorEastAsia" w:hAnsiTheme="minorEastAsia" w:eastAsiaTheme="minorEastAsia" w:cstheme="minorEastAsia"/>
          <w:snapToGrid w:val="0"/>
          <w:color w:val="auto"/>
          <w:spacing w:val="16"/>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如乙方完工后因甲方违约导致本合同解除的，甲方应赔偿给乙方相应经济损失（相应经济损失包括但不限于项目设备按托管期年限折旧计算的资产净值等）以及按照项目设备按托管期年限折旧计算的资产净值的 1.2 倍标准向乙方支付赔偿金。甲方付清上述款项后，本项目设备归属甲方所有。</w:t>
      </w:r>
    </w:p>
    <w:p w14:paraId="378F587A">
      <w:pPr>
        <w:autoSpaceDE w:val="0"/>
        <w:autoSpaceDN w:val="0"/>
        <w:adjustRightInd w:val="0"/>
        <w:snapToGrid w:val="0"/>
        <w:spacing w:line="480" w:lineRule="exact"/>
        <w:ind w:firstLine="624" w:firstLineChars="200"/>
        <w:textAlignment w:val="baseline"/>
        <w:rPr>
          <w:rFonts w:hint="eastAsia" w:asciiTheme="minorEastAsia" w:hAnsiTheme="minorEastAsia" w:eastAsiaTheme="minorEastAsia" w:cstheme="minorEastAsia"/>
          <w:snapToGrid w:val="0"/>
          <w:color w:val="auto"/>
          <w:spacing w:val="16"/>
          <w:sz w:val="28"/>
          <w:szCs w:val="28"/>
          <w:highlight w:val="none"/>
          <w:lang w:eastAsia="zh-CN"/>
        </w:rPr>
      </w:pPr>
      <w:r>
        <w:rPr>
          <w:rFonts w:hint="eastAsia" w:asciiTheme="minorEastAsia" w:hAnsiTheme="minorEastAsia" w:eastAsiaTheme="minorEastAsia" w:cstheme="minorEastAsia"/>
          <w:snapToGrid w:val="0"/>
          <w:color w:val="auto"/>
          <w:spacing w:val="16"/>
          <w:sz w:val="28"/>
          <w:szCs w:val="28"/>
          <w:highlight w:val="none"/>
        </w:rPr>
        <w:t>11.6如因乙方违约导致本合同解除的，乙方应赔偿甲方的直接经济损失及按直接经济损失金额20%计算的违约金，乙方已投资完成的本项目设备（如有）经第三方评估机构评估后的价值可相应折抵上述赔偿款项，如评估价值超过赔偿款项的，由甲方向乙方返还差额</w:t>
      </w:r>
      <w:r>
        <w:rPr>
          <w:rFonts w:hint="eastAsia" w:asciiTheme="minorEastAsia" w:hAnsiTheme="minorEastAsia" w:eastAsiaTheme="minorEastAsia" w:cstheme="minorEastAsia"/>
          <w:snapToGrid w:val="0"/>
          <w:color w:val="auto"/>
          <w:spacing w:val="16"/>
          <w:sz w:val="28"/>
          <w:szCs w:val="28"/>
          <w:highlight w:val="none"/>
          <w:lang w:eastAsia="zh-CN"/>
        </w:rPr>
        <w:t>。</w:t>
      </w:r>
    </w:p>
    <w:p w14:paraId="6EAD189D">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11.7本合同的解除不影响任意一方根据本合同或者相关</w:t>
      </w:r>
      <w:r>
        <w:rPr>
          <w:rFonts w:hint="eastAsia" w:asciiTheme="minorEastAsia" w:hAnsiTheme="minorEastAsia" w:eastAsiaTheme="minorEastAsia" w:cstheme="minorEastAsia"/>
          <w:snapToGrid w:val="0"/>
          <w:color w:val="auto"/>
          <w:spacing w:val="15"/>
          <w:sz w:val="28"/>
          <w:szCs w:val="28"/>
          <w:highlight w:val="none"/>
        </w:rPr>
        <w:t>的法律法规向对方寻求赔偿的权利，也不</w:t>
      </w:r>
      <w:r>
        <w:rPr>
          <w:rFonts w:hint="eastAsia" w:asciiTheme="minorEastAsia" w:hAnsiTheme="minorEastAsia" w:eastAsiaTheme="minorEastAsia" w:cstheme="minorEastAsia"/>
          <w:snapToGrid w:val="0"/>
          <w:color w:val="auto"/>
          <w:spacing w:val="14"/>
          <w:sz w:val="28"/>
          <w:szCs w:val="28"/>
          <w:highlight w:val="none"/>
        </w:rPr>
        <w:t>影响一方在合同解除前到期的付款、支付违约金等义务的</w:t>
      </w:r>
      <w:r>
        <w:rPr>
          <w:rFonts w:hint="eastAsia" w:asciiTheme="minorEastAsia" w:hAnsiTheme="minorEastAsia" w:eastAsiaTheme="minorEastAsia" w:cstheme="minorEastAsia"/>
          <w:snapToGrid w:val="0"/>
          <w:color w:val="auto"/>
          <w:spacing w:val="13"/>
          <w:sz w:val="28"/>
          <w:szCs w:val="28"/>
          <w:highlight w:val="none"/>
        </w:rPr>
        <w:t>履行。</w:t>
      </w:r>
    </w:p>
    <w:p w14:paraId="4D9D9A49">
      <w:pPr>
        <w:autoSpaceDE w:val="0"/>
        <w:autoSpaceDN w:val="0"/>
        <w:adjustRightInd w:val="0"/>
        <w:snapToGrid w:val="0"/>
        <w:spacing w:line="480" w:lineRule="exact"/>
        <w:ind w:firstLine="5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8"/>
          <w:sz w:val="28"/>
          <w:szCs w:val="28"/>
          <w:highlight w:val="none"/>
        </w:rPr>
        <w:t>11.8其他：</w:t>
      </w:r>
      <w:r>
        <w:rPr>
          <w:rFonts w:hint="eastAsia" w:asciiTheme="minorEastAsia" w:hAnsiTheme="minorEastAsia" w:eastAsiaTheme="minorEastAsia" w:cstheme="minorEastAsia"/>
          <w:snapToGrid w:val="0"/>
          <w:color w:val="auto"/>
          <w:spacing w:val="-8"/>
          <w:sz w:val="28"/>
          <w:szCs w:val="28"/>
          <w:highlight w:val="none"/>
          <w:u w:val="single"/>
        </w:rPr>
        <w:t xml:space="preserve">    </w:t>
      </w:r>
      <w:r>
        <w:rPr>
          <w:rFonts w:hint="eastAsia" w:asciiTheme="minorEastAsia" w:hAnsiTheme="minorEastAsia" w:eastAsiaTheme="minorEastAsia" w:cstheme="minorEastAsia"/>
          <w:snapToGrid w:val="0"/>
          <w:color w:val="auto"/>
          <w:spacing w:val="-8"/>
          <w:sz w:val="28"/>
          <w:szCs w:val="28"/>
          <w:highlight w:val="none"/>
        </w:rPr>
        <w:t>。</w:t>
      </w:r>
    </w:p>
    <w:p w14:paraId="65C92111">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第12节  合同项下权利、义务的转让</w:t>
      </w:r>
    </w:p>
    <w:p w14:paraId="5879CF43">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kern w:val="0"/>
          <w:sz w:val="28"/>
          <w:szCs w:val="28"/>
          <w:highlight w:val="none"/>
        </w:rPr>
        <w:t>双方约定，合同项下权利、义务的转让按照以下方式进行。</w:t>
      </w:r>
    </w:p>
    <w:p w14:paraId="577EE9F4">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kern w:val="0"/>
          <w:sz w:val="28"/>
          <w:szCs w:val="28"/>
          <w:highlight w:val="none"/>
        </w:rPr>
        <w:t>（1）甲方在转让本合同项下的权利之前，应书面通知乙方。</w:t>
      </w:r>
    </w:p>
    <w:p w14:paraId="139426F1">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kern w:val="0"/>
          <w:sz w:val="28"/>
          <w:szCs w:val="28"/>
          <w:highlight w:val="none"/>
        </w:rPr>
        <w:t>（2）甲方在转让本合同项下的义务之前，应书面征得乙方同意；在未征得乙方同意之前，甲方以任何形式转让或转移本合同项下的义务均为无效。</w:t>
      </w:r>
    </w:p>
    <w:p w14:paraId="6EE303D6">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kern w:val="0"/>
          <w:sz w:val="28"/>
          <w:szCs w:val="28"/>
          <w:highlight w:val="none"/>
        </w:rPr>
        <w:t>（3）乙方在转让本合同项下的权利之前，应书面通知甲方。</w:t>
      </w:r>
    </w:p>
    <w:p w14:paraId="54D87CC9">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kern w:val="0"/>
          <w:sz w:val="28"/>
          <w:szCs w:val="28"/>
          <w:highlight w:val="none"/>
        </w:rPr>
        <w:t>（4）乙方在转让本合同项下的义务之前，应书面征得甲方同意；在未征得甲方同意之前，乙方以任何形式转让或转移本合同项下的义务均为无效。</w:t>
      </w:r>
    </w:p>
    <w:p w14:paraId="475FDF6B">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kern w:val="0"/>
          <w:sz w:val="28"/>
          <w:szCs w:val="28"/>
          <w:highlight w:val="none"/>
        </w:rPr>
        <w:t>（5）其他：    。</w:t>
      </w:r>
    </w:p>
    <w:p w14:paraId="315691B1">
      <w:pPr>
        <w:widowControl/>
        <w:autoSpaceDE w:val="0"/>
        <w:autoSpaceDN w:val="0"/>
        <w:adjustRightInd w:val="0"/>
        <w:snapToGrid w:val="0"/>
        <w:spacing w:line="480" w:lineRule="exact"/>
        <w:ind w:firstLine="596" w:firstLineChars="200"/>
        <w:textAlignment w:val="baseline"/>
        <w:rPr>
          <w:rFonts w:asciiTheme="minorEastAsia" w:hAnsiTheme="minorEastAsia" w:eastAsiaTheme="minorEastAsia" w:cstheme="minorEastAsia"/>
          <w:snapToGrid w:val="0"/>
          <w:color w:val="auto"/>
          <w:spacing w:val="9"/>
          <w:kern w:val="0"/>
          <w:sz w:val="28"/>
          <w:szCs w:val="28"/>
          <w:highlight w:val="none"/>
        </w:rPr>
      </w:pPr>
    </w:p>
    <w:p w14:paraId="7E11209C">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第13节  人身、财产损害和赔偿</w:t>
      </w:r>
    </w:p>
    <w:p w14:paraId="5CF71299">
      <w:pPr>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6"/>
          <w:sz w:val="28"/>
          <w:szCs w:val="28"/>
          <w:highlight w:val="none"/>
        </w:rPr>
        <w:t>13.1如在履行本合同的过程中，因一方的工作人员或受其指派的第三方人员（“侵权方”）的故意或</w:t>
      </w:r>
      <w:r>
        <w:rPr>
          <w:rFonts w:hint="eastAsia" w:asciiTheme="minorEastAsia" w:hAnsiTheme="minorEastAsia" w:eastAsiaTheme="minorEastAsia" w:cstheme="minorEastAsia"/>
          <w:snapToGrid w:val="0"/>
          <w:color w:val="auto"/>
          <w:spacing w:val="16"/>
          <w:sz w:val="28"/>
          <w:szCs w:val="28"/>
          <w:highlight w:val="none"/>
        </w:rPr>
        <w:t>者是过失而导致另一方的工作人员，或者任何第三</w:t>
      </w:r>
      <w:r>
        <w:rPr>
          <w:rFonts w:hint="eastAsia" w:asciiTheme="minorEastAsia" w:hAnsiTheme="minorEastAsia" w:eastAsiaTheme="minorEastAsia" w:cstheme="minorEastAsia"/>
          <w:snapToGrid w:val="0"/>
          <w:color w:val="auto"/>
          <w:spacing w:val="15"/>
          <w:sz w:val="28"/>
          <w:szCs w:val="28"/>
          <w:highlight w:val="none"/>
        </w:rPr>
        <w:t>方的人身或者是财产损害，侵权方应当为此负责。如</w:t>
      </w:r>
      <w:r>
        <w:rPr>
          <w:rFonts w:hint="eastAsia" w:asciiTheme="minorEastAsia" w:hAnsiTheme="minorEastAsia" w:eastAsiaTheme="minorEastAsia" w:cstheme="minorEastAsia"/>
          <w:snapToGrid w:val="0"/>
          <w:color w:val="auto"/>
          <w:spacing w:val="16"/>
          <w:sz w:val="28"/>
          <w:szCs w:val="28"/>
          <w:highlight w:val="none"/>
        </w:rPr>
        <w:t>果另一方因此受到其工作人员或者该第三方的赔偿请求，则侵权方应负责为另一方抗辩，并赔偿另一方</w:t>
      </w:r>
      <w:r>
        <w:rPr>
          <w:rFonts w:hint="eastAsia" w:asciiTheme="minorEastAsia" w:hAnsiTheme="minorEastAsia" w:eastAsiaTheme="minorEastAsia" w:cstheme="minorEastAsia"/>
          <w:snapToGrid w:val="0"/>
          <w:color w:val="auto"/>
          <w:spacing w:val="17"/>
          <w:sz w:val="28"/>
          <w:szCs w:val="28"/>
          <w:highlight w:val="none"/>
        </w:rPr>
        <w:t>由此而产生的所有费用和损失。</w:t>
      </w:r>
    </w:p>
    <w:p w14:paraId="273A61AB">
      <w:pPr>
        <w:autoSpaceDE w:val="0"/>
        <w:autoSpaceDN w:val="0"/>
        <w:adjustRightInd w:val="0"/>
        <w:snapToGrid w:val="0"/>
        <w:spacing w:line="480" w:lineRule="exact"/>
        <w:ind w:firstLine="64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20"/>
          <w:sz w:val="28"/>
          <w:szCs w:val="28"/>
          <w:highlight w:val="none"/>
        </w:rPr>
        <w:t>13.2受损害或伤害的一方对损害或伤害的发生也有过错</w:t>
      </w:r>
      <w:r>
        <w:rPr>
          <w:rFonts w:hint="eastAsia" w:asciiTheme="minorEastAsia" w:hAnsiTheme="minorEastAsia" w:eastAsiaTheme="minorEastAsia" w:cstheme="minorEastAsia"/>
          <w:snapToGrid w:val="0"/>
          <w:color w:val="auto"/>
          <w:spacing w:val="19"/>
          <w:sz w:val="28"/>
          <w:szCs w:val="28"/>
          <w:highlight w:val="none"/>
        </w:rPr>
        <w:t>时，应当根据其过错程度承担相应的责</w:t>
      </w:r>
      <w:r>
        <w:rPr>
          <w:rFonts w:hint="eastAsia" w:asciiTheme="minorEastAsia" w:hAnsiTheme="minorEastAsia" w:eastAsiaTheme="minorEastAsia" w:cstheme="minorEastAsia"/>
          <w:snapToGrid w:val="0"/>
          <w:color w:val="auto"/>
          <w:spacing w:val="12"/>
          <w:sz w:val="28"/>
          <w:szCs w:val="28"/>
          <w:highlight w:val="none"/>
        </w:rPr>
        <w:t>任，并适当减轻造成损害或伤害一方的责任。</w:t>
      </w:r>
    </w:p>
    <w:p w14:paraId="067B3545">
      <w:pPr>
        <w:autoSpaceDE w:val="0"/>
        <w:autoSpaceDN w:val="0"/>
        <w:adjustRightInd w:val="0"/>
        <w:snapToGrid w:val="0"/>
        <w:spacing w:line="480" w:lineRule="exact"/>
        <w:ind w:firstLine="5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8"/>
          <w:sz w:val="28"/>
          <w:szCs w:val="28"/>
          <w:highlight w:val="none"/>
        </w:rPr>
        <w:t>13.3其他：</w:t>
      </w:r>
      <w:r>
        <w:rPr>
          <w:rFonts w:hint="eastAsia" w:asciiTheme="minorEastAsia" w:hAnsiTheme="minorEastAsia" w:eastAsiaTheme="minorEastAsia" w:cstheme="minorEastAsia"/>
          <w:snapToGrid w:val="0"/>
          <w:color w:val="auto"/>
          <w:spacing w:val="-8"/>
          <w:sz w:val="28"/>
          <w:szCs w:val="28"/>
          <w:highlight w:val="none"/>
          <w:u w:val="single"/>
        </w:rPr>
        <w:t xml:space="preserve">    </w:t>
      </w:r>
      <w:r>
        <w:rPr>
          <w:rFonts w:hint="eastAsia" w:asciiTheme="minorEastAsia" w:hAnsiTheme="minorEastAsia" w:eastAsiaTheme="minorEastAsia" w:cstheme="minorEastAsia"/>
          <w:snapToGrid w:val="0"/>
          <w:color w:val="auto"/>
          <w:spacing w:val="-8"/>
          <w:sz w:val="28"/>
          <w:szCs w:val="28"/>
          <w:highlight w:val="none"/>
        </w:rPr>
        <w:t>。</w:t>
      </w:r>
    </w:p>
    <w:p w14:paraId="492DB63D">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第14节  保密条款</w:t>
      </w:r>
    </w:p>
    <w:p w14:paraId="6100ACAC">
      <w:pPr>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6"/>
          <w:sz w:val="28"/>
          <w:szCs w:val="28"/>
          <w:highlight w:val="none"/>
        </w:rPr>
        <w:t>14.1甲乙双方在订立、履行本合</w:t>
      </w:r>
      <w:r>
        <w:rPr>
          <w:rFonts w:hint="eastAsia" w:asciiTheme="minorEastAsia" w:hAnsiTheme="minorEastAsia" w:eastAsiaTheme="minorEastAsia" w:cstheme="minorEastAsia"/>
          <w:snapToGrid w:val="0"/>
          <w:color w:val="auto"/>
          <w:spacing w:val="5"/>
          <w:sz w:val="28"/>
          <w:szCs w:val="28"/>
          <w:highlight w:val="none"/>
        </w:rPr>
        <w:t>同过程中所知悉的对方财务信息、技术信息、经营信息、运营活动、</w:t>
      </w:r>
      <w:r>
        <w:rPr>
          <w:rFonts w:hint="eastAsia" w:asciiTheme="minorEastAsia" w:hAnsiTheme="minorEastAsia" w:eastAsiaTheme="minorEastAsia" w:cstheme="minorEastAsia"/>
          <w:snapToGrid w:val="0"/>
          <w:color w:val="auto"/>
          <w:spacing w:val="13"/>
          <w:sz w:val="28"/>
          <w:szCs w:val="28"/>
          <w:highlight w:val="none"/>
        </w:rPr>
        <w:t>公司计划等信息均为商业秘密，无论本合同是否有效、履行或解除</w:t>
      </w:r>
      <w:r>
        <w:rPr>
          <w:rFonts w:hint="eastAsia" w:asciiTheme="minorEastAsia" w:hAnsiTheme="minorEastAsia" w:eastAsiaTheme="minorEastAsia" w:cstheme="minorEastAsia"/>
          <w:snapToGrid w:val="0"/>
          <w:color w:val="auto"/>
          <w:spacing w:val="12"/>
          <w:sz w:val="28"/>
          <w:szCs w:val="28"/>
          <w:highlight w:val="none"/>
        </w:rPr>
        <w:t>，未经资料和文件提供方的书面同意，</w:t>
      </w:r>
      <w:r>
        <w:rPr>
          <w:rFonts w:hint="eastAsia" w:asciiTheme="minorEastAsia" w:hAnsiTheme="minorEastAsia" w:eastAsiaTheme="minorEastAsia" w:cstheme="minorEastAsia"/>
          <w:snapToGrid w:val="0"/>
          <w:color w:val="auto"/>
          <w:spacing w:val="17"/>
          <w:sz w:val="28"/>
          <w:szCs w:val="28"/>
          <w:highlight w:val="none"/>
        </w:rPr>
        <w:t>另一方不得向任何第三方泄露该商业秘密的全部或部分内容，</w:t>
      </w:r>
      <w:r>
        <w:rPr>
          <w:rFonts w:hint="eastAsia" w:asciiTheme="minorEastAsia" w:hAnsiTheme="minorEastAsia" w:eastAsiaTheme="minorEastAsia" w:cstheme="minorEastAsia"/>
          <w:snapToGrid w:val="0"/>
          <w:color w:val="auto"/>
          <w:spacing w:val="16"/>
          <w:sz w:val="28"/>
          <w:szCs w:val="28"/>
          <w:highlight w:val="none"/>
        </w:rPr>
        <w:t>也不得自行或许可任何第三方使用。</w:t>
      </w:r>
    </w:p>
    <w:p w14:paraId="0F3BE811">
      <w:pPr>
        <w:autoSpaceDE w:val="0"/>
        <w:autoSpaceDN w:val="0"/>
        <w:adjustRightInd w:val="0"/>
        <w:snapToGrid w:val="0"/>
        <w:spacing w:line="480" w:lineRule="exact"/>
        <w:ind w:firstLine="54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5"/>
          <w:sz w:val="28"/>
          <w:szCs w:val="28"/>
          <w:highlight w:val="none"/>
        </w:rPr>
        <w:t>14.2一方违反上述保密义务擅自泄露、</w:t>
      </w:r>
      <w:r>
        <w:rPr>
          <w:rFonts w:hint="eastAsia" w:asciiTheme="minorEastAsia" w:hAnsiTheme="minorEastAsia" w:eastAsiaTheme="minorEastAsia" w:cstheme="minorEastAsia"/>
          <w:snapToGrid w:val="0"/>
          <w:color w:val="auto"/>
          <w:spacing w:val="-6"/>
          <w:sz w:val="28"/>
          <w:szCs w:val="28"/>
          <w:highlight w:val="none"/>
        </w:rPr>
        <w:t>使用其秘密资料及信息的，须承担由此产生的一切法律</w:t>
      </w:r>
      <w:r>
        <w:rPr>
          <w:rFonts w:hint="eastAsia" w:asciiTheme="minorEastAsia" w:hAnsiTheme="minorEastAsia" w:eastAsiaTheme="minorEastAsia" w:cstheme="minorEastAsia"/>
          <w:snapToGrid w:val="0"/>
          <w:color w:val="auto"/>
          <w:spacing w:val="5"/>
          <w:sz w:val="28"/>
          <w:szCs w:val="28"/>
          <w:highlight w:val="none"/>
        </w:rPr>
        <w:t>责任。</w:t>
      </w:r>
    </w:p>
    <w:p w14:paraId="1E788FEA">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第15节  争议的解决</w:t>
      </w:r>
    </w:p>
    <w:p w14:paraId="6CB6D95A">
      <w:pPr>
        <w:autoSpaceDE w:val="0"/>
        <w:autoSpaceDN w:val="0"/>
        <w:adjustRightInd w:val="0"/>
        <w:snapToGrid w:val="0"/>
        <w:spacing w:line="480" w:lineRule="exact"/>
        <w:ind w:firstLine="56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2"/>
          <w:sz w:val="28"/>
          <w:szCs w:val="28"/>
          <w:highlight w:val="none"/>
        </w:rPr>
        <w:t>15.1因本合同的履行、解释、违约、终止、中止、效力等引起的任何争议、纠纷，各方应友好协商解</w:t>
      </w:r>
      <w:r>
        <w:rPr>
          <w:rFonts w:hint="eastAsia" w:asciiTheme="minorEastAsia" w:hAnsiTheme="minorEastAsia" w:eastAsiaTheme="minorEastAsia" w:cstheme="minorEastAsia"/>
          <w:snapToGrid w:val="0"/>
          <w:color w:val="auto"/>
          <w:spacing w:val="8"/>
          <w:sz w:val="28"/>
          <w:szCs w:val="28"/>
          <w:highlight w:val="none"/>
        </w:rPr>
        <w:t>决。协商不成的，向</w:t>
      </w:r>
      <w:r>
        <w:rPr>
          <w:rFonts w:hint="eastAsia" w:asciiTheme="minorEastAsia" w:hAnsiTheme="minorEastAsia" w:eastAsiaTheme="minorEastAsia" w:cstheme="minorEastAsia"/>
          <w:snapToGrid w:val="0"/>
          <w:color w:val="auto"/>
          <w:spacing w:val="8"/>
          <w:sz w:val="28"/>
          <w:szCs w:val="28"/>
          <w:highlight w:val="none"/>
          <w:u w:val="single"/>
          <w:lang w:val="en-US" w:eastAsia="zh-CN"/>
        </w:rPr>
        <w:t>甲方所在地</w:t>
      </w:r>
      <w:r>
        <w:rPr>
          <w:rFonts w:hint="eastAsia" w:asciiTheme="minorEastAsia" w:hAnsiTheme="minorEastAsia" w:eastAsiaTheme="minorEastAsia" w:cstheme="minorEastAsia"/>
          <w:snapToGrid w:val="0"/>
          <w:color w:val="auto"/>
          <w:spacing w:val="8"/>
          <w:sz w:val="28"/>
          <w:szCs w:val="28"/>
          <w:highlight w:val="none"/>
          <w:u w:val="none"/>
          <w:lang w:val="en-US" w:eastAsia="zh-CN"/>
        </w:rPr>
        <w:t>人</w:t>
      </w:r>
      <w:r>
        <w:rPr>
          <w:rFonts w:hint="eastAsia" w:asciiTheme="minorEastAsia" w:hAnsiTheme="minorEastAsia" w:eastAsiaTheme="minorEastAsia" w:cstheme="minorEastAsia"/>
          <w:snapToGrid w:val="0"/>
          <w:color w:val="auto"/>
          <w:spacing w:val="8"/>
          <w:sz w:val="28"/>
          <w:szCs w:val="28"/>
          <w:highlight w:val="none"/>
        </w:rPr>
        <w:t>民法院提起诉讼。</w:t>
      </w:r>
    </w:p>
    <w:p w14:paraId="47E9F114">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15.2在违约引发的诉讼程序中，违约方应赔偿守约方因诉讼产生的一切费用，包括但不限于律师</w:t>
      </w:r>
      <w:r>
        <w:rPr>
          <w:rFonts w:hint="eastAsia" w:asciiTheme="minorEastAsia" w:hAnsiTheme="minorEastAsia" w:eastAsiaTheme="minorEastAsia" w:cstheme="minorEastAsia"/>
          <w:snapToGrid w:val="0"/>
          <w:color w:val="auto"/>
          <w:sz w:val="28"/>
          <w:szCs w:val="28"/>
          <w:highlight w:val="none"/>
        </w:rPr>
        <w:t>费、诉讼费、保全费、鉴定费、差旅费等为维权支出的一切费用。</w:t>
      </w:r>
    </w:p>
    <w:p w14:paraId="01F01383">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第16节  保险</w:t>
      </w:r>
    </w:p>
    <w:p w14:paraId="40E81979">
      <w:pPr>
        <w:autoSpaceDE w:val="0"/>
        <w:autoSpaceDN w:val="0"/>
        <w:adjustRightInd w:val="0"/>
        <w:snapToGrid w:val="0"/>
        <w:spacing w:line="480" w:lineRule="exact"/>
        <w:ind w:firstLine="57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4"/>
          <w:sz w:val="28"/>
          <w:szCs w:val="28"/>
          <w:highlight w:val="none"/>
        </w:rPr>
        <w:t>16.1双方约定按以下方式购买保险：</w:t>
      </w:r>
      <w:r>
        <w:rPr>
          <w:rFonts w:hint="eastAsia" w:asciiTheme="minorEastAsia" w:hAnsiTheme="minorEastAsia" w:eastAsiaTheme="minorEastAsia" w:cstheme="minorEastAsia"/>
          <w:snapToGrid w:val="0"/>
          <w:color w:val="auto"/>
          <w:spacing w:val="4"/>
          <w:sz w:val="28"/>
          <w:szCs w:val="28"/>
          <w:highlight w:val="none"/>
          <w:u w:val="single"/>
        </w:rPr>
        <w:t xml:space="preserve">                   </w:t>
      </w:r>
      <w:r>
        <w:rPr>
          <w:rFonts w:hint="eastAsia" w:asciiTheme="minorEastAsia" w:hAnsiTheme="minorEastAsia" w:eastAsiaTheme="minorEastAsia" w:cstheme="minorEastAsia"/>
          <w:snapToGrid w:val="0"/>
          <w:color w:val="auto"/>
          <w:spacing w:val="4"/>
          <w:sz w:val="28"/>
          <w:szCs w:val="28"/>
          <w:highlight w:val="none"/>
        </w:rPr>
        <w:t>。</w:t>
      </w:r>
    </w:p>
    <w:p w14:paraId="45D7ABB8">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16.2双方应协商避免重复投保，</w:t>
      </w:r>
      <w:r>
        <w:rPr>
          <w:rFonts w:hint="eastAsia" w:asciiTheme="minorEastAsia" w:hAnsiTheme="minorEastAsia" w:eastAsiaTheme="minorEastAsia" w:cstheme="minorEastAsia"/>
          <w:snapToGrid w:val="0"/>
          <w:color w:val="auto"/>
          <w:spacing w:val="13"/>
          <w:sz w:val="28"/>
          <w:szCs w:val="28"/>
          <w:highlight w:val="none"/>
        </w:rPr>
        <w:t>并及时告知对方已有的或准备进行的相关项目、财产和人员的投</w:t>
      </w:r>
      <w:r>
        <w:rPr>
          <w:rFonts w:hint="eastAsia" w:asciiTheme="minorEastAsia" w:hAnsiTheme="minorEastAsia" w:eastAsiaTheme="minorEastAsia" w:cstheme="minorEastAsia"/>
          <w:snapToGrid w:val="0"/>
          <w:color w:val="auto"/>
          <w:spacing w:val="10"/>
          <w:sz w:val="28"/>
          <w:szCs w:val="28"/>
          <w:highlight w:val="none"/>
        </w:rPr>
        <w:t>保情况。</w:t>
      </w:r>
    </w:p>
    <w:p w14:paraId="3D334133">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第17节  知识产权</w:t>
      </w:r>
    </w:p>
    <w:p w14:paraId="0124EB92">
      <w:pPr>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2"/>
          <w:sz w:val="28"/>
          <w:szCs w:val="28"/>
          <w:highlight w:val="none"/>
        </w:rPr>
        <w:t>17.1因履行本合同所产生的研究开发成果及其相关知识产权的权益归属由双方约</w:t>
      </w:r>
      <w:r>
        <w:rPr>
          <w:rFonts w:hint="eastAsia" w:asciiTheme="minorEastAsia" w:hAnsiTheme="minorEastAsia" w:eastAsiaTheme="minorEastAsia" w:cstheme="minorEastAsia"/>
          <w:snapToGrid w:val="0"/>
          <w:color w:val="auto"/>
          <w:spacing w:val="11"/>
          <w:sz w:val="28"/>
          <w:szCs w:val="28"/>
          <w:highlight w:val="none"/>
        </w:rPr>
        <w:t>定如下：</w:t>
      </w:r>
      <w:r>
        <w:rPr>
          <w:rFonts w:hint="eastAsia" w:asciiTheme="minorEastAsia" w:hAnsiTheme="minorEastAsia" w:eastAsiaTheme="minorEastAsia" w:cstheme="minorEastAsia"/>
          <w:snapToGrid w:val="0"/>
          <w:color w:val="auto"/>
          <w:sz w:val="28"/>
          <w:szCs w:val="28"/>
          <w:highlight w:val="none"/>
          <w:u w:val="single"/>
        </w:rPr>
        <w:tab/>
      </w:r>
      <w:r>
        <w:rPr>
          <w:rFonts w:hint="eastAsia" w:asciiTheme="minorEastAsia" w:hAnsiTheme="minorEastAsia" w:eastAsiaTheme="minorEastAsia" w:cstheme="minorEastAsia"/>
          <w:snapToGrid w:val="0"/>
          <w:color w:val="auto"/>
          <w:sz w:val="28"/>
          <w:szCs w:val="28"/>
          <w:highlight w:val="none"/>
          <w:u w:val="single"/>
        </w:rPr>
        <w:t xml:space="preserve">         </w:t>
      </w:r>
      <w:r>
        <w:rPr>
          <w:rFonts w:hint="eastAsia" w:asciiTheme="minorEastAsia" w:hAnsiTheme="minorEastAsia" w:eastAsiaTheme="minorEastAsia" w:cstheme="minorEastAsia"/>
          <w:snapToGrid w:val="0"/>
          <w:color w:val="auto"/>
          <w:sz w:val="28"/>
          <w:szCs w:val="28"/>
          <w:highlight w:val="none"/>
        </w:rPr>
        <w:t>。</w:t>
      </w:r>
    </w:p>
    <w:p w14:paraId="035AD757">
      <w:pPr>
        <w:autoSpaceDE w:val="0"/>
        <w:autoSpaceDN w:val="0"/>
        <w:adjustRightInd w:val="0"/>
        <w:snapToGrid w:val="0"/>
        <w:spacing w:before="240" w:beforeLines="100" w:after="240" w:afterLines="100" w:line="480" w:lineRule="exact"/>
        <w:ind w:firstLine="576"/>
        <w:jc w:val="center"/>
        <w:textAlignment w:val="baseline"/>
        <w:rPr>
          <w:rFonts w:ascii="黑体" w:hAnsi="黑体" w:eastAsia="黑体" w:cs="黑体"/>
          <w:snapToGrid w:val="0"/>
          <w:color w:val="auto"/>
          <w:spacing w:val="4"/>
          <w:position w:val="1"/>
          <w:sz w:val="28"/>
          <w:szCs w:val="28"/>
          <w:highlight w:val="none"/>
        </w:rPr>
      </w:pPr>
      <w:r>
        <w:rPr>
          <w:rFonts w:hint="eastAsia" w:ascii="黑体" w:hAnsi="黑体" w:eastAsia="黑体" w:cs="黑体"/>
          <w:snapToGrid w:val="0"/>
          <w:color w:val="auto"/>
          <w:spacing w:val="4"/>
          <w:position w:val="1"/>
          <w:sz w:val="28"/>
          <w:szCs w:val="28"/>
          <w:highlight w:val="none"/>
        </w:rPr>
        <w:t>第18节  合同的生效及其他</w:t>
      </w:r>
    </w:p>
    <w:p w14:paraId="7B403095">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18.1项目联系人负责双方商务往来文件的发</w:t>
      </w:r>
      <w:r>
        <w:rPr>
          <w:rFonts w:hint="eastAsia" w:asciiTheme="minorEastAsia" w:hAnsiTheme="minorEastAsia" w:eastAsiaTheme="minorEastAsia" w:cstheme="minorEastAsia"/>
          <w:snapToGrid w:val="0"/>
          <w:color w:val="auto"/>
          <w:spacing w:val="13"/>
          <w:sz w:val="28"/>
          <w:szCs w:val="28"/>
          <w:highlight w:val="none"/>
        </w:rPr>
        <w:t>送和接收，双方定期会晤的召集和决议跟踪。</w:t>
      </w:r>
    </w:p>
    <w:p w14:paraId="3E50E169">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18.2一方变更项目联系人的，应在</w:t>
      </w:r>
      <w:r>
        <w:rPr>
          <w:rFonts w:hint="eastAsia" w:asciiTheme="minorEastAsia" w:hAnsiTheme="minorEastAsia" w:eastAsiaTheme="minorEastAsia" w:cstheme="minorEastAsia"/>
          <w:snapToGrid w:val="0"/>
          <w:color w:val="auto"/>
          <w:spacing w:val="13"/>
          <w:sz w:val="28"/>
          <w:szCs w:val="28"/>
          <w:highlight w:val="none"/>
          <w:u w:val="single"/>
        </w:rPr>
        <w:t xml:space="preserve">     </w:t>
      </w:r>
      <w:r>
        <w:rPr>
          <w:rFonts w:hint="eastAsia" w:asciiTheme="minorEastAsia" w:hAnsiTheme="minorEastAsia" w:eastAsiaTheme="minorEastAsia" w:cstheme="minorEastAsia"/>
          <w:snapToGrid w:val="0"/>
          <w:color w:val="auto"/>
          <w:spacing w:val="13"/>
          <w:sz w:val="28"/>
          <w:szCs w:val="28"/>
          <w:highlight w:val="none"/>
        </w:rPr>
        <w:t>日内以书面形式通知另一方</w:t>
      </w:r>
      <w:r>
        <w:rPr>
          <w:rFonts w:hint="eastAsia" w:asciiTheme="minorEastAsia" w:hAnsiTheme="minorEastAsia" w:eastAsiaTheme="minorEastAsia" w:cstheme="minorEastAsia"/>
          <w:snapToGrid w:val="0"/>
          <w:color w:val="auto"/>
          <w:spacing w:val="12"/>
          <w:sz w:val="28"/>
          <w:szCs w:val="28"/>
          <w:highlight w:val="none"/>
        </w:rPr>
        <w:t>。未及时通知并影响本合同履</w:t>
      </w:r>
      <w:r>
        <w:rPr>
          <w:rFonts w:hint="eastAsia" w:asciiTheme="minorEastAsia" w:hAnsiTheme="minorEastAsia" w:eastAsiaTheme="minorEastAsia" w:cstheme="minorEastAsia"/>
          <w:snapToGrid w:val="0"/>
          <w:color w:val="auto"/>
          <w:spacing w:val="11"/>
          <w:sz w:val="28"/>
          <w:szCs w:val="28"/>
          <w:highlight w:val="none"/>
        </w:rPr>
        <w:t>行或造成损失的，应承担相应的责任。</w:t>
      </w:r>
    </w:p>
    <w:p w14:paraId="795FBC6D">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18.3本合同项下的通知应由专人递交，挂号信、快递或者电子邮件的方式发送至本合同开头所列</w:t>
      </w:r>
      <w:r>
        <w:rPr>
          <w:rFonts w:hint="eastAsia" w:asciiTheme="minorEastAsia" w:hAnsiTheme="minorEastAsia" w:eastAsiaTheme="minorEastAsia" w:cstheme="minorEastAsia"/>
          <w:snapToGrid w:val="0"/>
          <w:color w:val="auto"/>
          <w:spacing w:val="16"/>
          <w:sz w:val="28"/>
          <w:szCs w:val="28"/>
          <w:highlight w:val="none"/>
        </w:rPr>
        <w:t>的地址。如该通知以口头形式发出，则应尽快在合理时间内以书面方</w:t>
      </w:r>
      <w:r>
        <w:rPr>
          <w:rFonts w:hint="eastAsia" w:asciiTheme="minorEastAsia" w:hAnsiTheme="minorEastAsia" w:eastAsiaTheme="minorEastAsia" w:cstheme="minorEastAsia"/>
          <w:snapToGrid w:val="0"/>
          <w:color w:val="auto"/>
          <w:spacing w:val="15"/>
          <w:sz w:val="28"/>
          <w:szCs w:val="28"/>
          <w:highlight w:val="none"/>
        </w:rPr>
        <w:t>式向对方确认。如一方联系地址改变，则应当尽快以书面形式告知对方。本合同中所列的地址即为甲乙双方的收件地址。</w:t>
      </w:r>
    </w:p>
    <w:p w14:paraId="7C5FA4B5">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18.4本合同终止时，乙方应将管理用房、能源管理相关资料等及属于甲方所有的财物及时完整地</w:t>
      </w:r>
      <w:r>
        <w:rPr>
          <w:rFonts w:hint="eastAsia" w:asciiTheme="minorEastAsia" w:hAnsiTheme="minorEastAsia" w:eastAsiaTheme="minorEastAsia" w:cstheme="minorEastAsia"/>
          <w:snapToGrid w:val="0"/>
          <w:color w:val="auto"/>
          <w:spacing w:val="13"/>
          <w:sz w:val="28"/>
          <w:szCs w:val="28"/>
          <w:highlight w:val="none"/>
        </w:rPr>
        <w:t>移交给甲方。</w:t>
      </w:r>
    </w:p>
    <w:p w14:paraId="30C4B3E6">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rPr>
        <w:t>18.5合同附件是本合同的有效组成部分，如附件内容与合同正文不一致，应优先适用合同正文的</w:t>
      </w:r>
      <w:r>
        <w:rPr>
          <w:rFonts w:hint="eastAsia" w:asciiTheme="minorEastAsia" w:hAnsiTheme="minorEastAsia" w:eastAsiaTheme="minorEastAsia" w:cstheme="minorEastAsia"/>
          <w:snapToGrid w:val="0"/>
          <w:color w:val="auto"/>
          <w:spacing w:val="6"/>
          <w:kern w:val="0"/>
          <w:sz w:val="28"/>
          <w:szCs w:val="28"/>
          <w:highlight w:val="none"/>
        </w:rPr>
        <w:t>规定。</w:t>
      </w:r>
    </w:p>
    <w:p w14:paraId="21331DC0">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rPr>
        <w:t>18.6本合同未尽事宜，甲乙双方可另行以书面形式签订</w:t>
      </w:r>
      <w:r>
        <w:rPr>
          <w:rFonts w:hint="eastAsia" w:asciiTheme="minorEastAsia" w:hAnsiTheme="minorEastAsia" w:eastAsiaTheme="minorEastAsia" w:cstheme="minorEastAsia"/>
          <w:snapToGrid w:val="0"/>
          <w:color w:val="auto"/>
          <w:spacing w:val="12"/>
          <w:sz w:val="28"/>
          <w:szCs w:val="28"/>
          <w:highlight w:val="none"/>
        </w:rPr>
        <w:t>补充协议，补充协议与本合同存在冲突的，</w:t>
      </w:r>
      <w:r>
        <w:rPr>
          <w:rFonts w:hint="eastAsia" w:asciiTheme="minorEastAsia" w:hAnsiTheme="minorEastAsia" w:eastAsiaTheme="minorEastAsia" w:cstheme="minorEastAsia"/>
          <w:snapToGrid w:val="0"/>
          <w:color w:val="auto"/>
          <w:spacing w:val="13"/>
          <w:sz w:val="28"/>
          <w:szCs w:val="28"/>
          <w:highlight w:val="none"/>
        </w:rPr>
        <w:t>以补充协议为准。</w:t>
      </w:r>
    </w:p>
    <w:p w14:paraId="05A00FF4">
      <w:pPr>
        <w:autoSpaceDE w:val="0"/>
        <w:autoSpaceDN w:val="0"/>
        <w:adjustRightInd w:val="0"/>
        <w:snapToGrid w:val="0"/>
        <w:spacing w:line="480" w:lineRule="exact"/>
        <w:ind w:firstLine="63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9"/>
          <w:sz w:val="28"/>
          <w:szCs w:val="28"/>
          <w:highlight w:val="none"/>
        </w:rPr>
        <w:t>18.7本合同自双方法定代表人或授权代表签字并加盖公章或合同专用章之日起生效。本合同正</w:t>
      </w:r>
      <w:r>
        <w:rPr>
          <w:rFonts w:hint="eastAsia" w:asciiTheme="minorEastAsia" w:hAnsiTheme="minorEastAsia" w:eastAsiaTheme="minorEastAsia" w:cstheme="minorEastAsia"/>
          <w:snapToGrid w:val="0"/>
          <w:color w:val="auto"/>
          <w:spacing w:val="3"/>
          <w:sz w:val="28"/>
          <w:szCs w:val="28"/>
          <w:highlight w:val="none"/>
        </w:rPr>
        <w:t>本一式</w:t>
      </w:r>
      <w:r>
        <w:rPr>
          <w:rFonts w:hint="eastAsia" w:asciiTheme="minorEastAsia" w:hAnsiTheme="minorEastAsia" w:eastAsiaTheme="minorEastAsia" w:cstheme="minorEastAsia"/>
          <w:snapToGrid w:val="0"/>
          <w:color w:val="auto"/>
          <w:spacing w:val="3"/>
          <w:sz w:val="28"/>
          <w:szCs w:val="28"/>
          <w:highlight w:val="none"/>
          <w:u w:val="single"/>
        </w:rPr>
        <w:t xml:space="preserve">      </w:t>
      </w:r>
      <w:r>
        <w:rPr>
          <w:rFonts w:hint="eastAsia" w:asciiTheme="minorEastAsia" w:hAnsiTheme="minorEastAsia" w:eastAsiaTheme="minorEastAsia" w:cstheme="minorEastAsia"/>
          <w:snapToGrid w:val="0"/>
          <w:color w:val="auto"/>
          <w:spacing w:val="3"/>
          <w:sz w:val="28"/>
          <w:szCs w:val="28"/>
          <w:highlight w:val="none"/>
        </w:rPr>
        <w:t>份，双方各执</w:t>
      </w:r>
      <w:r>
        <w:rPr>
          <w:rFonts w:hint="eastAsia" w:asciiTheme="minorEastAsia" w:hAnsiTheme="minorEastAsia" w:eastAsiaTheme="minorEastAsia" w:cstheme="minorEastAsia"/>
          <w:snapToGrid w:val="0"/>
          <w:color w:val="auto"/>
          <w:spacing w:val="3"/>
          <w:sz w:val="28"/>
          <w:szCs w:val="28"/>
          <w:highlight w:val="none"/>
          <w:u w:val="single"/>
        </w:rPr>
        <w:t xml:space="preserve">      </w:t>
      </w:r>
      <w:r>
        <w:rPr>
          <w:rFonts w:hint="eastAsia" w:asciiTheme="minorEastAsia" w:hAnsiTheme="minorEastAsia" w:eastAsiaTheme="minorEastAsia" w:cstheme="minorEastAsia"/>
          <w:snapToGrid w:val="0"/>
          <w:color w:val="auto"/>
          <w:spacing w:val="3"/>
          <w:sz w:val="28"/>
          <w:szCs w:val="28"/>
          <w:highlight w:val="none"/>
        </w:rPr>
        <w:t>份，副本一式</w:t>
      </w:r>
      <w:r>
        <w:rPr>
          <w:rFonts w:hint="eastAsia" w:asciiTheme="minorEastAsia" w:hAnsiTheme="minorEastAsia" w:eastAsiaTheme="minorEastAsia" w:cstheme="minorEastAsia"/>
          <w:snapToGrid w:val="0"/>
          <w:color w:val="auto"/>
          <w:spacing w:val="3"/>
          <w:sz w:val="28"/>
          <w:szCs w:val="28"/>
          <w:highlight w:val="none"/>
          <w:u w:val="single"/>
        </w:rPr>
        <w:t xml:space="preserve">     </w:t>
      </w:r>
      <w:r>
        <w:rPr>
          <w:rFonts w:hint="eastAsia" w:asciiTheme="minorEastAsia" w:hAnsiTheme="minorEastAsia" w:eastAsiaTheme="minorEastAsia" w:cstheme="minorEastAsia"/>
          <w:snapToGrid w:val="0"/>
          <w:color w:val="auto"/>
          <w:spacing w:val="3"/>
          <w:sz w:val="28"/>
          <w:szCs w:val="28"/>
          <w:highlight w:val="none"/>
        </w:rPr>
        <w:t>份，双方各执份，具有同等法律效力。</w:t>
      </w:r>
    </w:p>
    <w:p w14:paraId="1F29ED1C">
      <w:pPr>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spacing w:val="6"/>
          <w:sz w:val="28"/>
          <w:szCs w:val="28"/>
          <w:highlight w:val="none"/>
        </w:rPr>
      </w:pPr>
      <w:r>
        <w:rPr>
          <w:rFonts w:hint="eastAsia" w:asciiTheme="minorEastAsia" w:hAnsiTheme="minorEastAsia" w:eastAsiaTheme="minorEastAsia" w:cstheme="minorEastAsia"/>
          <w:snapToGrid w:val="0"/>
          <w:color w:val="auto"/>
          <w:spacing w:val="6"/>
          <w:sz w:val="28"/>
          <w:szCs w:val="28"/>
          <w:highlight w:val="none"/>
        </w:rPr>
        <w:t>18.8附件：能源费用托管合同调整规则指引。</w:t>
      </w:r>
    </w:p>
    <w:p w14:paraId="2EE31A6D">
      <w:pPr>
        <w:autoSpaceDE w:val="0"/>
        <w:autoSpaceDN w:val="0"/>
        <w:adjustRightInd w:val="0"/>
        <w:snapToGrid w:val="0"/>
        <w:spacing w:line="480" w:lineRule="exact"/>
        <w:ind w:firstLine="58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5"/>
          <w:sz w:val="28"/>
          <w:szCs w:val="28"/>
          <w:highlight w:val="none"/>
        </w:rPr>
        <w:t>18.9甲乙双方约定的其他事项：</w:t>
      </w:r>
      <w:r>
        <w:rPr>
          <w:rFonts w:hint="eastAsia" w:asciiTheme="minorEastAsia" w:hAnsiTheme="minorEastAsia" w:eastAsiaTheme="minorEastAsia" w:cstheme="minorEastAsia"/>
          <w:snapToGrid w:val="0"/>
          <w:color w:val="auto"/>
          <w:spacing w:val="5"/>
          <w:sz w:val="28"/>
          <w:szCs w:val="28"/>
          <w:highlight w:val="none"/>
          <w:u w:val="single"/>
        </w:rPr>
        <w:t xml:space="preserve">              </w:t>
      </w:r>
      <w:r>
        <w:rPr>
          <w:rFonts w:hint="eastAsia" w:asciiTheme="minorEastAsia" w:hAnsiTheme="minorEastAsia" w:eastAsiaTheme="minorEastAsia" w:cstheme="minorEastAsia"/>
          <w:snapToGrid w:val="0"/>
          <w:color w:val="auto"/>
          <w:spacing w:val="5"/>
          <w:sz w:val="28"/>
          <w:szCs w:val="28"/>
          <w:highlight w:val="none"/>
        </w:rPr>
        <w:t>。</w:t>
      </w:r>
      <w:r>
        <w:rPr>
          <w:rFonts w:hint="eastAsia" w:asciiTheme="minorEastAsia" w:hAnsiTheme="minorEastAsia" w:eastAsiaTheme="minorEastAsia" w:cstheme="minorEastAsia"/>
          <w:snapToGrid w:val="0"/>
          <w:color w:val="auto"/>
          <w:spacing w:val="11"/>
          <w:sz w:val="28"/>
          <w:szCs w:val="28"/>
          <w:highlight w:val="none"/>
        </w:rPr>
        <w:t>（以下无正文）</w:t>
      </w:r>
    </w:p>
    <w:p w14:paraId="648C1F4F">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rPr>
      </w:pPr>
    </w:p>
    <w:p w14:paraId="3B601DAD">
      <w:pPr>
        <w:widowControl/>
        <w:autoSpaceDE w:val="0"/>
        <w:autoSpaceDN w:val="0"/>
        <w:adjustRightInd w:val="0"/>
        <w:snapToGrid w:val="0"/>
        <w:spacing w:line="480" w:lineRule="exact"/>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4"/>
          <w:kern w:val="0"/>
          <w:sz w:val="28"/>
          <w:szCs w:val="28"/>
          <w:highlight w:val="none"/>
        </w:rPr>
        <w:t>甲方（盖章</w:t>
      </w:r>
      <w:r>
        <w:rPr>
          <w:rFonts w:hint="eastAsia" w:asciiTheme="minorEastAsia" w:hAnsiTheme="minorEastAsia" w:eastAsiaTheme="minorEastAsia" w:cstheme="minorEastAsia"/>
          <w:snapToGrid w:val="0"/>
          <w:color w:val="auto"/>
          <w:spacing w:val="-50"/>
          <w:kern w:val="0"/>
          <w:sz w:val="28"/>
          <w:szCs w:val="28"/>
          <w:highlight w:val="none"/>
        </w:rPr>
        <w:t>）：</w:t>
      </w:r>
    </w:p>
    <w:p w14:paraId="11BB4733">
      <w:pPr>
        <w:autoSpaceDE w:val="0"/>
        <w:autoSpaceDN w:val="0"/>
        <w:adjustRightInd w:val="0"/>
        <w:snapToGrid w:val="0"/>
        <w:spacing w:line="480" w:lineRule="exact"/>
        <w:textAlignment w:val="baseline"/>
        <w:rPr>
          <w:rFonts w:asciiTheme="minorEastAsia" w:hAnsiTheme="minorEastAsia" w:eastAsiaTheme="minorEastAsia" w:cstheme="minorEastAsia"/>
          <w:snapToGrid w:val="0"/>
          <w:color w:val="auto"/>
          <w:spacing w:val="-48"/>
          <w:sz w:val="28"/>
          <w:szCs w:val="28"/>
          <w:highlight w:val="none"/>
        </w:rPr>
      </w:pPr>
      <w:r>
        <w:rPr>
          <w:rFonts w:hint="eastAsia" w:asciiTheme="minorEastAsia" w:hAnsiTheme="minorEastAsia" w:eastAsiaTheme="minorEastAsia" w:cstheme="minorEastAsia"/>
          <w:snapToGrid w:val="0"/>
          <w:color w:val="auto"/>
          <w:spacing w:val="12"/>
          <w:sz w:val="28"/>
          <w:szCs w:val="28"/>
          <w:highlight w:val="none"/>
        </w:rPr>
        <w:t>法定代表人/授权代表（签字</w:t>
      </w:r>
      <w:r>
        <w:rPr>
          <w:rFonts w:hint="eastAsia" w:asciiTheme="minorEastAsia" w:hAnsiTheme="minorEastAsia" w:eastAsiaTheme="minorEastAsia" w:cstheme="minorEastAsia"/>
          <w:snapToGrid w:val="0"/>
          <w:color w:val="auto"/>
          <w:spacing w:val="-48"/>
          <w:sz w:val="28"/>
          <w:szCs w:val="28"/>
          <w:highlight w:val="none"/>
        </w:rPr>
        <w:t>）：</w:t>
      </w:r>
    </w:p>
    <w:p w14:paraId="4F827BD2">
      <w:pPr>
        <w:autoSpaceDE w:val="0"/>
        <w:autoSpaceDN w:val="0"/>
        <w:adjustRightInd w:val="0"/>
        <w:snapToGrid w:val="0"/>
        <w:spacing w:line="480" w:lineRule="exact"/>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8"/>
          <w:sz w:val="28"/>
          <w:szCs w:val="28"/>
          <w:highlight w:val="none"/>
        </w:rPr>
        <w:t>日期：</w:t>
      </w:r>
    </w:p>
    <w:p w14:paraId="3E307570">
      <w:pPr>
        <w:widowControl/>
        <w:autoSpaceDE w:val="0"/>
        <w:autoSpaceDN w:val="0"/>
        <w:adjustRightInd w:val="0"/>
        <w:snapToGrid w:val="0"/>
        <w:spacing w:line="480" w:lineRule="exact"/>
        <w:textAlignment w:val="baseline"/>
        <w:rPr>
          <w:rFonts w:hint="eastAsia" w:asciiTheme="minorEastAsia" w:hAnsiTheme="minorEastAsia" w:eastAsiaTheme="minorEastAsia" w:cstheme="minorEastAsia"/>
          <w:snapToGrid w:val="0"/>
          <w:color w:val="auto"/>
          <w:spacing w:val="-12"/>
          <w:kern w:val="0"/>
          <w:sz w:val="28"/>
          <w:szCs w:val="28"/>
          <w:highlight w:val="none"/>
        </w:rPr>
      </w:pPr>
    </w:p>
    <w:p w14:paraId="0B24628F">
      <w:pPr>
        <w:widowControl/>
        <w:autoSpaceDE w:val="0"/>
        <w:autoSpaceDN w:val="0"/>
        <w:adjustRightInd w:val="0"/>
        <w:snapToGrid w:val="0"/>
        <w:spacing w:line="480" w:lineRule="exact"/>
        <w:textAlignment w:val="baseline"/>
        <w:rPr>
          <w:rFonts w:asciiTheme="minorEastAsia" w:hAnsiTheme="minorEastAsia" w:eastAsiaTheme="minorEastAsia" w:cstheme="minorEastAsia"/>
          <w:snapToGrid w:val="0"/>
          <w:color w:val="auto"/>
          <w:spacing w:val="12"/>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乙方（盖章</w:t>
      </w:r>
      <w:r>
        <w:rPr>
          <w:rFonts w:hint="eastAsia" w:asciiTheme="minorEastAsia" w:hAnsiTheme="minorEastAsia" w:eastAsiaTheme="minorEastAsia" w:cstheme="minorEastAsia"/>
          <w:snapToGrid w:val="0"/>
          <w:color w:val="auto"/>
          <w:spacing w:val="-50"/>
          <w:kern w:val="0"/>
          <w:sz w:val="28"/>
          <w:szCs w:val="28"/>
          <w:highlight w:val="none"/>
        </w:rPr>
        <w:t>）：</w:t>
      </w:r>
    </w:p>
    <w:p w14:paraId="1FA743B7">
      <w:pPr>
        <w:autoSpaceDE w:val="0"/>
        <w:autoSpaceDN w:val="0"/>
        <w:adjustRightInd w:val="0"/>
        <w:snapToGrid w:val="0"/>
        <w:spacing w:line="480" w:lineRule="exact"/>
        <w:textAlignment w:val="baseline"/>
        <w:rPr>
          <w:rFonts w:asciiTheme="minorEastAsia" w:hAnsiTheme="minorEastAsia" w:eastAsiaTheme="minorEastAsia" w:cstheme="minorEastAsia"/>
          <w:snapToGrid w:val="0"/>
          <w:color w:val="auto"/>
          <w:spacing w:val="-48"/>
          <w:sz w:val="28"/>
          <w:szCs w:val="28"/>
          <w:highlight w:val="none"/>
        </w:rPr>
      </w:pPr>
      <w:r>
        <w:rPr>
          <w:rFonts w:hint="eastAsia" w:asciiTheme="minorEastAsia" w:hAnsiTheme="minorEastAsia" w:eastAsiaTheme="minorEastAsia" w:cstheme="minorEastAsia"/>
          <w:snapToGrid w:val="0"/>
          <w:color w:val="auto"/>
          <w:spacing w:val="12"/>
          <w:sz w:val="28"/>
          <w:szCs w:val="28"/>
          <w:highlight w:val="none"/>
        </w:rPr>
        <w:t>法定代表人/授权代表（签字</w:t>
      </w:r>
      <w:r>
        <w:rPr>
          <w:rFonts w:hint="eastAsia" w:asciiTheme="minorEastAsia" w:hAnsiTheme="minorEastAsia" w:eastAsiaTheme="minorEastAsia" w:cstheme="minorEastAsia"/>
          <w:snapToGrid w:val="0"/>
          <w:color w:val="auto"/>
          <w:spacing w:val="-48"/>
          <w:sz w:val="28"/>
          <w:szCs w:val="28"/>
          <w:highlight w:val="none"/>
        </w:rPr>
        <w:t>）：</w:t>
      </w:r>
    </w:p>
    <w:p w14:paraId="75C7A4D4">
      <w:pPr>
        <w:autoSpaceDE w:val="0"/>
        <w:autoSpaceDN w:val="0"/>
        <w:adjustRightInd w:val="0"/>
        <w:snapToGrid w:val="0"/>
        <w:spacing w:line="480" w:lineRule="exact"/>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8"/>
          <w:sz w:val="28"/>
          <w:szCs w:val="28"/>
          <w:highlight w:val="none"/>
        </w:rPr>
        <w:t>日期：</w:t>
      </w:r>
    </w:p>
    <w:p w14:paraId="5BCBB7CD">
      <w:pPr>
        <w:spacing w:line="480" w:lineRule="exact"/>
        <w:ind w:firstLine="560" w:firstLineChars="200"/>
        <w:rPr>
          <w:rFonts w:asciiTheme="minorEastAsia" w:hAnsiTheme="minorEastAsia" w:eastAsiaTheme="minorEastAsia" w:cstheme="minorEastAsia"/>
          <w:color w:val="auto"/>
          <w:sz w:val="28"/>
          <w:szCs w:val="28"/>
          <w:highlight w:val="none"/>
        </w:rPr>
        <w:sectPr>
          <w:footerReference r:id="rId11" w:type="first"/>
          <w:footerReference r:id="rId10" w:type="default"/>
          <w:pgSz w:w="11911" w:h="16838"/>
          <w:pgMar w:top="1440" w:right="1803" w:bottom="1440" w:left="1803" w:header="720" w:footer="720" w:gutter="0"/>
          <w:pgNumType w:fmt="decimal"/>
          <w:cols w:space="0" w:num="1"/>
          <w:titlePg/>
          <w:rtlGutter w:val="0"/>
          <w:docGrid w:linePitch="0" w:charSpace="0"/>
        </w:sectPr>
      </w:pPr>
    </w:p>
    <w:p w14:paraId="0987EE8F">
      <w:pPr>
        <w:rPr>
          <w:rFonts w:ascii="黑体" w:hAnsi="黑体" w:eastAsia="黑体" w:cs="黑体"/>
          <w:color w:val="auto"/>
          <w:sz w:val="32"/>
          <w:szCs w:val="32"/>
          <w:highlight w:val="none"/>
        </w:rPr>
      </w:pPr>
      <w:r>
        <w:rPr>
          <w:rFonts w:hint="eastAsia" w:ascii="黑体" w:hAnsi="黑体" w:eastAsia="黑体" w:cs="黑体"/>
          <w:b/>
          <w:bCs/>
          <w:color w:val="auto"/>
          <w:sz w:val="32"/>
          <w:szCs w:val="32"/>
          <w:highlight w:val="none"/>
          <w:lang w:val="en-US" w:eastAsia="zh-CN"/>
        </w:rPr>
        <w:t>附件1：托管的能源资源系统范围</w:t>
      </w:r>
    </w:p>
    <w:tbl>
      <w:tblPr>
        <w:tblStyle w:val="45"/>
        <w:tblW w:w="131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
        <w:gridCol w:w="1116"/>
        <w:gridCol w:w="1682"/>
        <w:gridCol w:w="1236"/>
        <w:gridCol w:w="1507"/>
        <w:gridCol w:w="1321"/>
        <w:gridCol w:w="1476"/>
        <w:gridCol w:w="1476"/>
        <w:gridCol w:w="1476"/>
        <w:gridCol w:w="1360"/>
      </w:tblGrid>
      <w:tr w14:paraId="417C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2C6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D84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责任部门</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9B4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单位名称</w:t>
            </w:r>
          </w:p>
        </w:tc>
        <w:tc>
          <w:tcPr>
            <w:tcW w:w="123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6F4F91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总建筑面积</w:t>
            </w:r>
            <w:r>
              <w:rPr>
                <w:rStyle w:val="145"/>
                <w:rFonts w:eastAsia="宋体"/>
                <w:color w:val="auto"/>
                <w:highlight w:val="none"/>
                <w:lang w:val="en-US" w:eastAsia="zh-CN" w:bidi="ar"/>
              </w:rPr>
              <w:br w:type="textWrapping"/>
            </w:r>
            <w:r>
              <w:rPr>
                <w:rStyle w:val="124"/>
                <w:color w:val="auto"/>
                <w:highlight w:val="none"/>
                <w:lang w:val="en-US" w:eastAsia="zh-CN" w:bidi="ar"/>
              </w:rPr>
              <w:t>（平方米）</w:t>
            </w:r>
          </w:p>
        </w:tc>
        <w:tc>
          <w:tcPr>
            <w:tcW w:w="1507"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64AFA45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建筑年代（如有多栋楼，分别列出）</w:t>
            </w:r>
          </w:p>
        </w:tc>
        <w:tc>
          <w:tcPr>
            <w:tcW w:w="1321"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0F9C290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结构形式（如有多种结构，分别列出）</w:t>
            </w:r>
          </w:p>
        </w:tc>
        <w:tc>
          <w:tcPr>
            <w:tcW w:w="147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1FF8E7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45"/>
                <w:rFonts w:eastAsia="宋体"/>
                <w:color w:val="auto"/>
                <w:highlight w:val="none"/>
                <w:lang w:val="en-US" w:eastAsia="zh-CN" w:bidi="ar"/>
              </w:rPr>
              <w:t>2025</w:t>
            </w:r>
            <w:r>
              <w:rPr>
                <w:rStyle w:val="124"/>
                <w:color w:val="auto"/>
                <w:highlight w:val="none"/>
                <w:lang w:val="en-US" w:eastAsia="zh-CN" w:bidi="ar"/>
              </w:rPr>
              <w:t>年用能人数</w:t>
            </w:r>
          </w:p>
        </w:tc>
        <w:tc>
          <w:tcPr>
            <w:tcW w:w="1476" w:type="dxa"/>
            <w:tcBorders>
              <w:top w:val="single" w:color="000000" w:sz="4" w:space="0"/>
              <w:left w:val="single" w:color="000000" w:sz="4" w:space="0"/>
              <w:bottom w:val="single" w:color="000000" w:sz="4" w:space="0"/>
              <w:right w:val="single" w:color="000000" w:sz="4" w:space="0"/>
            </w:tcBorders>
            <w:shd w:val="clear" w:color="auto" w:fill="A8EAE4"/>
            <w:vAlign w:val="center"/>
          </w:tcPr>
          <w:p w14:paraId="6DA2A60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45"/>
                <w:rFonts w:eastAsia="宋体"/>
                <w:color w:val="auto"/>
                <w:highlight w:val="none"/>
                <w:lang w:val="en-US" w:eastAsia="zh-CN" w:bidi="ar"/>
              </w:rPr>
              <w:t>2025</w:t>
            </w:r>
            <w:r>
              <w:rPr>
                <w:rStyle w:val="124"/>
                <w:color w:val="auto"/>
                <w:highlight w:val="none"/>
                <w:lang w:val="en-US" w:eastAsia="zh-CN" w:bidi="ar"/>
              </w:rPr>
              <w:t>年用电量</w:t>
            </w:r>
            <w:r>
              <w:rPr>
                <w:rStyle w:val="145"/>
                <w:rFonts w:eastAsia="宋体"/>
                <w:color w:val="auto"/>
                <w:highlight w:val="none"/>
                <w:lang w:val="en-US" w:eastAsia="zh-CN" w:bidi="ar"/>
              </w:rPr>
              <w:br w:type="textWrapping"/>
            </w:r>
            <w:r>
              <w:rPr>
                <w:rStyle w:val="124"/>
                <w:color w:val="auto"/>
                <w:highlight w:val="none"/>
                <w:lang w:val="en-US" w:eastAsia="zh-CN" w:bidi="ar"/>
              </w:rPr>
              <w:t>（千瓦时）</w:t>
            </w:r>
          </w:p>
        </w:tc>
        <w:tc>
          <w:tcPr>
            <w:tcW w:w="1476" w:type="dxa"/>
            <w:tcBorders>
              <w:top w:val="single" w:color="000000" w:sz="4" w:space="0"/>
              <w:left w:val="single" w:color="000000" w:sz="4" w:space="0"/>
              <w:bottom w:val="single" w:color="000000" w:sz="4" w:space="0"/>
              <w:right w:val="single" w:color="000000" w:sz="4" w:space="0"/>
            </w:tcBorders>
            <w:shd w:val="clear" w:color="auto" w:fill="A8EAE4"/>
            <w:vAlign w:val="center"/>
          </w:tcPr>
          <w:p w14:paraId="59010E2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45"/>
                <w:rFonts w:eastAsia="宋体"/>
                <w:color w:val="auto"/>
                <w:highlight w:val="none"/>
                <w:lang w:val="en-US" w:eastAsia="zh-CN" w:bidi="ar"/>
              </w:rPr>
              <w:t>2025</w:t>
            </w:r>
            <w:r>
              <w:rPr>
                <w:rStyle w:val="124"/>
                <w:color w:val="auto"/>
                <w:highlight w:val="none"/>
                <w:lang w:val="en-US" w:eastAsia="zh-CN" w:bidi="ar"/>
              </w:rPr>
              <w:t>年电费</w:t>
            </w:r>
            <w:r>
              <w:rPr>
                <w:rStyle w:val="145"/>
                <w:rFonts w:eastAsia="宋体"/>
                <w:color w:val="auto"/>
                <w:highlight w:val="none"/>
                <w:lang w:val="en-US" w:eastAsia="zh-CN" w:bidi="ar"/>
              </w:rPr>
              <w:br w:type="textWrapping"/>
            </w:r>
            <w:r>
              <w:rPr>
                <w:rStyle w:val="124"/>
                <w:color w:val="auto"/>
                <w:highlight w:val="none"/>
                <w:lang w:val="en-US" w:eastAsia="zh-CN" w:bidi="ar"/>
              </w:rPr>
              <w:t>（元）</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133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24"/>
                <w:color w:val="auto"/>
                <w:highlight w:val="none"/>
                <w:lang w:val="en-US" w:eastAsia="zh-CN" w:bidi="ar"/>
              </w:rPr>
              <w:t>备注</w:t>
            </w:r>
          </w:p>
        </w:tc>
      </w:tr>
      <w:tr w14:paraId="6666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75C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3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市卫生健康委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6F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梧州市人民医院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472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160564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38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住院楼：</w:t>
            </w:r>
            <w:r>
              <w:rPr>
                <w:rStyle w:val="127"/>
                <w:rFonts w:eastAsia="宋体"/>
                <w:color w:val="auto"/>
                <w:highlight w:val="none"/>
                <w:lang w:val="en-US" w:eastAsia="zh-CN" w:bidi="ar"/>
              </w:rPr>
              <w:t xml:space="preserve">2012.  </w:t>
            </w:r>
            <w:r>
              <w:rPr>
                <w:rStyle w:val="122"/>
                <w:color w:val="auto"/>
                <w:highlight w:val="none"/>
                <w:lang w:val="en-US" w:eastAsia="zh-CN" w:bidi="ar"/>
              </w:rPr>
              <w:t>门诊医技楼：</w:t>
            </w:r>
            <w:r>
              <w:rPr>
                <w:rStyle w:val="127"/>
                <w:rFonts w:eastAsia="宋体"/>
                <w:color w:val="auto"/>
                <w:highlight w:val="none"/>
                <w:lang w:val="en-US" w:eastAsia="zh-CN" w:bidi="ar"/>
              </w:rPr>
              <w:t xml:space="preserve">2013   </w:t>
            </w:r>
            <w:r>
              <w:rPr>
                <w:rStyle w:val="122"/>
                <w:color w:val="auto"/>
                <w:highlight w:val="none"/>
                <w:lang w:val="en-US" w:eastAsia="zh-CN" w:bidi="ar"/>
              </w:rPr>
              <w:t>儿科楼：</w:t>
            </w:r>
            <w:r>
              <w:rPr>
                <w:rStyle w:val="127"/>
                <w:rFonts w:eastAsia="宋体"/>
                <w:color w:val="auto"/>
                <w:highlight w:val="none"/>
                <w:lang w:val="en-US" w:eastAsia="zh-CN" w:bidi="ar"/>
              </w:rPr>
              <w:t>2015     5</w:t>
            </w:r>
            <w:r>
              <w:rPr>
                <w:rStyle w:val="122"/>
                <w:color w:val="auto"/>
                <w:highlight w:val="none"/>
                <w:lang w:val="en-US" w:eastAsia="zh-CN" w:bidi="ar"/>
              </w:rPr>
              <w:t>号楼：</w:t>
            </w:r>
            <w:r>
              <w:rPr>
                <w:rStyle w:val="127"/>
                <w:rFonts w:eastAsia="宋体"/>
                <w:color w:val="auto"/>
                <w:highlight w:val="none"/>
                <w:lang w:val="en-US" w:eastAsia="zh-CN" w:bidi="ar"/>
              </w:rPr>
              <w:t xml:space="preserve">2014   </w:t>
            </w:r>
            <w:r>
              <w:rPr>
                <w:rStyle w:val="122"/>
                <w:color w:val="auto"/>
                <w:highlight w:val="none"/>
                <w:lang w:val="en-US" w:eastAsia="zh-CN" w:bidi="ar"/>
              </w:rPr>
              <w:t>公共租赁房</w:t>
            </w:r>
            <w:r>
              <w:rPr>
                <w:rStyle w:val="127"/>
                <w:rFonts w:eastAsia="宋体"/>
                <w:color w:val="auto"/>
                <w:highlight w:val="none"/>
                <w:lang w:val="en-US" w:eastAsia="zh-CN" w:bidi="ar"/>
              </w:rPr>
              <w:t>2013</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6B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DF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6044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D90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12806788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649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9241288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C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用能人数为日均值</w:t>
            </w:r>
          </w:p>
        </w:tc>
      </w:tr>
      <w:tr w14:paraId="1783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26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C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市卫生健康委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1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梧州市工人医院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CF9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167870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8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旧院区</w:t>
            </w:r>
            <w:r>
              <w:rPr>
                <w:rStyle w:val="131"/>
                <w:rFonts w:eastAsia="宋体"/>
                <w:color w:val="auto"/>
                <w:highlight w:val="none"/>
                <w:lang w:val="en-US" w:eastAsia="zh-CN" w:bidi="ar"/>
              </w:rPr>
              <w:t>1903</w:t>
            </w:r>
            <w:r>
              <w:rPr>
                <w:rStyle w:val="122"/>
                <w:color w:val="auto"/>
                <w:highlight w:val="none"/>
                <w:lang w:val="en-US" w:eastAsia="zh-CN" w:bidi="ar"/>
              </w:rPr>
              <w:t>年，</w:t>
            </w:r>
            <w:r>
              <w:rPr>
                <w:rStyle w:val="131"/>
                <w:rFonts w:eastAsia="宋体"/>
                <w:color w:val="auto"/>
                <w:highlight w:val="none"/>
                <w:lang w:val="en-US" w:eastAsia="zh-CN" w:bidi="ar"/>
              </w:rPr>
              <w:br w:type="textWrapping"/>
            </w:r>
            <w:r>
              <w:rPr>
                <w:rStyle w:val="122"/>
                <w:color w:val="auto"/>
                <w:highlight w:val="none"/>
                <w:lang w:val="en-US" w:eastAsia="zh-CN" w:bidi="ar"/>
              </w:rPr>
              <w:t>北山院区</w:t>
            </w:r>
            <w:r>
              <w:rPr>
                <w:rStyle w:val="131"/>
                <w:rFonts w:eastAsia="宋体"/>
                <w:color w:val="auto"/>
                <w:highlight w:val="none"/>
                <w:lang w:val="en-US" w:eastAsia="zh-CN" w:bidi="ar"/>
              </w:rPr>
              <w:t>2018</w:t>
            </w:r>
            <w:r>
              <w:rPr>
                <w:rStyle w:val="122"/>
                <w:color w:val="auto"/>
                <w:highlight w:val="none"/>
                <w:lang w:val="en-US" w:eastAsia="zh-CN" w:bidi="ar"/>
              </w:rPr>
              <w:t>年，</w:t>
            </w:r>
            <w:r>
              <w:rPr>
                <w:rStyle w:val="131"/>
                <w:rFonts w:eastAsia="宋体"/>
                <w:color w:val="auto"/>
                <w:highlight w:val="none"/>
                <w:lang w:val="en-US" w:eastAsia="zh-CN" w:bidi="ar"/>
              </w:rPr>
              <w:br w:type="textWrapping"/>
            </w:r>
            <w:r>
              <w:rPr>
                <w:rStyle w:val="122"/>
                <w:color w:val="auto"/>
                <w:highlight w:val="none"/>
                <w:lang w:val="en-US" w:eastAsia="zh-CN" w:bidi="ar"/>
              </w:rPr>
              <w:t>门诊住院综合楼</w:t>
            </w:r>
            <w:r>
              <w:rPr>
                <w:rStyle w:val="131"/>
                <w:rFonts w:eastAsia="宋体"/>
                <w:color w:val="auto"/>
                <w:highlight w:val="none"/>
                <w:lang w:val="en-US" w:eastAsia="zh-CN" w:bidi="ar"/>
              </w:rPr>
              <w:t>2023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8A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2A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74034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8BC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22745407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1E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16440068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2A1C">
            <w:pPr>
              <w:jc w:val="center"/>
              <w:rPr>
                <w:rFonts w:hint="default" w:ascii="Times New Roman" w:hAnsi="Times New Roman" w:eastAsia="宋体" w:cs="Times New Roman"/>
                <w:i w:val="0"/>
                <w:iCs w:val="0"/>
                <w:color w:val="auto"/>
                <w:sz w:val="22"/>
                <w:szCs w:val="22"/>
                <w:highlight w:val="none"/>
                <w:u w:val="none"/>
              </w:rPr>
            </w:pPr>
          </w:p>
        </w:tc>
      </w:tr>
      <w:tr w14:paraId="63C8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CF6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B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梧州职业学院</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55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梧州职业学院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2B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288507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92C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2008</w:t>
            </w:r>
            <w:r>
              <w:rPr>
                <w:rStyle w:val="122"/>
                <w:color w:val="auto"/>
                <w:highlight w:val="none"/>
                <w:lang w:val="en-US" w:eastAsia="zh-CN" w:bidi="ar"/>
              </w:rPr>
              <w:t>年</w:t>
            </w:r>
            <w:r>
              <w:rPr>
                <w:rStyle w:val="131"/>
                <w:rFonts w:eastAsia="宋体"/>
                <w:color w:val="auto"/>
                <w:highlight w:val="none"/>
                <w:lang w:val="en-US" w:eastAsia="zh-CN" w:bidi="ar"/>
              </w:rPr>
              <w:t>5</w:t>
            </w:r>
            <w:r>
              <w:rPr>
                <w:rStyle w:val="122"/>
                <w:color w:val="auto"/>
                <w:highlight w:val="none"/>
                <w:lang w:val="en-US" w:eastAsia="zh-CN" w:bidi="ar"/>
              </w:rPr>
              <w:t>栋；</w:t>
            </w:r>
            <w:r>
              <w:rPr>
                <w:rStyle w:val="131"/>
                <w:rFonts w:eastAsia="宋体"/>
                <w:color w:val="auto"/>
                <w:highlight w:val="none"/>
                <w:lang w:val="en-US" w:eastAsia="zh-CN" w:bidi="ar"/>
              </w:rPr>
              <w:t>2009</w:t>
            </w:r>
            <w:r>
              <w:rPr>
                <w:rStyle w:val="122"/>
                <w:color w:val="auto"/>
                <w:highlight w:val="none"/>
                <w:lang w:val="en-US" w:eastAsia="zh-CN" w:bidi="ar"/>
              </w:rPr>
              <w:t>年</w:t>
            </w:r>
            <w:r>
              <w:rPr>
                <w:rStyle w:val="131"/>
                <w:rFonts w:eastAsia="宋体"/>
                <w:color w:val="auto"/>
                <w:highlight w:val="none"/>
                <w:lang w:val="en-US" w:eastAsia="zh-CN" w:bidi="ar"/>
              </w:rPr>
              <w:t>2</w:t>
            </w:r>
            <w:r>
              <w:rPr>
                <w:rStyle w:val="122"/>
                <w:color w:val="auto"/>
                <w:highlight w:val="none"/>
                <w:lang w:val="en-US" w:eastAsia="zh-CN" w:bidi="ar"/>
              </w:rPr>
              <w:t>栋；</w:t>
            </w:r>
            <w:r>
              <w:rPr>
                <w:rStyle w:val="131"/>
                <w:rFonts w:eastAsia="宋体"/>
                <w:color w:val="auto"/>
                <w:highlight w:val="none"/>
                <w:lang w:val="en-US" w:eastAsia="zh-CN" w:bidi="ar"/>
              </w:rPr>
              <w:t>2010</w:t>
            </w:r>
            <w:r>
              <w:rPr>
                <w:rStyle w:val="122"/>
                <w:color w:val="auto"/>
                <w:highlight w:val="none"/>
                <w:lang w:val="en-US" w:eastAsia="zh-CN" w:bidi="ar"/>
              </w:rPr>
              <w:t>年</w:t>
            </w:r>
            <w:r>
              <w:rPr>
                <w:rStyle w:val="131"/>
                <w:rFonts w:eastAsia="宋体"/>
                <w:color w:val="auto"/>
                <w:highlight w:val="none"/>
                <w:lang w:val="en-US" w:eastAsia="zh-CN" w:bidi="ar"/>
              </w:rPr>
              <w:t>1</w:t>
            </w:r>
            <w:r>
              <w:rPr>
                <w:rStyle w:val="122"/>
                <w:color w:val="auto"/>
                <w:highlight w:val="none"/>
                <w:lang w:val="en-US" w:eastAsia="zh-CN" w:bidi="ar"/>
              </w:rPr>
              <w:t>栋；</w:t>
            </w:r>
            <w:r>
              <w:rPr>
                <w:rStyle w:val="131"/>
                <w:rFonts w:eastAsia="宋体"/>
                <w:color w:val="auto"/>
                <w:highlight w:val="none"/>
                <w:lang w:val="en-US" w:eastAsia="zh-CN" w:bidi="ar"/>
              </w:rPr>
              <w:t>2012</w:t>
            </w:r>
            <w:r>
              <w:rPr>
                <w:rStyle w:val="122"/>
                <w:color w:val="auto"/>
                <w:highlight w:val="none"/>
                <w:lang w:val="en-US" w:eastAsia="zh-CN" w:bidi="ar"/>
              </w:rPr>
              <w:t>年</w:t>
            </w:r>
            <w:r>
              <w:rPr>
                <w:rStyle w:val="131"/>
                <w:rFonts w:eastAsia="宋体"/>
                <w:color w:val="auto"/>
                <w:highlight w:val="none"/>
                <w:lang w:val="en-US" w:eastAsia="zh-CN" w:bidi="ar"/>
              </w:rPr>
              <w:t>8</w:t>
            </w:r>
            <w:r>
              <w:rPr>
                <w:rStyle w:val="122"/>
                <w:color w:val="auto"/>
                <w:highlight w:val="none"/>
                <w:lang w:val="en-US" w:eastAsia="zh-CN" w:bidi="ar"/>
              </w:rPr>
              <w:t>栋；</w:t>
            </w:r>
            <w:r>
              <w:rPr>
                <w:rStyle w:val="131"/>
                <w:rFonts w:eastAsia="宋体"/>
                <w:color w:val="auto"/>
                <w:highlight w:val="none"/>
                <w:lang w:val="en-US" w:eastAsia="zh-CN" w:bidi="ar"/>
              </w:rPr>
              <w:t>2013</w:t>
            </w:r>
            <w:r>
              <w:rPr>
                <w:rStyle w:val="122"/>
                <w:color w:val="auto"/>
                <w:highlight w:val="none"/>
                <w:lang w:val="en-US" w:eastAsia="zh-CN" w:bidi="ar"/>
              </w:rPr>
              <w:t>年</w:t>
            </w:r>
            <w:r>
              <w:rPr>
                <w:rStyle w:val="131"/>
                <w:rFonts w:eastAsia="宋体"/>
                <w:color w:val="auto"/>
                <w:highlight w:val="none"/>
                <w:lang w:val="en-US" w:eastAsia="zh-CN" w:bidi="ar"/>
              </w:rPr>
              <w:t>6</w:t>
            </w:r>
            <w:r>
              <w:rPr>
                <w:rStyle w:val="122"/>
                <w:color w:val="auto"/>
                <w:highlight w:val="none"/>
                <w:lang w:val="en-US" w:eastAsia="zh-CN" w:bidi="ar"/>
              </w:rPr>
              <w:t>栋；</w:t>
            </w:r>
            <w:r>
              <w:rPr>
                <w:rStyle w:val="131"/>
                <w:rFonts w:eastAsia="宋体"/>
                <w:color w:val="auto"/>
                <w:highlight w:val="none"/>
                <w:lang w:val="en-US" w:eastAsia="zh-CN" w:bidi="ar"/>
              </w:rPr>
              <w:t>2016</w:t>
            </w:r>
            <w:r>
              <w:rPr>
                <w:rStyle w:val="122"/>
                <w:color w:val="auto"/>
                <w:highlight w:val="none"/>
                <w:lang w:val="en-US" w:eastAsia="zh-CN" w:bidi="ar"/>
              </w:rPr>
              <w:t>年</w:t>
            </w:r>
            <w:r>
              <w:rPr>
                <w:rStyle w:val="131"/>
                <w:rFonts w:eastAsia="宋体"/>
                <w:color w:val="auto"/>
                <w:highlight w:val="none"/>
                <w:lang w:val="en-US" w:eastAsia="zh-CN" w:bidi="ar"/>
              </w:rPr>
              <w:t>6</w:t>
            </w:r>
            <w:r>
              <w:rPr>
                <w:rStyle w:val="122"/>
                <w:color w:val="auto"/>
                <w:highlight w:val="none"/>
                <w:lang w:val="en-US" w:eastAsia="zh-CN" w:bidi="ar"/>
              </w:rPr>
              <w:t>栋；</w:t>
            </w:r>
            <w:r>
              <w:rPr>
                <w:rStyle w:val="131"/>
                <w:rFonts w:eastAsia="宋体"/>
                <w:color w:val="auto"/>
                <w:highlight w:val="none"/>
                <w:lang w:val="en-US" w:eastAsia="zh-CN" w:bidi="ar"/>
              </w:rPr>
              <w:t>2018</w:t>
            </w:r>
            <w:r>
              <w:rPr>
                <w:rStyle w:val="122"/>
                <w:color w:val="auto"/>
                <w:highlight w:val="none"/>
                <w:lang w:val="en-US" w:eastAsia="zh-CN" w:bidi="ar"/>
              </w:rPr>
              <w:t>年</w:t>
            </w:r>
            <w:r>
              <w:rPr>
                <w:rStyle w:val="131"/>
                <w:rFonts w:eastAsia="宋体"/>
                <w:color w:val="auto"/>
                <w:highlight w:val="none"/>
                <w:lang w:val="en-US" w:eastAsia="zh-CN" w:bidi="ar"/>
              </w:rPr>
              <w:t>1</w:t>
            </w:r>
            <w:r>
              <w:rPr>
                <w:rStyle w:val="122"/>
                <w:color w:val="auto"/>
                <w:highlight w:val="none"/>
                <w:lang w:val="en-US" w:eastAsia="zh-CN" w:bidi="ar"/>
              </w:rPr>
              <w:t>栋；</w:t>
            </w:r>
            <w:r>
              <w:rPr>
                <w:rStyle w:val="131"/>
                <w:rFonts w:eastAsia="宋体"/>
                <w:color w:val="auto"/>
                <w:highlight w:val="none"/>
                <w:lang w:val="en-US" w:eastAsia="zh-CN" w:bidi="ar"/>
              </w:rPr>
              <w:t>2019</w:t>
            </w:r>
            <w:r>
              <w:rPr>
                <w:rStyle w:val="122"/>
                <w:color w:val="auto"/>
                <w:highlight w:val="none"/>
                <w:lang w:val="en-US" w:eastAsia="zh-CN" w:bidi="ar"/>
              </w:rPr>
              <w:t>年</w:t>
            </w:r>
            <w:r>
              <w:rPr>
                <w:rStyle w:val="131"/>
                <w:rFonts w:eastAsia="宋体"/>
                <w:color w:val="auto"/>
                <w:highlight w:val="none"/>
                <w:lang w:val="en-US" w:eastAsia="zh-CN" w:bidi="ar"/>
              </w:rPr>
              <w:t>1</w:t>
            </w:r>
            <w:r>
              <w:rPr>
                <w:rStyle w:val="122"/>
                <w:color w:val="auto"/>
                <w:highlight w:val="none"/>
                <w:lang w:val="en-US" w:eastAsia="zh-CN" w:bidi="ar"/>
              </w:rPr>
              <w:t>栋；</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01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框架剪力墙结构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4D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14867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C4C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9784645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2F8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5323353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79B4">
            <w:pPr>
              <w:jc w:val="center"/>
              <w:rPr>
                <w:rFonts w:hint="default" w:ascii="Times New Roman" w:hAnsi="Times New Roman" w:eastAsia="宋体" w:cs="Times New Roman"/>
                <w:i w:val="0"/>
                <w:iCs w:val="0"/>
                <w:color w:val="auto"/>
                <w:sz w:val="22"/>
                <w:szCs w:val="22"/>
                <w:highlight w:val="none"/>
                <w:u w:val="none"/>
              </w:rPr>
            </w:pPr>
          </w:p>
        </w:tc>
      </w:tr>
      <w:tr w14:paraId="2302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B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12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4B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814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41048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90B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2017</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92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603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1195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A6B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6665440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934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4802014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7880">
            <w:pPr>
              <w:jc w:val="center"/>
              <w:rPr>
                <w:rFonts w:hint="default" w:ascii="Times New Roman" w:hAnsi="Times New Roman" w:eastAsia="宋体" w:cs="Times New Roman"/>
                <w:i w:val="0"/>
                <w:iCs w:val="0"/>
                <w:color w:val="auto"/>
                <w:sz w:val="22"/>
                <w:szCs w:val="22"/>
                <w:highlight w:val="none"/>
                <w:u w:val="none"/>
              </w:rPr>
            </w:pPr>
          </w:p>
        </w:tc>
      </w:tr>
      <w:tr w14:paraId="5198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DDC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A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市卫生健康委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E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梧州市中医医院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A7B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56507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D52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27"/>
                <w:rFonts w:eastAsia="宋体"/>
                <w:color w:val="auto"/>
                <w:highlight w:val="none"/>
                <w:lang w:val="en-US" w:eastAsia="zh-CN" w:bidi="ar"/>
              </w:rPr>
              <w:t>2000</w:t>
            </w:r>
            <w:r>
              <w:rPr>
                <w:rStyle w:val="118"/>
                <w:color w:val="auto"/>
                <w:highlight w:val="none"/>
                <w:lang w:val="en-US" w:eastAsia="zh-CN" w:bidi="ar"/>
              </w:rPr>
              <w:t>，</w:t>
            </w:r>
            <w:r>
              <w:rPr>
                <w:rStyle w:val="127"/>
                <w:rFonts w:eastAsia="宋体"/>
                <w:color w:val="auto"/>
                <w:highlight w:val="none"/>
                <w:lang w:val="en-US" w:eastAsia="zh-CN" w:bidi="ar"/>
              </w:rPr>
              <w:t>2009</w:t>
            </w:r>
            <w:r>
              <w:rPr>
                <w:rStyle w:val="118"/>
                <w:color w:val="auto"/>
                <w:highlight w:val="none"/>
                <w:lang w:val="en-US" w:eastAsia="zh-CN" w:bidi="ar"/>
              </w:rPr>
              <w:t>、</w:t>
            </w:r>
            <w:r>
              <w:rPr>
                <w:rStyle w:val="127"/>
                <w:rFonts w:eastAsia="宋体"/>
                <w:color w:val="auto"/>
                <w:highlight w:val="none"/>
                <w:lang w:val="en-US" w:eastAsia="zh-CN" w:bidi="ar"/>
              </w:rPr>
              <w:t>2012</w:t>
            </w:r>
            <w:r>
              <w:rPr>
                <w:rStyle w:val="118"/>
                <w:color w:val="auto"/>
                <w:highlight w:val="none"/>
                <w:lang w:val="en-US" w:eastAsia="zh-CN" w:bidi="ar"/>
              </w:rPr>
              <w:t>、</w:t>
            </w:r>
            <w:r>
              <w:rPr>
                <w:rStyle w:val="127"/>
                <w:rFonts w:eastAsia="宋体"/>
                <w:color w:val="auto"/>
                <w:highlight w:val="none"/>
                <w:lang w:val="en-US" w:eastAsia="zh-CN" w:bidi="ar"/>
              </w:rPr>
              <w:t>2023</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A8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钢筋混凝土</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C99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4182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44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5607517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F8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4052210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AF84">
            <w:pPr>
              <w:jc w:val="center"/>
              <w:rPr>
                <w:rFonts w:hint="default" w:ascii="Times New Roman" w:hAnsi="Times New Roman" w:eastAsia="宋体" w:cs="Times New Roman"/>
                <w:i w:val="0"/>
                <w:iCs w:val="0"/>
                <w:color w:val="auto"/>
                <w:sz w:val="22"/>
                <w:szCs w:val="22"/>
                <w:highlight w:val="none"/>
                <w:u w:val="none"/>
              </w:rPr>
            </w:pPr>
          </w:p>
        </w:tc>
      </w:tr>
      <w:tr w14:paraId="21EB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9F9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A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E8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梧州高级中学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9C6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82636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D67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2012</w:t>
            </w:r>
            <w:r>
              <w:rPr>
                <w:rStyle w:val="122"/>
                <w:color w:val="auto"/>
                <w:highlight w:val="none"/>
                <w:lang w:val="en-US" w:eastAsia="zh-CN" w:bidi="ar"/>
              </w:rPr>
              <w:t>年投入使用：办公楼、实验楼、图书馆、体育馆、高峰楼、堂奥楼、教师宿舍、学生宿舍</w:t>
            </w:r>
            <w:r>
              <w:rPr>
                <w:rStyle w:val="131"/>
                <w:rFonts w:eastAsia="宋体"/>
                <w:color w:val="auto"/>
                <w:highlight w:val="none"/>
                <w:lang w:val="en-US" w:eastAsia="zh-CN" w:bidi="ar"/>
              </w:rPr>
              <w:t>ABC</w:t>
            </w:r>
            <w:r>
              <w:rPr>
                <w:rStyle w:val="122"/>
                <w:color w:val="auto"/>
                <w:highlight w:val="none"/>
                <w:lang w:val="en-US" w:eastAsia="zh-CN" w:bidi="ar"/>
              </w:rPr>
              <w:t>栋；</w:t>
            </w:r>
            <w:r>
              <w:rPr>
                <w:rStyle w:val="131"/>
                <w:rFonts w:eastAsia="宋体"/>
                <w:color w:val="auto"/>
                <w:highlight w:val="none"/>
                <w:lang w:val="en-US" w:eastAsia="zh-CN" w:bidi="ar"/>
              </w:rPr>
              <w:t>2018</w:t>
            </w:r>
            <w:r>
              <w:rPr>
                <w:rStyle w:val="122"/>
                <w:color w:val="auto"/>
                <w:highlight w:val="none"/>
                <w:lang w:val="en-US" w:eastAsia="zh-CN" w:bidi="ar"/>
              </w:rPr>
              <w:t>年德学楼、</w:t>
            </w:r>
            <w:r>
              <w:rPr>
                <w:rStyle w:val="131"/>
                <w:rFonts w:eastAsia="宋体"/>
                <w:color w:val="auto"/>
                <w:highlight w:val="none"/>
                <w:lang w:val="en-US" w:eastAsia="zh-CN" w:bidi="ar"/>
              </w:rPr>
              <w:t>D</w:t>
            </w:r>
            <w:r>
              <w:rPr>
                <w:rStyle w:val="122"/>
                <w:color w:val="auto"/>
                <w:highlight w:val="none"/>
                <w:lang w:val="en-US" w:eastAsia="zh-CN" w:bidi="ar"/>
              </w:rPr>
              <w:t>栋学生宿舍；</w:t>
            </w:r>
            <w:r>
              <w:rPr>
                <w:rStyle w:val="131"/>
                <w:rFonts w:eastAsia="宋体"/>
                <w:color w:val="auto"/>
                <w:highlight w:val="none"/>
                <w:lang w:val="en-US" w:eastAsia="zh-CN" w:bidi="ar"/>
              </w:rPr>
              <w:t>2025</w:t>
            </w:r>
            <w:r>
              <w:rPr>
                <w:rStyle w:val="122"/>
                <w:color w:val="auto"/>
                <w:highlight w:val="none"/>
                <w:lang w:val="en-US" w:eastAsia="zh-CN" w:bidi="ar"/>
              </w:rPr>
              <w:t>年</w:t>
            </w:r>
            <w:r>
              <w:rPr>
                <w:rStyle w:val="131"/>
                <w:rFonts w:eastAsia="宋体"/>
                <w:color w:val="auto"/>
                <w:highlight w:val="none"/>
                <w:lang w:val="en-US" w:eastAsia="zh-CN" w:bidi="ar"/>
              </w:rPr>
              <w:t>2#</w:t>
            </w:r>
            <w:r>
              <w:rPr>
                <w:rStyle w:val="122"/>
                <w:color w:val="auto"/>
                <w:highlight w:val="none"/>
                <w:lang w:val="en-US" w:eastAsia="zh-CN" w:bidi="ar"/>
              </w:rPr>
              <w:t>实验楼；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4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钢筋混凝土结构</w:t>
            </w:r>
            <w:r>
              <w:rPr>
                <w:rStyle w:val="131"/>
                <w:rFonts w:eastAsia="宋体"/>
                <w:color w:val="auto"/>
                <w:highlight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7E2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2846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C2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3197309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BCD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1739656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B863">
            <w:pPr>
              <w:jc w:val="center"/>
              <w:rPr>
                <w:rFonts w:hint="default" w:ascii="Times New Roman" w:hAnsi="Times New Roman" w:eastAsia="宋体" w:cs="Times New Roman"/>
                <w:i w:val="0"/>
                <w:iCs w:val="0"/>
                <w:color w:val="auto"/>
                <w:sz w:val="22"/>
                <w:szCs w:val="22"/>
                <w:highlight w:val="none"/>
                <w:u w:val="none"/>
              </w:rPr>
            </w:pPr>
          </w:p>
        </w:tc>
      </w:tr>
      <w:tr w14:paraId="59E9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BA3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38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市市场监管局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C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梧州市食品药品检验所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09F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14567.07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F0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粤桂综合实验楼：</w:t>
            </w:r>
            <w:r>
              <w:rPr>
                <w:rStyle w:val="131"/>
                <w:rFonts w:eastAsia="宋体"/>
                <w:color w:val="auto"/>
                <w:highlight w:val="none"/>
                <w:lang w:val="en-US" w:eastAsia="zh-CN" w:bidi="ar"/>
              </w:rPr>
              <w:t>2019-10-31</w:t>
            </w:r>
            <w:r>
              <w:rPr>
                <w:rStyle w:val="131"/>
                <w:rFonts w:eastAsia="宋体"/>
                <w:color w:val="auto"/>
                <w:highlight w:val="none"/>
                <w:lang w:val="en-US" w:eastAsia="zh-CN" w:bidi="ar"/>
              </w:rPr>
              <w:br w:type="textWrapping"/>
            </w:r>
            <w:r>
              <w:rPr>
                <w:rStyle w:val="122"/>
                <w:color w:val="auto"/>
                <w:highlight w:val="none"/>
                <w:lang w:val="en-US" w:eastAsia="zh-CN" w:bidi="ar"/>
              </w:rPr>
              <w:t>综合实验楼：</w:t>
            </w:r>
            <w:r>
              <w:rPr>
                <w:rStyle w:val="131"/>
                <w:rFonts w:eastAsia="宋体"/>
                <w:color w:val="auto"/>
                <w:highlight w:val="none"/>
                <w:lang w:val="en-US" w:eastAsia="zh-CN" w:bidi="ar"/>
              </w:rPr>
              <w:t>2009-10-31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E5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0B7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124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243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1332586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87C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968968.95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A43C">
            <w:pPr>
              <w:jc w:val="center"/>
              <w:rPr>
                <w:rFonts w:hint="default" w:ascii="Times New Roman" w:hAnsi="Times New Roman" w:eastAsia="宋体" w:cs="Times New Roman"/>
                <w:i w:val="0"/>
                <w:iCs w:val="0"/>
                <w:color w:val="auto"/>
                <w:sz w:val="22"/>
                <w:szCs w:val="22"/>
                <w:highlight w:val="none"/>
                <w:u w:val="none"/>
              </w:rPr>
            </w:pPr>
          </w:p>
        </w:tc>
      </w:tr>
      <w:tr w14:paraId="1943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C2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5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3E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梧州市公安局交通警察支队</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F7E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3463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9F7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1995</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C8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7C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599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FE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1482132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07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1069620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16CC">
            <w:pPr>
              <w:jc w:val="center"/>
              <w:rPr>
                <w:rFonts w:hint="default" w:ascii="Times New Roman" w:hAnsi="Times New Roman" w:eastAsia="宋体" w:cs="Times New Roman"/>
                <w:i w:val="0"/>
                <w:iCs w:val="0"/>
                <w:color w:val="auto"/>
                <w:sz w:val="22"/>
                <w:szCs w:val="22"/>
                <w:highlight w:val="none"/>
                <w:u w:val="none"/>
              </w:rPr>
            </w:pPr>
          </w:p>
        </w:tc>
      </w:tr>
      <w:tr w14:paraId="6AFB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D75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DB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9F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广西梧州市第十八中学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0F3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48637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A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东区办公楼</w:t>
            </w:r>
            <w:r>
              <w:rPr>
                <w:rStyle w:val="131"/>
                <w:rFonts w:eastAsia="宋体"/>
                <w:color w:val="auto"/>
                <w:highlight w:val="none"/>
                <w:lang w:val="en-US" w:eastAsia="zh-CN" w:bidi="ar"/>
              </w:rPr>
              <w:t>2010</w:t>
            </w:r>
            <w:r>
              <w:rPr>
                <w:rStyle w:val="122"/>
                <w:color w:val="auto"/>
                <w:highlight w:val="none"/>
                <w:lang w:val="en-US" w:eastAsia="zh-CN" w:bidi="ar"/>
              </w:rPr>
              <w:t>年；西区办公楼</w:t>
            </w:r>
            <w:r>
              <w:rPr>
                <w:rStyle w:val="131"/>
                <w:rFonts w:eastAsia="宋体"/>
                <w:color w:val="auto"/>
                <w:highlight w:val="none"/>
                <w:lang w:val="en-US" w:eastAsia="zh-CN" w:bidi="ar"/>
              </w:rPr>
              <w:t>1998</w:t>
            </w:r>
            <w:r>
              <w:rPr>
                <w:rStyle w:val="122"/>
                <w:color w:val="auto"/>
                <w:highlight w:val="none"/>
                <w:lang w:val="en-US" w:eastAsia="zh-CN" w:bidi="ar"/>
              </w:rPr>
              <w:t>年；科学综合楼</w:t>
            </w:r>
            <w:r>
              <w:rPr>
                <w:rStyle w:val="131"/>
                <w:rFonts w:eastAsia="宋体"/>
                <w:color w:val="auto"/>
                <w:highlight w:val="none"/>
                <w:lang w:val="en-US" w:eastAsia="zh-CN" w:bidi="ar"/>
              </w:rPr>
              <w:t>2009</w:t>
            </w:r>
            <w:r>
              <w:rPr>
                <w:rStyle w:val="122"/>
                <w:color w:val="auto"/>
                <w:highlight w:val="none"/>
                <w:lang w:val="en-US" w:eastAsia="zh-CN" w:bidi="ar"/>
              </w:rPr>
              <w:t>年；东区综合楼</w:t>
            </w:r>
            <w:r>
              <w:rPr>
                <w:rStyle w:val="131"/>
                <w:rFonts w:eastAsia="宋体"/>
                <w:color w:val="auto"/>
                <w:highlight w:val="none"/>
                <w:lang w:val="en-US" w:eastAsia="zh-CN" w:bidi="ar"/>
              </w:rPr>
              <w:t>2012</w:t>
            </w:r>
            <w:r>
              <w:rPr>
                <w:rStyle w:val="122"/>
                <w:color w:val="auto"/>
                <w:highlight w:val="none"/>
                <w:lang w:val="en-US" w:eastAsia="zh-CN" w:bidi="ar"/>
              </w:rPr>
              <w:t>年；</w:t>
            </w:r>
            <w:r>
              <w:rPr>
                <w:rStyle w:val="131"/>
                <w:rFonts w:eastAsia="宋体"/>
                <w:color w:val="auto"/>
                <w:highlight w:val="none"/>
                <w:lang w:val="en-US" w:eastAsia="zh-CN" w:bidi="ar"/>
              </w:rPr>
              <w:t>1</w:t>
            </w:r>
            <w:r>
              <w:rPr>
                <w:rStyle w:val="122"/>
                <w:color w:val="auto"/>
                <w:highlight w:val="none"/>
                <w:lang w:val="en-US" w:eastAsia="zh-CN" w:bidi="ar"/>
              </w:rPr>
              <w:t>号教学楼</w:t>
            </w:r>
            <w:r>
              <w:rPr>
                <w:rStyle w:val="131"/>
                <w:rFonts w:eastAsia="宋体"/>
                <w:color w:val="auto"/>
                <w:highlight w:val="none"/>
                <w:lang w:val="en-US" w:eastAsia="zh-CN" w:bidi="ar"/>
              </w:rPr>
              <w:t>2003</w:t>
            </w:r>
            <w:r>
              <w:rPr>
                <w:rStyle w:val="122"/>
                <w:color w:val="auto"/>
                <w:highlight w:val="none"/>
                <w:lang w:val="en-US" w:eastAsia="zh-CN" w:bidi="ar"/>
              </w:rPr>
              <w:t>年；</w:t>
            </w:r>
            <w:r>
              <w:rPr>
                <w:rStyle w:val="131"/>
                <w:rFonts w:eastAsia="宋体"/>
                <w:color w:val="auto"/>
                <w:highlight w:val="none"/>
                <w:lang w:val="en-US" w:eastAsia="zh-CN" w:bidi="ar"/>
              </w:rPr>
              <w:t>2</w:t>
            </w:r>
            <w:r>
              <w:rPr>
                <w:rStyle w:val="122"/>
                <w:color w:val="auto"/>
                <w:highlight w:val="none"/>
                <w:lang w:val="en-US" w:eastAsia="zh-CN" w:bidi="ar"/>
              </w:rPr>
              <w:t>号楼学楼</w:t>
            </w:r>
            <w:r>
              <w:rPr>
                <w:rStyle w:val="131"/>
                <w:rFonts w:eastAsia="宋体"/>
                <w:color w:val="auto"/>
                <w:highlight w:val="none"/>
                <w:lang w:val="en-US" w:eastAsia="zh-CN" w:bidi="ar"/>
              </w:rPr>
              <w:t>1987</w:t>
            </w:r>
            <w:r>
              <w:rPr>
                <w:rStyle w:val="122"/>
                <w:color w:val="auto"/>
                <w:highlight w:val="none"/>
                <w:lang w:val="en-US" w:eastAsia="zh-CN" w:bidi="ar"/>
              </w:rPr>
              <w:t>年；</w:t>
            </w:r>
            <w:r>
              <w:rPr>
                <w:rStyle w:val="131"/>
                <w:rFonts w:eastAsia="宋体"/>
                <w:color w:val="auto"/>
                <w:highlight w:val="none"/>
                <w:lang w:val="en-US" w:eastAsia="zh-CN" w:bidi="ar"/>
              </w:rPr>
              <w:t>3</w:t>
            </w:r>
            <w:r>
              <w:rPr>
                <w:rStyle w:val="122"/>
                <w:color w:val="auto"/>
                <w:highlight w:val="none"/>
                <w:lang w:val="en-US" w:eastAsia="zh-CN" w:bidi="ar"/>
              </w:rPr>
              <w:t>号教学楼东部</w:t>
            </w:r>
            <w:r>
              <w:rPr>
                <w:rStyle w:val="131"/>
                <w:rFonts w:eastAsia="宋体"/>
                <w:color w:val="auto"/>
                <w:highlight w:val="none"/>
                <w:lang w:val="en-US" w:eastAsia="zh-CN" w:bidi="ar"/>
              </w:rPr>
              <w:t>1980</w:t>
            </w:r>
            <w:r>
              <w:rPr>
                <w:rStyle w:val="122"/>
                <w:color w:val="auto"/>
                <w:highlight w:val="none"/>
                <w:lang w:val="en-US" w:eastAsia="zh-CN" w:bidi="ar"/>
              </w:rPr>
              <w:t>年西部</w:t>
            </w:r>
            <w:r>
              <w:rPr>
                <w:rStyle w:val="131"/>
                <w:rFonts w:eastAsia="宋体"/>
                <w:color w:val="auto"/>
                <w:highlight w:val="none"/>
                <w:lang w:val="en-US" w:eastAsia="zh-CN" w:bidi="ar"/>
              </w:rPr>
              <w:t>1991</w:t>
            </w:r>
            <w:r>
              <w:rPr>
                <w:rStyle w:val="122"/>
                <w:color w:val="auto"/>
                <w:highlight w:val="none"/>
                <w:lang w:val="en-US" w:eastAsia="zh-CN" w:bidi="ar"/>
              </w:rPr>
              <w:t>年；</w:t>
            </w:r>
            <w:r>
              <w:rPr>
                <w:rStyle w:val="131"/>
                <w:rFonts w:eastAsia="宋体"/>
                <w:color w:val="auto"/>
                <w:highlight w:val="none"/>
                <w:lang w:val="en-US" w:eastAsia="zh-CN" w:bidi="ar"/>
              </w:rPr>
              <w:t>4</w:t>
            </w:r>
            <w:r>
              <w:rPr>
                <w:rStyle w:val="122"/>
                <w:color w:val="auto"/>
                <w:highlight w:val="none"/>
                <w:lang w:val="en-US" w:eastAsia="zh-CN" w:bidi="ar"/>
              </w:rPr>
              <w:t>号教学楼</w:t>
            </w:r>
            <w:r>
              <w:rPr>
                <w:rStyle w:val="131"/>
                <w:rFonts w:eastAsia="宋体"/>
                <w:color w:val="auto"/>
                <w:highlight w:val="none"/>
                <w:lang w:val="en-US" w:eastAsia="zh-CN" w:bidi="ar"/>
              </w:rPr>
              <w:t>2021</w:t>
            </w:r>
            <w:r>
              <w:rPr>
                <w:rStyle w:val="122"/>
                <w:color w:val="auto"/>
                <w:highlight w:val="none"/>
                <w:lang w:val="en-US" w:eastAsia="zh-CN" w:bidi="ar"/>
              </w:rPr>
              <w:t>年；</w:t>
            </w:r>
            <w:r>
              <w:rPr>
                <w:rStyle w:val="131"/>
                <w:rFonts w:eastAsia="宋体"/>
                <w:color w:val="auto"/>
                <w:highlight w:val="none"/>
                <w:lang w:val="en-US" w:eastAsia="zh-CN" w:bidi="ar"/>
              </w:rPr>
              <w:t>5</w:t>
            </w:r>
            <w:r>
              <w:rPr>
                <w:rStyle w:val="122"/>
                <w:color w:val="auto"/>
                <w:highlight w:val="none"/>
                <w:lang w:val="en-US" w:eastAsia="zh-CN" w:bidi="ar"/>
              </w:rPr>
              <w:t>号教学楼</w:t>
            </w:r>
            <w:r>
              <w:rPr>
                <w:rStyle w:val="131"/>
                <w:rFonts w:eastAsia="宋体"/>
                <w:color w:val="auto"/>
                <w:highlight w:val="none"/>
                <w:lang w:val="en-US" w:eastAsia="zh-CN" w:bidi="ar"/>
              </w:rPr>
              <w:t>1985</w:t>
            </w:r>
            <w:r>
              <w:rPr>
                <w:rStyle w:val="122"/>
                <w:color w:val="auto"/>
                <w:highlight w:val="none"/>
                <w:lang w:val="en-US" w:eastAsia="zh-CN" w:bidi="ar"/>
              </w:rPr>
              <w:t>年；</w:t>
            </w:r>
            <w:r>
              <w:rPr>
                <w:rStyle w:val="131"/>
                <w:rFonts w:eastAsia="宋体"/>
                <w:color w:val="auto"/>
                <w:highlight w:val="none"/>
                <w:lang w:val="en-US" w:eastAsia="zh-CN" w:bidi="ar"/>
              </w:rPr>
              <w:t>6</w:t>
            </w:r>
            <w:r>
              <w:rPr>
                <w:rStyle w:val="122"/>
                <w:color w:val="auto"/>
                <w:highlight w:val="none"/>
                <w:lang w:val="en-US" w:eastAsia="zh-CN" w:bidi="ar"/>
              </w:rPr>
              <w:t>号教学楼</w:t>
            </w:r>
            <w:r>
              <w:rPr>
                <w:rStyle w:val="131"/>
                <w:rFonts w:eastAsia="宋体"/>
                <w:color w:val="auto"/>
                <w:highlight w:val="none"/>
                <w:lang w:val="en-US" w:eastAsia="zh-CN" w:bidi="ar"/>
              </w:rPr>
              <w:t>1987</w:t>
            </w:r>
            <w:r>
              <w:rPr>
                <w:rStyle w:val="122"/>
                <w:color w:val="auto"/>
                <w:highlight w:val="none"/>
                <w:lang w:val="en-US" w:eastAsia="zh-CN" w:bidi="ar"/>
              </w:rPr>
              <w:t>年；</w:t>
            </w:r>
            <w:r>
              <w:rPr>
                <w:rStyle w:val="131"/>
                <w:rFonts w:eastAsia="宋体"/>
                <w:color w:val="auto"/>
                <w:highlight w:val="none"/>
                <w:lang w:val="en-US" w:eastAsia="zh-CN" w:bidi="ar"/>
              </w:rPr>
              <w:t>7</w:t>
            </w:r>
            <w:r>
              <w:rPr>
                <w:rStyle w:val="122"/>
                <w:color w:val="auto"/>
                <w:highlight w:val="none"/>
                <w:lang w:val="en-US" w:eastAsia="zh-CN" w:bidi="ar"/>
              </w:rPr>
              <w:t>号教学楼</w:t>
            </w:r>
            <w:r>
              <w:rPr>
                <w:rStyle w:val="131"/>
                <w:rFonts w:eastAsia="宋体"/>
                <w:color w:val="auto"/>
                <w:highlight w:val="none"/>
                <w:lang w:val="en-US" w:eastAsia="zh-CN" w:bidi="ar"/>
              </w:rPr>
              <w:t>1995</w:t>
            </w:r>
            <w:r>
              <w:rPr>
                <w:rStyle w:val="122"/>
                <w:color w:val="auto"/>
                <w:highlight w:val="none"/>
                <w:lang w:val="en-US" w:eastAsia="zh-CN" w:bidi="ar"/>
              </w:rPr>
              <w:t>年；</w:t>
            </w:r>
            <w:r>
              <w:rPr>
                <w:rStyle w:val="131"/>
                <w:rFonts w:eastAsia="宋体"/>
                <w:color w:val="auto"/>
                <w:highlight w:val="none"/>
                <w:lang w:val="en-US" w:eastAsia="zh-CN" w:bidi="ar"/>
              </w:rPr>
              <w:t>1</w:t>
            </w:r>
            <w:r>
              <w:rPr>
                <w:rStyle w:val="122"/>
                <w:color w:val="auto"/>
                <w:highlight w:val="none"/>
                <w:lang w:val="en-US" w:eastAsia="zh-CN" w:bidi="ar"/>
              </w:rPr>
              <w:t>号学生公寓</w:t>
            </w:r>
            <w:r>
              <w:rPr>
                <w:rStyle w:val="131"/>
                <w:rFonts w:eastAsia="宋体"/>
                <w:color w:val="auto"/>
                <w:highlight w:val="none"/>
                <w:lang w:val="en-US" w:eastAsia="zh-CN" w:bidi="ar"/>
              </w:rPr>
              <w:t>2010</w:t>
            </w:r>
            <w:r>
              <w:rPr>
                <w:rStyle w:val="122"/>
                <w:color w:val="auto"/>
                <w:highlight w:val="none"/>
                <w:lang w:val="en-US" w:eastAsia="zh-CN" w:bidi="ar"/>
              </w:rPr>
              <w:t>年；</w:t>
            </w:r>
            <w:r>
              <w:rPr>
                <w:rStyle w:val="131"/>
                <w:rFonts w:eastAsia="宋体"/>
                <w:color w:val="auto"/>
                <w:highlight w:val="none"/>
                <w:lang w:val="en-US" w:eastAsia="zh-CN" w:bidi="ar"/>
              </w:rPr>
              <w:t>2</w:t>
            </w:r>
            <w:r>
              <w:rPr>
                <w:rStyle w:val="122"/>
                <w:color w:val="auto"/>
                <w:highlight w:val="none"/>
                <w:lang w:val="en-US" w:eastAsia="zh-CN" w:bidi="ar"/>
              </w:rPr>
              <w:t>号学生公寓</w:t>
            </w:r>
            <w:r>
              <w:rPr>
                <w:rStyle w:val="131"/>
                <w:rFonts w:eastAsia="宋体"/>
                <w:color w:val="auto"/>
                <w:highlight w:val="none"/>
                <w:lang w:val="en-US" w:eastAsia="zh-CN" w:bidi="ar"/>
              </w:rPr>
              <w:t>2007</w:t>
            </w:r>
            <w:r>
              <w:rPr>
                <w:rStyle w:val="122"/>
                <w:color w:val="auto"/>
                <w:highlight w:val="none"/>
                <w:lang w:val="en-US" w:eastAsia="zh-CN" w:bidi="ar"/>
              </w:rPr>
              <w:t>年；</w:t>
            </w:r>
            <w:r>
              <w:rPr>
                <w:rStyle w:val="131"/>
                <w:rFonts w:eastAsia="宋体"/>
                <w:color w:val="auto"/>
                <w:highlight w:val="none"/>
                <w:lang w:val="en-US" w:eastAsia="zh-CN" w:bidi="ar"/>
              </w:rPr>
              <w:t>3</w:t>
            </w:r>
            <w:r>
              <w:rPr>
                <w:rStyle w:val="122"/>
                <w:color w:val="auto"/>
                <w:highlight w:val="none"/>
                <w:lang w:val="en-US" w:eastAsia="zh-CN" w:bidi="ar"/>
              </w:rPr>
              <w:t>号学生公寓</w:t>
            </w:r>
            <w:r>
              <w:rPr>
                <w:rStyle w:val="131"/>
                <w:rFonts w:eastAsia="宋体"/>
                <w:color w:val="auto"/>
                <w:highlight w:val="none"/>
                <w:lang w:val="en-US" w:eastAsia="zh-CN" w:bidi="ar"/>
              </w:rPr>
              <w:t>1996</w:t>
            </w:r>
            <w:r>
              <w:rPr>
                <w:rStyle w:val="122"/>
                <w:color w:val="auto"/>
                <w:highlight w:val="none"/>
                <w:lang w:val="en-US" w:eastAsia="zh-CN" w:bidi="ar"/>
              </w:rPr>
              <w:t>年；</w:t>
            </w:r>
            <w:r>
              <w:rPr>
                <w:rStyle w:val="131"/>
                <w:rFonts w:eastAsia="宋体"/>
                <w:color w:val="auto"/>
                <w:highlight w:val="none"/>
                <w:lang w:val="en-US" w:eastAsia="zh-CN" w:bidi="ar"/>
              </w:rPr>
              <w:t>4</w:t>
            </w:r>
            <w:r>
              <w:rPr>
                <w:rStyle w:val="122"/>
                <w:color w:val="auto"/>
                <w:highlight w:val="none"/>
                <w:lang w:val="en-US" w:eastAsia="zh-CN" w:bidi="ar"/>
              </w:rPr>
              <w:t>号学生公寓</w:t>
            </w:r>
            <w:r>
              <w:rPr>
                <w:rStyle w:val="131"/>
                <w:rFonts w:eastAsia="宋体"/>
                <w:color w:val="auto"/>
                <w:highlight w:val="none"/>
                <w:lang w:val="en-US" w:eastAsia="zh-CN" w:bidi="ar"/>
              </w:rPr>
              <w:t>2001</w:t>
            </w:r>
            <w:r>
              <w:rPr>
                <w:rStyle w:val="122"/>
                <w:color w:val="auto"/>
                <w:highlight w:val="none"/>
                <w:lang w:val="en-US" w:eastAsia="zh-CN" w:bidi="ar"/>
              </w:rPr>
              <w:t>年；</w:t>
            </w:r>
            <w:r>
              <w:rPr>
                <w:rStyle w:val="131"/>
                <w:rFonts w:eastAsia="宋体"/>
                <w:color w:val="auto"/>
                <w:highlight w:val="none"/>
                <w:lang w:val="en-US" w:eastAsia="zh-CN" w:bidi="ar"/>
              </w:rPr>
              <w:t>5</w:t>
            </w:r>
            <w:r>
              <w:rPr>
                <w:rStyle w:val="122"/>
                <w:color w:val="auto"/>
                <w:highlight w:val="none"/>
                <w:lang w:val="en-US" w:eastAsia="zh-CN" w:bidi="ar"/>
              </w:rPr>
              <w:t>号学生公寓</w:t>
            </w:r>
            <w:r>
              <w:rPr>
                <w:rStyle w:val="131"/>
                <w:rFonts w:eastAsia="宋体"/>
                <w:color w:val="auto"/>
                <w:highlight w:val="none"/>
                <w:lang w:val="en-US" w:eastAsia="zh-CN" w:bidi="ar"/>
              </w:rPr>
              <w:t>2023</w:t>
            </w:r>
            <w:r>
              <w:rPr>
                <w:rStyle w:val="122"/>
                <w:color w:val="auto"/>
                <w:highlight w:val="none"/>
                <w:lang w:val="en-US" w:eastAsia="zh-CN" w:bidi="ar"/>
              </w:rPr>
              <w:t>年；</w:t>
            </w:r>
            <w:r>
              <w:rPr>
                <w:rStyle w:val="131"/>
                <w:rFonts w:eastAsia="宋体"/>
                <w:color w:val="auto"/>
                <w:highlight w:val="none"/>
                <w:lang w:val="en-US" w:eastAsia="zh-CN" w:bidi="ar"/>
              </w:rPr>
              <w:t>6</w:t>
            </w:r>
            <w:r>
              <w:rPr>
                <w:rStyle w:val="122"/>
                <w:color w:val="auto"/>
                <w:highlight w:val="none"/>
                <w:lang w:val="en-US" w:eastAsia="zh-CN" w:bidi="ar"/>
              </w:rPr>
              <w:t>号学生公寓</w:t>
            </w:r>
            <w:r>
              <w:rPr>
                <w:rStyle w:val="131"/>
                <w:rFonts w:eastAsia="宋体"/>
                <w:color w:val="auto"/>
                <w:highlight w:val="none"/>
                <w:lang w:val="en-US" w:eastAsia="zh-CN" w:bidi="ar"/>
              </w:rPr>
              <w:t>1985</w:t>
            </w:r>
            <w:r>
              <w:rPr>
                <w:rStyle w:val="122"/>
                <w:color w:val="auto"/>
                <w:highlight w:val="none"/>
                <w:lang w:val="en-US" w:eastAsia="zh-CN" w:bidi="ar"/>
              </w:rPr>
              <w:t>年；</w:t>
            </w:r>
            <w:r>
              <w:rPr>
                <w:rStyle w:val="131"/>
                <w:rFonts w:eastAsia="宋体"/>
                <w:color w:val="auto"/>
                <w:highlight w:val="none"/>
                <w:lang w:val="en-US" w:eastAsia="zh-CN" w:bidi="ar"/>
              </w:rPr>
              <w:t>7</w:t>
            </w:r>
            <w:r>
              <w:rPr>
                <w:rStyle w:val="122"/>
                <w:color w:val="auto"/>
                <w:highlight w:val="none"/>
                <w:lang w:val="en-US" w:eastAsia="zh-CN" w:bidi="ar"/>
              </w:rPr>
              <w:t>号学生公寓</w:t>
            </w:r>
            <w:r>
              <w:rPr>
                <w:rStyle w:val="131"/>
                <w:rFonts w:eastAsia="宋体"/>
                <w:color w:val="auto"/>
                <w:highlight w:val="none"/>
                <w:lang w:val="en-US" w:eastAsia="zh-CN" w:bidi="ar"/>
              </w:rPr>
              <w:t>2010</w:t>
            </w:r>
            <w:r>
              <w:rPr>
                <w:rStyle w:val="122"/>
                <w:color w:val="auto"/>
                <w:highlight w:val="none"/>
                <w:lang w:val="en-US" w:eastAsia="zh-CN" w:bidi="ar"/>
              </w:rPr>
              <w:t>年；</w:t>
            </w:r>
            <w:r>
              <w:rPr>
                <w:rStyle w:val="131"/>
                <w:rFonts w:eastAsia="宋体"/>
                <w:color w:val="auto"/>
                <w:highlight w:val="none"/>
                <w:lang w:val="en-US" w:eastAsia="zh-CN" w:bidi="ar"/>
              </w:rPr>
              <w:t>8</w:t>
            </w:r>
            <w:r>
              <w:rPr>
                <w:rStyle w:val="122"/>
                <w:color w:val="auto"/>
                <w:highlight w:val="none"/>
                <w:lang w:val="en-US" w:eastAsia="zh-CN" w:bidi="ar"/>
              </w:rPr>
              <w:t>号学生公寓</w:t>
            </w:r>
            <w:r>
              <w:rPr>
                <w:rStyle w:val="131"/>
                <w:rFonts w:eastAsia="宋体"/>
                <w:color w:val="auto"/>
                <w:highlight w:val="none"/>
                <w:lang w:val="en-US" w:eastAsia="zh-CN" w:bidi="ar"/>
              </w:rPr>
              <w:t>2010</w:t>
            </w:r>
            <w:r>
              <w:rPr>
                <w:rStyle w:val="122"/>
                <w:color w:val="auto"/>
                <w:highlight w:val="none"/>
                <w:lang w:val="en-US" w:eastAsia="zh-CN" w:bidi="ar"/>
              </w:rPr>
              <w:t>年；</w:t>
            </w:r>
            <w:r>
              <w:rPr>
                <w:rStyle w:val="131"/>
                <w:rFonts w:eastAsia="宋体"/>
                <w:color w:val="auto"/>
                <w:highlight w:val="none"/>
                <w:lang w:val="en-US" w:eastAsia="zh-CN" w:bidi="ar"/>
              </w:rPr>
              <w:t>9</w:t>
            </w:r>
            <w:r>
              <w:rPr>
                <w:rStyle w:val="122"/>
                <w:color w:val="auto"/>
                <w:highlight w:val="none"/>
                <w:lang w:val="en-US" w:eastAsia="zh-CN" w:bidi="ar"/>
              </w:rPr>
              <w:t>号学生公寓</w:t>
            </w:r>
            <w:r>
              <w:rPr>
                <w:rStyle w:val="131"/>
                <w:rFonts w:eastAsia="宋体"/>
                <w:color w:val="auto"/>
                <w:highlight w:val="none"/>
                <w:lang w:val="en-US" w:eastAsia="zh-CN" w:bidi="ar"/>
              </w:rPr>
              <w:t>1987</w:t>
            </w:r>
            <w:r>
              <w:rPr>
                <w:rStyle w:val="122"/>
                <w:color w:val="auto"/>
                <w:highlight w:val="none"/>
                <w:lang w:val="en-US" w:eastAsia="zh-CN" w:bidi="ar"/>
              </w:rPr>
              <w:t>年；西区食堂</w:t>
            </w:r>
            <w:r>
              <w:rPr>
                <w:rStyle w:val="131"/>
                <w:rFonts w:eastAsia="宋体"/>
                <w:color w:val="auto"/>
                <w:highlight w:val="none"/>
                <w:lang w:val="en-US" w:eastAsia="zh-CN" w:bidi="ar"/>
              </w:rPr>
              <w:t>1990</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D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东区办公楼框架；西区办公楼框架；科学综合楼框架；东区综合楼框架；</w:t>
            </w:r>
            <w:r>
              <w:rPr>
                <w:rStyle w:val="131"/>
                <w:rFonts w:eastAsia="宋体"/>
                <w:color w:val="auto"/>
                <w:highlight w:val="none"/>
                <w:lang w:val="en-US" w:eastAsia="zh-CN" w:bidi="ar"/>
              </w:rPr>
              <w:t>1</w:t>
            </w:r>
            <w:r>
              <w:rPr>
                <w:rStyle w:val="122"/>
                <w:color w:val="auto"/>
                <w:highlight w:val="none"/>
                <w:lang w:val="en-US" w:eastAsia="zh-CN" w:bidi="ar"/>
              </w:rPr>
              <w:t>号教学楼框架；</w:t>
            </w:r>
            <w:r>
              <w:rPr>
                <w:rStyle w:val="131"/>
                <w:rFonts w:eastAsia="宋体"/>
                <w:color w:val="auto"/>
                <w:highlight w:val="none"/>
                <w:lang w:val="en-US" w:eastAsia="zh-CN" w:bidi="ar"/>
              </w:rPr>
              <w:t>2</w:t>
            </w:r>
            <w:r>
              <w:rPr>
                <w:rStyle w:val="122"/>
                <w:color w:val="auto"/>
                <w:highlight w:val="none"/>
                <w:lang w:val="en-US" w:eastAsia="zh-CN" w:bidi="ar"/>
              </w:rPr>
              <w:t>号楼学楼砖混；</w:t>
            </w:r>
            <w:r>
              <w:rPr>
                <w:rStyle w:val="131"/>
                <w:rFonts w:eastAsia="宋体"/>
                <w:color w:val="auto"/>
                <w:highlight w:val="none"/>
                <w:lang w:val="en-US" w:eastAsia="zh-CN" w:bidi="ar"/>
              </w:rPr>
              <w:t>3</w:t>
            </w:r>
            <w:r>
              <w:rPr>
                <w:rStyle w:val="122"/>
                <w:color w:val="auto"/>
                <w:highlight w:val="none"/>
                <w:lang w:val="en-US" w:eastAsia="zh-CN" w:bidi="ar"/>
              </w:rPr>
              <w:t>号教学楼东部砖混、西部砖混；</w:t>
            </w:r>
            <w:r>
              <w:rPr>
                <w:rStyle w:val="131"/>
                <w:rFonts w:eastAsia="宋体"/>
                <w:color w:val="auto"/>
                <w:highlight w:val="none"/>
                <w:lang w:val="en-US" w:eastAsia="zh-CN" w:bidi="ar"/>
              </w:rPr>
              <w:t>4</w:t>
            </w:r>
            <w:r>
              <w:rPr>
                <w:rStyle w:val="122"/>
                <w:color w:val="auto"/>
                <w:highlight w:val="none"/>
                <w:lang w:val="en-US" w:eastAsia="zh-CN" w:bidi="ar"/>
              </w:rPr>
              <w:t>号教学楼框架；</w:t>
            </w:r>
            <w:r>
              <w:rPr>
                <w:rStyle w:val="131"/>
                <w:rFonts w:eastAsia="宋体"/>
                <w:color w:val="auto"/>
                <w:highlight w:val="none"/>
                <w:lang w:val="en-US" w:eastAsia="zh-CN" w:bidi="ar"/>
              </w:rPr>
              <w:t>5</w:t>
            </w:r>
            <w:r>
              <w:rPr>
                <w:rStyle w:val="122"/>
                <w:color w:val="auto"/>
                <w:highlight w:val="none"/>
                <w:lang w:val="en-US" w:eastAsia="zh-CN" w:bidi="ar"/>
              </w:rPr>
              <w:t>号教学楼砖混；</w:t>
            </w:r>
            <w:r>
              <w:rPr>
                <w:rStyle w:val="131"/>
                <w:rFonts w:eastAsia="宋体"/>
                <w:color w:val="auto"/>
                <w:highlight w:val="none"/>
                <w:lang w:val="en-US" w:eastAsia="zh-CN" w:bidi="ar"/>
              </w:rPr>
              <w:t>6</w:t>
            </w:r>
            <w:r>
              <w:rPr>
                <w:rStyle w:val="122"/>
                <w:color w:val="auto"/>
                <w:highlight w:val="none"/>
                <w:lang w:val="en-US" w:eastAsia="zh-CN" w:bidi="ar"/>
              </w:rPr>
              <w:t>号教学楼砖混；</w:t>
            </w:r>
            <w:r>
              <w:rPr>
                <w:rStyle w:val="131"/>
                <w:rFonts w:eastAsia="宋体"/>
                <w:color w:val="auto"/>
                <w:highlight w:val="none"/>
                <w:lang w:val="en-US" w:eastAsia="zh-CN" w:bidi="ar"/>
              </w:rPr>
              <w:t>7</w:t>
            </w:r>
            <w:r>
              <w:rPr>
                <w:rStyle w:val="122"/>
                <w:color w:val="auto"/>
                <w:highlight w:val="none"/>
                <w:lang w:val="en-US" w:eastAsia="zh-CN" w:bidi="ar"/>
              </w:rPr>
              <w:t>号教学楼砖混；</w:t>
            </w:r>
            <w:r>
              <w:rPr>
                <w:rStyle w:val="131"/>
                <w:rFonts w:eastAsia="宋体"/>
                <w:color w:val="auto"/>
                <w:highlight w:val="none"/>
                <w:lang w:val="en-US" w:eastAsia="zh-CN" w:bidi="ar"/>
              </w:rPr>
              <w:t>1</w:t>
            </w:r>
            <w:r>
              <w:rPr>
                <w:rStyle w:val="122"/>
                <w:color w:val="auto"/>
                <w:highlight w:val="none"/>
                <w:lang w:val="en-US" w:eastAsia="zh-CN" w:bidi="ar"/>
              </w:rPr>
              <w:t>号学生公寓框架；</w:t>
            </w:r>
            <w:r>
              <w:rPr>
                <w:rStyle w:val="131"/>
                <w:rFonts w:eastAsia="宋体"/>
                <w:color w:val="auto"/>
                <w:highlight w:val="none"/>
                <w:lang w:val="en-US" w:eastAsia="zh-CN" w:bidi="ar"/>
              </w:rPr>
              <w:t>2</w:t>
            </w:r>
            <w:r>
              <w:rPr>
                <w:rStyle w:val="122"/>
                <w:color w:val="auto"/>
                <w:highlight w:val="none"/>
                <w:lang w:val="en-US" w:eastAsia="zh-CN" w:bidi="ar"/>
              </w:rPr>
              <w:t>号学生公寓框架；</w:t>
            </w:r>
            <w:r>
              <w:rPr>
                <w:rStyle w:val="131"/>
                <w:rFonts w:eastAsia="宋体"/>
                <w:color w:val="auto"/>
                <w:highlight w:val="none"/>
                <w:lang w:val="en-US" w:eastAsia="zh-CN" w:bidi="ar"/>
              </w:rPr>
              <w:t>3</w:t>
            </w:r>
            <w:r>
              <w:rPr>
                <w:rStyle w:val="122"/>
                <w:color w:val="auto"/>
                <w:highlight w:val="none"/>
                <w:lang w:val="en-US" w:eastAsia="zh-CN" w:bidi="ar"/>
              </w:rPr>
              <w:t>号学生公寓砖混；</w:t>
            </w:r>
            <w:r>
              <w:rPr>
                <w:rStyle w:val="131"/>
                <w:rFonts w:eastAsia="宋体"/>
                <w:color w:val="auto"/>
                <w:highlight w:val="none"/>
                <w:lang w:val="en-US" w:eastAsia="zh-CN" w:bidi="ar"/>
              </w:rPr>
              <w:t>4</w:t>
            </w:r>
            <w:r>
              <w:rPr>
                <w:rStyle w:val="122"/>
                <w:color w:val="auto"/>
                <w:highlight w:val="none"/>
                <w:lang w:val="en-US" w:eastAsia="zh-CN" w:bidi="ar"/>
              </w:rPr>
              <w:t>号学生公寓框架；</w:t>
            </w:r>
            <w:r>
              <w:rPr>
                <w:rStyle w:val="131"/>
                <w:rFonts w:eastAsia="宋体"/>
                <w:color w:val="auto"/>
                <w:highlight w:val="none"/>
                <w:lang w:val="en-US" w:eastAsia="zh-CN" w:bidi="ar"/>
              </w:rPr>
              <w:t>5</w:t>
            </w:r>
            <w:r>
              <w:rPr>
                <w:rStyle w:val="122"/>
                <w:color w:val="auto"/>
                <w:highlight w:val="none"/>
                <w:lang w:val="en-US" w:eastAsia="zh-CN" w:bidi="ar"/>
              </w:rPr>
              <w:t>号学生公寓</w:t>
            </w:r>
            <w:r>
              <w:rPr>
                <w:rStyle w:val="131"/>
                <w:rFonts w:eastAsia="宋体"/>
                <w:color w:val="auto"/>
                <w:highlight w:val="none"/>
                <w:lang w:val="en-US" w:eastAsia="zh-CN" w:bidi="ar"/>
              </w:rPr>
              <w:t>2023</w:t>
            </w:r>
            <w:r>
              <w:rPr>
                <w:rStyle w:val="122"/>
                <w:color w:val="auto"/>
                <w:highlight w:val="none"/>
                <w:lang w:val="en-US" w:eastAsia="zh-CN" w:bidi="ar"/>
              </w:rPr>
              <w:t>年；</w:t>
            </w:r>
            <w:r>
              <w:rPr>
                <w:rStyle w:val="131"/>
                <w:rFonts w:eastAsia="宋体"/>
                <w:color w:val="auto"/>
                <w:highlight w:val="none"/>
                <w:lang w:val="en-US" w:eastAsia="zh-CN" w:bidi="ar"/>
              </w:rPr>
              <w:t>6</w:t>
            </w:r>
            <w:r>
              <w:rPr>
                <w:rStyle w:val="122"/>
                <w:color w:val="auto"/>
                <w:highlight w:val="none"/>
                <w:lang w:val="en-US" w:eastAsia="zh-CN" w:bidi="ar"/>
              </w:rPr>
              <w:t>号学生公寓砖混；</w:t>
            </w:r>
            <w:r>
              <w:rPr>
                <w:rStyle w:val="131"/>
                <w:rFonts w:eastAsia="宋体"/>
                <w:color w:val="auto"/>
                <w:highlight w:val="none"/>
                <w:lang w:val="en-US" w:eastAsia="zh-CN" w:bidi="ar"/>
              </w:rPr>
              <w:t>7</w:t>
            </w:r>
            <w:r>
              <w:rPr>
                <w:rStyle w:val="122"/>
                <w:color w:val="auto"/>
                <w:highlight w:val="none"/>
                <w:lang w:val="en-US" w:eastAsia="zh-CN" w:bidi="ar"/>
              </w:rPr>
              <w:t>号学生公寓砖混；</w:t>
            </w:r>
            <w:r>
              <w:rPr>
                <w:rStyle w:val="131"/>
                <w:rFonts w:eastAsia="宋体"/>
                <w:color w:val="auto"/>
                <w:highlight w:val="none"/>
                <w:lang w:val="en-US" w:eastAsia="zh-CN" w:bidi="ar"/>
              </w:rPr>
              <w:t>8</w:t>
            </w:r>
            <w:r>
              <w:rPr>
                <w:rStyle w:val="122"/>
                <w:color w:val="auto"/>
                <w:highlight w:val="none"/>
                <w:lang w:val="en-US" w:eastAsia="zh-CN" w:bidi="ar"/>
              </w:rPr>
              <w:t>号学生公寓砖混；</w:t>
            </w:r>
            <w:r>
              <w:rPr>
                <w:rStyle w:val="131"/>
                <w:rFonts w:eastAsia="宋体"/>
                <w:color w:val="auto"/>
                <w:highlight w:val="none"/>
                <w:lang w:val="en-US" w:eastAsia="zh-CN" w:bidi="ar"/>
              </w:rPr>
              <w:t>9</w:t>
            </w:r>
            <w:r>
              <w:rPr>
                <w:rStyle w:val="122"/>
                <w:color w:val="auto"/>
                <w:highlight w:val="none"/>
                <w:lang w:val="en-US" w:eastAsia="zh-CN" w:bidi="ar"/>
              </w:rPr>
              <w:t>号学生公寓砖混；西区食堂框架。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2F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4134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18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1561383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BA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849548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635C">
            <w:pPr>
              <w:jc w:val="center"/>
              <w:rPr>
                <w:rFonts w:hint="default" w:ascii="Times New Roman" w:hAnsi="Times New Roman" w:eastAsia="宋体" w:cs="Times New Roman"/>
                <w:i w:val="0"/>
                <w:iCs w:val="0"/>
                <w:color w:val="auto"/>
                <w:sz w:val="22"/>
                <w:szCs w:val="22"/>
                <w:highlight w:val="none"/>
                <w:u w:val="none"/>
              </w:rPr>
            </w:pPr>
          </w:p>
        </w:tc>
      </w:tr>
      <w:tr w14:paraId="3534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B8C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19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B4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广西梧州市第一中学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61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58906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6A1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1928</w:t>
            </w:r>
            <w:r>
              <w:rPr>
                <w:rStyle w:val="122"/>
                <w:color w:val="auto"/>
                <w:highlight w:val="none"/>
                <w:lang w:val="en-US" w:eastAsia="zh-CN" w:bidi="ar"/>
              </w:rPr>
              <w:t>年：初中部宿舍楼三舍、初中部宿舍楼二舍、初中部图书馆</w:t>
            </w:r>
            <w:r>
              <w:rPr>
                <w:rStyle w:val="131"/>
                <w:rFonts w:eastAsia="宋体"/>
                <w:color w:val="auto"/>
                <w:highlight w:val="none"/>
                <w:lang w:val="en-US" w:eastAsia="zh-CN" w:bidi="ar"/>
              </w:rPr>
              <w:t xml:space="preserve"> </w:t>
            </w:r>
            <w:r>
              <w:rPr>
                <w:rStyle w:val="122"/>
                <w:color w:val="auto"/>
                <w:highlight w:val="none"/>
                <w:lang w:val="en-US" w:eastAsia="zh-CN" w:bidi="ar"/>
              </w:rPr>
              <w:t>；</w:t>
            </w:r>
            <w:r>
              <w:rPr>
                <w:rStyle w:val="131"/>
                <w:rFonts w:eastAsia="宋体"/>
                <w:color w:val="auto"/>
                <w:highlight w:val="none"/>
                <w:lang w:val="en-US" w:eastAsia="zh-CN" w:bidi="ar"/>
              </w:rPr>
              <w:t>1985</w:t>
            </w:r>
            <w:r>
              <w:rPr>
                <w:rStyle w:val="122"/>
                <w:color w:val="auto"/>
                <w:highlight w:val="none"/>
                <w:lang w:val="en-US" w:eastAsia="zh-CN" w:bidi="ar"/>
              </w:rPr>
              <w:t>年：梧州市大学路</w:t>
            </w:r>
            <w:r>
              <w:rPr>
                <w:rStyle w:val="131"/>
                <w:rFonts w:eastAsia="宋体"/>
                <w:color w:val="auto"/>
                <w:highlight w:val="none"/>
                <w:lang w:val="en-US" w:eastAsia="zh-CN" w:bidi="ar"/>
              </w:rPr>
              <w:t>36</w:t>
            </w:r>
            <w:r>
              <w:rPr>
                <w:rStyle w:val="122"/>
                <w:color w:val="auto"/>
                <w:highlight w:val="none"/>
                <w:lang w:val="en-US" w:eastAsia="zh-CN" w:bidi="ar"/>
              </w:rPr>
              <w:t>号新四舍；</w:t>
            </w:r>
            <w:r>
              <w:rPr>
                <w:rStyle w:val="131"/>
                <w:rFonts w:eastAsia="宋体"/>
                <w:color w:val="auto"/>
                <w:highlight w:val="none"/>
                <w:lang w:val="en-US" w:eastAsia="zh-CN" w:bidi="ar"/>
              </w:rPr>
              <w:t>1989</w:t>
            </w:r>
            <w:r>
              <w:rPr>
                <w:rStyle w:val="122"/>
                <w:color w:val="auto"/>
                <w:highlight w:val="none"/>
                <w:lang w:val="en-US" w:eastAsia="zh-CN" w:bidi="ar"/>
              </w:rPr>
              <w:t>年：初中部实验楼；</w:t>
            </w:r>
            <w:r>
              <w:rPr>
                <w:rStyle w:val="131"/>
                <w:rFonts w:eastAsia="宋体"/>
                <w:color w:val="auto"/>
                <w:highlight w:val="none"/>
                <w:lang w:val="en-US" w:eastAsia="zh-CN" w:bidi="ar"/>
              </w:rPr>
              <w:t>1993</w:t>
            </w:r>
            <w:r>
              <w:rPr>
                <w:rStyle w:val="122"/>
                <w:color w:val="auto"/>
                <w:highlight w:val="none"/>
                <w:lang w:val="en-US" w:eastAsia="zh-CN" w:bidi="ar"/>
              </w:rPr>
              <w:t>年：大学路</w:t>
            </w:r>
            <w:r>
              <w:rPr>
                <w:rStyle w:val="131"/>
                <w:rFonts w:eastAsia="宋体"/>
                <w:color w:val="auto"/>
                <w:highlight w:val="none"/>
                <w:lang w:val="en-US" w:eastAsia="zh-CN" w:bidi="ar"/>
              </w:rPr>
              <w:t>46-47</w:t>
            </w:r>
            <w:r>
              <w:rPr>
                <w:rStyle w:val="122"/>
                <w:color w:val="auto"/>
                <w:highlight w:val="none"/>
                <w:lang w:val="en-US" w:eastAsia="zh-CN" w:bidi="ar"/>
              </w:rPr>
              <w:t>号宿舍；</w:t>
            </w:r>
            <w:r>
              <w:rPr>
                <w:rStyle w:val="131"/>
                <w:rFonts w:eastAsia="宋体"/>
                <w:color w:val="auto"/>
                <w:highlight w:val="none"/>
                <w:lang w:val="en-US" w:eastAsia="zh-CN" w:bidi="ar"/>
              </w:rPr>
              <w:t>2002</w:t>
            </w:r>
            <w:r>
              <w:rPr>
                <w:rStyle w:val="122"/>
                <w:color w:val="auto"/>
                <w:highlight w:val="none"/>
                <w:lang w:val="en-US" w:eastAsia="zh-CN" w:bidi="ar"/>
              </w:rPr>
              <w:t>年：初中教学楼边厕所；</w:t>
            </w:r>
            <w:r>
              <w:rPr>
                <w:rStyle w:val="131"/>
                <w:rFonts w:eastAsia="宋体"/>
                <w:color w:val="auto"/>
                <w:highlight w:val="none"/>
                <w:lang w:val="en-US" w:eastAsia="zh-CN" w:bidi="ar"/>
              </w:rPr>
              <w:t>2007</w:t>
            </w:r>
            <w:r>
              <w:rPr>
                <w:rStyle w:val="122"/>
                <w:color w:val="auto"/>
                <w:highlight w:val="none"/>
                <w:lang w:val="en-US" w:eastAsia="zh-CN" w:bidi="ar"/>
              </w:rPr>
              <w:t>年：初中部新教学楼；</w:t>
            </w:r>
            <w:r>
              <w:rPr>
                <w:rStyle w:val="131"/>
                <w:rFonts w:eastAsia="宋体"/>
                <w:color w:val="auto"/>
                <w:highlight w:val="none"/>
                <w:lang w:val="en-US" w:eastAsia="zh-CN" w:bidi="ar"/>
              </w:rPr>
              <w:t>2014</w:t>
            </w:r>
            <w:r>
              <w:rPr>
                <w:rStyle w:val="122"/>
                <w:color w:val="auto"/>
                <w:highlight w:val="none"/>
                <w:lang w:val="en-US" w:eastAsia="zh-CN" w:bidi="ar"/>
              </w:rPr>
              <w:t>年：教研楼、体育馆、桂山楼、图书馆、加压水泵房、学生公寓、学生宿舍、高中实验楼、善学楼、办公楼、居住用房、公厕；</w:t>
            </w:r>
            <w:r>
              <w:rPr>
                <w:rStyle w:val="131"/>
                <w:rFonts w:eastAsia="宋体"/>
                <w:color w:val="auto"/>
                <w:highlight w:val="none"/>
                <w:lang w:val="en-US" w:eastAsia="zh-CN" w:bidi="ar"/>
              </w:rPr>
              <w:t>2016</w:t>
            </w:r>
            <w:r>
              <w:rPr>
                <w:rStyle w:val="122"/>
                <w:color w:val="auto"/>
                <w:highlight w:val="none"/>
                <w:lang w:val="en-US" w:eastAsia="zh-CN" w:bidi="ar"/>
              </w:rPr>
              <w:t>年：梧州学院西校区食堂、梧州学院西校区车库杂物房、梧州学院西校区电工房、梧州学院西校区学生宿舍</w:t>
            </w:r>
            <w:r>
              <w:rPr>
                <w:rStyle w:val="131"/>
                <w:rFonts w:eastAsia="宋体"/>
                <w:color w:val="auto"/>
                <w:highlight w:val="none"/>
                <w:lang w:val="en-US" w:eastAsia="zh-CN" w:bidi="ar"/>
              </w:rPr>
              <w:t>1#</w:t>
            </w:r>
            <w:r>
              <w:rPr>
                <w:rStyle w:val="122"/>
                <w:color w:val="auto"/>
                <w:highlight w:val="none"/>
                <w:lang w:val="en-US" w:eastAsia="zh-CN" w:bidi="ar"/>
              </w:rPr>
              <w:t>楼、梧州学院西校区实验楼、梧州学院西校区办公楼、教育用房</w:t>
            </w:r>
            <w:r>
              <w:rPr>
                <w:rStyle w:val="131"/>
                <w:rFonts w:eastAsia="宋体"/>
                <w:color w:val="auto"/>
                <w:highlight w:val="none"/>
                <w:lang w:val="en-US" w:eastAsia="zh-CN" w:bidi="ar"/>
              </w:rPr>
              <w:t xml:space="preserve">  </w:t>
            </w:r>
            <w:r>
              <w:rPr>
                <w:rStyle w:val="122"/>
                <w:color w:val="auto"/>
                <w:highlight w:val="none"/>
                <w:lang w:val="en-US" w:eastAsia="zh-CN" w:bidi="ar"/>
              </w:rPr>
              <w:t>；</w:t>
            </w:r>
            <w:r>
              <w:rPr>
                <w:rStyle w:val="131"/>
                <w:rFonts w:eastAsia="宋体"/>
                <w:color w:val="auto"/>
                <w:highlight w:val="none"/>
                <w:lang w:val="en-US" w:eastAsia="zh-CN" w:bidi="ar"/>
              </w:rPr>
              <w:t xml:space="preserve"> 2018</w:t>
            </w:r>
            <w:r>
              <w:rPr>
                <w:rStyle w:val="122"/>
                <w:color w:val="auto"/>
                <w:highlight w:val="none"/>
                <w:lang w:val="en-US" w:eastAsia="zh-CN" w:bidi="ar"/>
              </w:rPr>
              <w:t>：高中</w:t>
            </w:r>
            <w:r>
              <w:rPr>
                <w:rStyle w:val="131"/>
                <w:rFonts w:eastAsia="宋体"/>
                <w:color w:val="auto"/>
                <w:highlight w:val="none"/>
                <w:lang w:val="en-US" w:eastAsia="zh-CN" w:bidi="ar"/>
              </w:rPr>
              <w:t>2#</w:t>
            </w:r>
            <w:r>
              <w:rPr>
                <w:rStyle w:val="122"/>
                <w:color w:val="auto"/>
                <w:highlight w:val="none"/>
                <w:lang w:val="en-US" w:eastAsia="zh-CN" w:bidi="ar"/>
              </w:rPr>
              <w:t>教学楼（笃学楼）；</w:t>
            </w:r>
            <w:r>
              <w:rPr>
                <w:rStyle w:val="131"/>
                <w:rFonts w:eastAsia="宋体"/>
                <w:color w:val="auto"/>
                <w:highlight w:val="none"/>
                <w:lang w:val="en-US" w:eastAsia="zh-CN" w:bidi="ar"/>
              </w:rPr>
              <w:t xml:space="preserve"> 2021</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22"/>
                <w:color w:val="auto"/>
                <w:highlight w:val="none"/>
                <w:lang w:val="en-US" w:eastAsia="zh-CN" w:bidi="ar"/>
              </w:rPr>
              <w:t>梧州市第一中学新校区高中</w:t>
            </w:r>
            <w:r>
              <w:rPr>
                <w:rStyle w:val="131"/>
                <w:rFonts w:eastAsia="宋体"/>
                <w:color w:val="auto"/>
                <w:highlight w:val="none"/>
                <w:lang w:val="en-US" w:eastAsia="zh-CN" w:bidi="ar"/>
              </w:rPr>
              <w:t>1#</w:t>
            </w:r>
            <w:r>
              <w:rPr>
                <w:rStyle w:val="122"/>
                <w:color w:val="auto"/>
                <w:highlight w:val="none"/>
                <w:lang w:val="en-US" w:eastAsia="zh-CN" w:bidi="ar"/>
              </w:rPr>
              <w:t>、</w:t>
            </w:r>
            <w:r>
              <w:rPr>
                <w:rStyle w:val="131"/>
                <w:rFonts w:eastAsia="宋体"/>
                <w:color w:val="auto"/>
                <w:highlight w:val="none"/>
                <w:lang w:val="en-US" w:eastAsia="zh-CN" w:bidi="ar"/>
              </w:rPr>
              <w:t>2#</w:t>
            </w:r>
            <w:r>
              <w:rPr>
                <w:rStyle w:val="122"/>
                <w:color w:val="auto"/>
                <w:highlight w:val="none"/>
                <w:lang w:val="en-US" w:eastAsia="zh-CN" w:bidi="ar"/>
              </w:rPr>
              <w:t>学生宿舍楼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4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钢筋混凝土结构</w:t>
            </w:r>
            <w:r>
              <w:rPr>
                <w:rStyle w:val="131"/>
                <w:rFonts w:eastAsia="宋体"/>
                <w:color w:val="auto"/>
                <w:highlight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53D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5069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F72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2057217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610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1058225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D641">
            <w:pPr>
              <w:jc w:val="center"/>
              <w:rPr>
                <w:rFonts w:hint="default" w:ascii="Times New Roman" w:hAnsi="Times New Roman" w:eastAsia="宋体" w:cs="Times New Roman"/>
                <w:i w:val="0"/>
                <w:iCs w:val="0"/>
                <w:color w:val="auto"/>
                <w:sz w:val="22"/>
                <w:szCs w:val="22"/>
                <w:highlight w:val="none"/>
                <w:u w:val="none"/>
              </w:rPr>
            </w:pPr>
          </w:p>
        </w:tc>
      </w:tr>
      <w:tr w14:paraId="3980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04C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0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市机关后勤中心</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EF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梧州市机关后勤服务中心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492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15649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B74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2006</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9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13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1538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D67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402364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B1D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292607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D85C">
            <w:pPr>
              <w:jc w:val="center"/>
              <w:rPr>
                <w:rFonts w:hint="default" w:ascii="Times New Roman" w:hAnsi="Times New Roman" w:eastAsia="宋体" w:cs="Times New Roman"/>
                <w:i w:val="0"/>
                <w:iCs w:val="0"/>
                <w:color w:val="auto"/>
                <w:sz w:val="22"/>
                <w:szCs w:val="22"/>
                <w:highlight w:val="none"/>
                <w:u w:val="none"/>
              </w:rPr>
            </w:pPr>
          </w:p>
        </w:tc>
      </w:tr>
      <w:tr w14:paraId="58A2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076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A7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B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梧州市公安局万秀区分局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79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3140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092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2020</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F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BF3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482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7FA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993848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F2D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723398.98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FEFB">
            <w:pPr>
              <w:jc w:val="center"/>
              <w:rPr>
                <w:rFonts w:hint="default" w:ascii="Times New Roman" w:hAnsi="Times New Roman" w:eastAsia="宋体" w:cs="Times New Roman"/>
                <w:i w:val="0"/>
                <w:iCs w:val="0"/>
                <w:color w:val="auto"/>
                <w:sz w:val="22"/>
                <w:szCs w:val="22"/>
                <w:highlight w:val="none"/>
                <w:u w:val="none"/>
              </w:rPr>
            </w:pPr>
          </w:p>
        </w:tc>
      </w:tr>
      <w:tr w14:paraId="0D85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92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0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7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梧州市人民警察训练学校</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796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27609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5A8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3</w:t>
            </w:r>
            <w:r>
              <w:rPr>
                <w:rStyle w:val="122"/>
                <w:color w:val="auto"/>
                <w:highlight w:val="none"/>
                <w:lang w:val="en-US" w:eastAsia="zh-CN" w:bidi="ar"/>
              </w:rPr>
              <w:t>号楼、射击馆、多功能报告厅、配电房：</w:t>
            </w:r>
            <w:r>
              <w:rPr>
                <w:rStyle w:val="131"/>
                <w:rFonts w:eastAsia="宋体"/>
                <w:color w:val="auto"/>
                <w:highlight w:val="none"/>
                <w:lang w:val="en-US" w:eastAsia="zh-CN" w:bidi="ar"/>
              </w:rPr>
              <w:t>2020</w:t>
            </w:r>
            <w:r>
              <w:rPr>
                <w:rStyle w:val="122"/>
                <w:color w:val="auto"/>
                <w:highlight w:val="none"/>
                <w:lang w:val="en-US" w:eastAsia="zh-CN" w:bidi="ar"/>
              </w:rPr>
              <w:t>年</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1</w:t>
            </w:r>
            <w:r>
              <w:rPr>
                <w:rStyle w:val="122"/>
                <w:color w:val="auto"/>
                <w:highlight w:val="none"/>
                <w:lang w:val="en-US" w:eastAsia="zh-CN" w:bidi="ar"/>
              </w:rPr>
              <w:t>号教学楼、</w:t>
            </w:r>
            <w:r>
              <w:rPr>
                <w:rStyle w:val="131"/>
                <w:rFonts w:eastAsia="宋体"/>
                <w:color w:val="auto"/>
                <w:highlight w:val="none"/>
                <w:lang w:val="en-US" w:eastAsia="zh-CN" w:bidi="ar"/>
              </w:rPr>
              <w:t>2</w:t>
            </w:r>
            <w:r>
              <w:rPr>
                <w:rStyle w:val="122"/>
                <w:color w:val="auto"/>
                <w:highlight w:val="none"/>
                <w:lang w:val="en-US" w:eastAsia="zh-CN" w:bidi="ar"/>
              </w:rPr>
              <w:t>号楼、警体馆、实战馆、健身馆、心理楼：</w:t>
            </w:r>
            <w:r>
              <w:rPr>
                <w:rStyle w:val="131"/>
                <w:rFonts w:eastAsia="宋体"/>
                <w:color w:val="auto"/>
                <w:highlight w:val="none"/>
                <w:lang w:val="en-US" w:eastAsia="zh-CN" w:bidi="ar"/>
              </w:rPr>
              <w:t>2000</w:t>
            </w:r>
            <w:r>
              <w:rPr>
                <w:rStyle w:val="122"/>
                <w:color w:val="auto"/>
                <w:highlight w:val="none"/>
                <w:lang w:val="en-US" w:eastAsia="zh-CN" w:bidi="ar"/>
              </w:rPr>
              <w:t>年以前</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1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混凝土钢筋结构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FD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330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F4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1071426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811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756586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C4BD">
            <w:pPr>
              <w:jc w:val="center"/>
              <w:rPr>
                <w:rFonts w:hint="default" w:ascii="Times New Roman" w:hAnsi="Times New Roman" w:eastAsia="宋体" w:cs="Times New Roman"/>
                <w:i w:val="0"/>
                <w:iCs w:val="0"/>
                <w:color w:val="auto"/>
                <w:sz w:val="22"/>
                <w:szCs w:val="22"/>
                <w:highlight w:val="none"/>
                <w:u w:val="none"/>
              </w:rPr>
            </w:pPr>
          </w:p>
        </w:tc>
      </w:tr>
      <w:tr w14:paraId="1E16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C3C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F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7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梧州市公安局龙圩区分局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617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23378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84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2020</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9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E0E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549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3A5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1134966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CE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815087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38AE">
            <w:pPr>
              <w:jc w:val="center"/>
              <w:rPr>
                <w:rFonts w:hint="default" w:ascii="Times New Roman" w:hAnsi="Times New Roman" w:eastAsia="宋体" w:cs="Times New Roman"/>
                <w:i w:val="0"/>
                <w:iCs w:val="0"/>
                <w:color w:val="auto"/>
                <w:sz w:val="22"/>
                <w:szCs w:val="22"/>
                <w:highlight w:val="none"/>
                <w:u w:val="none"/>
              </w:rPr>
            </w:pPr>
          </w:p>
        </w:tc>
      </w:tr>
      <w:tr w14:paraId="73B9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C3F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D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市中级法院</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4F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广西壮族自治区梧州市中级人民法院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241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19753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C39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2006 </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0F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4D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338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08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1161320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66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833282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3143">
            <w:pPr>
              <w:jc w:val="center"/>
              <w:rPr>
                <w:rFonts w:hint="default" w:ascii="Times New Roman" w:hAnsi="Times New Roman" w:eastAsia="宋体" w:cs="Times New Roman"/>
                <w:i w:val="0"/>
                <w:iCs w:val="0"/>
                <w:color w:val="auto"/>
                <w:sz w:val="22"/>
                <w:szCs w:val="22"/>
                <w:highlight w:val="none"/>
                <w:u w:val="none"/>
              </w:rPr>
            </w:pPr>
          </w:p>
        </w:tc>
      </w:tr>
      <w:tr w14:paraId="75AA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866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1A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市检察院</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0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广西壮族自治区梧州市人民检察院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182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17401</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1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办公大楼</w:t>
            </w:r>
            <w:r>
              <w:rPr>
                <w:rStyle w:val="131"/>
                <w:rFonts w:eastAsia="宋体"/>
                <w:color w:val="auto"/>
                <w:highlight w:val="none"/>
                <w:lang w:val="en-US" w:eastAsia="zh-CN" w:bidi="ar"/>
              </w:rPr>
              <w:t>2007</w:t>
            </w:r>
            <w:r>
              <w:rPr>
                <w:rStyle w:val="122"/>
                <w:color w:val="auto"/>
                <w:highlight w:val="none"/>
                <w:lang w:val="en-US" w:eastAsia="zh-CN" w:bidi="ar"/>
              </w:rPr>
              <w:t>年、招待所食堂</w:t>
            </w:r>
            <w:r>
              <w:rPr>
                <w:rStyle w:val="131"/>
                <w:rFonts w:eastAsia="宋体"/>
                <w:color w:val="auto"/>
                <w:highlight w:val="none"/>
                <w:lang w:val="en-US" w:eastAsia="zh-CN" w:bidi="ar"/>
              </w:rPr>
              <w:t>2012</w:t>
            </w:r>
            <w:r>
              <w:rPr>
                <w:rStyle w:val="122"/>
                <w:color w:val="auto"/>
                <w:highlight w:val="none"/>
                <w:lang w:val="en-US" w:eastAsia="zh-CN" w:bidi="ar"/>
              </w:rPr>
              <w:t>年、</w:t>
            </w:r>
            <w:r>
              <w:rPr>
                <w:rStyle w:val="131"/>
                <w:rFonts w:eastAsia="宋体"/>
                <w:color w:val="auto"/>
                <w:highlight w:val="none"/>
                <w:lang w:val="en-US" w:eastAsia="zh-CN" w:bidi="ar"/>
              </w:rPr>
              <w:t>12309</w:t>
            </w:r>
            <w:r>
              <w:rPr>
                <w:rStyle w:val="122"/>
                <w:color w:val="auto"/>
                <w:highlight w:val="none"/>
                <w:lang w:val="en-US" w:eastAsia="zh-CN" w:bidi="ar"/>
              </w:rPr>
              <w:t>服务中心</w:t>
            </w:r>
            <w:r>
              <w:rPr>
                <w:rStyle w:val="131"/>
                <w:rFonts w:eastAsia="宋体"/>
                <w:color w:val="auto"/>
                <w:highlight w:val="none"/>
                <w:lang w:val="en-US" w:eastAsia="zh-CN" w:bidi="ar"/>
              </w:rPr>
              <w:t>2019</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14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0C9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358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471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1116825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6A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806615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0205">
            <w:pPr>
              <w:jc w:val="center"/>
              <w:rPr>
                <w:rFonts w:hint="default" w:ascii="Times New Roman" w:hAnsi="Times New Roman" w:eastAsia="宋体" w:cs="Times New Roman"/>
                <w:i w:val="0"/>
                <w:iCs w:val="0"/>
                <w:color w:val="auto"/>
                <w:sz w:val="22"/>
                <w:szCs w:val="22"/>
                <w:highlight w:val="none"/>
                <w:u w:val="none"/>
              </w:rPr>
            </w:pPr>
          </w:p>
        </w:tc>
      </w:tr>
      <w:tr w14:paraId="500F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49F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1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9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梧州市公安局长洲分局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F99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7084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354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2017</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81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C84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515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A9A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1071719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B35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777145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CBC4">
            <w:pPr>
              <w:jc w:val="center"/>
              <w:rPr>
                <w:rFonts w:hint="default" w:ascii="Times New Roman" w:hAnsi="Times New Roman" w:eastAsia="宋体" w:cs="Times New Roman"/>
                <w:i w:val="0"/>
                <w:iCs w:val="0"/>
                <w:color w:val="auto"/>
                <w:sz w:val="22"/>
                <w:szCs w:val="22"/>
                <w:highlight w:val="none"/>
                <w:u w:val="none"/>
              </w:rPr>
            </w:pPr>
          </w:p>
        </w:tc>
      </w:tr>
      <w:tr w14:paraId="121C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F9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34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F8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梧州市第八中学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C4C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55504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B06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w:t>
            </w:r>
            <w:r>
              <w:rPr>
                <w:rStyle w:val="122"/>
                <w:color w:val="auto"/>
                <w:highlight w:val="none"/>
                <w:lang w:val="en-US" w:eastAsia="zh-CN" w:bidi="ar"/>
              </w:rPr>
              <w:t>宿舍楼；</w:t>
            </w:r>
            <w:r>
              <w:rPr>
                <w:rStyle w:val="131"/>
                <w:rFonts w:eastAsia="宋体"/>
                <w:color w:val="auto"/>
                <w:highlight w:val="none"/>
                <w:lang w:val="en-US" w:eastAsia="zh-CN" w:bidi="ar"/>
              </w:rPr>
              <w:t>2#</w:t>
            </w:r>
            <w:r>
              <w:rPr>
                <w:rStyle w:val="122"/>
                <w:color w:val="auto"/>
                <w:highlight w:val="none"/>
                <w:lang w:val="en-US" w:eastAsia="zh-CN" w:bidi="ar"/>
              </w:rPr>
              <w:t>宿舍楼；</w:t>
            </w:r>
            <w:r>
              <w:rPr>
                <w:rStyle w:val="131"/>
                <w:rFonts w:eastAsia="宋体"/>
                <w:color w:val="auto"/>
                <w:highlight w:val="none"/>
                <w:lang w:val="en-US" w:eastAsia="zh-CN" w:bidi="ar"/>
              </w:rPr>
              <w:t>3#</w:t>
            </w:r>
            <w:r>
              <w:rPr>
                <w:rStyle w:val="122"/>
                <w:color w:val="auto"/>
                <w:highlight w:val="none"/>
                <w:lang w:val="en-US" w:eastAsia="zh-CN" w:bidi="ar"/>
              </w:rPr>
              <w:t>宿舍楼；</w:t>
            </w:r>
            <w:r>
              <w:rPr>
                <w:rStyle w:val="131"/>
                <w:rFonts w:eastAsia="宋体"/>
                <w:color w:val="auto"/>
                <w:highlight w:val="none"/>
                <w:lang w:val="en-US" w:eastAsia="zh-CN" w:bidi="ar"/>
              </w:rPr>
              <w:t>4#</w:t>
            </w:r>
            <w:r>
              <w:rPr>
                <w:rStyle w:val="122"/>
                <w:color w:val="auto"/>
                <w:highlight w:val="none"/>
                <w:lang w:val="en-US" w:eastAsia="zh-CN" w:bidi="ar"/>
              </w:rPr>
              <w:t>宿舍楼；高中教学楼；初中教学楼；实验楼；旧教工宿舍</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AC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旧教工教工宿舍砖混结构，其它钢筋混凝土结构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651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E0B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1166462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3D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634672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6663">
            <w:pPr>
              <w:jc w:val="center"/>
              <w:rPr>
                <w:rFonts w:hint="default" w:ascii="Times New Roman" w:hAnsi="Times New Roman" w:eastAsia="宋体" w:cs="Times New Roman"/>
                <w:i w:val="0"/>
                <w:iCs w:val="0"/>
                <w:color w:val="auto"/>
                <w:sz w:val="22"/>
                <w:szCs w:val="22"/>
                <w:highlight w:val="none"/>
                <w:u w:val="none"/>
              </w:rPr>
            </w:pPr>
          </w:p>
        </w:tc>
      </w:tr>
      <w:tr w14:paraId="4FEE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FF1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E0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市行政审批局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8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梧州市行政审批局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AF8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9683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953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2017 </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72BE">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F43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1780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2DA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759141.51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B03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543843.26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82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数据包含（行政审批服务中心、公共资源交易中心）</w:t>
            </w:r>
          </w:p>
        </w:tc>
      </w:tr>
      <w:tr w14:paraId="50B9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8FB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4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市财政局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C3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梧州市财政局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E1D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9455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BD82">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4C50">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26F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234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773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687924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04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490237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C3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合署办公</w:t>
            </w:r>
          </w:p>
        </w:tc>
      </w:tr>
      <w:tr w14:paraId="562D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D91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3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59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梧州市第七中学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2A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25236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FC5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1986</w:t>
            </w:r>
            <w:r>
              <w:rPr>
                <w:rStyle w:val="122"/>
                <w:color w:val="auto"/>
                <w:highlight w:val="none"/>
                <w:lang w:val="en-US" w:eastAsia="zh-CN" w:bidi="ar"/>
              </w:rPr>
              <w:t>年实验仪器楼；</w:t>
            </w:r>
            <w:r>
              <w:rPr>
                <w:rStyle w:val="131"/>
                <w:rFonts w:eastAsia="宋体"/>
                <w:color w:val="auto"/>
                <w:highlight w:val="none"/>
                <w:lang w:val="en-US" w:eastAsia="zh-CN" w:bidi="ar"/>
              </w:rPr>
              <w:t>1995</w:t>
            </w:r>
            <w:r>
              <w:rPr>
                <w:rStyle w:val="122"/>
                <w:color w:val="auto"/>
                <w:highlight w:val="none"/>
                <w:lang w:val="en-US" w:eastAsia="zh-CN" w:bidi="ar"/>
              </w:rPr>
              <w:t>年男生宿舍</w:t>
            </w:r>
            <w:r>
              <w:rPr>
                <w:rStyle w:val="131"/>
                <w:rFonts w:eastAsia="宋体"/>
                <w:color w:val="auto"/>
                <w:highlight w:val="none"/>
                <w:lang w:val="en-US" w:eastAsia="zh-CN" w:bidi="ar"/>
              </w:rPr>
              <w:t>A</w:t>
            </w:r>
            <w:r>
              <w:rPr>
                <w:rStyle w:val="122"/>
                <w:color w:val="auto"/>
                <w:highlight w:val="none"/>
                <w:lang w:val="en-US" w:eastAsia="zh-CN" w:bidi="ar"/>
              </w:rPr>
              <w:t>栋；</w:t>
            </w:r>
            <w:r>
              <w:rPr>
                <w:rStyle w:val="131"/>
                <w:rFonts w:eastAsia="宋体"/>
                <w:color w:val="auto"/>
                <w:highlight w:val="none"/>
                <w:lang w:val="en-US" w:eastAsia="zh-CN" w:bidi="ar"/>
              </w:rPr>
              <w:t>1997</w:t>
            </w:r>
            <w:r>
              <w:rPr>
                <w:rStyle w:val="122"/>
                <w:color w:val="auto"/>
                <w:highlight w:val="none"/>
                <w:lang w:val="en-US" w:eastAsia="zh-CN" w:bidi="ar"/>
              </w:rPr>
              <w:t>年男生宿舍</w:t>
            </w:r>
            <w:r>
              <w:rPr>
                <w:rStyle w:val="131"/>
                <w:rFonts w:eastAsia="宋体"/>
                <w:color w:val="auto"/>
                <w:highlight w:val="none"/>
                <w:lang w:val="en-US" w:eastAsia="zh-CN" w:bidi="ar"/>
              </w:rPr>
              <w:t>B</w:t>
            </w:r>
            <w:r>
              <w:rPr>
                <w:rStyle w:val="122"/>
                <w:color w:val="auto"/>
                <w:highlight w:val="none"/>
                <w:lang w:val="en-US" w:eastAsia="zh-CN" w:bidi="ar"/>
              </w:rPr>
              <w:t>栋；</w:t>
            </w:r>
            <w:r>
              <w:rPr>
                <w:rStyle w:val="131"/>
                <w:rFonts w:eastAsia="宋体"/>
                <w:color w:val="auto"/>
                <w:highlight w:val="none"/>
                <w:lang w:val="en-US" w:eastAsia="zh-CN" w:bidi="ar"/>
              </w:rPr>
              <w:t>1999</w:t>
            </w:r>
            <w:r>
              <w:rPr>
                <w:rStyle w:val="122"/>
                <w:color w:val="auto"/>
                <w:highlight w:val="none"/>
                <w:lang w:val="en-US" w:eastAsia="zh-CN" w:bidi="ar"/>
              </w:rPr>
              <w:t>年实验楼；</w:t>
            </w:r>
            <w:r>
              <w:rPr>
                <w:rStyle w:val="131"/>
                <w:rFonts w:eastAsia="宋体"/>
                <w:color w:val="auto"/>
                <w:highlight w:val="none"/>
                <w:lang w:val="en-US" w:eastAsia="zh-CN" w:bidi="ar"/>
              </w:rPr>
              <w:t>2006</w:t>
            </w:r>
            <w:r>
              <w:rPr>
                <w:rStyle w:val="122"/>
                <w:color w:val="auto"/>
                <w:highlight w:val="none"/>
                <w:lang w:val="en-US" w:eastAsia="zh-CN" w:bidi="ar"/>
              </w:rPr>
              <w:t>年女生宿舍楼；</w:t>
            </w:r>
            <w:r>
              <w:rPr>
                <w:rStyle w:val="131"/>
                <w:rFonts w:eastAsia="宋体"/>
                <w:color w:val="auto"/>
                <w:highlight w:val="none"/>
                <w:lang w:val="en-US" w:eastAsia="zh-CN" w:bidi="ar"/>
              </w:rPr>
              <w:t>2008</w:t>
            </w:r>
            <w:r>
              <w:rPr>
                <w:rStyle w:val="122"/>
                <w:color w:val="auto"/>
                <w:highlight w:val="none"/>
                <w:lang w:val="en-US" w:eastAsia="zh-CN" w:bidi="ar"/>
              </w:rPr>
              <w:t>年办公楼；</w:t>
            </w:r>
            <w:r>
              <w:rPr>
                <w:rStyle w:val="131"/>
                <w:rFonts w:eastAsia="宋体"/>
                <w:color w:val="auto"/>
                <w:highlight w:val="none"/>
                <w:lang w:val="en-US" w:eastAsia="zh-CN" w:bidi="ar"/>
              </w:rPr>
              <w:t>2011</w:t>
            </w:r>
            <w:r>
              <w:rPr>
                <w:rStyle w:val="122"/>
                <w:color w:val="auto"/>
                <w:highlight w:val="none"/>
                <w:lang w:val="en-US" w:eastAsia="zh-CN" w:bidi="ar"/>
              </w:rPr>
              <w:t>年宿舍食堂综合楼；</w:t>
            </w:r>
            <w:r>
              <w:rPr>
                <w:rStyle w:val="131"/>
                <w:rFonts w:eastAsia="宋体"/>
                <w:color w:val="auto"/>
                <w:highlight w:val="none"/>
                <w:lang w:val="en-US" w:eastAsia="zh-CN" w:bidi="ar"/>
              </w:rPr>
              <w:t>2012</w:t>
            </w:r>
            <w:r>
              <w:rPr>
                <w:rStyle w:val="122"/>
                <w:color w:val="auto"/>
                <w:highlight w:val="none"/>
                <w:lang w:val="en-US" w:eastAsia="zh-CN" w:bidi="ar"/>
              </w:rPr>
              <w:t>年第一、二教学综合楼；</w:t>
            </w:r>
            <w:r>
              <w:rPr>
                <w:rStyle w:val="131"/>
                <w:rFonts w:eastAsia="宋体"/>
                <w:color w:val="auto"/>
                <w:highlight w:val="none"/>
                <w:lang w:val="en-US" w:eastAsia="zh-CN" w:bidi="ar"/>
              </w:rPr>
              <w:t>2017</w:t>
            </w:r>
            <w:r>
              <w:rPr>
                <w:rStyle w:val="122"/>
                <w:color w:val="auto"/>
                <w:highlight w:val="none"/>
                <w:lang w:val="en-US" w:eastAsia="zh-CN" w:bidi="ar"/>
              </w:rPr>
              <w:t>年第三教学综合楼。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20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钢筋混凝土结构</w:t>
            </w:r>
            <w:r>
              <w:rPr>
                <w:rStyle w:val="131"/>
                <w:rFonts w:eastAsia="宋体"/>
                <w:color w:val="auto"/>
                <w:highlight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5FA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1907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94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900259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06F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489831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2C4B">
            <w:pPr>
              <w:jc w:val="center"/>
              <w:rPr>
                <w:rFonts w:hint="default" w:ascii="Times New Roman" w:hAnsi="Times New Roman" w:eastAsia="宋体" w:cs="Times New Roman"/>
                <w:i w:val="0"/>
                <w:iCs w:val="0"/>
                <w:color w:val="auto"/>
                <w:sz w:val="22"/>
                <w:szCs w:val="22"/>
                <w:highlight w:val="none"/>
                <w:u w:val="none"/>
              </w:rPr>
            </w:pPr>
          </w:p>
        </w:tc>
      </w:tr>
      <w:tr w14:paraId="5782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44E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5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市政府办公室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53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梧州市人民政府办公室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F3F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6418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C4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1993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AD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砖混</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69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5D9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483805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D27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349797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402E">
            <w:pPr>
              <w:jc w:val="center"/>
              <w:rPr>
                <w:rFonts w:hint="default" w:ascii="Times New Roman" w:hAnsi="Times New Roman" w:eastAsia="宋体" w:cs="Times New Roman"/>
                <w:i w:val="0"/>
                <w:iCs w:val="0"/>
                <w:color w:val="auto"/>
                <w:sz w:val="22"/>
                <w:szCs w:val="22"/>
                <w:highlight w:val="none"/>
                <w:u w:val="none"/>
              </w:rPr>
            </w:pPr>
          </w:p>
        </w:tc>
      </w:tr>
      <w:tr w14:paraId="3ADF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BEC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2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市纪委监委机关</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4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中共梧州市纪律检查委员会办公室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263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11902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57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办公楼</w:t>
            </w:r>
            <w:r>
              <w:rPr>
                <w:rStyle w:val="131"/>
                <w:rFonts w:eastAsia="宋体"/>
                <w:color w:val="auto"/>
                <w:highlight w:val="none"/>
                <w:lang w:val="en-US" w:eastAsia="zh-CN" w:bidi="ar"/>
              </w:rPr>
              <w:br w:type="textWrapping"/>
            </w:r>
            <w:r>
              <w:rPr>
                <w:rStyle w:val="122"/>
                <w:color w:val="auto"/>
                <w:highlight w:val="none"/>
                <w:lang w:val="en-US" w:eastAsia="zh-CN" w:bidi="ar"/>
              </w:rPr>
              <w:t>业务楼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2F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钢筋混凝土</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7A0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320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512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647593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9F5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467658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5385">
            <w:pPr>
              <w:jc w:val="center"/>
              <w:rPr>
                <w:rFonts w:hint="default" w:ascii="Times New Roman" w:hAnsi="Times New Roman" w:eastAsia="宋体" w:cs="Times New Roman"/>
                <w:i w:val="0"/>
                <w:iCs w:val="0"/>
                <w:color w:val="auto"/>
                <w:sz w:val="22"/>
                <w:szCs w:val="22"/>
                <w:highlight w:val="none"/>
                <w:u w:val="none"/>
              </w:rPr>
            </w:pPr>
          </w:p>
        </w:tc>
      </w:tr>
      <w:tr w14:paraId="14CA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2D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9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C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广西梧州市第二中学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A0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16316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152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w:t>
            </w:r>
            <w:r>
              <w:rPr>
                <w:rStyle w:val="122"/>
                <w:color w:val="auto"/>
                <w:highlight w:val="none"/>
                <w:lang w:val="en-US" w:eastAsia="zh-CN" w:bidi="ar"/>
              </w:rPr>
              <w:t>一号教学楼</w:t>
            </w:r>
            <w:r>
              <w:rPr>
                <w:rStyle w:val="131"/>
                <w:rFonts w:eastAsia="宋体"/>
                <w:color w:val="auto"/>
                <w:highlight w:val="none"/>
                <w:lang w:val="en-US" w:eastAsia="zh-CN" w:bidi="ar"/>
              </w:rPr>
              <w:t>1994</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2.</w:t>
            </w:r>
            <w:r>
              <w:rPr>
                <w:rStyle w:val="122"/>
                <w:color w:val="auto"/>
                <w:highlight w:val="none"/>
                <w:lang w:val="en-US" w:eastAsia="zh-CN" w:bidi="ar"/>
              </w:rPr>
              <w:t>二号教学楼</w:t>
            </w:r>
            <w:r>
              <w:rPr>
                <w:rStyle w:val="131"/>
                <w:rFonts w:eastAsia="宋体"/>
                <w:color w:val="auto"/>
                <w:highlight w:val="none"/>
                <w:lang w:val="en-US" w:eastAsia="zh-CN" w:bidi="ar"/>
              </w:rPr>
              <w:t>1980</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3.</w:t>
            </w:r>
            <w:r>
              <w:rPr>
                <w:rStyle w:val="122"/>
                <w:color w:val="auto"/>
                <w:highlight w:val="none"/>
                <w:lang w:val="en-US" w:eastAsia="zh-CN" w:bidi="ar"/>
              </w:rPr>
              <w:t>三号教学楼</w:t>
            </w:r>
            <w:r>
              <w:rPr>
                <w:rStyle w:val="131"/>
                <w:rFonts w:eastAsia="宋体"/>
                <w:color w:val="auto"/>
                <w:highlight w:val="none"/>
                <w:lang w:val="en-US" w:eastAsia="zh-CN" w:bidi="ar"/>
              </w:rPr>
              <w:t>2009</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4.DE</w:t>
            </w:r>
            <w:r>
              <w:rPr>
                <w:rStyle w:val="122"/>
                <w:color w:val="auto"/>
                <w:highlight w:val="none"/>
                <w:lang w:val="en-US" w:eastAsia="zh-CN" w:bidi="ar"/>
              </w:rPr>
              <w:t>宿舍楼</w:t>
            </w:r>
            <w:r>
              <w:rPr>
                <w:rStyle w:val="131"/>
                <w:rFonts w:eastAsia="宋体"/>
                <w:color w:val="auto"/>
                <w:highlight w:val="none"/>
                <w:lang w:val="en-US" w:eastAsia="zh-CN" w:bidi="ar"/>
              </w:rPr>
              <w:t>1997</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5.A</w:t>
            </w:r>
            <w:r>
              <w:rPr>
                <w:rStyle w:val="122"/>
                <w:color w:val="auto"/>
                <w:highlight w:val="none"/>
                <w:lang w:val="en-US" w:eastAsia="zh-CN" w:bidi="ar"/>
              </w:rPr>
              <w:t>栋女生宿舍楼</w:t>
            </w:r>
            <w:r>
              <w:rPr>
                <w:rStyle w:val="131"/>
                <w:rFonts w:eastAsia="宋体"/>
                <w:color w:val="auto"/>
                <w:highlight w:val="none"/>
                <w:lang w:val="en-US" w:eastAsia="zh-CN" w:bidi="ar"/>
              </w:rPr>
              <w:t>2004</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6.B3</w:t>
            </w:r>
            <w:r>
              <w:rPr>
                <w:rStyle w:val="122"/>
                <w:color w:val="auto"/>
                <w:highlight w:val="none"/>
                <w:lang w:val="en-US" w:eastAsia="zh-CN" w:bidi="ar"/>
              </w:rPr>
              <w:t>栋宿舍楼</w:t>
            </w:r>
            <w:r>
              <w:rPr>
                <w:rStyle w:val="131"/>
                <w:rFonts w:eastAsia="宋体"/>
                <w:color w:val="auto"/>
                <w:highlight w:val="none"/>
                <w:lang w:val="en-US" w:eastAsia="zh-CN" w:bidi="ar"/>
              </w:rPr>
              <w:t>1997</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7.B1B2</w:t>
            </w:r>
            <w:r>
              <w:rPr>
                <w:rStyle w:val="122"/>
                <w:color w:val="auto"/>
                <w:highlight w:val="none"/>
                <w:lang w:val="en-US" w:eastAsia="zh-CN" w:bidi="ar"/>
              </w:rPr>
              <w:t>栋宿舍楼</w:t>
            </w:r>
            <w:r>
              <w:rPr>
                <w:rStyle w:val="131"/>
                <w:rFonts w:eastAsia="宋体"/>
                <w:color w:val="auto"/>
                <w:highlight w:val="none"/>
                <w:lang w:val="en-US" w:eastAsia="zh-CN" w:bidi="ar"/>
              </w:rPr>
              <w:t>1988</w:t>
            </w:r>
            <w:r>
              <w:rPr>
                <w:rStyle w:val="122"/>
                <w:color w:val="auto"/>
                <w:highlight w:val="none"/>
                <w:lang w:val="en-US" w:eastAsia="zh-CN" w:bidi="ar"/>
              </w:rPr>
              <w:t>年</w:t>
            </w:r>
            <w:r>
              <w:rPr>
                <w:rStyle w:val="131"/>
                <w:rFonts w:eastAsia="宋体"/>
                <w:color w:val="auto"/>
                <w:highlight w:val="none"/>
                <w:lang w:val="en-US" w:eastAsia="zh-CN" w:bidi="ar"/>
              </w:rPr>
              <w:t xml:space="preserve"> </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8.C</w:t>
            </w:r>
            <w:r>
              <w:rPr>
                <w:rStyle w:val="122"/>
                <w:color w:val="auto"/>
                <w:highlight w:val="none"/>
                <w:lang w:val="en-US" w:eastAsia="zh-CN" w:bidi="ar"/>
              </w:rPr>
              <w:t>栋宿舍楼</w:t>
            </w:r>
            <w:r>
              <w:rPr>
                <w:rStyle w:val="131"/>
                <w:rFonts w:eastAsia="宋体"/>
                <w:color w:val="auto"/>
                <w:highlight w:val="none"/>
                <w:lang w:val="en-US" w:eastAsia="zh-CN" w:bidi="ar"/>
              </w:rPr>
              <w:t>1988</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63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建筑</w:t>
            </w:r>
            <w:r>
              <w:rPr>
                <w:rStyle w:val="131"/>
                <w:rFonts w:eastAsia="宋体"/>
                <w:color w:val="auto"/>
                <w:highlight w:val="none"/>
                <w:lang w:val="en-US" w:eastAsia="zh-CN" w:bidi="ar"/>
              </w:rPr>
              <w:t>1</w:t>
            </w:r>
            <w:r>
              <w:rPr>
                <w:rStyle w:val="122"/>
                <w:color w:val="auto"/>
                <w:highlight w:val="none"/>
                <w:lang w:val="en-US" w:eastAsia="zh-CN" w:bidi="ar"/>
              </w:rPr>
              <w:t>，</w:t>
            </w:r>
            <w:r>
              <w:rPr>
                <w:rStyle w:val="131"/>
                <w:rFonts w:eastAsia="宋体"/>
                <w:color w:val="auto"/>
                <w:highlight w:val="none"/>
                <w:lang w:val="en-US" w:eastAsia="zh-CN" w:bidi="ar"/>
              </w:rPr>
              <w:t>3</w:t>
            </w:r>
            <w:r>
              <w:rPr>
                <w:rStyle w:val="122"/>
                <w:color w:val="auto"/>
                <w:highlight w:val="none"/>
                <w:lang w:val="en-US" w:eastAsia="zh-CN" w:bidi="ar"/>
              </w:rPr>
              <w:t>，</w:t>
            </w:r>
            <w:r>
              <w:rPr>
                <w:rStyle w:val="131"/>
                <w:rFonts w:eastAsia="宋体"/>
                <w:color w:val="auto"/>
                <w:highlight w:val="none"/>
                <w:lang w:val="en-US" w:eastAsia="zh-CN" w:bidi="ar"/>
              </w:rPr>
              <w:t>4</w:t>
            </w:r>
            <w:r>
              <w:rPr>
                <w:rStyle w:val="122"/>
                <w:color w:val="auto"/>
                <w:highlight w:val="none"/>
                <w:lang w:val="en-US" w:eastAsia="zh-CN" w:bidi="ar"/>
              </w:rPr>
              <w:t>，</w:t>
            </w:r>
            <w:r>
              <w:rPr>
                <w:rStyle w:val="131"/>
                <w:rFonts w:eastAsia="宋体"/>
                <w:color w:val="auto"/>
                <w:highlight w:val="none"/>
                <w:lang w:val="en-US" w:eastAsia="zh-CN" w:bidi="ar"/>
              </w:rPr>
              <w:t>5</w:t>
            </w:r>
            <w:r>
              <w:rPr>
                <w:rStyle w:val="122"/>
                <w:color w:val="auto"/>
                <w:highlight w:val="none"/>
                <w:lang w:val="en-US" w:eastAsia="zh-CN" w:bidi="ar"/>
              </w:rPr>
              <w:t>框架结构</w:t>
            </w:r>
            <w:r>
              <w:rPr>
                <w:rStyle w:val="131"/>
                <w:rFonts w:eastAsia="宋体"/>
                <w:color w:val="auto"/>
                <w:highlight w:val="none"/>
                <w:lang w:val="en-US" w:eastAsia="zh-CN" w:bidi="ar"/>
              </w:rPr>
              <w:br w:type="textWrapping"/>
            </w:r>
            <w:r>
              <w:rPr>
                <w:rStyle w:val="122"/>
                <w:color w:val="auto"/>
                <w:highlight w:val="none"/>
                <w:lang w:val="en-US" w:eastAsia="zh-CN" w:bidi="ar"/>
              </w:rPr>
              <w:t>建筑</w:t>
            </w:r>
            <w:r>
              <w:rPr>
                <w:rStyle w:val="131"/>
                <w:rFonts w:eastAsia="宋体"/>
                <w:color w:val="auto"/>
                <w:highlight w:val="none"/>
                <w:lang w:val="en-US" w:eastAsia="zh-CN" w:bidi="ar"/>
              </w:rPr>
              <w:t>2</w:t>
            </w:r>
            <w:r>
              <w:rPr>
                <w:rStyle w:val="122"/>
                <w:color w:val="auto"/>
                <w:highlight w:val="none"/>
                <w:lang w:val="en-US" w:eastAsia="zh-CN" w:bidi="ar"/>
              </w:rPr>
              <w:t>，</w:t>
            </w:r>
            <w:r>
              <w:rPr>
                <w:rStyle w:val="131"/>
                <w:rFonts w:eastAsia="宋体"/>
                <w:color w:val="auto"/>
                <w:highlight w:val="none"/>
                <w:lang w:val="en-US" w:eastAsia="zh-CN" w:bidi="ar"/>
              </w:rPr>
              <w:t>6</w:t>
            </w:r>
            <w:r>
              <w:rPr>
                <w:rStyle w:val="122"/>
                <w:color w:val="auto"/>
                <w:highlight w:val="none"/>
                <w:lang w:val="en-US" w:eastAsia="zh-CN" w:bidi="ar"/>
              </w:rPr>
              <w:t>，</w:t>
            </w:r>
            <w:r>
              <w:rPr>
                <w:rStyle w:val="131"/>
                <w:rFonts w:eastAsia="宋体"/>
                <w:color w:val="auto"/>
                <w:highlight w:val="none"/>
                <w:lang w:val="en-US" w:eastAsia="zh-CN" w:bidi="ar"/>
              </w:rPr>
              <w:t>7</w:t>
            </w:r>
            <w:r>
              <w:rPr>
                <w:rStyle w:val="122"/>
                <w:color w:val="auto"/>
                <w:highlight w:val="none"/>
                <w:lang w:val="en-US" w:eastAsia="zh-CN" w:bidi="ar"/>
              </w:rPr>
              <w:t>，</w:t>
            </w:r>
            <w:r>
              <w:rPr>
                <w:rStyle w:val="131"/>
                <w:rFonts w:eastAsia="宋体"/>
                <w:color w:val="auto"/>
                <w:highlight w:val="none"/>
                <w:lang w:val="en-US" w:eastAsia="zh-CN" w:bidi="ar"/>
              </w:rPr>
              <w:t>8</w:t>
            </w:r>
            <w:r>
              <w:rPr>
                <w:rStyle w:val="122"/>
                <w:color w:val="auto"/>
                <w:highlight w:val="none"/>
                <w:lang w:val="en-US" w:eastAsia="zh-CN" w:bidi="ar"/>
              </w:rPr>
              <w:t>砖混结构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BD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1399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2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543370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A1A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295131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7FA0">
            <w:pPr>
              <w:jc w:val="center"/>
              <w:rPr>
                <w:rFonts w:hint="default" w:ascii="Times New Roman" w:hAnsi="Times New Roman" w:eastAsia="宋体" w:cs="Times New Roman"/>
                <w:i w:val="0"/>
                <w:iCs w:val="0"/>
                <w:color w:val="auto"/>
                <w:sz w:val="22"/>
                <w:szCs w:val="22"/>
                <w:highlight w:val="none"/>
                <w:u w:val="none"/>
              </w:rPr>
            </w:pPr>
          </w:p>
        </w:tc>
      </w:tr>
      <w:tr w14:paraId="7E38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9D4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6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市卫生健康委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F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梧州市疾病预防控制中心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BC8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8543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6B7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27"/>
                <w:rFonts w:eastAsia="宋体"/>
                <w:color w:val="auto"/>
                <w:highlight w:val="none"/>
                <w:lang w:val="en-US" w:eastAsia="zh-CN" w:bidi="ar"/>
              </w:rPr>
              <w:t>1-4</w:t>
            </w:r>
            <w:r>
              <w:rPr>
                <w:rStyle w:val="122"/>
                <w:color w:val="auto"/>
                <w:highlight w:val="none"/>
                <w:lang w:val="en-US" w:eastAsia="zh-CN" w:bidi="ar"/>
              </w:rPr>
              <w:t>层</w:t>
            </w:r>
            <w:r>
              <w:rPr>
                <w:rStyle w:val="127"/>
                <w:rFonts w:eastAsia="宋体"/>
                <w:color w:val="auto"/>
                <w:highlight w:val="none"/>
                <w:lang w:val="en-US" w:eastAsia="zh-CN" w:bidi="ar"/>
              </w:rPr>
              <w:t>2003</w:t>
            </w:r>
            <w:r>
              <w:rPr>
                <w:rStyle w:val="122"/>
                <w:color w:val="auto"/>
                <w:highlight w:val="none"/>
                <w:lang w:val="en-US" w:eastAsia="zh-CN" w:bidi="ar"/>
              </w:rPr>
              <w:t>年</w:t>
            </w:r>
            <w:r>
              <w:rPr>
                <w:rStyle w:val="127"/>
                <w:rFonts w:eastAsia="宋体"/>
                <w:color w:val="auto"/>
                <w:highlight w:val="none"/>
                <w:lang w:val="en-US" w:eastAsia="zh-CN" w:bidi="ar"/>
              </w:rPr>
              <w:br w:type="textWrapping"/>
            </w:r>
            <w:r>
              <w:rPr>
                <w:rStyle w:val="127"/>
                <w:rFonts w:eastAsia="宋体"/>
                <w:color w:val="auto"/>
                <w:highlight w:val="none"/>
                <w:lang w:val="en-US" w:eastAsia="zh-CN" w:bidi="ar"/>
              </w:rPr>
              <w:t>5-8</w:t>
            </w:r>
            <w:r>
              <w:rPr>
                <w:rStyle w:val="122"/>
                <w:color w:val="auto"/>
                <w:highlight w:val="none"/>
                <w:lang w:val="en-US" w:eastAsia="zh-CN" w:bidi="ar"/>
              </w:rPr>
              <w:t>层</w:t>
            </w:r>
            <w:r>
              <w:rPr>
                <w:rStyle w:val="127"/>
                <w:rFonts w:eastAsia="宋体"/>
                <w:color w:val="auto"/>
                <w:highlight w:val="none"/>
                <w:lang w:val="en-US" w:eastAsia="zh-CN" w:bidi="ar"/>
              </w:rPr>
              <w:t>2009</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C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1D1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350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C7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461344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1A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339337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0D8C">
            <w:pPr>
              <w:jc w:val="center"/>
              <w:rPr>
                <w:rFonts w:hint="default" w:ascii="Times New Roman" w:hAnsi="Times New Roman" w:eastAsia="宋体" w:cs="Times New Roman"/>
                <w:i w:val="0"/>
                <w:iCs w:val="0"/>
                <w:color w:val="auto"/>
                <w:sz w:val="22"/>
                <w:szCs w:val="22"/>
                <w:highlight w:val="none"/>
                <w:u w:val="none"/>
              </w:rPr>
            </w:pPr>
          </w:p>
        </w:tc>
      </w:tr>
      <w:tr w14:paraId="1696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590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A9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DB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梧州市公安局刑事侦查支队</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B8E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791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032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2003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77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A5E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115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4EF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416763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22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297847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B687">
            <w:pPr>
              <w:jc w:val="center"/>
              <w:rPr>
                <w:rFonts w:hint="default" w:ascii="Times New Roman" w:hAnsi="Times New Roman" w:eastAsia="宋体" w:cs="Times New Roman"/>
                <w:i w:val="0"/>
                <w:iCs w:val="0"/>
                <w:color w:val="auto"/>
                <w:sz w:val="22"/>
                <w:szCs w:val="22"/>
                <w:highlight w:val="none"/>
                <w:u w:val="none"/>
              </w:rPr>
            </w:pPr>
          </w:p>
        </w:tc>
      </w:tr>
      <w:tr w14:paraId="64C2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D2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C2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C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梧州市第十七中学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6B3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32614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A87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1#</w:t>
            </w:r>
            <w:r>
              <w:rPr>
                <w:rStyle w:val="122"/>
                <w:color w:val="auto"/>
                <w:highlight w:val="none"/>
                <w:lang w:val="en-US" w:eastAsia="zh-CN" w:bidi="ar"/>
              </w:rPr>
              <w:t>图书馆、</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2#</w:t>
            </w:r>
            <w:r>
              <w:rPr>
                <w:rStyle w:val="122"/>
                <w:color w:val="auto"/>
                <w:highlight w:val="none"/>
                <w:lang w:val="en-US" w:eastAsia="zh-CN" w:bidi="ar"/>
              </w:rPr>
              <w:t>教学楼、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3#</w:t>
            </w:r>
            <w:r>
              <w:rPr>
                <w:rStyle w:val="122"/>
                <w:color w:val="auto"/>
                <w:highlight w:val="none"/>
                <w:lang w:val="en-US" w:eastAsia="zh-CN" w:bidi="ar"/>
              </w:rPr>
              <w:t>教学楼、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4#</w:t>
            </w:r>
            <w:r>
              <w:rPr>
                <w:rStyle w:val="122"/>
                <w:color w:val="auto"/>
                <w:highlight w:val="none"/>
                <w:lang w:val="en-US" w:eastAsia="zh-CN" w:bidi="ar"/>
              </w:rPr>
              <w:t>教学楼、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5#</w:t>
            </w:r>
            <w:r>
              <w:rPr>
                <w:rStyle w:val="122"/>
                <w:color w:val="auto"/>
                <w:highlight w:val="none"/>
                <w:lang w:val="en-US" w:eastAsia="zh-CN" w:bidi="ar"/>
              </w:rPr>
              <w:t>综合楼、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6#</w:t>
            </w:r>
            <w:r>
              <w:rPr>
                <w:rStyle w:val="122"/>
                <w:color w:val="auto"/>
                <w:highlight w:val="none"/>
                <w:lang w:val="en-US" w:eastAsia="zh-CN" w:bidi="ar"/>
              </w:rPr>
              <w:t>教研楼、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7#</w:t>
            </w:r>
            <w:r>
              <w:rPr>
                <w:rStyle w:val="122"/>
                <w:color w:val="auto"/>
                <w:highlight w:val="none"/>
                <w:lang w:val="en-US" w:eastAsia="zh-CN" w:bidi="ar"/>
              </w:rPr>
              <w:t>食堂、</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8#</w:t>
            </w:r>
            <w:r>
              <w:rPr>
                <w:rStyle w:val="122"/>
                <w:color w:val="auto"/>
                <w:highlight w:val="none"/>
                <w:lang w:val="en-US" w:eastAsia="zh-CN" w:bidi="ar"/>
              </w:rPr>
              <w:t>宿舍楼、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9#</w:t>
            </w:r>
            <w:r>
              <w:rPr>
                <w:rStyle w:val="122"/>
                <w:color w:val="auto"/>
                <w:highlight w:val="none"/>
                <w:lang w:val="en-US" w:eastAsia="zh-CN" w:bidi="ar"/>
              </w:rPr>
              <w:t>宿舍楼、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10#</w:t>
            </w:r>
            <w:r>
              <w:rPr>
                <w:rStyle w:val="122"/>
                <w:color w:val="auto"/>
                <w:highlight w:val="none"/>
                <w:lang w:val="en-US" w:eastAsia="zh-CN" w:bidi="ar"/>
              </w:rPr>
              <w:t>宿舍楼、</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11#</w:t>
            </w:r>
            <w:r>
              <w:rPr>
                <w:rStyle w:val="122"/>
                <w:color w:val="auto"/>
                <w:highlight w:val="none"/>
                <w:lang w:val="en-US" w:eastAsia="zh-CN" w:bidi="ar"/>
              </w:rPr>
              <w:t>学知塔、</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12#</w:t>
            </w:r>
            <w:r>
              <w:rPr>
                <w:rStyle w:val="122"/>
                <w:color w:val="auto"/>
                <w:highlight w:val="none"/>
                <w:lang w:val="en-US" w:eastAsia="zh-CN" w:bidi="ar"/>
              </w:rPr>
              <w:t>主大门门卫室、次大门、门卫室、</w:t>
            </w:r>
            <w:r>
              <w:rPr>
                <w:rStyle w:val="131"/>
                <w:rFonts w:eastAsia="宋体"/>
                <w:color w:val="auto"/>
                <w:highlight w:val="none"/>
                <w:lang w:val="en-US" w:eastAsia="zh-CN" w:bidi="ar"/>
              </w:rPr>
              <w:t>2022</w:t>
            </w:r>
            <w:r>
              <w:rPr>
                <w:rStyle w:val="122"/>
                <w:color w:val="auto"/>
                <w:highlight w:val="none"/>
                <w:lang w:val="en-US" w:eastAsia="zh-CN" w:bidi="ar"/>
              </w:rPr>
              <w:t>年</w:t>
            </w:r>
            <w:r>
              <w:rPr>
                <w:rStyle w:val="131"/>
                <w:rFonts w:eastAsia="宋体"/>
                <w:color w:val="auto"/>
                <w:highlight w:val="none"/>
                <w:lang w:val="en-US" w:eastAsia="zh-CN" w:bidi="ar"/>
              </w:rPr>
              <w:t>13#</w:t>
            </w:r>
            <w:r>
              <w:rPr>
                <w:rStyle w:val="122"/>
                <w:color w:val="auto"/>
                <w:highlight w:val="none"/>
                <w:lang w:val="en-US" w:eastAsia="zh-CN" w:bidi="ar"/>
              </w:rPr>
              <w:t>设备房。</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ADB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w:t>
            </w:r>
            <w:r>
              <w:rPr>
                <w:rStyle w:val="122"/>
                <w:color w:val="auto"/>
                <w:highlight w:val="none"/>
                <w:lang w:val="en-US" w:eastAsia="zh-CN" w:bidi="ar"/>
              </w:rPr>
              <w:t>图书馆、</w:t>
            </w:r>
            <w:r>
              <w:rPr>
                <w:rStyle w:val="131"/>
                <w:rFonts w:eastAsia="宋体"/>
                <w:color w:val="auto"/>
                <w:highlight w:val="none"/>
                <w:lang w:val="en-US" w:eastAsia="zh-CN" w:bidi="ar"/>
              </w:rPr>
              <w:t>2#</w:t>
            </w:r>
            <w:r>
              <w:rPr>
                <w:rStyle w:val="122"/>
                <w:color w:val="auto"/>
                <w:highlight w:val="none"/>
                <w:lang w:val="en-US" w:eastAsia="zh-CN" w:bidi="ar"/>
              </w:rPr>
              <w:t>教学楼、</w:t>
            </w:r>
            <w:r>
              <w:rPr>
                <w:rStyle w:val="131"/>
                <w:rFonts w:eastAsia="宋体"/>
                <w:color w:val="auto"/>
                <w:highlight w:val="none"/>
                <w:lang w:val="en-US" w:eastAsia="zh-CN" w:bidi="ar"/>
              </w:rPr>
              <w:t>3#</w:t>
            </w:r>
            <w:r>
              <w:rPr>
                <w:rStyle w:val="122"/>
                <w:color w:val="auto"/>
                <w:highlight w:val="none"/>
                <w:lang w:val="en-US" w:eastAsia="zh-CN" w:bidi="ar"/>
              </w:rPr>
              <w:t>教学楼、</w:t>
            </w:r>
            <w:r>
              <w:rPr>
                <w:rStyle w:val="131"/>
                <w:rFonts w:eastAsia="宋体"/>
                <w:color w:val="auto"/>
                <w:highlight w:val="none"/>
                <w:lang w:val="en-US" w:eastAsia="zh-CN" w:bidi="ar"/>
              </w:rPr>
              <w:t>4#</w:t>
            </w:r>
            <w:r>
              <w:rPr>
                <w:rStyle w:val="122"/>
                <w:color w:val="auto"/>
                <w:highlight w:val="none"/>
                <w:lang w:val="en-US" w:eastAsia="zh-CN" w:bidi="ar"/>
              </w:rPr>
              <w:t>教学楼、</w:t>
            </w:r>
            <w:r>
              <w:rPr>
                <w:rStyle w:val="131"/>
                <w:rFonts w:eastAsia="宋体"/>
                <w:color w:val="auto"/>
                <w:highlight w:val="none"/>
                <w:lang w:val="en-US" w:eastAsia="zh-CN" w:bidi="ar"/>
              </w:rPr>
              <w:t>6#</w:t>
            </w:r>
            <w:r>
              <w:rPr>
                <w:rStyle w:val="122"/>
                <w:color w:val="auto"/>
                <w:highlight w:val="none"/>
                <w:lang w:val="en-US" w:eastAsia="zh-CN" w:bidi="ar"/>
              </w:rPr>
              <w:t>教研楼、</w:t>
            </w:r>
            <w:r>
              <w:rPr>
                <w:rStyle w:val="131"/>
                <w:rFonts w:eastAsia="宋体"/>
                <w:color w:val="auto"/>
                <w:highlight w:val="none"/>
                <w:lang w:val="en-US" w:eastAsia="zh-CN" w:bidi="ar"/>
              </w:rPr>
              <w:t>7#</w:t>
            </w:r>
            <w:r>
              <w:rPr>
                <w:rStyle w:val="122"/>
                <w:color w:val="auto"/>
                <w:highlight w:val="none"/>
                <w:lang w:val="en-US" w:eastAsia="zh-CN" w:bidi="ar"/>
              </w:rPr>
              <w:t>食堂、</w:t>
            </w:r>
            <w:r>
              <w:rPr>
                <w:rStyle w:val="131"/>
                <w:rFonts w:eastAsia="宋体"/>
                <w:color w:val="auto"/>
                <w:highlight w:val="none"/>
                <w:lang w:val="en-US" w:eastAsia="zh-CN" w:bidi="ar"/>
              </w:rPr>
              <w:t>8#</w:t>
            </w:r>
            <w:r>
              <w:rPr>
                <w:rStyle w:val="122"/>
                <w:color w:val="auto"/>
                <w:highlight w:val="none"/>
                <w:lang w:val="en-US" w:eastAsia="zh-CN" w:bidi="ar"/>
              </w:rPr>
              <w:t>宿舍楼、</w:t>
            </w:r>
            <w:r>
              <w:rPr>
                <w:rStyle w:val="131"/>
                <w:rFonts w:eastAsia="宋体"/>
                <w:color w:val="auto"/>
                <w:highlight w:val="none"/>
                <w:lang w:val="en-US" w:eastAsia="zh-CN" w:bidi="ar"/>
              </w:rPr>
              <w:t>9#</w:t>
            </w:r>
            <w:r>
              <w:rPr>
                <w:rStyle w:val="122"/>
                <w:color w:val="auto"/>
                <w:highlight w:val="none"/>
                <w:lang w:val="en-US" w:eastAsia="zh-CN" w:bidi="ar"/>
              </w:rPr>
              <w:t>宿舍楼、</w:t>
            </w:r>
            <w:r>
              <w:rPr>
                <w:rStyle w:val="131"/>
                <w:rFonts w:eastAsia="宋体"/>
                <w:color w:val="auto"/>
                <w:highlight w:val="none"/>
                <w:lang w:val="en-US" w:eastAsia="zh-CN" w:bidi="ar"/>
              </w:rPr>
              <w:t>10#</w:t>
            </w:r>
            <w:r>
              <w:rPr>
                <w:rStyle w:val="122"/>
                <w:color w:val="auto"/>
                <w:highlight w:val="none"/>
                <w:lang w:val="en-US" w:eastAsia="zh-CN" w:bidi="ar"/>
              </w:rPr>
              <w:t>宿舍楼、</w:t>
            </w:r>
            <w:r>
              <w:rPr>
                <w:rStyle w:val="131"/>
                <w:rFonts w:eastAsia="宋体"/>
                <w:color w:val="auto"/>
                <w:highlight w:val="none"/>
                <w:lang w:val="en-US" w:eastAsia="zh-CN" w:bidi="ar"/>
              </w:rPr>
              <w:t>13#</w:t>
            </w:r>
            <w:r>
              <w:rPr>
                <w:rStyle w:val="122"/>
                <w:color w:val="auto"/>
                <w:highlight w:val="none"/>
                <w:lang w:val="en-US" w:eastAsia="zh-CN" w:bidi="ar"/>
              </w:rPr>
              <w:t>设备房、</w:t>
            </w:r>
            <w:r>
              <w:rPr>
                <w:rStyle w:val="131"/>
                <w:rFonts w:eastAsia="宋体"/>
                <w:color w:val="auto"/>
                <w:highlight w:val="none"/>
                <w:lang w:val="en-US" w:eastAsia="zh-CN" w:bidi="ar"/>
              </w:rPr>
              <w:t>12#</w:t>
            </w:r>
            <w:r>
              <w:rPr>
                <w:rStyle w:val="122"/>
                <w:color w:val="auto"/>
                <w:highlight w:val="none"/>
                <w:lang w:val="en-US" w:eastAsia="zh-CN" w:bidi="ar"/>
              </w:rPr>
              <w:t>次大门、门卫室为框架结构；</w:t>
            </w:r>
            <w:r>
              <w:rPr>
                <w:rStyle w:val="131"/>
                <w:rFonts w:eastAsia="宋体"/>
                <w:color w:val="auto"/>
                <w:highlight w:val="none"/>
                <w:lang w:val="en-US" w:eastAsia="zh-CN" w:bidi="ar"/>
              </w:rPr>
              <w:t>5#</w:t>
            </w:r>
            <w:r>
              <w:rPr>
                <w:rStyle w:val="122"/>
                <w:color w:val="auto"/>
                <w:highlight w:val="none"/>
                <w:lang w:val="en-US" w:eastAsia="zh-CN" w:bidi="ar"/>
              </w:rPr>
              <w:t>综合楼和主大门门卫室为框架结构</w:t>
            </w:r>
            <w:r>
              <w:rPr>
                <w:rStyle w:val="131"/>
                <w:rFonts w:eastAsia="宋体"/>
                <w:color w:val="auto"/>
                <w:highlight w:val="none"/>
                <w:lang w:val="en-US" w:eastAsia="zh-CN" w:bidi="ar"/>
              </w:rPr>
              <w:t>+</w:t>
            </w:r>
            <w:r>
              <w:rPr>
                <w:rStyle w:val="122"/>
                <w:color w:val="auto"/>
                <w:highlight w:val="none"/>
                <w:lang w:val="en-US" w:eastAsia="zh-CN" w:bidi="ar"/>
              </w:rPr>
              <w:t>钢结构；</w:t>
            </w:r>
            <w:r>
              <w:rPr>
                <w:rStyle w:val="131"/>
                <w:rFonts w:eastAsia="宋体"/>
                <w:color w:val="auto"/>
                <w:highlight w:val="none"/>
                <w:lang w:val="en-US" w:eastAsia="zh-CN" w:bidi="ar"/>
              </w:rPr>
              <w:t>11#</w:t>
            </w:r>
            <w:r>
              <w:rPr>
                <w:rStyle w:val="122"/>
                <w:color w:val="auto"/>
                <w:highlight w:val="none"/>
                <w:lang w:val="en-US" w:eastAsia="zh-CN" w:bidi="ar"/>
              </w:rPr>
              <w:t>学知塔为钢结构。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6C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1994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12D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836070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3A7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454906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06B9">
            <w:pPr>
              <w:jc w:val="center"/>
              <w:rPr>
                <w:rFonts w:hint="default" w:ascii="Times New Roman" w:hAnsi="Times New Roman" w:eastAsia="宋体" w:cs="Times New Roman"/>
                <w:i w:val="0"/>
                <w:iCs w:val="0"/>
                <w:color w:val="auto"/>
                <w:sz w:val="22"/>
                <w:szCs w:val="22"/>
                <w:highlight w:val="none"/>
                <w:u w:val="none"/>
              </w:rPr>
            </w:pPr>
          </w:p>
        </w:tc>
      </w:tr>
      <w:tr w14:paraId="10E4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0E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4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市公安局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F0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梧州市公安局特巡警支队</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69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5400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05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2020</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D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C14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303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98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248714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415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179817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0CF0">
            <w:pPr>
              <w:jc w:val="center"/>
              <w:rPr>
                <w:rFonts w:hint="default" w:ascii="Times New Roman" w:hAnsi="Times New Roman" w:eastAsia="宋体" w:cs="Times New Roman"/>
                <w:i w:val="0"/>
                <w:iCs w:val="0"/>
                <w:color w:val="auto"/>
                <w:sz w:val="22"/>
                <w:szCs w:val="22"/>
                <w:highlight w:val="none"/>
                <w:u w:val="none"/>
              </w:rPr>
            </w:pPr>
          </w:p>
        </w:tc>
      </w:tr>
      <w:tr w14:paraId="18C2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BC1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FC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D4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梧州市第六中学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2FE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14379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B8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w:t>
            </w:r>
            <w:r>
              <w:rPr>
                <w:rStyle w:val="122"/>
                <w:color w:val="auto"/>
                <w:highlight w:val="none"/>
                <w:lang w:val="en-US" w:eastAsia="zh-CN" w:bidi="ar"/>
              </w:rPr>
              <w:t>旧教师宿舍</w:t>
            </w:r>
            <w:r>
              <w:rPr>
                <w:rStyle w:val="131"/>
                <w:rFonts w:eastAsia="宋体"/>
                <w:color w:val="auto"/>
                <w:highlight w:val="none"/>
                <w:lang w:val="en-US" w:eastAsia="zh-CN" w:bidi="ar"/>
              </w:rPr>
              <w:t>1988</w:t>
            </w:r>
            <w:r>
              <w:rPr>
                <w:rStyle w:val="122"/>
                <w:color w:val="auto"/>
                <w:highlight w:val="none"/>
                <w:lang w:val="en-US" w:eastAsia="zh-CN" w:bidi="ar"/>
              </w:rPr>
              <w:t>年；</w:t>
            </w:r>
            <w:r>
              <w:rPr>
                <w:rStyle w:val="131"/>
                <w:rFonts w:eastAsia="宋体"/>
                <w:color w:val="auto"/>
                <w:highlight w:val="none"/>
                <w:lang w:val="en-US" w:eastAsia="zh-CN" w:bidi="ar"/>
              </w:rPr>
              <w:t>2.</w:t>
            </w:r>
            <w:r>
              <w:rPr>
                <w:rStyle w:val="122"/>
                <w:color w:val="auto"/>
                <w:highlight w:val="none"/>
                <w:lang w:val="en-US" w:eastAsia="zh-CN" w:bidi="ar"/>
              </w:rPr>
              <w:t>初中教学楼</w:t>
            </w:r>
            <w:r>
              <w:rPr>
                <w:rStyle w:val="131"/>
                <w:rFonts w:eastAsia="宋体"/>
                <w:color w:val="auto"/>
                <w:highlight w:val="none"/>
                <w:lang w:val="en-US" w:eastAsia="zh-CN" w:bidi="ar"/>
              </w:rPr>
              <w:t>1988</w:t>
            </w:r>
            <w:r>
              <w:rPr>
                <w:rStyle w:val="122"/>
                <w:color w:val="auto"/>
                <w:highlight w:val="none"/>
                <w:lang w:val="en-US" w:eastAsia="zh-CN" w:bidi="ar"/>
              </w:rPr>
              <w:t>年；</w:t>
            </w:r>
            <w:r>
              <w:rPr>
                <w:rStyle w:val="131"/>
                <w:rFonts w:eastAsia="宋体"/>
                <w:color w:val="auto"/>
                <w:highlight w:val="none"/>
                <w:lang w:val="en-US" w:eastAsia="zh-CN" w:bidi="ar"/>
              </w:rPr>
              <w:t>3.</w:t>
            </w:r>
            <w:r>
              <w:rPr>
                <w:rStyle w:val="122"/>
                <w:color w:val="auto"/>
                <w:highlight w:val="none"/>
                <w:lang w:val="en-US" w:eastAsia="zh-CN" w:bidi="ar"/>
              </w:rPr>
              <w:t>办公楼、实验楼</w:t>
            </w:r>
            <w:r>
              <w:rPr>
                <w:rStyle w:val="131"/>
                <w:rFonts w:eastAsia="宋体"/>
                <w:color w:val="auto"/>
                <w:highlight w:val="none"/>
                <w:lang w:val="en-US" w:eastAsia="zh-CN" w:bidi="ar"/>
              </w:rPr>
              <w:t>1988</w:t>
            </w:r>
            <w:r>
              <w:rPr>
                <w:rStyle w:val="122"/>
                <w:color w:val="auto"/>
                <w:highlight w:val="none"/>
                <w:lang w:val="en-US" w:eastAsia="zh-CN" w:bidi="ar"/>
              </w:rPr>
              <w:t>年；</w:t>
            </w:r>
            <w:r>
              <w:rPr>
                <w:rStyle w:val="131"/>
                <w:rFonts w:eastAsia="宋体"/>
                <w:color w:val="auto"/>
                <w:highlight w:val="none"/>
                <w:lang w:val="en-US" w:eastAsia="zh-CN" w:bidi="ar"/>
              </w:rPr>
              <w:t>4.</w:t>
            </w:r>
            <w:r>
              <w:rPr>
                <w:rStyle w:val="122"/>
                <w:color w:val="auto"/>
                <w:highlight w:val="none"/>
                <w:lang w:val="en-US" w:eastAsia="zh-CN" w:bidi="ar"/>
              </w:rPr>
              <w:t>食堂</w:t>
            </w:r>
            <w:r>
              <w:rPr>
                <w:rStyle w:val="131"/>
                <w:rFonts w:eastAsia="宋体"/>
                <w:color w:val="auto"/>
                <w:highlight w:val="none"/>
                <w:lang w:val="en-US" w:eastAsia="zh-CN" w:bidi="ar"/>
              </w:rPr>
              <w:t>1988</w:t>
            </w:r>
            <w:r>
              <w:rPr>
                <w:rStyle w:val="122"/>
                <w:color w:val="auto"/>
                <w:highlight w:val="none"/>
                <w:lang w:val="en-US" w:eastAsia="zh-CN" w:bidi="ar"/>
              </w:rPr>
              <w:t>年；</w:t>
            </w:r>
            <w:r>
              <w:rPr>
                <w:rStyle w:val="131"/>
                <w:rFonts w:eastAsia="宋体"/>
                <w:color w:val="auto"/>
                <w:highlight w:val="none"/>
                <w:lang w:val="en-US" w:eastAsia="zh-CN" w:bidi="ar"/>
              </w:rPr>
              <w:t>5.1#</w:t>
            </w:r>
            <w:r>
              <w:rPr>
                <w:rStyle w:val="122"/>
                <w:color w:val="auto"/>
                <w:highlight w:val="none"/>
                <w:lang w:val="en-US" w:eastAsia="zh-CN" w:bidi="ar"/>
              </w:rPr>
              <w:t>宿舍楼</w:t>
            </w:r>
            <w:r>
              <w:rPr>
                <w:rStyle w:val="131"/>
                <w:rFonts w:eastAsia="宋体"/>
                <w:color w:val="auto"/>
                <w:highlight w:val="none"/>
                <w:lang w:val="en-US" w:eastAsia="zh-CN" w:bidi="ar"/>
              </w:rPr>
              <w:t>1999</w:t>
            </w:r>
            <w:r>
              <w:rPr>
                <w:rStyle w:val="122"/>
                <w:color w:val="auto"/>
                <w:highlight w:val="none"/>
                <w:lang w:val="en-US" w:eastAsia="zh-CN" w:bidi="ar"/>
              </w:rPr>
              <w:t>年；</w:t>
            </w:r>
            <w:r>
              <w:rPr>
                <w:rStyle w:val="131"/>
                <w:rFonts w:eastAsia="宋体"/>
                <w:color w:val="auto"/>
                <w:highlight w:val="none"/>
                <w:lang w:val="en-US" w:eastAsia="zh-CN" w:bidi="ar"/>
              </w:rPr>
              <w:t>6.2#</w:t>
            </w:r>
            <w:r>
              <w:rPr>
                <w:rStyle w:val="122"/>
                <w:color w:val="auto"/>
                <w:highlight w:val="none"/>
                <w:lang w:val="en-US" w:eastAsia="zh-CN" w:bidi="ar"/>
              </w:rPr>
              <w:t>宿舍楼</w:t>
            </w:r>
            <w:r>
              <w:rPr>
                <w:rStyle w:val="131"/>
                <w:rFonts w:eastAsia="宋体"/>
                <w:color w:val="auto"/>
                <w:highlight w:val="none"/>
                <w:lang w:val="en-US" w:eastAsia="zh-CN" w:bidi="ar"/>
              </w:rPr>
              <w:t>2010</w:t>
            </w:r>
            <w:r>
              <w:rPr>
                <w:rStyle w:val="122"/>
                <w:color w:val="auto"/>
                <w:highlight w:val="none"/>
                <w:lang w:val="en-US" w:eastAsia="zh-CN" w:bidi="ar"/>
              </w:rPr>
              <w:t>年；</w:t>
            </w:r>
            <w:r>
              <w:rPr>
                <w:rStyle w:val="131"/>
                <w:rFonts w:eastAsia="宋体"/>
                <w:color w:val="auto"/>
                <w:highlight w:val="none"/>
                <w:lang w:val="en-US" w:eastAsia="zh-CN" w:bidi="ar"/>
              </w:rPr>
              <w:t>7.3#</w:t>
            </w:r>
            <w:r>
              <w:rPr>
                <w:rStyle w:val="122"/>
                <w:color w:val="auto"/>
                <w:highlight w:val="none"/>
                <w:lang w:val="en-US" w:eastAsia="zh-CN" w:bidi="ar"/>
              </w:rPr>
              <w:t>宿舍楼</w:t>
            </w:r>
            <w:r>
              <w:rPr>
                <w:rStyle w:val="131"/>
                <w:rFonts w:eastAsia="宋体"/>
                <w:color w:val="auto"/>
                <w:highlight w:val="none"/>
                <w:lang w:val="en-US" w:eastAsia="zh-CN" w:bidi="ar"/>
              </w:rPr>
              <w:t>2017</w:t>
            </w:r>
            <w:r>
              <w:rPr>
                <w:rStyle w:val="122"/>
                <w:color w:val="auto"/>
                <w:highlight w:val="none"/>
                <w:lang w:val="en-US" w:eastAsia="zh-CN" w:bidi="ar"/>
              </w:rPr>
              <w:t>年；</w:t>
            </w:r>
            <w:r>
              <w:rPr>
                <w:rStyle w:val="131"/>
                <w:rFonts w:eastAsia="宋体"/>
                <w:color w:val="auto"/>
                <w:highlight w:val="none"/>
                <w:lang w:val="en-US" w:eastAsia="zh-CN" w:bidi="ar"/>
              </w:rPr>
              <w:t>8.4#</w:t>
            </w:r>
            <w:r>
              <w:rPr>
                <w:rStyle w:val="122"/>
                <w:color w:val="auto"/>
                <w:highlight w:val="none"/>
                <w:lang w:val="en-US" w:eastAsia="zh-CN" w:bidi="ar"/>
              </w:rPr>
              <w:t>宿舍楼</w:t>
            </w:r>
            <w:r>
              <w:rPr>
                <w:rStyle w:val="131"/>
                <w:rFonts w:eastAsia="宋体"/>
                <w:color w:val="auto"/>
                <w:highlight w:val="none"/>
                <w:lang w:val="en-US" w:eastAsia="zh-CN" w:bidi="ar"/>
              </w:rPr>
              <w:t>2021</w:t>
            </w:r>
            <w:r>
              <w:rPr>
                <w:rStyle w:val="122"/>
                <w:color w:val="auto"/>
                <w:highlight w:val="none"/>
                <w:lang w:val="en-US" w:eastAsia="zh-CN" w:bidi="ar"/>
              </w:rPr>
              <w:t>年；</w:t>
            </w:r>
            <w:r>
              <w:rPr>
                <w:rStyle w:val="131"/>
                <w:rFonts w:eastAsia="宋体"/>
                <w:color w:val="auto"/>
                <w:highlight w:val="none"/>
                <w:lang w:val="en-US" w:eastAsia="zh-CN" w:bidi="ar"/>
              </w:rPr>
              <w:t>9.11#</w:t>
            </w:r>
            <w:r>
              <w:rPr>
                <w:rStyle w:val="122"/>
                <w:color w:val="auto"/>
                <w:highlight w:val="none"/>
                <w:lang w:val="en-US" w:eastAsia="zh-CN" w:bidi="ar"/>
              </w:rPr>
              <w:t>综合教学楼</w:t>
            </w:r>
            <w:r>
              <w:rPr>
                <w:rStyle w:val="131"/>
                <w:rFonts w:eastAsia="宋体"/>
                <w:color w:val="auto"/>
                <w:highlight w:val="none"/>
                <w:lang w:val="en-US" w:eastAsia="zh-CN" w:bidi="ar"/>
              </w:rPr>
              <w:t>2019</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C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建筑</w:t>
            </w:r>
            <w:r>
              <w:rPr>
                <w:rStyle w:val="131"/>
                <w:rFonts w:eastAsia="宋体"/>
                <w:color w:val="auto"/>
                <w:highlight w:val="none"/>
                <w:lang w:val="en-US" w:eastAsia="zh-CN" w:bidi="ar"/>
              </w:rPr>
              <w:t>1.2.3.4</w:t>
            </w:r>
            <w:r>
              <w:rPr>
                <w:rStyle w:val="122"/>
                <w:color w:val="auto"/>
                <w:highlight w:val="none"/>
                <w:lang w:val="en-US" w:eastAsia="zh-CN" w:bidi="ar"/>
              </w:rPr>
              <w:t>砖混结构；建筑</w:t>
            </w:r>
            <w:r>
              <w:rPr>
                <w:rStyle w:val="131"/>
                <w:rFonts w:eastAsia="宋体"/>
                <w:color w:val="auto"/>
                <w:highlight w:val="none"/>
                <w:lang w:val="en-US" w:eastAsia="zh-CN" w:bidi="ar"/>
              </w:rPr>
              <w:t>5.6.7.8.9</w:t>
            </w:r>
            <w:r>
              <w:rPr>
                <w:rStyle w:val="122"/>
                <w:color w:val="auto"/>
                <w:highlight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1B0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1526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980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321007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A3A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176419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DF4D">
            <w:pPr>
              <w:jc w:val="center"/>
              <w:rPr>
                <w:rFonts w:hint="default" w:ascii="Times New Roman" w:hAnsi="Times New Roman" w:eastAsia="宋体" w:cs="Times New Roman"/>
                <w:i w:val="0"/>
                <w:iCs w:val="0"/>
                <w:color w:val="auto"/>
                <w:sz w:val="22"/>
                <w:szCs w:val="22"/>
                <w:highlight w:val="none"/>
                <w:u w:val="none"/>
              </w:rPr>
            </w:pPr>
          </w:p>
        </w:tc>
      </w:tr>
      <w:tr w14:paraId="2D77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29F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0E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梧州市住房公积金管理中心</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8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梧州市住房公积金管理中心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DC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8723.3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E87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2020</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F9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钢筋混凝土框架结构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1BF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258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3E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406794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AFA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293607.72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6A6A">
            <w:pPr>
              <w:jc w:val="center"/>
              <w:rPr>
                <w:rFonts w:hint="default" w:ascii="Times New Roman" w:hAnsi="Times New Roman" w:eastAsia="宋体" w:cs="Times New Roman"/>
                <w:i w:val="0"/>
                <w:iCs w:val="0"/>
                <w:color w:val="auto"/>
                <w:sz w:val="22"/>
                <w:szCs w:val="22"/>
                <w:highlight w:val="none"/>
                <w:u w:val="none"/>
              </w:rPr>
            </w:pPr>
          </w:p>
        </w:tc>
      </w:tr>
      <w:tr w14:paraId="73AB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305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AE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23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广西梧州市第十五中学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F6C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18419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1D0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2004</w:t>
            </w:r>
            <w:r>
              <w:rPr>
                <w:rStyle w:val="122"/>
                <w:color w:val="auto"/>
                <w:highlight w:val="none"/>
                <w:lang w:val="en-US" w:eastAsia="zh-CN" w:bidi="ar"/>
              </w:rPr>
              <w:t>年：教学综合楼</w:t>
            </w:r>
            <w:r>
              <w:rPr>
                <w:rStyle w:val="131"/>
                <w:rFonts w:eastAsia="宋体"/>
                <w:color w:val="auto"/>
                <w:highlight w:val="none"/>
                <w:lang w:val="en-US" w:eastAsia="zh-CN" w:bidi="ar"/>
              </w:rPr>
              <w:br w:type="textWrapping"/>
            </w:r>
            <w:r>
              <w:rPr>
                <w:rStyle w:val="131"/>
                <w:rFonts w:eastAsia="宋体"/>
                <w:color w:val="auto"/>
                <w:highlight w:val="none"/>
                <w:lang w:val="en-US" w:eastAsia="zh-CN" w:bidi="ar"/>
              </w:rPr>
              <w:t>2006</w:t>
            </w:r>
            <w:r>
              <w:rPr>
                <w:rStyle w:val="122"/>
                <w:color w:val="auto"/>
                <w:highlight w:val="none"/>
                <w:lang w:val="en-US" w:eastAsia="zh-CN" w:bidi="ar"/>
              </w:rPr>
              <w:t>年：食堂</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A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F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1644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1C7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497360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E9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270614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0E41">
            <w:pPr>
              <w:jc w:val="center"/>
              <w:rPr>
                <w:rFonts w:hint="default" w:ascii="Times New Roman" w:hAnsi="Times New Roman" w:eastAsia="宋体" w:cs="Times New Roman"/>
                <w:i w:val="0"/>
                <w:iCs w:val="0"/>
                <w:color w:val="auto"/>
                <w:sz w:val="22"/>
                <w:szCs w:val="22"/>
                <w:highlight w:val="none"/>
                <w:u w:val="none"/>
              </w:rPr>
            </w:pPr>
          </w:p>
        </w:tc>
      </w:tr>
      <w:tr w14:paraId="2C71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C2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B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市市场监管局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F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梧州市市场监督管理局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CCA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2144.17</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0D7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2013.3</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5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72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084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1902889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07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1393831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4432">
            <w:pPr>
              <w:jc w:val="center"/>
              <w:rPr>
                <w:rFonts w:hint="default" w:ascii="Times New Roman" w:hAnsi="Times New Roman" w:eastAsia="宋体" w:cs="Times New Roman"/>
                <w:i w:val="0"/>
                <w:iCs w:val="0"/>
                <w:color w:val="auto"/>
                <w:sz w:val="22"/>
                <w:szCs w:val="22"/>
                <w:highlight w:val="none"/>
                <w:u w:val="none"/>
              </w:rPr>
            </w:pPr>
          </w:p>
        </w:tc>
      </w:tr>
      <w:tr w14:paraId="5AD9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937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0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市市场监管局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A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梧州市产品质量检验所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836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7910.27</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FF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2007.4</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77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C09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48F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215939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0F5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156363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2108">
            <w:pPr>
              <w:jc w:val="center"/>
              <w:rPr>
                <w:rFonts w:hint="default" w:ascii="Times New Roman" w:hAnsi="Times New Roman" w:eastAsia="宋体" w:cs="Times New Roman"/>
                <w:i w:val="0"/>
                <w:iCs w:val="0"/>
                <w:color w:val="auto"/>
                <w:sz w:val="22"/>
                <w:szCs w:val="22"/>
                <w:highlight w:val="none"/>
                <w:u w:val="none"/>
              </w:rPr>
            </w:pPr>
          </w:p>
        </w:tc>
      </w:tr>
      <w:tr w14:paraId="7A84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BE5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AA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A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广西梧州市第十二中学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A04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9711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5A3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2022</w:t>
            </w:r>
            <w:r>
              <w:rPr>
                <w:rStyle w:val="122"/>
                <w:color w:val="auto"/>
                <w:highlight w:val="none"/>
                <w:lang w:val="en-US" w:eastAsia="zh-CN" w:bidi="ar"/>
              </w:rPr>
              <w:t>年食堂膳厅；</w:t>
            </w:r>
            <w:r>
              <w:rPr>
                <w:rStyle w:val="131"/>
                <w:rFonts w:eastAsia="宋体"/>
                <w:color w:val="auto"/>
                <w:highlight w:val="none"/>
                <w:lang w:val="en-US" w:eastAsia="zh-CN" w:bidi="ar"/>
              </w:rPr>
              <w:t>2019</w:t>
            </w:r>
            <w:r>
              <w:rPr>
                <w:rStyle w:val="122"/>
                <w:color w:val="auto"/>
                <w:highlight w:val="none"/>
                <w:lang w:val="en-US" w:eastAsia="zh-CN" w:bidi="ar"/>
              </w:rPr>
              <w:t>年教学综合楼；</w:t>
            </w:r>
            <w:r>
              <w:rPr>
                <w:rStyle w:val="131"/>
                <w:rFonts w:eastAsia="宋体"/>
                <w:color w:val="auto"/>
                <w:highlight w:val="none"/>
                <w:lang w:val="en-US" w:eastAsia="zh-CN" w:bidi="ar"/>
              </w:rPr>
              <w:t>2016</w:t>
            </w:r>
            <w:r>
              <w:rPr>
                <w:rStyle w:val="122"/>
                <w:color w:val="auto"/>
                <w:highlight w:val="none"/>
                <w:lang w:val="en-US" w:eastAsia="zh-CN" w:bidi="ar"/>
              </w:rPr>
              <w:t>年食堂楼；</w:t>
            </w:r>
            <w:r>
              <w:rPr>
                <w:rStyle w:val="131"/>
                <w:rFonts w:eastAsia="宋体"/>
                <w:color w:val="auto"/>
                <w:highlight w:val="none"/>
                <w:lang w:val="en-US" w:eastAsia="zh-CN" w:bidi="ar"/>
              </w:rPr>
              <w:t>2016</w:t>
            </w:r>
            <w:r>
              <w:rPr>
                <w:rStyle w:val="122"/>
                <w:color w:val="auto"/>
                <w:highlight w:val="none"/>
                <w:lang w:val="en-US" w:eastAsia="zh-CN" w:bidi="ar"/>
              </w:rPr>
              <w:t>年宿舍楼；</w:t>
            </w:r>
            <w:r>
              <w:rPr>
                <w:rStyle w:val="131"/>
                <w:rFonts w:eastAsia="宋体"/>
                <w:color w:val="auto"/>
                <w:highlight w:val="none"/>
                <w:lang w:val="en-US" w:eastAsia="zh-CN" w:bidi="ar"/>
              </w:rPr>
              <w:t>2014</w:t>
            </w:r>
            <w:r>
              <w:rPr>
                <w:rStyle w:val="122"/>
                <w:color w:val="auto"/>
                <w:highlight w:val="none"/>
                <w:lang w:val="en-US" w:eastAsia="zh-CN" w:bidi="ar"/>
              </w:rPr>
              <w:t>年宿舍楼；</w:t>
            </w:r>
            <w:r>
              <w:rPr>
                <w:rStyle w:val="131"/>
                <w:rFonts w:eastAsia="宋体"/>
                <w:color w:val="auto"/>
                <w:highlight w:val="none"/>
                <w:lang w:val="en-US" w:eastAsia="zh-CN" w:bidi="ar"/>
              </w:rPr>
              <w:t>1998</w:t>
            </w:r>
            <w:r>
              <w:rPr>
                <w:rStyle w:val="122"/>
                <w:color w:val="auto"/>
                <w:highlight w:val="none"/>
                <w:lang w:val="en-US" w:eastAsia="zh-CN" w:bidi="ar"/>
              </w:rPr>
              <w:t>年新教学楼；</w:t>
            </w:r>
            <w:r>
              <w:rPr>
                <w:rStyle w:val="131"/>
                <w:rFonts w:eastAsia="宋体"/>
                <w:color w:val="auto"/>
                <w:highlight w:val="none"/>
                <w:lang w:val="en-US" w:eastAsia="zh-CN" w:bidi="ar"/>
              </w:rPr>
              <w:t>1988</w:t>
            </w:r>
            <w:r>
              <w:rPr>
                <w:rStyle w:val="122"/>
                <w:color w:val="auto"/>
                <w:highlight w:val="none"/>
                <w:lang w:val="en-US" w:eastAsia="zh-CN" w:bidi="ar"/>
              </w:rPr>
              <w:t>年旧教学楼；</w:t>
            </w:r>
            <w:r>
              <w:rPr>
                <w:rStyle w:val="131"/>
                <w:rFonts w:eastAsia="宋体"/>
                <w:color w:val="auto"/>
                <w:highlight w:val="none"/>
                <w:lang w:val="en-US" w:eastAsia="zh-CN" w:bidi="ar"/>
              </w:rPr>
              <w:t>1985</w:t>
            </w:r>
            <w:r>
              <w:rPr>
                <w:rStyle w:val="122"/>
                <w:color w:val="auto"/>
                <w:highlight w:val="none"/>
                <w:lang w:val="en-US" w:eastAsia="zh-CN" w:bidi="ar"/>
              </w:rPr>
              <w:t>年实验楼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4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食堂膳厅钢结构；教学综合楼框架结构；食堂楼框架结构；宿舍楼框架结构；宿舍楼框架结构；新教学楼砖混结构；旧教学楼砖混结构；实验楼砖混结构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BFA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1512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58F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283056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8E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154010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D9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D6E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7F4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29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B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广西梧州市第四中学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B03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13500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27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1992</w:t>
            </w:r>
            <w:r>
              <w:rPr>
                <w:rStyle w:val="122"/>
                <w:color w:val="auto"/>
                <w:highlight w:val="none"/>
                <w:lang w:val="en-US" w:eastAsia="zh-CN" w:bidi="ar"/>
              </w:rPr>
              <w:t>年办公综合大楼；</w:t>
            </w:r>
            <w:r>
              <w:rPr>
                <w:rStyle w:val="131"/>
                <w:rFonts w:eastAsia="宋体"/>
                <w:color w:val="auto"/>
                <w:highlight w:val="none"/>
                <w:lang w:val="en-US" w:eastAsia="zh-CN" w:bidi="ar"/>
              </w:rPr>
              <w:t>2000</w:t>
            </w:r>
            <w:r>
              <w:rPr>
                <w:rStyle w:val="122"/>
                <w:color w:val="auto"/>
                <w:highlight w:val="none"/>
                <w:lang w:val="en-US" w:eastAsia="zh-CN" w:bidi="ar"/>
              </w:rPr>
              <w:t>年四中科技楼一期</w:t>
            </w:r>
            <w:r>
              <w:rPr>
                <w:rStyle w:val="131"/>
                <w:rFonts w:eastAsia="宋体"/>
                <w:color w:val="auto"/>
                <w:highlight w:val="none"/>
                <w:lang w:val="en-US" w:eastAsia="zh-CN" w:bidi="ar"/>
              </w:rPr>
              <w:t>(B</w:t>
            </w:r>
            <w:r>
              <w:rPr>
                <w:rStyle w:val="122"/>
                <w:color w:val="auto"/>
                <w:highlight w:val="none"/>
                <w:lang w:val="en-US" w:eastAsia="zh-CN" w:bidi="ar"/>
              </w:rPr>
              <w:t>座</w:t>
            </w:r>
            <w:r>
              <w:rPr>
                <w:rStyle w:val="131"/>
                <w:rFonts w:eastAsia="宋体"/>
                <w:color w:val="auto"/>
                <w:highlight w:val="none"/>
                <w:lang w:val="en-US" w:eastAsia="zh-CN" w:bidi="ar"/>
              </w:rPr>
              <w:t>)</w:t>
            </w:r>
            <w:r>
              <w:rPr>
                <w:rStyle w:val="122"/>
                <w:color w:val="auto"/>
                <w:highlight w:val="none"/>
                <w:lang w:val="en-US" w:eastAsia="zh-CN" w:bidi="ar"/>
              </w:rPr>
              <w:t>；</w:t>
            </w:r>
            <w:r>
              <w:rPr>
                <w:rStyle w:val="131"/>
                <w:rFonts w:eastAsia="宋体"/>
                <w:color w:val="auto"/>
                <w:highlight w:val="none"/>
                <w:lang w:val="en-US" w:eastAsia="zh-CN" w:bidi="ar"/>
              </w:rPr>
              <w:t>2001</w:t>
            </w:r>
            <w:r>
              <w:rPr>
                <w:rStyle w:val="122"/>
                <w:color w:val="auto"/>
                <w:highlight w:val="none"/>
                <w:lang w:val="en-US" w:eastAsia="zh-CN" w:bidi="ar"/>
              </w:rPr>
              <w:t>年四中科教楼二期；</w:t>
            </w:r>
            <w:r>
              <w:rPr>
                <w:rStyle w:val="131"/>
                <w:rFonts w:eastAsia="宋体"/>
                <w:color w:val="auto"/>
                <w:highlight w:val="none"/>
                <w:lang w:val="en-US" w:eastAsia="zh-CN" w:bidi="ar"/>
              </w:rPr>
              <w:t>2010</w:t>
            </w:r>
            <w:r>
              <w:rPr>
                <w:rStyle w:val="122"/>
                <w:color w:val="auto"/>
                <w:highlight w:val="none"/>
                <w:lang w:val="en-US" w:eastAsia="zh-CN" w:bidi="ar"/>
              </w:rPr>
              <w:t>年教学楼；教辅用房</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CA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钢筋混凝土结构</w:t>
            </w:r>
            <w:r>
              <w:rPr>
                <w:rStyle w:val="131"/>
                <w:rFonts w:eastAsia="宋体"/>
                <w:color w:val="auto"/>
                <w:highlight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228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1638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1DE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342336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9D4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188288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2D41">
            <w:pPr>
              <w:jc w:val="center"/>
              <w:rPr>
                <w:rFonts w:hint="default" w:ascii="Times New Roman" w:hAnsi="Times New Roman" w:eastAsia="宋体" w:cs="Times New Roman"/>
                <w:i w:val="0"/>
                <w:iCs w:val="0"/>
                <w:color w:val="auto"/>
                <w:sz w:val="22"/>
                <w:szCs w:val="22"/>
                <w:highlight w:val="none"/>
                <w:u w:val="none"/>
              </w:rPr>
            </w:pPr>
          </w:p>
        </w:tc>
      </w:tr>
      <w:tr w14:paraId="7345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D47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B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市人大常委会办公室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F5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梧州市人民代表大会常务委员会办公室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8E3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2722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1A01">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7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钢筋混凝土</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F4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81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248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236114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C6D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170455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4411">
            <w:pPr>
              <w:jc w:val="center"/>
              <w:rPr>
                <w:rFonts w:hint="default" w:ascii="Times New Roman" w:hAnsi="Times New Roman" w:eastAsia="宋体" w:cs="Times New Roman"/>
                <w:i w:val="0"/>
                <w:iCs w:val="0"/>
                <w:color w:val="auto"/>
                <w:sz w:val="22"/>
                <w:szCs w:val="22"/>
                <w:highlight w:val="none"/>
                <w:u w:val="none"/>
              </w:rPr>
            </w:pPr>
          </w:p>
        </w:tc>
      </w:tr>
      <w:tr w14:paraId="028A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97E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8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C1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广西梧州市中小学生示范性综合实践基地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2C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83688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78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综合楼，臻美楼，宏毅楼，饭堂，科技楼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F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钢筋混泥土结构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18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358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C44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313992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24E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169551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ADEF">
            <w:pPr>
              <w:jc w:val="center"/>
              <w:rPr>
                <w:rFonts w:hint="default" w:ascii="Times New Roman" w:hAnsi="Times New Roman" w:eastAsia="宋体" w:cs="Times New Roman"/>
                <w:i w:val="0"/>
                <w:iCs w:val="0"/>
                <w:color w:val="auto"/>
                <w:sz w:val="22"/>
                <w:szCs w:val="22"/>
                <w:highlight w:val="none"/>
                <w:u w:val="none"/>
              </w:rPr>
            </w:pPr>
          </w:p>
        </w:tc>
      </w:tr>
      <w:tr w14:paraId="1672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2A3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E0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3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广西梧州市第十九中学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6E5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7101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E2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教学楼、男生宿舍、女生宿舍、苏民纪念馆、科教楼</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B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钢筋混泥土结构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E92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812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FB9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313992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A8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169551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A9E2">
            <w:pPr>
              <w:jc w:val="center"/>
              <w:rPr>
                <w:rFonts w:hint="default" w:ascii="Times New Roman" w:hAnsi="Times New Roman" w:eastAsia="宋体" w:cs="Times New Roman"/>
                <w:i w:val="0"/>
                <w:iCs w:val="0"/>
                <w:color w:val="auto"/>
                <w:sz w:val="22"/>
                <w:szCs w:val="22"/>
                <w:highlight w:val="none"/>
                <w:u w:val="none"/>
              </w:rPr>
            </w:pPr>
          </w:p>
        </w:tc>
      </w:tr>
      <w:tr w14:paraId="3BD0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545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市教育局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CF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梧州市第十六中学</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771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47490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A7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2023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0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框剪结构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EB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2127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1DB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1460880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E4A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795617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1064">
            <w:pPr>
              <w:jc w:val="center"/>
              <w:rPr>
                <w:rFonts w:hint="default" w:ascii="Times New Roman" w:hAnsi="Times New Roman" w:eastAsia="宋体" w:cs="Times New Roman"/>
                <w:i w:val="0"/>
                <w:iCs w:val="0"/>
                <w:color w:val="auto"/>
                <w:sz w:val="22"/>
                <w:szCs w:val="22"/>
                <w:highlight w:val="none"/>
                <w:u w:val="none"/>
              </w:rPr>
            </w:pPr>
          </w:p>
        </w:tc>
      </w:tr>
      <w:tr w14:paraId="2EA9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D2C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E5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市人力资源社会保障局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5A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梧州市人力资源和社会保障局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7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1185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25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1999 </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7991">
            <w:pPr>
              <w:jc w:val="center"/>
              <w:rPr>
                <w:rFonts w:hint="default" w:ascii="Times New Roman" w:hAnsi="Times New Roman" w:eastAsia="宋体" w:cs="Times New Roman"/>
                <w:i w:val="0"/>
                <w:iCs w:val="0"/>
                <w:color w:val="auto"/>
                <w:sz w:val="24"/>
                <w:szCs w:val="24"/>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AD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343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6D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261206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E5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193477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0B92">
            <w:pPr>
              <w:jc w:val="center"/>
              <w:rPr>
                <w:rFonts w:hint="default" w:ascii="Times New Roman" w:hAnsi="Times New Roman" w:eastAsia="宋体" w:cs="Times New Roman"/>
                <w:i w:val="0"/>
                <w:iCs w:val="0"/>
                <w:color w:val="auto"/>
                <w:sz w:val="24"/>
                <w:szCs w:val="24"/>
                <w:highlight w:val="none"/>
                <w:u w:val="none"/>
              </w:rPr>
            </w:pPr>
          </w:p>
        </w:tc>
      </w:tr>
      <w:tr w14:paraId="4F1D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C3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2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市交通运输局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AA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梧州市交通运输局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346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6786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5A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2008 </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E6F5">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D00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261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DF3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360485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A26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266832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1C19">
            <w:pPr>
              <w:jc w:val="center"/>
              <w:rPr>
                <w:rFonts w:hint="default" w:ascii="Times New Roman" w:hAnsi="Times New Roman" w:eastAsia="宋体" w:cs="Times New Roman"/>
                <w:i w:val="0"/>
                <w:iCs w:val="0"/>
                <w:color w:val="auto"/>
                <w:sz w:val="22"/>
                <w:szCs w:val="22"/>
                <w:highlight w:val="none"/>
                <w:u w:val="none"/>
              </w:rPr>
            </w:pPr>
          </w:p>
        </w:tc>
      </w:tr>
      <w:tr w14:paraId="0562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450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8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市政协办公室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99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中国人民政治协商会议梧州市委员会办公室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26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2394.46</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962A">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2B83">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879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DA5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21.0039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914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15.1631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D178">
            <w:pPr>
              <w:jc w:val="center"/>
              <w:rPr>
                <w:rFonts w:hint="default" w:ascii="Times New Roman" w:hAnsi="Times New Roman" w:eastAsia="宋体" w:cs="Times New Roman"/>
                <w:i w:val="0"/>
                <w:iCs w:val="0"/>
                <w:color w:val="auto"/>
                <w:sz w:val="22"/>
                <w:szCs w:val="22"/>
                <w:highlight w:val="none"/>
                <w:u w:val="none"/>
              </w:rPr>
            </w:pPr>
          </w:p>
        </w:tc>
      </w:tr>
      <w:tr w14:paraId="0C77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51B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D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市发展改革委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F7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梧州市发展和改革委员会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20B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1671.44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CB3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1993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2C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93F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A2C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125992.02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E5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91093.84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CF29">
            <w:pPr>
              <w:jc w:val="center"/>
              <w:rPr>
                <w:rFonts w:hint="default" w:ascii="Times New Roman" w:hAnsi="Times New Roman" w:eastAsia="宋体" w:cs="Times New Roman"/>
                <w:i w:val="0"/>
                <w:iCs w:val="0"/>
                <w:color w:val="auto"/>
                <w:sz w:val="22"/>
                <w:szCs w:val="22"/>
                <w:highlight w:val="none"/>
                <w:u w:val="none"/>
              </w:rPr>
            </w:pPr>
          </w:p>
        </w:tc>
      </w:tr>
      <w:tr w14:paraId="18C1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EF2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A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市统计局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3F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梧州市统计局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F36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1358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794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1993 </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904F">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DFC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512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130161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D7C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94025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0EE6">
            <w:pPr>
              <w:jc w:val="center"/>
              <w:rPr>
                <w:rFonts w:hint="default" w:ascii="Times New Roman" w:hAnsi="Times New Roman" w:eastAsia="宋体" w:cs="Times New Roman"/>
                <w:i w:val="0"/>
                <w:iCs w:val="0"/>
                <w:color w:val="auto"/>
                <w:sz w:val="22"/>
                <w:szCs w:val="22"/>
                <w:highlight w:val="none"/>
                <w:u w:val="none"/>
              </w:rPr>
            </w:pPr>
          </w:p>
        </w:tc>
      </w:tr>
      <w:tr w14:paraId="0D67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B8A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7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市委组织部</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9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中国共产党梧州市委员会组织部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14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1788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A4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22"/>
                <w:color w:val="auto"/>
                <w:highlight w:val="none"/>
                <w:lang w:val="en-US" w:eastAsia="zh-CN" w:bidi="ar"/>
              </w:rPr>
              <w:t>市委办公大楼</w:t>
            </w:r>
            <w:r>
              <w:rPr>
                <w:rStyle w:val="131"/>
                <w:rFonts w:eastAsia="宋体"/>
                <w:color w:val="auto"/>
                <w:highlight w:val="none"/>
                <w:lang w:val="en-US" w:eastAsia="zh-CN" w:bidi="ar"/>
              </w:rPr>
              <w:br w:type="textWrapping"/>
            </w:r>
            <w:r>
              <w:rPr>
                <w:rStyle w:val="122"/>
                <w:color w:val="auto"/>
                <w:highlight w:val="none"/>
                <w:lang w:val="en-US" w:eastAsia="zh-CN" w:bidi="ar"/>
              </w:rPr>
              <w:t>党群服务中心</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2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砖混结构</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DD1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62A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141135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1A2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101888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2EA0">
            <w:pPr>
              <w:jc w:val="center"/>
              <w:rPr>
                <w:rFonts w:hint="default" w:ascii="Times New Roman" w:hAnsi="Times New Roman" w:eastAsia="宋体" w:cs="Times New Roman"/>
                <w:i w:val="0"/>
                <w:iCs w:val="0"/>
                <w:color w:val="auto"/>
                <w:sz w:val="22"/>
                <w:szCs w:val="22"/>
                <w:highlight w:val="none"/>
                <w:u w:val="none"/>
              </w:rPr>
            </w:pPr>
          </w:p>
        </w:tc>
      </w:tr>
      <w:tr w14:paraId="0243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235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27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市应急局</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8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梧州市应急管理局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477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523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6A9D">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0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办公楼</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9F0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523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99255.495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DAC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76426.731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E1CB">
            <w:pPr>
              <w:jc w:val="center"/>
              <w:rPr>
                <w:rFonts w:hint="default" w:ascii="Times New Roman" w:hAnsi="Times New Roman" w:eastAsia="宋体" w:cs="Times New Roman"/>
                <w:i w:val="0"/>
                <w:iCs w:val="0"/>
                <w:color w:val="auto"/>
                <w:sz w:val="22"/>
                <w:szCs w:val="22"/>
                <w:highlight w:val="none"/>
                <w:u w:val="none"/>
              </w:rPr>
            </w:pPr>
          </w:p>
        </w:tc>
      </w:tr>
      <w:tr w14:paraId="65CC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E6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52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市委办公室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0B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8FE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999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3118">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A88A">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DA7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DB2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87592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C99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63235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D272">
            <w:pPr>
              <w:jc w:val="center"/>
              <w:rPr>
                <w:rFonts w:hint="default" w:ascii="Times New Roman" w:hAnsi="Times New Roman" w:eastAsia="宋体" w:cs="Times New Roman"/>
                <w:i w:val="0"/>
                <w:iCs w:val="0"/>
                <w:color w:val="auto"/>
                <w:sz w:val="22"/>
                <w:szCs w:val="22"/>
                <w:highlight w:val="none"/>
                <w:u w:val="none"/>
              </w:rPr>
            </w:pPr>
          </w:p>
        </w:tc>
      </w:tr>
      <w:tr w14:paraId="4727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C4C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8E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市委宣传部</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3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中国共产党梧州市委员会宣传部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264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772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0AE2">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3A9B">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6F9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EF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67709.996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F5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48881.129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4755">
            <w:pPr>
              <w:jc w:val="center"/>
              <w:rPr>
                <w:rFonts w:hint="default" w:ascii="Times New Roman" w:hAnsi="Times New Roman" w:eastAsia="宋体" w:cs="Times New Roman"/>
                <w:i w:val="0"/>
                <w:iCs w:val="0"/>
                <w:color w:val="auto"/>
                <w:sz w:val="22"/>
                <w:szCs w:val="22"/>
                <w:highlight w:val="none"/>
                <w:u w:val="none"/>
              </w:rPr>
            </w:pPr>
          </w:p>
        </w:tc>
      </w:tr>
      <w:tr w14:paraId="29A6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DD9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9F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市委政法委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42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中国共产党梧州市委员会政法委员会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EE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846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C8FB">
            <w:pPr>
              <w:jc w:val="center"/>
              <w:rPr>
                <w:rFonts w:hint="default" w:ascii="Times New Roman" w:hAnsi="Times New Roman" w:eastAsia="宋体" w:cs="Times New Roman"/>
                <w:i w:val="0"/>
                <w:iCs w:val="0"/>
                <w:color w:val="auto"/>
                <w:sz w:val="24"/>
                <w:szCs w:val="24"/>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2305">
            <w:pPr>
              <w:jc w:val="center"/>
              <w:rPr>
                <w:rFonts w:hint="default" w:ascii="Times New Roman" w:hAnsi="Times New Roman" w:eastAsia="宋体" w:cs="Times New Roman"/>
                <w:i w:val="0"/>
                <w:iCs w:val="0"/>
                <w:color w:val="auto"/>
                <w:sz w:val="24"/>
                <w:szCs w:val="24"/>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5E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64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42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74100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24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53600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9B28">
            <w:pPr>
              <w:jc w:val="center"/>
              <w:rPr>
                <w:rFonts w:hint="default" w:ascii="Times New Roman" w:hAnsi="Times New Roman" w:eastAsia="宋体" w:cs="Times New Roman"/>
                <w:i w:val="0"/>
                <w:iCs w:val="0"/>
                <w:color w:val="auto"/>
                <w:sz w:val="24"/>
                <w:szCs w:val="24"/>
                <w:highlight w:val="none"/>
                <w:u w:val="none"/>
              </w:rPr>
            </w:pPr>
          </w:p>
        </w:tc>
      </w:tr>
      <w:tr w14:paraId="3984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162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66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市委统战部</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5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中国共产党梧州市委员会统一战线工作部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512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630.27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368C">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A229">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21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B3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63500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8C5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45842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450C">
            <w:pPr>
              <w:jc w:val="center"/>
              <w:rPr>
                <w:rFonts w:hint="default" w:ascii="Times New Roman" w:hAnsi="Times New Roman" w:eastAsia="宋体" w:cs="Times New Roman"/>
                <w:i w:val="0"/>
                <w:iCs w:val="0"/>
                <w:color w:val="auto"/>
                <w:sz w:val="22"/>
                <w:szCs w:val="22"/>
                <w:highlight w:val="none"/>
                <w:u w:val="none"/>
              </w:rPr>
            </w:pPr>
          </w:p>
        </w:tc>
      </w:tr>
      <w:tr w14:paraId="6438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751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3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市发展改革委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7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梧州市信息中心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61E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155.14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E13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1993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C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E02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82C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392695.34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9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282948.72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DE82">
            <w:pPr>
              <w:jc w:val="center"/>
              <w:rPr>
                <w:rFonts w:hint="default" w:ascii="Times New Roman" w:hAnsi="Times New Roman" w:eastAsia="宋体" w:cs="Times New Roman"/>
                <w:i w:val="0"/>
                <w:iCs w:val="0"/>
                <w:color w:val="auto"/>
                <w:sz w:val="22"/>
                <w:szCs w:val="22"/>
                <w:highlight w:val="none"/>
                <w:u w:val="none"/>
              </w:rPr>
            </w:pPr>
          </w:p>
        </w:tc>
      </w:tr>
      <w:tr w14:paraId="1EB9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B84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E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市督考办</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83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中国共产党梧州市委员会梧州市人民政府督查和绩效考评办公室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CF3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466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93D7">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393E">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DD3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3F4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40851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C35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29491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C2CB">
            <w:pPr>
              <w:jc w:val="center"/>
              <w:rPr>
                <w:rFonts w:hint="default" w:ascii="Times New Roman" w:hAnsi="Times New Roman" w:eastAsia="宋体" w:cs="Times New Roman"/>
                <w:i w:val="0"/>
                <w:iCs w:val="0"/>
                <w:color w:val="auto"/>
                <w:sz w:val="22"/>
                <w:szCs w:val="22"/>
                <w:highlight w:val="none"/>
                <w:u w:val="none"/>
              </w:rPr>
            </w:pPr>
          </w:p>
        </w:tc>
      </w:tr>
      <w:tr w14:paraId="3C59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28E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B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市委编办</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C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中国共产党梧州市委员会机构编制委员会办公室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AC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441.34</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ED18">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DB86">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282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C7C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3.8714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08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2.7948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731F">
            <w:pPr>
              <w:jc w:val="center"/>
              <w:rPr>
                <w:rFonts w:hint="default" w:ascii="Times New Roman" w:hAnsi="Times New Roman" w:eastAsia="宋体" w:cs="Times New Roman"/>
                <w:i w:val="0"/>
                <w:iCs w:val="0"/>
                <w:color w:val="auto"/>
                <w:sz w:val="22"/>
                <w:szCs w:val="22"/>
                <w:highlight w:val="none"/>
                <w:u w:val="none"/>
              </w:rPr>
            </w:pPr>
          </w:p>
        </w:tc>
      </w:tr>
      <w:tr w14:paraId="59C3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A2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88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市委政研室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3B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中国共产党梧州市委员会政策研究室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E1A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288.90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E19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0 </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300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471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17.00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7AE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25342.00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8FA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18295.00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5092">
            <w:pPr>
              <w:jc w:val="center"/>
              <w:rPr>
                <w:rFonts w:hint="default" w:ascii="Times New Roman" w:hAnsi="Times New Roman" w:eastAsia="宋体" w:cs="Times New Roman"/>
                <w:i w:val="0"/>
                <w:iCs w:val="0"/>
                <w:color w:val="auto"/>
                <w:sz w:val="22"/>
                <w:szCs w:val="22"/>
                <w:highlight w:val="none"/>
                <w:u w:val="none"/>
              </w:rPr>
            </w:pPr>
          </w:p>
        </w:tc>
      </w:tr>
      <w:tr w14:paraId="3D6B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CD7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B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市发展改革委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7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梧州市粮食和物资储备局</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5C6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896.00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8D8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27"/>
                <w:rFonts w:eastAsia="宋体"/>
                <w:color w:val="auto"/>
                <w:highlight w:val="none"/>
                <w:lang w:val="en-US" w:eastAsia="zh-CN" w:bidi="ar"/>
              </w:rPr>
              <w:t>1988</w:t>
            </w:r>
            <w:r>
              <w:rPr>
                <w:rStyle w:val="118"/>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1B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3D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1F7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21118.00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96D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15563.02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6619">
            <w:pPr>
              <w:jc w:val="center"/>
              <w:rPr>
                <w:rFonts w:hint="default" w:ascii="Times New Roman" w:hAnsi="Times New Roman" w:eastAsia="宋体" w:cs="Times New Roman"/>
                <w:i w:val="0"/>
                <w:iCs w:val="0"/>
                <w:color w:val="auto"/>
                <w:sz w:val="22"/>
                <w:szCs w:val="22"/>
                <w:highlight w:val="none"/>
                <w:u w:val="none"/>
              </w:rPr>
            </w:pPr>
          </w:p>
        </w:tc>
      </w:tr>
      <w:tr w14:paraId="1541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543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58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市发展改革委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9E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梧州市政府项目评审中心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263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272.45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C6F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1993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B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109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AC8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1404775.00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30C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1014910.83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555F">
            <w:pPr>
              <w:jc w:val="center"/>
              <w:rPr>
                <w:rFonts w:hint="default" w:ascii="Times New Roman" w:hAnsi="Times New Roman" w:eastAsia="宋体" w:cs="Times New Roman"/>
                <w:i w:val="0"/>
                <w:iCs w:val="0"/>
                <w:color w:val="auto"/>
                <w:sz w:val="22"/>
                <w:szCs w:val="22"/>
                <w:highlight w:val="none"/>
                <w:u w:val="none"/>
              </w:rPr>
            </w:pPr>
          </w:p>
        </w:tc>
      </w:tr>
      <w:tr w14:paraId="1EB5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A1D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4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市妇联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EE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梧州市妇女联合会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F6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205.95</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D6D1">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1EFF">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39F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216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3EB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69767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2A9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50704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8E81">
            <w:pPr>
              <w:jc w:val="center"/>
              <w:rPr>
                <w:rFonts w:hint="default" w:ascii="Times New Roman" w:hAnsi="Times New Roman" w:eastAsia="宋体" w:cs="Times New Roman"/>
                <w:i w:val="0"/>
                <w:iCs w:val="0"/>
                <w:color w:val="auto"/>
                <w:sz w:val="22"/>
                <w:szCs w:val="22"/>
                <w:highlight w:val="none"/>
                <w:u w:val="none"/>
              </w:rPr>
            </w:pPr>
          </w:p>
        </w:tc>
      </w:tr>
      <w:tr w14:paraId="699C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93C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A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市委市直机关工委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4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中国共产党梧州市委市直属机关工作委员会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C03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212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4252">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861A">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D37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594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18612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AE6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13436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0F34">
            <w:pPr>
              <w:jc w:val="center"/>
              <w:rPr>
                <w:rFonts w:hint="default" w:ascii="Times New Roman" w:hAnsi="Times New Roman" w:eastAsia="宋体" w:cs="Times New Roman"/>
                <w:i w:val="0"/>
                <w:iCs w:val="0"/>
                <w:color w:val="auto"/>
                <w:sz w:val="22"/>
                <w:szCs w:val="22"/>
                <w:highlight w:val="none"/>
                <w:u w:val="none"/>
              </w:rPr>
            </w:pPr>
          </w:p>
        </w:tc>
      </w:tr>
      <w:tr w14:paraId="3107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0A5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C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团市委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36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中国共产主义青年团梧州市委员会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F7D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195.87</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3B16">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6ED4">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2CB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681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17181.45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01E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12403.597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2994">
            <w:pPr>
              <w:jc w:val="center"/>
              <w:rPr>
                <w:rFonts w:hint="default" w:ascii="Times New Roman" w:hAnsi="Times New Roman" w:eastAsia="宋体" w:cs="Times New Roman"/>
                <w:i w:val="0"/>
                <w:iCs w:val="0"/>
                <w:color w:val="auto"/>
                <w:sz w:val="22"/>
                <w:szCs w:val="22"/>
                <w:highlight w:val="none"/>
                <w:u w:val="none"/>
              </w:rPr>
            </w:pPr>
          </w:p>
        </w:tc>
      </w:tr>
      <w:tr w14:paraId="58C1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5FD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9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市委党史研究室</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51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中国共产党梧州市委员会党史研究室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A32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42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2003</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7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框架式</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9ED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876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12249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47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8843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F6A4">
            <w:pPr>
              <w:jc w:val="center"/>
              <w:rPr>
                <w:rFonts w:hint="default" w:ascii="Times New Roman" w:hAnsi="Times New Roman" w:eastAsia="宋体" w:cs="Times New Roman"/>
                <w:i w:val="0"/>
                <w:iCs w:val="0"/>
                <w:color w:val="auto"/>
                <w:sz w:val="22"/>
                <w:szCs w:val="22"/>
                <w:highlight w:val="none"/>
                <w:u w:val="none"/>
              </w:rPr>
            </w:pPr>
          </w:p>
        </w:tc>
      </w:tr>
      <w:tr w14:paraId="47A6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59B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6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市发展改革委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梧州市价格认证中心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874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226.00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FA5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2016</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3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81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33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8503.73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AD0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6036.09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52BD">
            <w:pPr>
              <w:jc w:val="center"/>
              <w:rPr>
                <w:rFonts w:hint="default" w:ascii="Times New Roman" w:hAnsi="Times New Roman" w:eastAsia="宋体" w:cs="Times New Roman"/>
                <w:i w:val="0"/>
                <w:iCs w:val="0"/>
                <w:color w:val="auto"/>
                <w:sz w:val="22"/>
                <w:szCs w:val="22"/>
                <w:highlight w:val="none"/>
                <w:u w:val="none"/>
              </w:rPr>
            </w:pPr>
          </w:p>
        </w:tc>
      </w:tr>
      <w:tr w14:paraId="57B1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55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4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市发展改革委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9F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梧州市人民防空办公室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DB1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1406.39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E3E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131"/>
                <w:rFonts w:eastAsia="宋体"/>
                <w:color w:val="auto"/>
                <w:highlight w:val="none"/>
                <w:lang w:val="en-US" w:eastAsia="zh-CN" w:bidi="ar"/>
              </w:rPr>
              <w:t>2005</w:t>
            </w:r>
            <w:r>
              <w:rPr>
                <w:rStyle w:val="122"/>
                <w:color w:val="auto"/>
                <w:highlight w:val="none"/>
                <w:lang w:val="en-US" w:eastAsia="zh-CN" w:bidi="ar"/>
              </w:rPr>
              <w:t>年</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32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框架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A3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D37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35977.00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F21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26500.15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4432">
            <w:pPr>
              <w:jc w:val="center"/>
              <w:rPr>
                <w:rFonts w:hint="default" w:ascii="Times New Roman" w:hAnsi="Times New Roman" w:eastAsia="宋体" w:cs="Times New Roman"/>
                <w:i w:val="0"/>
                <w:iCs w:val="0"/>
                <w:color w:val="auto"/>
                <w:sz w:val="22"/>
                <w:szCs w:val="22"/>
                <w:highlight w:val="none"/>
                <w:u w:val="none"/>
              </w:rPr>
            </w:pPr>
          </w:p>
        </w:tc>
      </w:tr>
      <w:tr w14:paraId="7516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FED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A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市委讲师团</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BE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中国共产党梧州市委员会讲师团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EBF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81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655F">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B2E1">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874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B9C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7105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6C9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5129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19A5">
            <w:pPr>
              <w:jc w:val="center"/>
              <w:rPr>
                <w:rFonts w:hint="default" w:ascii="Times New Roman" w:hAnsi="Times New Roman" w:eastAsia="宋体" w:cs="Times New Roman"/>
                <w:i w:val="0"/>
                <w:iCs w:val="0"/>
                <w:color w:val="auto"/>
                <w:sz w:val="22"/>
                <w:szCs w:val="22"/>
                <w:highlight w:val="none"/>
                <w:u w:val="none"/>
              </w:rPr>
            </w:pPr>
          </w:p>
        </w:tc>
      </w:tr>
      <w:tr w14:paraId="3EEF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15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4E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市社科联</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6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梧州市社会科学界联合会</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B86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75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8348">
            <w:pPr>
              <w:jc w:val="center"/>
              <w:rPr>
                <w:rFonts w:hint="default" w:ascii="Times New Roman" w:hAnsi="Times New Roman" w:eastAsia="宋体" w:cs="Times New Roman"/>
                <w:i w:val="0"/>
                <w:iCs w:val="0"/>
                <w:color w:val="auto"/>
                <w:sz w:val="22"/>
                <w:szCs w:val="22"/>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847D">
            <w:pPr>
              <w:jc w:val="center"/>
              <w:rPr>
                <w:rFonts w:hint="default" w:ascii="Times New Roman" w:hAnsi="Times New Roman" w:eastAsia="宋体" w:cs="Times New Roman"/>
                <w:i w:val="0"/>
                <w:iCs w:val="0"/>
                <w:color w:val="auto"/>
                <w:sz w:val="22"/>
                <w:szCs w:val="22"/>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B95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7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A7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6509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31C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4699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6AF8">
            <w:pPr>
              <w:jc w:val="center"/>
              <w:rPr>
                <w:rFonts w:hint="default" w:ascii="Times New Roman" w:hAnsi="Times New Roman" w:eastAsia="宋体" w:cs="Times New Roman"/>
                <w:i w:val="0"/>
                <w:iCs w:val="0"/>
                <w:color w:val="auto"/>
                <w:sz w:val="22"/>
                <w:szCs w:val="22"/>
                <w:highlight w:val="none"/>
                <w:u w:val="none"/>
              </w:rPr>
            </w:pPr>
          </w:p>
        </w:tc>
      </w:tr>
      <w:tr w14:paraId="6D05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FCC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D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市委社会工作部</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E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中国共产党梧州市委员会社会工作部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CAB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333 </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0BE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BB1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6EA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31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3C4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28259.22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46E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21897.60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ACF0">
            <w:pPr>
              <w:jc w:val="center"/>
              <w:rPr>
                <w:rFonts w:hint="default" w:ascii="Times New Roman" w:hAnsi="Times New Roman" w:eastAsia="宋体" w:cs="Times New Roman"/>
                <w:i w:val="0"/>
                <w:iCs w:val="0"/>
                <w:color w:val="auto"/>
                <w:sz w:val="22"/>
                <w:szCs w:val="22"/>
                <w:highlight w:val="none"/>
                <w:u w:val="none"/>
              </w:rPr>
            </w:pPr>
          </w:p>
        </w:tc>
      </w:tr>
    </w:tbl>
    <w:p w14:paraId="5409DAD3">
      <w:pPr>
        <w:rPr>
          <w:rFonts w:hint="eastAsia" w:ascii="黑体" w:hAnsi="黑体" w:eastAsia="黑体" w:cs="黑体"/>
          <w:snapToGrid w:val="0"/>
          <w:color w:val="auto"/>
          <w:spacing w:val="6"/>
          <w:kern w:val="0"/>
          <w:position w:val="1"/>
          <w:sz w:val="32"/>
          <w:szCs w:val="32"/>
          <w:highlight w:val="none"/>
        </w:rPr>
        <w:sectPr>
          <w:footerReference r:id="rId14" w:type="first"/>
          <w:headerReference r:id="rId12" w:type="default"/>
          <w:footerReference r:id="rId13" w:type="default"/>
          <w:pgSz w:w="16838" w:h="11911" w:orient="landscape"/>
          <w:pgMar w:top="1803" w:right="1440" w:bottom="1803" w:left="1440" w:header="720" w:footer="720" w:gutter="0"/>
          <w:pgNumType w:fmt="decimal"/>
          <w:cols w:space="0" w:num="1"/>
          <w:titlePg/>
          <w:rtlGutter w:val="0"/>
          <w:docGrid w:linePitch="312" w:charSpace="0"/>
        </w:sectPr>
      </w:pPr>
    </w:p>
    <w:p w14:paraId="598C756E">
      <w:pPr>
        <w:rPr>
          <w:rFonts w:hint="eastAsia" w:ascii="黑体" w:hAnsi="黑体" w:eastAsia="黑体" w:cs="黑体"/>
          <w:snapToGrid w:val="0"/>
          <w:color w:val="auto"/>
          <w:kern w:val="0"/>
          <w:sz w:val="32"/>
          <w:szCs w:val="32"/>
          <w:highlight w:val="none"/>
          <w:lang w:val="en-US" w:eastAsia="zh-CN"/>
        </w:rPr>
      </w:pPr>
      <w:r>
        <w:rPr>
          <w:rFonts w:hint="eastAsia" w:ascii="黑体" w:hAnsi="黑体" w:eastAsia="黑体" w:cs="黑体"/>
          <w:snapToGrid w:val="0"/>
          <w:color w:val="auto"/>
          <w:spacing w:val="6"/>
          <w:kern w:val="0"/>
          <w:position w:val="1"/>
          <w:sz w:val="32"/>
          <w:szCs w:val="32"/>
          <w:highlight w:val="none"/>
        </w:rPr>
        <w:t>附件</w:t>
      </w:r>
      <w:r>
        <w:rPr>
          <w:rFonts w:hint="eastAsia" w:ascii="黑体" w:hAnsi="黑体" w:eastAsia="黑体" w:cs="黑体"/>
          <w:snapToGrid w:val="0"/>
          <w:color w:val="auto"/>
          <w:spacing w:val="6"/>
          <w:kern w:val="0"/>
          <w:position w:val="1"/>
          <w:sz w:val="32"/>
          <w:szCs w:val="32"/>
          <w:highlight w:val="none"/>
          <w:lang w:val="en-US" w:eastAsia="zh-CN"/>
        </w:rPr>
        <w:t>2</w:t>
      </w:r>
    </w:p>
    <w:p w14:paraId="1A74A9AF">
      <w:pPr>
        <w:widowControl/>
        <w:autoSpaceDE w:val="0"/>
        <w:autoSpaceDN w:val="0"/>
        <w:adjustRightInd w:val="0"/>
        <w:snapToGrid w:val="0"/>
        <w:spacing w:before="240" w:beforeLines="100" w:after="240" w:afterLines="100" w:line="480" w:lineRule="exact"/>
        <w:ind w:firstLine="748"/>
        <w:jc w:val="center"/>
        <w:textAlignment w:val="baseline"/>
        <w:rPr>
          <w:rFonts w:ascii="黑体" w:hAnsi="黑体" w:eastAsia="黑体" w:cs="黑体"/>
          <w:snapToGrid w:val="0"/>
          <w:color w:val="auto"/>
          <w:kern w:val="0"/>
          <w:sz w:val="32"/>
          <w:szCs w:val="32"/>
          <w:highlight w:val="none"/>
        </w:rPr>
      </w:pPr>
      <w:r>
        <w:rPr>
          <w:rFonts w:hint="eastAsia" w:ascii="黑体" w:hAnsi="黑体" w:eastAsia="黑体" w:cs="黑体"/>
          <w:snapToGrid w:val="0"/>
          <w:color w:val="auto"/>
          <w:spacing w:val="27"/>
          <w:kern w:val="0"/>
          <w:position w:val="1"/>
          <w:sz w:val="32"/>
          <w:szCs w:val="32"/>
          <w:highlight w:val="none"/>
        </w:rPr>
        <w:t>能源费用托管合同调整规则指引</w:t>
      </w:r>
    </w:p>
    <w:p w14:paraId="1407C876">
      <w:pPr>
        <w:widowControl/>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6"/>
          <w:kern w:val="0"/>
          <w:sz w:val="28"/>
          <w:szCs w:val="28"/>
          <w:highlight w:val="none"/>
        </w:rPr>
        <w:t>所有托管项目需针对易发生变化的边界条件编制对应托管费用调整规则，调整规则包括通用类、其</w:t>
      </w:r>
      <w:r>
        <w:rPr>
          <w:rFonts w:hint="eastAsia" w:asciiTheme="minorEastAsia" w:hAnsiTheme="minorEastAsia" w:eastAsiaTheme="minorEastAsia" w:cstheme="minorEastAsia"/>
          <w:snapToGrid w:val="0"/>
          <w:color w:val="auto"/>
          <w:spacing w:val="10"/>
          <w:kern w:val="0"/>
          <w:sz w:val="28"/>
          <w:szCs w:val="28"/>
          <w:highlight w:val="none"/>
        </w:rPr>
        <w:t>他类、特殊行业专用类和能源站等四种。</w:t>
      </w:r>
    </w:p>
    <w:p w14:paraId="0314C779">
      <w:pPr>
        <w:widowControl/>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kern w:val="0"/>
          <w:sz w:val="28"/>
          <w:szCs w:val="28"/>
          <w:highlight w:val="none"/>
        </w:rPr>
        <w:t>一、通用类</w:t>
      </w:r>
    </w:p>
    <w:p w14:paraId="69165CFC">
      <w:pPr>
        <w:widowControl/>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7"/>
          <w:kern w:val="0"/>
          <w:sz w:val="28"/>
          <w:szCs w:val="28"/>
          <w:highlight w:val="none"/>
        </w:rPr>
        <w:t>所有托管项目均应明确以下调整规则：</w:t>
      </w:r>
    </w:p>
    <w:p w14:paraId="40661AAF">
      <w:pPr>
        <w:widowControl/>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1"/>
          <w:kern w:val="0"/>
          <w:sz w:val="28"/>
          <w:szCs w:val="28"/>
          <w:highlight w:val="none"/>
        </w:rPr>
        <w:t>（1）空调用电调整规则；</w:t>
      </w:r>
    </w:p>
    <w:p w14:paraId="296AFA41">
      <w:pPr>
        <w:widowControl/>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1"/>
          <w:kern w:val="0"/>
          <w:sz w:val="28"/>
          <w:szCs w:val="28"/>
          <w:highlight w:val="none"/>
        </w:rPr>
        <w:t>（2）室外温度变化调整规则；</w:t>
      </w:r>
    </w:p>
    <w:p w14:paraId="0A7B038B">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0"/>
          <w:sz w:val="28"/>
          <w:szCs w:val="28"/>
          <w:highlight w:val="none"/>
        </w:rPr>
        <w:t>（3）室外天气修正参数</w:t>
      </w:r>
      <w:r>
        <w:rPr>
          <w:rFonts w:hint="eastAsia" w:asciiTheme="minorEastAsia" w:hAnsiTheme="minorEastAsia" w:eastAsiaTheme="minorEastAsia" w:cstheme="minorEastAsia"/>
          <w:i/>
          <w:iCs/>
          <w:snapToGrid w:val="0"/>
          <w:color w:val="auto"/>
          <w:sz w:val="28"/>
          <w:szCs w:val="28"/>
          <w:highlight w:val="none"/>
        </w:rPr>
        <w:t>K</w:t>
      </w:r>
      <w:r>
        <w:rPr>
          <w:rFonts w:hint="eastAsia" w:asciiTheme="minorEastAsia" w:hAnsiTheme="minorEastAsia" w:eastAsiaTheme="minorEastAsia" w:cstheme="minorEastAsia"/>
          <w:snapToGrid w:val="0"/>
          <w:color w:val="auto"/>
          <w:position w:val="-2"/>
          <w:sz w:val="28"/>
          <w:szCs w:val="28"/>
          <w:highlight w:val="none"/>
        </w:rPr>
        <w:t>cool</w:t>
      </w:r>
      <w:r>
        <w:rPr>
          <w:rFonts w:hint="eastAsia" w:asciiTheme="minorEastAsia" w:hAnsiTheme="minorEastAsia" w:eastAsiaTheme="minorEastAsia" w:cstheme="minorEastAsia"/>
          <w:snapToGrid w:val="0"/>
          <w:color w:val="auto"/>
          <w:spacing w:val="10"/>
          <w:sz w:val="28"/>
          <w:szCs w:val="28"/>
          <w:highlight w:val="none"/>
        </w:rPr>
        <w:t>。</w:t>
      </w:r>
    </w:p>
    <w:p w14:paraId="320737B7">
      <w:pPr>
        <w:widowControl/>
        <w:autoSpaceDE w:val="0"/>
        <w:autoSpaceDN w:val="0"/>
        <w:adjustRightInd w:val="0"/>
        <w:snapToGrid w:val="0"/>
        <w:spacing w:line="480" w:lineRule="exact"/>
        <w:ind w:firstLine="63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8"/>
          <w:kern w:val="0"/>
          <w:sz w:val="28"/>
          <w:szCs w:val="28"/>
          <w:highlight w:val="none"/>
        </w:rPr>
        <w:t>提供本项目所在地区室外气象参数的原始数据作为基准。</w:t>
      </w:r>
    </w:p>
    <w:p w14:paraId="10CCFF37">
      <w:pPr>
        <w:widowControl/>
        <w:autoSpaceDE w:val="0"/>
        <w:autoSpaceDN w:val="0"/>
        <w:adjustRightInd w:val="0"/>
        <w:snapToGrid w:val="0"/>
        <w:spacing w:line="480" w:lineRule="exact"/>
        <w:ind w:firstLine="62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5"/>
          <w:kern w:val="0"/>
          <w:sz w:val="28"/>
          <w:szCs w:val="28"/>
          <w:highlight w:val="none"/>
        </w:rPr>
        <w:t>根据合同签订前一年的日平均气温，获得空调度日数</w:t>
      </w:r>
      <w:r>
        <w:rPr>
          <w:rFonts w:hint="eastAsia" w:asciiTheme="minorEastAsia" w:hAnsiTheme="minorEastAsia" w:eastAsiaTheme="minorEastAsia" w:cstheme="minorEastAsia"/>
          <w:snapToGrid w:val="0"/>
          <w:color w:val="auto"/>
          <w:kern w:val="0"/>
          <w:sz w:val="28"/>
          <w:szCs w:val="28"/>
          <w:highlight w:val="none"/>
        </w:rPr>
        <w:t>CDD</w:t>
      </w:r>
      <w:r>
        <w:rPr>
          <w:rFonts w:hint="eastAsia" w:asciiTheme="minorEastAsia" w:hAnsiTheme="minorEastAsia" w:eastAsiaTheme="minorEastAsia" w:cstheme="minorEastAsia"/>
          <w:snapToGrid w:val="0"/>
          <w:color w:val="auto"/>
          <w:spacing w:val="15"/>
          <w:kern w:val="0"/>
          <w:position w:val="-2"/>
          <w:sz w:val="28"/>
          <w:szCs w:val="28"/>
          <w:highlight w:val="none"/>
        </w:rPr>
        <w:t>26</w:t>
      </w:r>
      <w:r>
        <w:rPr>
          <w:rFonts w:hint="eastAsia" w:asciiTheme="minorEastAsia" w:hAnsiTheme="minorEastAsia" w:eastAsiaTheme="minorEastAsia" w:cstheme="minorEastAsia"/>
          <w:snapToGrid w:val="0"/>
          <w:color w:val="auto"/>
          <w:spacing w:val="15"/>
          <w:kern w:val="0"/>
          <w:sz w:val="28"/>
          <w:szCs w:val="28"/>
          <w:highlight w:val="none"/>
        </w:rPr>
        <w:t>如下。若改造后全年室外温度有较大上</w:t>
      </w:r>
      <w:r>
        <w:rPr>
          <w:rFonts w:hint="eastAsia" w:asciiTheme="minorEastAsia" w:hAnsiTheme="minorEastAsia" w:eastAsiaTheme="minorEastAsia" w:cstheme="minorEastAsia"/>
          <w:snapToGrid w:val="0"/>
          <w:color w:val="auto"/>
          <w:spacing w:val="17"/>
          <w:kern w:val="0"/>
          <w:sz w:val="28"/>
          <w:szCs w:val="28"/>
          <w:highlight w:val="none"/>
        </w:rPr>
        <w:t>升并影响项目整体节能表现，应考虑空调度日数对能源基准</w:t>
      </w:r>
      <w:r>
        <w:rPr>
          <w:rFonts w:hint="eastAsia" w:asciiTheme="minorEastAsia" w:hAnsiTheme="minorEastAsia" w:eastAsiaTheme="minorEastAsia" w:cstheme="minorEastAsia"/>
          <w:snapToGrid w:val="0"/>
          <w:color w:val="auto"/>
          <w:spacing w:val="16"/>
          <w:kern w:val="0"/>
          <w:sz w:val="28"/>
          <w:szCs w:val="28"/>
          <w:highlight w:val="none"/>
        </w:rPr>
        <w:t>及相应节能量的影响。按照计量与验证方法</w:t>
      </w:r>
      <w:r>
        <w:rPr>
          <w:rFonts w:hint="eastAsia" w:asciiTheme="minorEastAsia" w:hAnsiTheme="minorEastAsia" w:eastAsiaTheme="minorEastAsia" w:cstheme="minorEastAsia"/>
          <w:snapToGrid w:val="0"/>
          <w:color w:val="auto"/>
          <w:spacing w:val="15"/>
          <w:kern w:val="0"/>
          <w:sz w:val="28"/>
          <w:szCs w:val="28"/>
          <w:highlight w:val="none"/>
        </w:rPr>
        <w:t>所述天气情况对节能量的影响，分别确认调整后的能源基准和节能量。</w:t>
      </w:r>
    </w:p>
    <w:p w14:paraId="3398754B">
      <w:pPr>
        <w:widowControl/>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7"/>
          <w:kern w:val="0"/>
          <w:sz w:val="28"/>
          <w:szCs w:val="28"/>
          <w:highlight w:val="none"/>
        </w:rPr>
        <w:t>合同签订前一年全年空调度日数：</w:t>
      </w:r>
    </w:p>
    <w:p w14:paraId="441B2AD3">
      <w:pPr>
        <w:widowControl/>
        <w:autoSpaceDE w:val="0"/>
        <w:autoSpaceDN w:val="0"/>
        <w:adjustRightInd w:val="0"/>
        <w:snapToGrid w:val="0"/>
        <w:spacing w:line="480" w:lineRule="exact"/>
        <w:ind w:firstLine="556"/>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1"/>
          <w:kern w:val="0"/>
          <w:sz w:val="28"/>
          <w:szCs w:val="28"/>
          <w:highlight w:val="none"/>
          <w:lang w:eastAsia="en-US"/>
        </w:rPr>
        <w:t>CDD</w:t>
      </w:r>
      <w:r>
        <w:rPr>
          <w:rFonts w:hint="eastAsia" w:asciiTheme="minorEastAsia" w:hAnsiTheme="minorEastAsia" w:eastAsiaTheme="minorEastAsia" w:cstheme="minorEastAsia"/>
          <w:snapToGrid w:val="0"/>
          <w:color w:val="auto"/>
          <w:spacing w:val="-1"/>
          <w:kern w:val="0"/>
          <w:position w:val="-2"/>
          <w:sz w:val="28"/>
          <w:szCs w:val="28"/>
          <w:highlight w:val="none"/>
          <w:vertAlign w:val="subscript"/>
          <w:lang w:eastAsia="en-US"/>
        </w:rPr>
        <w:t>Baseline</w:t>
      </w:r>
      <w:r>
        <w:rPr>
          <w:rFonts w:hint="eastAsia" w:asciiTheme="minorEastAsia" w:hAnsiTheme="minorEastAsia" w:eastAsiaTheme="minorEastAsia" w:cstheme="minorEastAsia"/>
          <w:snapToGrid w:val="0"/>
          <w:color w:val="auto"/>
          <w:spacing w:val="-1"/>
          <w:kern w:val="0"/>
          <w:sz w:val="28"/>
          <w:szCs w:val="28"/>
          <w:highlight w:val="none"/>
          <w:lang w:eastAsia="en-US"/>
        </w:rPr>
        <w:t>（CDD</w:t>
      </w:r>
      <w:r>
        <w:rPr>
          <w:rFonts w:hint="eastAsia" w:asciiTheme="minorEastAsia" w:hAnsiTheme="minorEastAsia" w:eastAsiaTheme="minorEastAsia" w:cstheme="minorEastAsia"/>
          <w:snapToGrid w:val="0"/>
          <w:color w:val="auto"/>
          <w:spacing w:val="-1"/>
          <w:kern w:val="0"/>
          <w:position w:val="-2"/>
          <w:sz w:val="28"/>
          <w:szCs w:val="28"/>
          <w:highlight w:val="none"/>
          <w:vertAlign w:val="subscript"/>
          <w:lang w:eastAsia="en-US"/>
        </w:rPr>
        <w:t>26</w:t>
      </w:r>
      <w:r>
        <w:rPr>
          <w:rFonts w:hint="eastAsia" w:asciiTheme="minorEastAsia" w:hAnsiTheme="minorEastAsia" w:eastAsiaTheme="minorEastAsia" w:cstheme="minorEastAsia"/>
          <w:snapToGrid w:val="0"/>
          <w:color w:val="auto"/>
          <w:spacing w:val="-1"/>
          <w:kern w:val="0"/>
          <w:sz w:val="28"/>
          <w:szCs w:val="28"/>
          <w:highlight w:val="none"/>
          <w:lang w:eastAsia="en-US"/>
        </w:rPr>
        <w:t>)=</w:t>
      </w:r>
      <w:r>
        <w:rPr>
          <w:rFonts w:hint="eastAsia" w:asciiTheme="minorEastAsia" w:hAnsiTheme="minorEastAsia" w:eastAsiaTheme="minorEastAsia" w:cstheme="minorEastAsia"/>
          <w:snapToGrid w:val="0"/>
          <w:color w:val="auto"/>
          <w:spacing w:val="-1"/>
          <w:kern w:val="0"/>
          <w:sz w:val="28"/>
          <w:szCs w:val="28"/>
          <w:highlight w:val="none"/>
          <w:u w:val="single"/>
        </w:rPr>
        <w:t xml:space="preserve">      </w:t>
      </w:r>
      <w:r>
        <w:rPr>
          <w:rFonts w:hint="eastAsia" w:asciiTheme="minorEastAsia" w:hAnsiTheme="minorEastAsia" w:eastAsiaTheme="minorEastAsia" w:cstheme="minorEastAsia"/>
          <w:snapToGrid w:val="0"/>
          <w:color w:val="auto"/>
          <w:spacing w:val="-1"/>
          <w:kern w:val="0"/>
          <w:sz w:val="28"/>
          <w:szCs w:val="28"/>
          <w:highlight w:val="none"/>
          <w:lang w:eastAsia="en-US"/>
        </w:rPr>
        <w:t>°C•d</w:t>
      </w:r>
    </w:p>
    <w:p w14:paraId="78673277">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z w:val="28"/>
          <w:szCs w:val="28"/>
          <w:highlight w:val="none"/>
        </w:rPr>
        <w:t>CDD</w:t>
      </w:r>
      <w:r>
        <w:rPr>
          <w:rFonts w:hint="eastAsia" w:asciiTheme="minorEastAsia" w:hAnsiTheme="minorEastAsia" w:eastAsiaTheme="minorEastAsia" w:cstheme="minorEastAsia"/>
          <w:snapToGrid w:val="0"/>
          <w:color w:val="auto"/>
          <w:spacing w:val="9"/>
          <w:position w:val="-2"/>
          <w:sz w:val="28"/>
          <w:szCs w:val="28"/>
          <w:highlight w:val="none"/>
        </w:rPr>
        <w:t>26</w:t>
      </w:r>
      <w:r>
        <w:rPr>
          <w:rFonts w:hint="eastAsia" w:asciiTheme="minorEastAsia" w:hAnsiTheme="minorEastAsia" w:eastAsiaTheme="minorEastAsia" w:cstheme="minorEastAsia"/>
          <w:snapToGrid w:val="0"/>
          <w:color w:val="auto"/>
          <w:spacing w:val="9"/>
          <w:sz w:val="28"/>
          <w:szCs w:val="28"/>
          <w:highlight w:val="none"/>
        </w:rPr>
        <w:t>——空调度日数：根据</w:t>
      </w:r>
      <w:r>
        <w:rPr>
          <w:rFonts w:hint="eastAsia" w:asciiTheme="minorEastAsia" w:hAnsiTheme="minorEastAsia" w:eastAsiaTheme="minorEastAsia" w:cstheme="minorEastAsia"/>
          <w:snapToGrid w:val="0"/>
          <w:color w:val="auto"/>
          <w:sz w:val="28"/>
          <w:szCs w:val="28"/>
          <w:highlight w:val="none"/>
        </w:rPr>
        <w:t>GB</w:t>
      </w:r>
      <w:r>
        <w:rPr>
          <w:rFonts w:hint="eastAsia" w:asciiTheme="minorEastAsia" w:hAnsiTheme="minorEastAsia" w:eastAsiaTheme="minorEastAsia" w:cstheme="minorEastAsia"/>
          <w:snapToGrid w:val="0"/>
          <w:color w:val="auto"/>
          <w:spacing w:val="9"/>
          <w:sz w:val="28"/>
          <w:szCs w:val="28"/>
          <w:highlight w:val="none"/>
        </w:rPr>
        <w:t>50189，建筑节能综合指标限值中的耗冷量指标（</w:t>
      </w:r>
      <w:r>
        <w:rPr>
          <w:rFonts w:hint="eastAsia" w:asciiTheme="minorEastAsia" w:hAnsiTheme="minorEastAsia" w:eastAsiaTheme="minorEastAsia" w:cstheme="minorEastAsia"/>
          <w:i/>
          <w:iCs/>
          <w:snapToGrid w:val="0"/>
          <w:color w:val="auto"/>
          <w:sz w:val="28"/>
          <w:szCs w:val="28"/>
          <w:highlight w:val="none"/>
        </w:rPr>
        <w:t>q</w:t>
      </w:r>
      <w:r>
        <w:rPr>
          <w:rFonts w:hint="eastAsia" w:asciiTheme="minorEastAsia" w:hAnsiTheme="minorEastAsia" w:eastAsiaTheme="minorEastAsia" w:cstheme="minorEastAsia"/>
          <w:snapToGrid w:val="0"/>
          <w:color w:val="auto"/>
          <w:sz w:val="28"/>
          <w:szCs w:val="28"/>
          <w:highlight w:val="none"/>
          <w:vertAlign w:val="subscript"/>
        </w:rPr>
        <w:t>c</w:t>
      </w:r>
      <w:r>
        <w:rPr>
          <w:rFonts w:hint="eastAsia" w:asciiTheme="minorEastAsia" w:hAnsiTheme="minorEastAsia" w:eastAsiaTheme="minorEastAsia" w:cstheme="minorEastAsia"/>
          <w:snapToGrid w:val="0"/>
          <w:color w:val="auto"/>
          <w:spacing w:val="9"/>
          <w:sz w:val="28"/>
          <w:szCs w:val="28"/>
          <w:highlight w:val="none"/>
        </w:rPr>
        <w:t>）和空调年耗电</w:t>
      </w:r>
      <w:r>
        <w:rPr>
          <w:rFonts w:hint="eastAsia" w:asciiTheme="minorEastAsia" w:hAnsiTheme="minorEastAsia" w:eastAsiaTheme="minorEastAsia" w:cstheme="minorEastAsia"/>
          <w:snapToGrid w:val="0"/>
          <w:color w:val="auto"/>
          <w:spacing w:val="-12"/>
          <w:w w:val="96"/>
          <w:sz w:val="28"/>
          <w:szCs w:val="28"/>
          <w:highlight w:val="none"/>
        </w:rPr>
        <w:t>量（</w:t>
      </w:r>
      <w:r>
        <w:rPr>
          <w:rFonts w:hint="eastAsia" w:asciiTheme="minorEastAsia" w:hAnsiTheme="minorEastAsia" w:eastAsiaTheme="minorEastAsia" w:cstheme="minorEastAsia"/>
          <w:i/>
          <w:iCs/>
          <w:snapToGrid w:val="0"/>
          <w:color w:val="auto"/>
          <w:spacing w:val="-12"/>
          <w:w w:val="96"/>
          <w:sz w:val="28"/>
          <w:szCs w:val="28"/>
          <w:highlight w:val="none"/>
        </w:rPr>
        <w:t>E</w:t>
      </w:r>
      <w:r>
        <w:rPr>
          <w:rFonts w:hint="eastAsia" w:asciiTheme="minorEastAsia" w:hAnsiTheme="minorEastAsia" w:eastAsiaTheme="minorEastAsia" w:cstheme="minorEastAsia"/>
          <w:snapToGrid w:val="0"/>
          <w:color w:val="auto"/>
          <w:position w:val="-2"/>
          <w:sz w:val="28"/>
          <w:szCs w:val="28"/>
          <w:highlight w:val="none"/>
        </w:rPr>
        <w:t>c</w:t>
      </w:r>
      <w:r>
        <w:rPr>
          <w:rFonts w:hint="eastAsia" w:asciiTheme="minorEastAsia" w:hAnsiTheme="minorEastAsia" w:eastAsiaTheme="minorEastAsia" w:cstheme="minorEastAsia"/>
          <w:snapToGrid w:val="0"/>
          <w:color w:val="auto"/>
          <w:spacing w:val="11"/>
          <w:sz w:val="28"/>
          <w:szCs w:val="28"/>
          <w:highlight w:val="none"/>
        </w:rPr>
        <w:t>）是根据建筑所在地的空调度日数（</w:t>
      </w:r>
      <w:r>
        <w:rPr>
          <w:rFonts w:hint="eastAsia" w:asciiTheme="minorEastAsia" w:hAnsiTheme="minorEastAsia" w:eastAsiaTheme="minorEastAsia" w:cstheme="minorEastAsia"/>
          <w:snapToGrid w:val="0"/>
          <w:color w:val="auto"/>
          <w:sz w:val="28"/>
          <w:szCs w:val="28"/>
          <w:highlight w:val="none"/>
        </w:rPr>
        <w:t>CDD</w:t>
      </w:r>
      <w:r>
        <w:rPr>
          <w:rFonts w:hint="eastAsia" w:asciiTheme="minorEastAsia" w:hAnsiTheme="minorEastAsia" w:eastAsiaTheme="minorEastAsia" w:cstheme="minorEastAsia"/>
          <w:snapToGrid w:val="0"/>
          <w:color w:val="auto"/>
          <w:spacing w:val="11"/>
          <w:position w:val="-2"/>
          <w:sz w:val="28"/>
          <w:szCs w:val="28"/>
          <w:highlight w:val="none"/>
          <w:vertAlign w:val="subscript"/>
        </w:rPr>
        <w:t>26</w:t>
      </w:r>
      <w:r>
        <w:rPr>
          <w:rFonts w:hint="eastAsia" w:asciiTheme="minorEastAsia" w:hAnsiTheme="minorEastAsia" w:eastAsiaTheme="minorEastAsia" w:cstheme="minorEastAsia"/>
          <w:snapToGrid w:val="0"/>
          <w:color w:val="auto"/>
          <w:spacing w:val="11"/>
          <w:sz w:val="28"/>
          <w:szCs w:val="28"/>
          <w:highlight w:val="none"/>
        </w:rPr>
        <w:t>）确定的。空调度日数的计算为：一年中当某</w:t>
      </w:r>
      <w:r>
        <w:rPr>
          <w:rFonts w:hint="eastAsia" w:asciiTheme="minorEastAsia" w:hAnsiTheme="minorEastAsia" w:eastAsiaTheme="minorEastAsia" w:cstheme="minorEastAsia"/>
          <w:snapToGrid w:val="0"/>
          <w:color w:val="auto"/>
          <w:spacing w:val="10"/>
          <w:sz w:val="28"/>
          <w:szCs w:val="28"/>
          <w:highlight w:val="none"/>
        </w:rPr>
        <w:t>天室外日平</w:t>
      </w:r>
      <w:r>
        <w:rPr>
          <w:rFonts w:hint="eastAsia" w:asciiTheme="minorEastAsia" w:hAnsiTheme="minorEastAsia" w:eastAsiaTheme="minorEastAsia" w:cstheme="minorEastAsia"/>
          <w:snapToGrid w:val="0"/>
          <w:color w:val="auto"/>
          <w:spacing w:val="4"/>
          <w:sz w:val="28"/>
          <w:szCs w:val="28"/>
          <w:highlight w:val="none"/>
        </w:rPr>
        <w:t>均温度高于26℃时，将高于26℃的度数乘以一天，再将此乘积累加。</w:t>
      </w:r>
    </w:p>
    <w:p w14:paraId="5E2F51E7">
      <w:pPr>
        <w:widowControl/>
        <w:autoSpaceDE w:val="0"/>
        <w:autoSpaceDN w:val="0"/>
        <w:adjustRightInd w:val="0"/>
        <w:snapToGrid w:val="0"/>
        <w:spacing w:line="480" w:lineRule="exact"/>
        <w:ind w:firstLine="63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9"/>
          <w:kern w:val="0"/>
          <w:sz w:val="28"/>
          <w:szCs w:val="28"/>
          <w:highlight w:val="none"/>
        </w:rPr>
        <w:t>利用全年的空调度日数对制冷站总能源基准中受室外天气变化影响的那部分能源基准进行修正。</w:t>
      </w:r>
    </w:p>
    <w:p w14:paraId="59BA6398">
      <w:pPr>
        <w:autoSpaceDE w:val="0"/>
        <w:autoSpaceDN w:val="0"/>
        <w:adjustRightInd w:val="0"/>
        <w:snapToGrid w:val="0"/>
        <w:spacing w:line="480" w:lineRule="exact"/>
        <w:ind w:firstLine="604"/>
        <w:jc w:val="center"/>
        <w:textAlignment w:val="baseline"/>
        <w:rPr>
          <w:rFonts w:asciiTheme="minorEastAsia" w:hAnsiTheme="minorEastAsia" w:eastAsiaTheme="minorEastAsia" w:cstheme="minorEastAsia"/>
          <w:snapToGrid w:val="0"/>
          <w:color w:val="auto"/>
          <w:spacing w:val="11"/>
          <w:sz w:val="28"/>
          <w:szCs w:val="28"/>
          <w:highlight w:val="none"/>
          <w:lang w:eastAsia="en-US"/>
        </w:rPr>
      </w:pPr>
      <w:r>
        <w:rPr>
          <w:rFonts w:hint="eastAsia" w:asciiTheme="minorEastAsia" w:hAnsiTheme="minorEastAsia" w:eastAsiaTheme="minorEastAsia" w:cstheme="minorEastAsia"/>
          <w:snapToGrid w:val="0"/>
          <w:color w:val="auto"/>
          <w:spacing w:val="11"/>
          <w:sz w:val="28"/>
          <w:szCs w:val="28"/>
          <w:highlight w:val="none"/>
          <w:lang w:eastAsia="en-US"/>
        </w:rPr>
        <w:t>制冷调整系数</w:t>
      </w:r>
      <w:r>
        <w:rPr>
          <w:rFonts w:hint="eastAsia" w:asciiTheme="minorEastAsia" w:hAnsiTheme="minorEastAsia" w:eastAsiaTheme="minorEastAsia" w:cstheme="minorEastAsia"/>
          <w:i/>
          <w:iCs/>
          <w:snapToGrid w:val="0"/>
          <w:color w:val="auto"/>
          <w:sz w:val="28"/>
          <w:szCs w:val="28"/>
          <w:highlight w:val="none"/>
          <w:lang w:eastAsia="en-US"/>
        </w:rPr>
        <w:t>K</w:t>
      </w:r>
      <w:r>
        <w:rPr>
          <w:rFonts w:hint="eastAsia" w:asciiTheme="minorEastAsia" w:hAnsiTheme="minorEastAsia" w:eastAsiaTheme="minorEastAsia" w:cstheme="minorEastAsia"/>
          <w:snapToGrid w:val="0"/>
          <w:color w:val="auto"/>
          <w:position w:val="-1"/>
          <w:sz w:val="28"/>
          <w:szCs w:val="28"/>
          <w:highlight w:val="none"/>
          <w:vertAlign w:val="subscript"/>
          <w:lang w:eastAsia="en-US"/>
        </w:rPr>
        <w:t>cool</w:t>
      </w:r>
      <w:r>
        <w:rPr>
          <w:rFonts w:hint="eastAsia" w:asciiTheme="minorEastAsia" w:hAnsiTheme="minorEastAsia" w:eastAsiaTheme="minorEastAsia" w:cstheme="minorEastAsia"/>
          <w:snapToGrid w:val="0"/>
          <w:color w:val="auto"/>
          <w:spacing w:val="11"/>
          <w:sz w:val="28"/>
          <w:szCs w:val="28"/>
          <w:highlight w:val="none"/>
          <w:lang w:eastAsia="en-US"/>
        </w:rPr>
        <w:t>=（</w:t>
      </w:r>
      <w:r>
        <w:rPr>
          <w:rFonts w:hint="eastAsia" w:asciiTheme="minorEastAsia" w:hAnsiTheme="minorEastAsia" w:eastAsiaTheme="minorEastAsia" w:cstheme="minorEastAsia"/>
          <w:snapToGrid w:val="0"/>
          <w:color w:val="auto"/>
          <w:sz w:val="28"/>
          <w:szCs w:val="28"/>
          <w:highlight w:val="none"/>
          <w:lang w:eastAsia="en-US"/>
        </w:rPr>
        <w:t>CDD</w:t>
      </w:r>
      <w:r>
        <w:rPr>
          <w:rFonts w:hint="eastAsia" w:asciiTheme="minorEastAsia" w:hAnsiTheme="minorEastAsia" w:eastAsiaTheme="minorEastAsia" w:cstheme="minorEastAsia"/>
          <w:snapToGrid w:val="0"/>
          <w:color w:val="auto"/>
          <w:spacing w:val="11"/>
          <w:position w:val="-1"/>
          <w:sz w:val="28"/>
          <w:szCs w:val="28"/>
          <w:highlight w:val="none"/>
          <w:vertAlign w:val="subscript"/>
          <w:lang w:eastAsia="en-US"/>
        </w:rPr>
        <w:t>202</w:t>
      </w:r>
      <w:r>
        <w:rPr>
          <w:rFonts w:hint="eastAsia" w:asciiTheme="minorEastAsia" w:hAnsiTheme="minorEastAsia" w:eastAsiaTheme="minorEastAsia" w:cstheme="minorEastAsia"/>
          <w:snapToGrid w:val="0"/>
          <w:color w:val="auto"/>
          <w:spacing w:val="11"/>
          <w:position w:val="-1"/>
          <w:sz w:val="28"/>
          <w:szCs w:val="28"/>
          <w:highlight w:val="none"/>
          <w:lang w:eastAsia="en-US"/>
        </w:rPr>
        <w:t>×</w:t>
      </w:r>
      <w:r>
        <w:rPr>
          <w:rFonts w:hint="eastAsia" w:asciiTheme="minorEastAsia" w:hAnsiTheme="minorEastAsia" w:eastAsiaTheme="minorEastAsia" w:cstheme="minorEastAsia"/>
          <w:snapToGrid w:val="0"/>
          <w:color w:val="auto"/>
          <w:spacing w:val="11"/>
          <w:sz w:val="28"/>
          <w:szCs w:val="28"/>
          <w:highlight w:val="none"/>
          <w:lang w:eastAsia="en-US"/>
        </w:rPr>
        <w:t>/</w:t>
      </w:r>
      <w:r>
        <w:rPr>
          <w:rFonts w:hint="eastAsia" w:asciiTheme="minorEastAsia" w:hAnsiTheme="minorEastAsia" w:eastAsiaTheme="minorEastAsia" w:cstheme="minorEastAsia"/>
          <w:snapToGrid w:val="0"/>
          <w:color w:val="auto"/>
          <w:sz w:val="28"/>
          <w:szCs w:val="28"/>
          <w:highlight w:val="none"/>
          <w:lang w:eastAsia="en-US"/>
        </w:rPr>
        <w:t>CDD</w:t>
      </w:r>
      <w:r>
        <w:rPr>
          <w:rFonts w:hint="eastAsia" w:asciiTheme="minorEastAsia" w:hAnsiTheme="minorEastAsia" w:eastAsiaTheme="minorEastAsia" w:cstheme="minorEastAsia"/>
          <w:snapToGrid w:val="0"/>
          <w:color w:val="auto"/>
          <w:position w:val="-1"/>
          <w:sz w:val="28"/>
          <w:szCs w:val="28"/>
          <w:highlight w:val="none"/>
          <w:vertAlign w:val="subscript"/>
          <w:lang w:eastAsia="en-US"/>
        </w:rPr>
        <w:t>baseline</w:t>
      </w:r>
      <w:r>
        <w:rPr>
          <w:rFonts w:hint="eastAsia" w:asciiTheme="minorEastAsia" w:hAnsiTheme="minorEastAsia" w:eastAsiaTheme="minorEastAsia" w:cstheme="minorEastAsia"/>
          <w:snapToGrid w:val="0"/>
          <w:color w:val="auto"/>
          <w:spacing w:val="11"/>
          <w:sz w:val="28"/>
          <w:szCs w:val="28"/>
          <w:highlight w:val="none"/>
          <w:lang w:eastAsia="en-US"/>
        </w:rPr>
        <w:t>）</w:t>
      </w:r>
    </w:p>
    <w:p w14:paraId="6B808FFF">
      <w:pPr>
        <w:autoSpaceDE w:val="0"/>
        <w:autoSpaceDN w:val="0"/>
        <w:adjustRightInd w:val="0"/>
        <w:snapToGrid w:val="0"/>
        <w:spacing w:line="480" w:lineRule="exact"/>
        <w:ind w:firstLine="564" w:firstLineChars="200"/>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
          <w:sz w:val="28"/>
          <w:szCs w:val="28"/>
          <w:highlight w:val="none"/>
          <w:lang w:eastAsia="en-US"/>
        </w:rPr>
        <w:t>例：若2024年空调度日数如下。</w:t>
      </w:r>
    </w:p>
    <w:tbl>
      <w:tblPr>
        <w:tblStyle w:val="109"/>
        <w:tblW w:w="9347" w:type="dxa"/>
        <w:tblInd w:w="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798"/>
        <w:gridCol w:w="5549"/>
      </w:tblGrid>
      <w:tr w14:paraId="18FDA31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2" w:hRule="atLeast"/>
        </w:trPr>
        <w:tc>
          <w:tcPr>
            <w:tcW w:w="3798" w:type="dxa"/>
            <w:tcBorders>
              <w:right w:val="single" w:color="231F20" w:sz="2" w:space="0"/>
            </w:tcBorders>
            <w:vAlign w:val="center"/>
          </w:tcPr>
          <w:p w14:paraId="6DDF291B">
            <w:pPr>
              <w:widowControl/>
              <w:autoSpaceDE w:val="0"/>
              <w:autoSpaceDN w:val="0"/>
              <w:adjustRightInd w:val="0"/>
              <w:snapToGrid w:val="0"/>
              <w:spacing w:line="480" w:lineRule="exact"/>
              <w:ind w:firstLine="596" w:firstLineChars="20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9"/>
                <w:kern w:val="0"/>
                <w:sz w:val="28"/>
                <w:szCs w:val="28"/>
                <w:highlight w:val="none"/>
                <w:lang w:eastAsia="en-US"/>
              </w:rPr>
              <w:t>2023年基准空调度日数</w:t>
            </w:r>
          </w:p>
        </w:tc>
        <w:tc>
          <w:tcPr>
            <w:tcW w:w="5549" w:type="dxa"/>
            <w:tcBorders>
              <w:left w:val="single" w:color="231F20" w:sz="2" w:space="0"/>
            </w:tcBorders>
            <w:vAlign w:val="center"/>
          </w:tcPr>
          <w:p w14:paraId="7B27383A">
            <w:pPr>
              <w:widowControl/>
              <w:autoSpaceDE w:val="0"/>
              <w:autoSpaceDN w:val="0"/>
              <w:adjustRightInd w:val="0"/>
              <w:snapToGrid w:val="0"/>
              <w:spacing w:line="480" w:lineRule="exact"/>
              <w:ind w:firstLine="588" w:firstLineChars="20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7"/>
                <w:kern w:val="0"/>
                <w:sz w:val="28"/>
                <w:szCs w:val="28"/>
                <w:highlight w:val="none"/>
                <w:lang w:eastAsia="en-US"/>
              </w:rPr>
              <w:t>2024年空调度日数</w:t>
            </w:r>
          </w:p>
        </w:tc>
      </w:tr>
      <w:tr w14:paraId="0543B1D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54" w:hRule="atLeast"/>
        </w:trPr>
        <w:tc>
          <w:tcPr>
            <w:tcW w:w="3798" w:type="dxa"/>
            <w:tcBorders>
              <w:bottom w:val="single" w:color="231F20" w:sz="2" w:space="0"/>
              <w:right w:val="single" w:color="231F20" w:sz="2" w:space="0"/>
            </w:tcBorders>
            <w:vAlign w:val="center"/>
          </w:tcPr>
          <w:p w14:paraId="2A17AFFF">
            <w:pPr>
              <w:widowControl/>
              <w:autoSpaceDE w:val="0"/>
              <w:autoSpaceDN w:val="0"/>
              <w:adjustRightInd w:val="0"/>
              <w:snapToGrid w:val="0"/>
              <w:spacing w:line="480" w:lineRule="exact"/>
              <w:ind w:firstLine="548" w:firstLineChars="20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3"/>
                <w:kern w:val="0"/>
                <w:sz w:val="28"/>
                <w:szCs w:val="28"/>
                <w:highlight w:val="none"/>
                <w:lang w:eastAsia="en-US"/>
              </w:rPr>
              <w:t>CDD</w:t>
            </w:r>
            <w:r>
              <w:rPr>
                <w:rFonts w:hint="eastAsia" w:asciiTheme="minorEastAsia" w:hAnsiTheme="minorEastAsia" w:eastAsiaTheme="minorEastAsia" w:cstheme="minorEastAsia"/>
                <w:snapToGrid w:val="0"/>
                <w:color w:val="auto"/>
                <w:spacing w:val="-3"/>
                <w:kern w:val="0"/>
                <w:position w:val="-1"/>
                <w:sz w:val="28"/>
                <w:szCs w:val="28"/>
                <w:highlight w:val="none"/>
                <w:vertAlign w:val="subscript"/>
                <w:lang w:eastAsia="en-US"/>
              </w:rPr>
              <w:t>baseline</w:t>
            </w:r>
            <w:r>
              <w:rPr>
                <w:rFonts w:hint="eastAsia" w:asciiTheme="minorEastAsia" w:hAnsiTheme="minorEastAsia" w:eastAsiaTheme="minorEastAsia" w:cstheme="minorEastAsia"/>
                <w:snapToGrid w:val="0"/>
                <w:color w:val="auto"/>
                <w:spacing w:val="-3"/>
                <w:kern w:val="0"/>
                <w:sz w:val="28"/>
                <w:szCs w:val="28"/>
                <w:highlight w:val="none"/>
                <w:lang w:eastAsia="en-US"/>
              </w:rPr>
              <w:t>（CDD</w:t>
            </w:r>
            <w:r>
              <w:rPr>
                <w:rFonts w:hint="eastAsia" w:asciiTheme="minorEastAsia" w:hAnsiTheme="minorEastAsia" w:eastAsiaTheme="minorEastAsia" w:cstheme="minorEastAsia"/>
                <w:snapToGrid w:val="0"/>
                <w:color w:val="auto"/>
                <w:spacing w:val="-3"/>
                <w:kern w:val="0"/>
                <w:position w:val="-1"/>
                <w:sz w:val="28"/>
                <w:szCs w:val="28"/>
                <w:highlight w:val="none"/>
                <w:lang w:eastAsia="en-US"/>
              </w:rPr>
              <w:t>26</w:t>
            </w:r>
            <w:r>
              <w:rPr>
                <w:rFonts w:hint="eastAsia" w:asciiTheme="minorEastAsia" w:hAnsiTheme="minorEastAsia" w:eastAsiaTheme="minorEastAsia" w:cstheme="minorEastAsia"/>
                <w:snapToGrid w:val="0"/>
                <w:color w:val="auto"/>
                <w:spacing w:val="-3"/>
                <w:kern w:val="0"/>
                <w:sz w:val="28"/>
                <w:szCs w:val="28"/>
                <w:highlight w:val="none"/>
                <w:lang w:eastAsia="en-US"/>
              </w:rPr>
              <w:t>）</w:t>
            </w:r>
          </w:p>
        </w:tc>
        <w:tc>
          <w:tcPr>
            <w:tcW w:w="5549" w:type="dxa"/>
            <w:tcBorders>
              <w:left w:val="single" w:color="231F20" w:sz="2" w:space="0"/>
              <w:bottom w:val="single" w:color="231F20" w:sz="2" w:space="0"/>
            </w:tcBorders>
            <w:vAlign w:val="center"/>
          </w:tcPr>
          <w:p w14:paraId="7B212DA2">
            <w:pPr>
              <w:widowControl/>
              <w:autoSpaceDE w:val="0"/>
              <w:autoSpaceDN w:val="0"/>
              <w:adjustRightInd w:val="0"/>
              <w:snapToGrid w:val="0"/>
              <w:spacing w:line="480" w:lineRule="exact"/>
              <w:ind w:firstLine="552" w:firstLineChars="20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2"/>
                <w:kern w:val="0"/>
                <w:sz w:val="28"/>
                <w:szCs w:val="28"/>
                <w:highlight w:val="none"/>
                <w:lang w:eastAsia="en-US"/>
              </w:rPr>
              <w:t>CDD</w:t>
            </w:r>
            <w:r>
              <w:rPr>
                <w:rFonts w:hint="eastAsia" w:asciiTheme="minorEastAsia" w:hAnsiTheme="minorEastAsia" w:eastAsiaTheme="minorEastAsia" w:cstheme="minorEastAsia"/>
                <w:snapToGrid w:val="0"/>
                <w:color w:val="auto"/>
                <w:spacing w:val="-2"/>
                <w:kern w:val="0"/>
                <w:position w:val="-2"/>
                <w:sz w:val="28"/>
                <w:szCs w:val="28"/>
                <w:highlight w:val="none"/>
                <w:vertAlign w:val="subscript"/>
                <w:lang w:eastAsia="en-US"/>
              </w:rPr>
              <w:t>2024</w:t>
            </w:r>
            <w:r>
              <w:rPr>
                <w:rFonts w:hint="eastAsia" w:asciiTheme="minorEastAsia" w:hAnsiTheme="minorEastAsia" w:eastAsiaTheme="minorEastAsia" w:cstheme="minorEastAsia"/>
                <w:snapToGrid w:val="0"/>
                <w:color w:val="auto"/>
                <w:spacing w:val="-2"/>
                <w:kern w:val="0"/>
                <w:sz w:val="28"/>
                <w:szCs w:val="28"/>
                <w:highlight w:val="none"/>
                <w:lang w:eastAsia="en-US"/>
              </w:rPr>
              <w:t>（CDD</w:t>
            </w:r>
            <w:r>
              <w:rPr>
                <w:rFonts w:hint="eastAsia" w:asciiTheme="minorEastAsia" w:hAnsiTheme="minorEastAsia" w:eastAsiaTheme="minorEastAsia" w:cstheme="minorEastAsia"/>
                <w:snapToGrid w:val="0"/>
                <w:color w:val="auto"/>
                <w:spacing w:val="-2"/>
                <w:kern w:val="0"/>
                <w:position w:val="-2"/>
                <w:sz w:val="28"/>
                <w:szCs w:val="28"/>
                <w:highlight w:val="none"/>
                <w:vertAlign w:val="subscript"/>
                <w:lang w:eastAsia="en-US"/>
              </w:rPr>
              <w:t>26</w:t>
            </w:r>
            <w:r>
              <w:rPr>
                <w:rFonts w:hint="eastAsia" w:asciiTheme="minorEastAsia" w:hAnsiTheme="minorEastAsia" w:eastAsiaTheme="minorEastAsia" w:cstheme="minorEastAsia"/>
                <w:snapToGrid w:val="0"/>
                <w:color w:val="auto"/>
                <w:spacing w:val="-2"/>
                <w:kern w:val="0"/>
                <w:sz w:val="28"/>
                <w:szCs w:val="28"/>
                <w:highlight w:val="none"/>
                <w:lang w:eastAsia="en-US"/>
              </w:rPr>
              <w:t>）</w:t>
            </w:r>
          </w:p>
        </w:tc>
      </w:tr>
      <w:tr w14:paraId="6BDA8C9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7" w:hRule="atLeast"/>
        </w:trPr>
        <w:tc>
          <w:tcPr>
            <w:tcW w:w="3798" w:type="dxa"/>
            <w:tcBorders>
              <w:top w:val="single" w:color="231F20" w:sz="2" w:space="0"/>
              <w:right w:val="single" w:color="231F20" w:sz="2" w:space="0"/>
            </w:tcBorders>
            <w:vAlign w:val="center"/>
          </w:tcPr>
          <w:p w14:paraId="48C42A28">
            <w:pPr>
              <w:widowControl/>
              <w:autoSpaceDE w:val="0"/>
              <w:autoSpaceDN w:val="0"/>
              <w:adjustRightInd w:val="0"/>
              <w:snapToGrid w:val="0"/>
              <w:spacing w:line="480" w:lineRule="exact"/>
              <w:ind w:firstLine="524" w:firstLineChars="20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9"/>
                <w:kern w:val="0"/>
                <w:sz w:val="28"/>
                <w:szCs w:val="28"/>
                <w:highlight w:val="none"/>
                <w:lang w:eastAsia="en-US"/>
              </w:rPr>
              <w:t>156</w:t>
            </w:r>
          </w:p>
        </w:tc>
        <w:tc>
          <w:tcPr>
            <w:tcW w:w="5549" w:type="dxa"/>
            <w:tcBorders>
              <w:top w:val="single" w:color="231F20" w:sz="2" w:space="0"/>
              <w:left w:val="single" w:color="231F20" w:sz="2" w:space="0"/>
            </w:tcBorders>
            <w:vAlign w:val="center"/>
          </w:tcPr>
          <w:p w14:paraId="3FDB5D1E">
            <w:pPr>
              <w:widowControl/>
              <w:autoSpaceDE w:val="0"/>
              <w:autoSpaceDN w:val="0"/>
              <w:adjustRightInd w:val="0"/>
              <w:snapToGrid w:val="0"/>
              <w:spacing w:line="480" w:lineRule="exact"/>
              <w:ind w:firstLine="524" w:firstLineChars="20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9"/>
                <w:kern w:val="0"/>
                <w:sz w:val="28"/>
                <w:szCs w:val="28"/>
                <w:highlight w:val="none"/>
                <w:lang w:eastAsia="en-US"/>
              </w:rPr>
              <w:t>163</w:t>
            </w:r>
          </w:p>
        </w:tc>
      </w:tr>
    </w:tbl>
    <w:p w14:paraId="1DBD0D2D">
      <w:pPr>
        <w:autoSpaceDE w:val="0"/>
        <w:autoSpaceDN w:val="0"/>
        <w:adjustRightInd w:val="0"/>
        <w:snapToGrid w:val="0"/>
        <w:spacing w:line="480" w:lineRule="exact"/>
        <w:ind w:firstLine="556" w:firstLineChars="200"/>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
          <w:sz w:val="28"/>
          <w:szCs w:val="28"/>
          <w:highlight w:val="none"/>
          <w:lang w:eastAsia="en-US"/>
        </w:rPr>
        <w:t>则：制冷调整系数</w:t>
      </w:r>
      <w:r>
        <w:rPr>
          <w:rFonts w:hint="eastAsia" w:asciiTheme="minorEastAsia" w:hAnsiTheme="minorEastAsia" w:eastAsiaTheme="minorEastAsia" w:cstheme="minorEastAsia"/>
          <w:i/>
          <w:iCs/>
          <w:snapToGrid w:val="0"/>
          <w:color w:val="auto"/>
          <w:spacing w:val="-1"/>
          <w:sz w:val="28"/>
          <w:szCs w:val="28"/>
          <w:highlight w:val="none"/>
          <w:lang w:eastAsia="en-US"/>
        </w:rPr>
        <w:t>K</w:t>
      </w:r>
      <w:r>
        <w:rPr>
          <w:rFonts w:hint="eastAsia" w:asciiTheme="minorEastAsia" w:hAnsiTheme="minorEastAsia" w:eastAsiaTheme="minorEastAsia" w:cstheme="minorEastAsia"/>
          <w:snapToGrid w:val="0"/>
          <w:color w:val="auto"/>
          <w:spacing w:val="-1"/>
          <w:position w:val="-2"/>
          <w:sz w:val="28"/>
          <w:szCs w:val="28"/>
          <w:highlight w:val="none"/>
          <w:vertAlign w:val="subscript"/>
          <w:lang w:eastAsia="en-US"/>
        </w:rPr>
        <w:t>cool</w:t>
      </w:r>
      <w:r>
        <w:rPr>
          <w:rFonts w:hint="eastAsia" w:asciiTheme="minorEastAsia" w:hAnsiTheme="minorEastAsia" w:eastAsiaTheme="minorEastAsia" w:cstheme="minorEastAsia"/>
          <w:snapToGrid w:val="0"/>
          <w:color w:val="auto"/>
          <w:spacing w:val="-1"/>
          <w:sz w:val="28"/>
          <w:szCs w:val="28"/>
          <w:highlight w:val="none"/>
          <w:lang w:eastAsia="en-US"/>
        </w:rPr>
        <w:t>=（CDD</w:t>
      </w:r>
      <w:r>
        <w:rPr>
          <w:rFonts w:hint="eastAsia" w:asciiTheme="minorEastAsia" w:hAnsiTheme="minorEastAsia" w:eastAsiaTheme="minorEastAsia" w:cstheme="minorEastAsia"/>
          <w:snapToGrid w:val="0"/>
          <w:color w:val="auto"/>
          <w:spacing w:val="-1"/>
          <w:position w:val="-2"/>
          <w:sz w:val="28"/>
          <w:szCs w:val="28"/>
          <w:highlight w:val="none"/>
          <w:vertAlign w:val="subscript"/>
          <w:lang w:eastAsia="en-US"/>
        </w:rPr>
        <w:t>2024</w:t>
      </w:r>
      <w:r>
        <w:rPr>
          <w:rFonts w:hint="eastAsia" w:asciiTheme="minorEastAsia" w:hAnsiTheme="minorEastAsia" w:eastAsiaTheme="minorEastAsia" w:cstheme="minorEastAsia"/>
          <w:snapToGrid w:val="0"/>
          <w:color w:val="auto"/>
          <w:spacing w:val="-1"/>
          <w:sz w:val="28"/>
          <w:szCs w:val="28"/>
          <w:highlight w:val="none"/>
          <w:lang w:eastAsia="en-US"/>
        </w:rPr>
        <w:t>/CDD</w:t>
      </w:r>
      <w:r>
        <w:rPr>
          <w:rFonts w:hint="eastAsia" w:asciiTheme="minorEastAsia" w:hAnsiTheme="minorEastAsia" w:eastAsiaTheme="minorEastAsia" w:cstheme="minorEastAsia"/>
          <w:snapToGrid w:val="0"/>
          <w:color w:val="auto"/>
          <w:spacing w:val="-1"/>
          <w:position w:val="-2"/>
          <w:sz w:val="28"/>
          <w:szCs w:val="28"/>
          <w:highlight w:val="none"/>
          <w:vertAlign w:val="subscript"/>
          <w:lang w:eastAsia="en-US"/>
        </w:rPr>
        <w:t>baseline</w:t>
      </w:r>
      <w:r>
        <w:rPr>
          <w:rFonts w:hint="eastAsia" w:asciiTheme="minorEastAsia" w:hAnsiTheme="minorEastAsia" w:eastAsiaTheme="minorEastAsia" w:cstheme="minorEastAsia"/>
          <w:snapToGrid w:val="0"/>
          <w:color w:val="auto"/>
          <w:spacing w:val="-1"/>
          <w:sz w:val="28"/>
          <w:szCs w:val="28"/>
          <w:highlight w:val="none"/>
          <w:lang w:eastAsia="en-US"/>
        </w:rPr>
        <w:t>）=（163/156)=1</w:t>
      </w:r>
      <w:r>
        <w:rPr>
          <w:rFonts w:hint="eastAsia" w:asciiTheme="minorEastAsia" w:hAnsiTheme="minorEastAsia" w:eastAsiaTheme="minorEastAsia" w:cstheme="minorEastAsia"/>
          <w:snapToGrid w:val="0"/>
          <w:color w:val="auto"/>
          <w:spacing w:val="-2"/>
          <w:sz w:val="28"/>
          <w:szCs w:val="28"/>
          <w:highlight w:val="none"/>
          <w:lang w:eastAsia="en-US"/>
        </w:rPr>
        <w:t>.047。</w:t>
      </w:r>
    </w:p>
    <w:p w14:paraId="3D9A7C85">
      <w:pPr>
        <w:widowControl/>
        <w:autoSpaceDE w:val="0"/>
        <w:autoSpaceDN w:val="0"/>
        <w:adjustRightInd w:val="0"/>
        <w:snapToGrid w:val="0"/>
        <w:spacing w:line="480" w:lineRule="exact"/>
        <w:ind w:firstLine="59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8"/>
          <w:kern w:val="0"/>
          <w:sz w:val="28"/>
          <w:szCs w:val="28"/>
          <w:highlight w:val="none"/>
        </w:rPr>
        <w:t>（一）空调设备电耗调整规则</w:t>
      </w:r>
    </w:p>
    <w:p w14:paraId="7F4EA105">
      <w:pPr>
        <w:widowControl/>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1"/>
          <w:kern w:val="0"/>
          <w:sz w:val="28"/>
          <w:szCs w:val="28"/>
          <w:highlight w:val="none"/>
        </w:rPr>
        <w:t>1.空调面积变化调整规则</w:t>
      </w:r>
    </w:p>
    <w:p w14:paraId="3D0A9A3F">
      <w:pPr>
        <w:widowControl/>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6"/>
          <w:kern w:val="0"/>
          <w:sz w:val="28"/>
          <w:szCs w:val="28"/>
          <w:highlight w:val="none"/>
        </w:rPr>
        <w:t>以合同签订时的空调面积为基准。若当年制冷站负担的空调面积有所增加或减少，应根据制冷站负担的空调面积进行修正，计算当年新增或减少面积占改造前建筑面积的比例，并按此比例调整相应能源</w:t>
      </w:r>
      <w:r>
        <w:rPr>
          <w:rFonts w:hint="eastAsia" w:asciiTheme="minorEastAsia" w:hAnsiTheme="minorEastAsia" w:eastAsiaTheme="minorEastAsia" w:cstheme="minorEastAsia"/>
          <w:snapToGrid w:val="0"/>
          <w:color w:val="auto"/>
          <w:spacing w:val="15"/>
          <w:kern w:val="0"/>
          <w:sz w:val="28"/>
          <w:szCs w:val="28"/>
          <w:highlight w:val="none"/>
        </w:rPr>
        <w:t>基准及相应节能量。</w:t>
      </w:r>
    </w:p>
    <w:p w14:paraId="11F34463">
      <w:pPr>
        <w:autoSpaceDE w:val="0"/>
        <w:autoSpaceDN w:val="0"/>
        <w:adjustRightInd w:val="0"/>
        <w:snapToGrid w:val="0"/>
        <w:spacing w:line="480" w:lineRule="exact"/>
        <w:ind w:firstLine="636"/>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9"/>
          <w:sz w:val="28"/>
          <w:szCs w:val="28"/>
          <w:highlight w:val="none"/>
          <w:lang w:eastAsia="en-US"/>
        </w:rPr>
        <w:t>空调面积调整系数</w:t>
      </w:r>
      <w:r>
        <w:rPr>
          <w:rFonts w:hint="eastAsia" w:asciiTheme="minorEastAsia" w:hAnsiTheme="minorEastAsia" w:eastAsiaTheme="minorEastAsia" w:cstheme="minorEastAsia"/>
          <w:i/>
          <w:iCs/>
          <w:snapToGrid w:val="0"/>
          <w:color w:val="auto"/>
          <w:sz w:val="28"/>
          <w:szCs w:val="28"/>
          <w:highlight w:val="none"/>
          <w:lang w:eastAsia="en-US"/>
        </w:rPr>
        <w:t>K</w:t>
      </w:r>
      <w:r>
        <w:rPr>
          <w:rFonts w:hint="eastAsia" w:asciiTheme="minorEastAsia" w:hAnsiTheme="minorEastAsia" w:eastAsiaTheme="minorEastAsia" w:cstheme="minorEastAsia"/>
          <w:snapToGrid w:val="0"/>
          <w:color w:val="auto"/>
          <w:position w:val="-1"/>
          <w:sz w:val="28"/>
          <w:szCs w:val="28"/>
          <w:highlight w:val="none"/>
          <w:vertAlign w:val="subscript"/>
          <w:lang w:eastAsia="en-US"/>
        </w:rPr>
        <w:t>A</w:t>
      </w:r>
      <w:r>
        <w:rPr>
          <w:rFonts w:hint="eastAsia" w:asciiTheme="minorEastAsia" w:hAnsiTheme="minorEastAsia" w:eastAsiaTheme="minorEastAsia" w:cstheme="minorEastAsia"/>
          <w:snapToGrid w:val="0"/>
          <w:color w:val="auto"/>
          <w:spacing w:val="19"/>
          <w:sz w:val="28"/>
          <w:szCs w:val="28"/>
          <w:highlight w:val="none"/>
          <w:lang w:eastAsia="en-US"/>
        </w:rPr>
        <w:t>＝</w:t>
      </w:r>
      <w:r>
        <w:rPr>
          <w:rFonts w:hint="eastAsia" w:asciiTheme="minorEastAsia" w:hAnsiTheme="minorEastAsia" w:eastAsiaTheme="minorEastAsia" w:cstheme="minorEastAsia"/>
          <w:i/>
          <w:iCs/>
          <w:snapToGrid w:val="0"/>
          <w:color w:val="auto"/>
          <w:sz w:val="28"/>
          <w:szCs w:val="28"/>
          <w:highlight w:val="none"/>
          <w:lang w:eastAsia="en-US"/>
        </w:rPr>
        <w:t>A</w:t>
      </w:r>
      <w:r>
        <w:rPr>
          <w:rFonts w:hint="eastAsia" w:asciiTheme="minorEastAsia" w:hAnsiTheme="minorEastAsia" w:eastAsiaTheme="minorEastAsia" w:cstheme="minorEastAsia"/>
          <w:snapToGrid w:val="0"/>
          <w:color w:val="auto"/>
          <w:position w:val="-1"/>
          <w:sz w:val="28"/>
          <w:szCs w:val="28"/>
          <w:highlight w:val="none"/>
          <w:vertAlign w:val="subscript"/>
          <w:lang w:eastAsia="en-US"/>
        </w:rPr>
        <w:t>after</w:t>
      </w:r>
      <w:r>
        <w:rPr>
          <w:rFonts w:hint="eastAsia" w:asciiTheme="minorEastAsia" w:hAnsiTheme="minorEastAsia" w:eastAsiaTheme="minorEastAsia" w:cstheme="minorEastAsia"/>
          <w:snapToGrid w:val="0"/>
          <w:color w:val="auto"/>
          <w:spacing w:val="19"/>
          <w:sz w:val="28"/>
          <w:szCs w:val="28"/>
          <w:highlight w:val="none"/>
          <w:lang w:eastAsia="en-US"/>
        </w:rPr>
        <w:t>/</w:t>
      </w:r>
      <w:r>
        <w:rPr>
          <w:rFonts w:hint="eastAsia" w:asciiTheme="minorEastAsia" w:hAnsiTheme="minorEastAsia" w:eastAsiaTheme="minorEastAsia" w:cstheme="minorEastAsia"/>
          <w:i/>
          <w:iCs/>
          <w:snapToGrid w:val="0"/>
          <w:color w:val="auto"/>
          <w:sz w:val="28"/>
          <w:szCs w:val="28"/>
          <w:highlight w:val="none"/>
          <w:lang w:eastAsia="en-US"/>
        </w:rPr>
        <w:t>A</w:t>
      </w:r>
      <w:r>
        <w:rPr>
          <w:rFonts w:hint="eastAsia" w:asciiTheme="minorEastAsia" w:hAnsiTheme="minorEastAsia" w:eastAsiaTheme="minorEastAsia" w:cstheme="minorEastAsia"/>
          <w:snapToGrid w:val="0"/>
          <w:color w:val="auto"/>
          <w:position w:val="-1"/>
          <w:sz w:val="28"/>
          <w:szCs w:val="28"/>
          <w:highlight w:val="none"/>
          <w:lang w:eastAsia="en-US"/>
        </w:rPr>
        <w:t>before</w:t>
      </w:r>
    </w:p>
    <w:p w14:paraId="0C078ADE">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6"/>
          <w:kern w:val="0"/>
          <w:sz w:val="28"/>
          <w:szCs w:val="28"/>
          <w:highlight w:val="none"/>
          <w:lang w:eastAsia="en-US"/>
        </w:rPr>
        <w:t>式中：</w:t>
      </w:r>
    </w:p>
    <w:p w14:paraId="69A525DD">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i/>
          <w:iCs/>
          <w:snapToGrid w:val="0"/>
          <w:color w:val="auto"/>
          <w:sz w:val="28"/>
          <w:szCs w:val="28"/>
          <w:highlight w:val="none"/>
          <w:lang w:eastAsia="en-US"/>
        </w:rPr>
        <w:t>A</w:t>
      </w:r>
      <w:r>
        <w:rPr>
          <w:rFonts w:hint="eastAsia" w:asciiTheme="minorEastAsia" w:hAnsiTheme="minorEastAsia" w:eastAsiaTheme="minorEastAsia" w:cstheme="minorEastAsia"/>
          <w:snapToGrid w:val="0"/>
          <w:color w:val="auto"/>
          <w:position w:val="-2"/>
          <w:sz w:val="28"/>
          <w:szCs w:val="28"/>
          <w:highlight w:val="none"/>
          <w:vertAlign w:val="subscript"/>
          <w:lang w:eastAsia="en-US"/>
        </w:rPr>
        <w:t>after</w:t>
      </w:r>
      <w:r>
        <w:rPr>
          <w:rFonts w:hint="eastAsia" w:asciiTheme="minorEastAsia" w:hAnsiTheme="minorEastAsia" w:eastAsiaTheme="minorEastAsia" w:cstheme="minorEastAsia"/>
          <w:snapToGrid w:val="0"/>
          <w:color w:val="auto"/>
          <w:spacing w:val="2"/>
          <w:sz w:val="28"/>
          <w:szCs w:val="28"/>
          <w:highlight w:val="none"/>
          <w:lang w:eastAsia="en-US"/>
        </w:rPr>
        <w:t>——改造后建筑（空调）面积；</w:t>
      </w:r>
    </w:p>
    <w:p w14:paraId="7AE7E033">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i/>
          <w:iCs/>
          <w:snapToGrid w:val="0"/>
          <w:color w:val="auto"/>
          <w:sz w:val="28"/>
          <w:szCs w:val="28"/>
          <w:highlight w:val="none"/>
          <w:lang w:eastAsia="en-US"/>
        </w:rPr>
        <w:t>A</w:t>
      </w:r>
      <w:r>
        <w:rPr>
          <w:rFonts w:hint="eastAsia" w:asciiTheme="minorEastAsia" w:hAnsiTheme="minorEastAsia" w:eastAsiaTheme="minorEastAsia" w:cstheme="minorEastAsia"/>
          <w:snapToGrid w:val="0"/>
          <w:color w:val="auto"/>
          <w:position w:val="-2"/>
          <w:sz w:val="28"/>
          <w:szCs w:val="28"/>
          <w:highlight w:val="none"/>
          <w:vertAlign w:val="subscript"/>
          <w:lang w:eastAsia="en-US"/>
        </w:rPr>
        <w:t>before</w:t>
      </w:r>
      <w:r>
        <w:rPr>
          <w:rFonts w:hint="eastAsia" w:asciiTheme="minorEastAsia" w:hAnsiTheme="minorEastAsia" w:eastAsiaTheme="minorEastAsia" w:cstheme="minorEastAsia"/>
          <w:snapToGrid w:val="0"/>
          <w:color w:val="auto"/>
          <w:sz w:val="28"/>
          <w:szCs w:val="28"/>
          <w:highlight w:val="none"/>
          <w:lang w:eastAsia="en-US"/>
        </w:rPr>
        <w:t>——改造前建筑（空调）面积，为××㎡。</w:t>
      </w:r>
    </w:p>
    <w:p w14:paraId="120DFF0E">
      <w:pPr>
        <w:widowControl/>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2.常驻人员数变化调整规则</w:t>
      </w:r>
    </w:p>
    <w:p w14:paraId="03FA35A5">
      <w:pPr>
        <w:widowControl/>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pacing w:val="14"/>
          <w:kern w:val="0"/>
          <w:sz w:val="28"/>
          <w:szCs w:val="28"/>
          <w:highlight w:val="none"/>
        </w:rPr>
      </w:pPr>
      <w:r>
        <w:rPr>
          <w:rFonts w:hint="eastAsia" w:asciiTheme="minorEastAsia" w:hAnsiTheme="minorEastAsia" w:eastAsiaTheme="minorEastAsia" w:cstheme="minorEastAsia"/>
          <w:snapToGrid w:val="0"/>
          <w:color w:val="auto"/>
          <w:spacing w:val="16"/>
          <w:kern w:val="0"/>
          <w:sz w:val="28"/>
          <w:szCs w:val="28"/>
          <w:highlight w:val="none"/>
        </w:rPr>
        <w:t>根据用能单位提供的常驻人员数量作为基准。若托管期内常驻人员总数变化，应根据常驻人员数的增加进行相应修正，计算新的常驻人员数和改造前常驻人员数基准比例，并按此比例调整相应能源基准</w:t>
      </w:r>
      <w:r>
        <w:rPr>
          <w:rFonts w:hint="eastAsia" w:asciiTheme="minorEastAsia" w:hAnsiTheme="minorEastAsia" w:eastAsiaTheme="minorEastAsia" w:cstheme="minorEastAsia"/>
          <w:snapToGrid w:val="0"/>
          <w:color w:val="auto"/>
          <w:spacing w:val="14"/>
          <w:kern w:val="0"/>
          <w:sz w:val="28"/>
          <w:szCs w:val="28"/>
          <w:highlight w:val="none"/>
        </w:rPr>
        <w:t>及相应节能量。</w:t>
      </w:r>
    </w:p>
    <w:p w14:paraId="3CC32645">
      <w:pPr>
        <w:autoSpaceDE w:val="0"/>
        <w:autoSpaceDN w:val="0"/>
        <w:adjustRightInd w:val="0"/>
        <w:snapToGrid w:val="0"/>
        <w:spacing w:line="480" w:lineRule="exact"/>
        <w:ind w:firstLine="668"/>
        <w:jc w:val="center"/>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27"/>
          <w:sz w:val="28"/>
          <w:szCs w:val="28"/>
          <w:highlight w:val="none"/>
        </w:rPr>
        <w:t>常驻人员调整系数</w:t>
      </w:r>
      <w:r>
        <w:rPr>
          <w:rFonts w:hint="eastAsia" w:asciiTheme="minorEastAsia" w:hAnsiTheme="minorEastAsia" w:eastAsiaTheme="minorEastAsia" w:cstheme="minorEastAsia"/>
          <w:i/>
          <w:iCs/>
          <w:snapToGrid w:val="0"/>
          <w:color w:val="auto"/>
          <w:sz w:val="28"/>
          <w:szCs w:val="28"/>
          <w:highlight w:val="none"/>
        </w:rPr>
        <w:t>K</w:t>
      </w:r>
      <w:r>
        <w:rPr>
          <w:rFonts w:hint="eastAsia" w:asciiTheme="minorEastAsia" w:hAnsiTheme="minorEastAsia" w:eastAsiaTheme="minorEastAsia" w:cstheme="minorEastAsia"/>
          <w:snapToGrid w:val="0"/>
          <w:color w:val="auto"/>
          <w:position w:val="-1"/>
          <w:sz w:val="28"/>
          <w:szCs w:val="28"/>
          <w:highlight w:val="none"/>
        </w:rPr>
        <w:t>P</w:t>
      </w:r>
      <w:r>
        <w:rPr>
          <w:rFonts w:hint="eastAsia" w:asciiTheme="minorEastAsia" w:hAnsiTheme="minorEastAsia" w:eastAsiaTheme="minorEastAsia" w:cstheme="minorEastAsia"/>
          <w:snapToGrid w:val="0"/>
          <w:color w:val="auto"/>
          <w:spacing w:val="27"/>
          <w:sz w:val="28"/>
          <w:szCs w:val="28"/>
          <w:highlight w:val="none"/>
        </w:rPr>
        <w:t>＝</w:t>
      </w:r>
      <w:r>
        <w:rPr>
          <w:rFonts w:hint="eastAsia" w:asciiTheme="minorEastAsia" w:hAnsiTheme="minorEastAsia" w:eastAsiaTheme="minorEastAsia" w:cstheme="minorEastAsia"/>
          <w:i/>
          <w:iCs/>
          <w:snapToGrid w:val="0"/>
          <w:color w:val="auto"/>
          <w:sz w:val="28"/>
          <w:szCs w:val="28"/>
          <w:highlight w:val="none"/>
        </w:rPr>
        <w:t>P</w:t>
      </w:r>
      <w:r>
        <w:rPr>
          <w:rFonts w:hint="eastAsia" w:asciiTheme="minorEastAsia" w:hAnsiTheme="minorEastAsia" w:eastAsiaTheme="minorEastAsia" w:cstheme="minorEastAsia"/>
          <w:snapToGrid w:val="0"/>
          <w:color w:val="auto"/>
          <w:position w:val="-1"/>
          <w:sz w:val="28"/>
          <w:szCs w:val="28"/>
          <w:highlight w:val="none"/>
          <w:vertAlign w:val="subscript"/>
        </w:rPr>
        <w:t>after</w:t>
      </w:r>
      <w:r>
        <w:rPr>
          <w:rFonts w:hint="eastAsia" w:asciiTheme="minorEastAsia" w:hAnsiTheme="minorEastAsia" w:eastAsiaTheme="minorEastAsia" w:cstheme="minorEastAsia"/>
          <w:snapToGrid w:val="0"/>
          <w:color w:val="auto"/>
          <w:spacing w:val="27"/>
          <w:sz w:val="28"/>
          <w:szCs w:val="28"/>
          <w:highlight w:val="none"/>
        </w:rPr>
        <w:t>/</w:t>
      </w:r>
      <w:r>
        <w:rPr>
          <w:rFonts w:hint="eastAsia" w:asciiTheme="minorEastAsia" w:hAnsiTheme="minorEastAsia" w:eastAsiaTheme="minorEastAsia" w:cstheme="minorEastAsia"/>
          <w:i/>
          <w:iCs/>
          <w:snapToGrid w:val="0"/>
          <w:color w:val="auto"/>
          <w:sz w:val="28"/>
          <w:szCs w:val="28"/>
          <w:highlight w:val="none"/>
        </w:rPr>
        <w:t>P</w:t>
      </w:r>
      <w:r>
        <w:rPr>
          <w:rFonts w:hint="eastAsia" w:asciiTheme="minorEastAsia" w:hAnsiTheme="minorEastAsia" w:eastAsiaTheme="minorEastAsia" w:cstheme="minorEastAsia"/>
          <w:snapToGrid w:val="0"/>
          <w:color w:val="auto"/>
          <w:position w:val="-1"/>
          <w:sz w:val="28"/>
          <w:szCs w:val="28"/>
          <w:highlight w:val="none"/>
          <w:vertAlign w:val="subscript"/>
        </w:rPr>
        <w:t>before</w:t>
      </w:r>
    </w:p>
    <w:p w14:paraId="5CC1349D">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6"/>
          <w:kern w:val="0"/>
          <w:sz w:val="28"/>
          <w:szCs w:val="28"/>
          <w:highlight w:val="none"/>
        </w:rPr>
        <w:t>式中：</w:t>
      </w:r>
    </w:p>
    <w:p w14:paraId="7F8FC13F">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i/>
          <w:iCs/>
          <w:snapToGrid w:val="0"/>
          <w:color w:val="auto"/>
          <w:sz w:val="28"/>
          <w:szCs w:val="28"/>
          <w:highlight w:val="none"/>
        </w:rPr>
        <w:t>P</w:t>
      </w:r>
      <w:r>
        <w:rPr>
          <w:rFonts w:hint="eastAsia" w:asciiTheme="minorEastAsia" w:hAnsiTheme="minorEastAsia" w:eastAsiaTheme="minorEastAsia" w:cstheme="minorEastAsia"/>
          <w:snapToGrid w:val="0"/>
          <w:color w:val="auto"/>
          <w:position w:val="-2"/>
          <w:sz w:val="28"/>
          <w:szCs w:val="28"/>
          <w:highlight w:val="none"/>
          <w:vertAlign w:val="subscript"/>
        </w:rPr>
        <w:t>after</w:t>
      </w:r>
      <w:r>
        <w:rPr>
          <w:rFonts w:hint="eastAsia" w:asciiTheme="minorEastAsia" w:hAnsiTheme="minorEastAsia" w:eastAsiaTheme="minorEastAsia" w:cstheme="minorEastAsia"/>
          <w:snapToGrid w:val="0"/>
          <w:color w:val="auto"/>
          <w:spacing w:val="15"/>
          <w:sz w:val="28"/>
          <w:szCs w:val="28"/>
          <w:highlight w:val="none"/>
        </w:rPr>
        <w:t>——改造后常驻人员数；</w:t>
      </w:r>
    </w:p>
    <w:p w14:paraId="0597BF5B">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i/>
          <w:iCs/>
          <w:snapToGrid w:val="0"/>
          <w:color w:val="auto"/>
          <w:sz w:val="28"/>
          <w:szCs w:val="28"/>
          <w:highlight w:val="none"/>
        </w:rPr>
        <w:t>P</w:t>
      </w:r>
      <w:r>
        <w:rPr>
          <w:rFonts w:hint="eastAsia" w:asciiTheme="minorEastAsia" w:hAnsiTheme="minorEastAsia" w:eastAsiaTheme="minorEastAsia" w:cstheme="minorEastAsia"/>
          <w:snapToGrid w:val="0"/>
          <w:color w:val="auto"/>
          <w:position w:val="-2"/>
          <w:sz w:val="28"/>
          <w:szCs w:val="28"/>
          <w:highlight w:val="none"/>
          <w:vertAlign w:val="subscript"/>
        </w:rPr>
        <w:t>before</w:t>
      </w:r>
      <w:r>
        <w:rPr>
          <w:rFonts w:hint="eastAsia" w:asciiTheme="minorEastAsia" w:hAnsiTheme="minorEastAsia" w:eastAsiaTheme="minorEastAsia" w:cstheme="minorEastAsia"/>
          <w:snapToGrid w:val="0"/>
          <w:color w:val="auto"/>
          <w:spacing w:val="22"/>
          <w:sz w:val="28"/>
          <w:szCs w:val="28"/>
          <w:highlight w:val="none"/>
        </w:rPr>
        <w:t>——改造前常驻人员数，为××人。</w:t>
      </w:r>
    </w:p>
    <w:p w14:paraId="300C2AEA">
      <w:pPr>
        <w:widowControl/>
        <w:autoSpaceDE w:val="0"/>
        <w:autoSpaceDN w:val="0"/>
        <w:adjustRightInd w:val="0"/>
        <w:snapToGrid w:val="0"/>
        <w:spacing w:line="480" w:lineRule="exact"/>
        <w:ind w:firstLine="62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5"/>
          <w:kern w:val="0"/>
          <w:sz w:val="28"/>
          <w:szCs w:val="28"/>
          <w:highlight w:val="none"/>
        </w:rPr>
        <w:t>3.空调正常工作时间变化调整规则</w:t>
      </w:r>
    </w:p>
    <w:p w14:paraId="48F521CC">
      <w:pPr>
        <w:widowControl/>
        <w:autoSpaceDE w:val="0"/>
        <w:autoSpaceDN w:val="0"/>
        <w:adjustRightInd w:val="0"/>
        <w:snapToGrid w:val="0"/>
        <w:spacing w:line="480" w:lineRule="exact"/>
        <w:ind w:firstLine="65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24"/>
          <w:kern w:val="0"/>
          <w:sz w:val="28"/>
          <w:szCs w:val="28"/>
          <w:highlight w:val="none"/>
        </w:rPr>
        <w:t>本大楼正常工作时间为周一至周五，每天××点到××点。若大楼办公区域功能发生改变导致正常</w:t>
      </w:r>
      <w:r>
        <w:rPr>
          <w:rFonts w:hint="eastAsia" w:asciiTheme="minorEastAsia" w:hAnsiTheme="minorEastAsia" w:eastAsiaTheme="minorEastAsia" w:cstheme="minorEastAsia"/>
          <w:snapToGrid w:val="0"/>
          <w:color w:val="auto"/>
          <w:spacing w:val="15"/>
          <w:kern w:val="0"/>
          <w:sz w:val="28"/>
          <w:szCs w:val="28"/>
          <w:highlight w:val="none"/>
        </w:rPr>
        <w:t>工作时间延长，应按照工作时间延长相应调整能源基准及节能</w:t>
      </w:r>
      <w:r>
        <w:rPr>
          <w:rFonts w:hint="eastAsia" w:asciiTheme="minorEastAsia" w:hAnsiTheme="minorEastAsia" w:eastAsiaTheme="minorEastAsia" w:cstheme="minorEastAsia"/>
          <w:snapToGrid w:val="0"/>
          <w:color w:val="auto"/>
          <w:spacing w:val="14"/>
          <w:kern w:val="0"/>
          <w:sz w:val="28"/>
          <w:szCs w:val="28"/>
          <w:highlight w:val="none"/>
        </w:rPr>
        <w:t>量。</w:t>
      </w:r>
    </w:p>
    <w:p w14:paraId="08DFA1B2">
      <w:pPr>
        <w:widowControl/>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4"/>
          <w:kern w:val="0"/>
          <w:sz w:val="28"/>
          <w:szCs w:val="28"/>
          <w:highlight w:val="none"/>
        </w:rPr>
        <w:t>4.空调设备容量变化调整规则</w:t>
      </w:r>
    </w:p>
    <w:p w14:paraId="1984AF7B">
      <w:pPr>
        <w:widowControl/>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7"/>
          <w:kern w:val="0"/>
          <w:sz w:val="28"/>
          <w:szCs w:val="28"/>
          <w:highlight w:val="none"/>
        </w:rPr>
        <w:t>新风及空调机组设备按照托管前确定的清单</w:t>
      </w:r>
      <w:r>
        <w:rPr>
          <w:rFonts w:hint="eastAsia" w:asciiTheme="minorEastAsia" w:hAnsiTheme="minorEastAsia" w:eastAsiaTheme="minorEastAsia" w:cstheme="minorEastAsia"/>
          <w:snapToGrid w:val="0"/>
          <w:color w:val="auto"/>
          <w:spacing w:val="16"/>
          <w:kern w:val="0"/>
          <w:sz w:val="28"/>
          <w:szCs w:val="28"/>
          <w:highlight w:val="none"/>
        </w:rPr>
        <w:t>为准。如果未来发生设备的扩容或者变更等情况，应由</w:t>
      </w:r>
      <w:r>
        <w:rPr>
          <w:rFonts w:hint="eastAsia" w:asciiTheme="minorEastAsia" w:hAnsiTheme="minorEastAsia" w:eastAsiaTheme="minorEastAsia" w:cstheme="minorEastAsia"/>
          <w:snapToGrid w:val="0"/>
          <w:color w:val="auto"/>
          <w:spacing w:val="18"/>
          <w:kern w:val="0"/>
          <w:sz w:val="28"/>
          <w:szCs w:val="28"/>
          <w:highlight w:val="none"/>
        </w:rPr>
        <w:t>双方协商重新根据实际情况调整电耗基准和节能量。</w:t>
      </w:r>
    </w:p>
    <w:p w14:paraId="7D63E7D2">
      <w:pPr>
        <w:widowControl/>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3"/>
          <w:kern w:val="0"/>
          <w:sz w:val="28"/>
          <w:szCs w:val="28"/>
          <w:highlight w:val="none"/>
        </w:rPr>
        <w:t>新风及空调机组如由于使用需求的变化（例如加班等或者其他</w:t>
      </w:r>
      <w:r>
        <w:rPr>
          <w:rFonts w:hint="eastAsia" w:asciiTheme="minorEastAsia" w:hAnsiTheme="minorEastAsia" w:eastAsiaTheme="minorEastAsia" w:cstheme="minorEastAsia"/>
          <w:snapToGrid w:val="0"/>
          <w:color w:val="auto"/>
          <w:spacing w:val="12"/>
          <w:kern w:val="0"/>
          <w:sz w:val="28"/>
          <w:szCs w:val="28"/>
          <w:highlight w:val="none"/>
        </w:rPr>
        <w:t>不可控因素）导致的明显延长，双方协</w:t>
      </w:r>
      <w:r>
        <w:rPr>
          <w:rFonts w:hint="eastAsia" w:asciiTheme="minorEastAsia" w:hAnsiTheme="minorEastAsia" w:eastAsiaTheme="minorEastAsia" w:cstheme="minorEastAsia"/>
          <w:snapToGrid w:val="0"/>
          <w:color w:val="auto"/>
          <w:spacing w:val="15"/>
          <w:kern w:val="0"/>
          <w:sz w:val="28"/>
          <w:szCs w:val="28"/>
          <w:highlight w:val="none"/>
        </w:rPr>
        <w:t>商重新确定电耗基准。</w:t>
      </w:r>
    </w:p>
    <w:p w14:paraId="7D51293A">
      <w:pPr>
        <w:widowControl/>
        <w:autoSpaceDE w:val="0"/>
        <w:autoSpaceDN w:val="0"/>
        <w:adjustRightInd w:val="0"/>
        <w:snapToGrid w:val="0"/>
        <w:spacing w:line="480" w:lineRule="exact"/>
        <w:ind w:firstLine="64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21"/>
          <w:kern w:val="0"/>
          <w:sz w:val="28"/>
          <w:szCs w:val="28"/>
          <w:highlight w:val="none"/>
        </w:rPr>
        <w:t>空调柜机及新风机的数量及设备清单见可研报告，其他设备见前文，未列</w:t>
      </w:r>
      <w:r>
        <w:rPr>
          <w:rFonts w:hint="eastAsia" w:asciiTheme="minorEastAsia" w:hAnsiTheme="minorEastAsia" w:eastAsiaTheme="minorEastAsia" w:cstheme="minorEastAsia"/>
          <w:snapToGrid w:val="0"/>
          <w:color w:val="auto"/>
          <w:spacing w:val="20"/>
          <w:kern w:val="0"/>
          <w:sz w:val="28"/>
          <w:szCs w:val="28"/>
          <w:highlight w:val="none"/>
        </w:rPr>
        <w:t>设备参见竣工图和设备</w:t>
      </w:r>
      <w:r>
        <w:rPr>
          <w:rFonts w:hint="eastAsia" w:asciiTheme="minorEastAsia" w:hAnsiTheme="minorEastAsia" w:eastAsiaTheme="minorEastAsia" w:cstheme="minorEastAsia"/>
          <w:snapToGrid w:val="0"/>
          <w:color w:val="auto"/>
          <w:spacing w:val="5"/>
          <w:kern w:val="0"/>
          <w:sz w:val="28"/>
          <w:szCs w:val="28"/>
          <w:highlight w:val="none"/>
        </w:rPr>
        <w:t>清单。</w:t>
      </w:r>
    </w:p>
    <w:p w14:paraId="7F31366C">
      <w:pPr>
        <w:widowControl/>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若当前主要设备和系统（以合同正文和附件中</w:t>
      </w:r>
      <w:r>
        <w:rPr>
          <w:rFonts w:hint="eastAsia" w:asciiTheme="minorEastAsia" w:hAnsiTheme="minorEastAsia" w:eastAsiaTheme="minorEastAsia" w:cstheme="minorEastAsia"/>
          <w:snapToGrid w:val="0"/>
          <w:color w:val="auto"/>
          <w:spacing w:val="11"/>
          <w:kern w:val="0"/>
          <w:sz w:val="28"/>
          <w:szCs w:val="28"/>
          <w:highlight w:val="none"/>
        </w:rPr>
        <w:t>所述为准）发生改变，或部分系统实施升级改造、扩建</w:t>
      </w:r>
      <w:r>
        <w:rPr>
          <w:rFonts w:hint="eastAsia" w:asciiTheme="minorEastAsia" w:hAnsiTheme="minorEastAsia" w:eastAsiaTheme="minorEastAsia" w:cstheme="minorEastAsia"/>
          <w:snapToGrid w:val="0"/>
          <w:color w:val="auto"/>
          <w:spacing w:val="17"/>
          <w:kern w:val="0"/>
          <w:sz w:val="28"/>
          <w:szCs w:val="28"/>
          <w:highlight w:val="none"/>
        </w:rPr>
        <w:t>（例如照明系统和数据中心的空调系统等</w:t>
      </w:r>
      <w:r>
        <w:rPr>
          <w:rFonts w:hint="eastAsia" w:asciiTheme="minorEastAsia" w:hAnsiTheme="minorEastAsia" w:eastAsiaTheme="minorEastAsia" w:cstheme="minorEastAsia"/>
          <w:snapToGrid w:val="0"/>
          <w:color w:val="auto"/>
          <w:spacing w:val="-28"/>
          <w:w w:val="63"/>
          <w:kern w:val="0"/>
          <w:sz w:val="28"/>
          <w:szCs w:val="28"/>
          <w:highlight w:val="none"/>
        </w:rPr>
        <w:t>），</w:t>
      </w:r>
      <w:r>
        <w:rPr>
          <w:rFonts w:hint="eastAsia" w:asciiTheme="minorEastAsia" w:hAnsiTheme="minorEastAsia" w:eastAsiaTheme="minorEastAsia" w:cstheme="minorEastAsia"/>
          <w:snapToGrid w:val="0"/>
          <w:color w:val="auto"/>
          <w:spacing w:val="17"/>
          <w:kern w:val="0"/>
          <w:sz w:val="28"/>
          <w:szCs w:val="28"/>
          <w:highlight w:val="none"/>
        </w:rPr>
        <w:t>双方应重新评估计算电耗基</w:t>
      </w:r>
      <w:r>
        <w:rPr>
          <w:rFonts w:hint="eastAsia" w:asciiTheme="minorEastAsia" w:hAnsiTheme="minorEastAsia" w:eastAsiaTheme="minorEastAsia" w:cstheme="minorEastAsia"/>
          <w:snapToGrid w:val="0"/>
          <w:color w:val="auto"/>
          <w:spacing w:val="16"/>
          <w:kern w:val="0"/>
          <w:sz w:val="28"/>
          <w:szCs w:val="28"/>
          <w:highlight w:val="none"/>
        </w:rPr>
        <w:t>准，重新约定担保的节能量。</w:t>
      </w:r>
    </w:p>
    <w:p w14:paraId="3F5BFC6F">
      <w:pPr>
        <w:widowControl/>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6"/>
          <w:kern w:val="0"/>
          <w:sz w:val="28"/>
          <w:szCs w:val="28"/>
          <w:highlight w:val="none"/>
        </w:rPr>
        <w:t>恒温恒湿空调设备以托管前设备为基准。在托管期内，涉及数据机房的改动均需提前通知节能服务</w:t>
      </w:r>
      <w:r>
        <w:rPr>
          <w:rFonts w:hint="eastAsia" w:asciiTheme="minorEastAsia" w:hAnsiTheme="minorEastAsia" w:eastAsiaTheme="minorEastAsia" w:cstheme="minorEastAsia"/>
          <w:snapToGrid w:val="0"/>
          <w:color w:val="auto"/>
          <w:spacing w:val="15"/>
          <w:kern w:val="0"/>
          <w:sz w:val="28"/>
          <w:szCs w:val="28"/>
          <w:highlight w:val="none"/>
        </w:rPr>
        <w:t>公司。由于数据机房功能变化、设备增加等导致的恒温恒湿设备的扩</w:t>
      </w:r>
      <w:r>
        <w:rPr>
          <w:rFonts w:hint="eastAsia" w:asciiTheme="minorEastAsia" w:hAnsiTheme="minorEastAsia" w:eastAsiaTheme="minorEastAsia" w:cstheme="minorEastAsia"/>
          <w:snapToGrid w:val="0"/>
          <w:color w:val="auto"/>
          <w:spacing w:val="14"/>
          <w:kern w:val="0"/>
          <w:sz w:val="28"/>
          <w:szCs w:val="28"/>
          <w:highlight w:val="none"/>
        </w:rPr>
        <w:t>容或者改造等一切变化，影响电耗</w:t>
      </w:r>
      <w:r>
        <w:rPr>
          <w:rFonts w:hint="eastAsia" w:asciiTheme="minorEastAsia" w:hAnsiTheme="minorEastAsia" w:eastAsiaTheme="minorEastAsia" w:cstheme="minorEastAsia"/>
          <w:snapToGrid w:val="0"/>
          <w:color w:val="auto"/>
          <w:spacing w:val="12"/>
          <w:kern w:val="0"/>
          <w:sz w:val="28"/>
          <w:szCs w:val="28"/>
          <w:highlight w:val="none"/>
        </w:rPr>
        <w:t>基准和节能量时，双方需重新协商电耗基准。</w:t>
      </w:r>
    </w:p>
    <w:p w14:paraId="2F59835C">
      <w:pPr>
        <w:widowControl/>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6"/>
          <w:kern w:val="0"/>
          <w:sz w:val="28"/>
          <w:szCs w:val="28"/>
          <w:highlight w:val="none"/>
        </w:rPr>
        <w:t>5.建筑用能变化导致空调负荷变化调整规则</w:t>
      </w:r>
    </w:p>
    <w:p w14:paraId="4B3DB161">
      <w:pPr>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7"/>
          <w:sz w:val="28"/>
          <w:szCs w:val="28"/>
          <w:highlight w:val="none"/>
        </w:rPr>
        <w:t>由于以上第1条~第4条发生调整，应对制冷站能源基准进行调整。</w:t>
      </w:r>
      <w:r>
        <w:rPr>
          <w:rFonts w:hint="eastAsia" w:asciiTheme="minorEastAsia" w:hAnsiTheme="minorEastAsia" w:eastAsiaTheme="minorEastAsia" w:cstheme="minorEastAsia"/>
          <w:snapToGrid w:val="0"/>
          <w:color w:val="auto"/>
          <w:spacing w:val="17"/>
          <w:sz w:val="28"/>
          <w:szCs w:val="28"/>
          <w:highlight w:val="none"/>
          <w:lang w:eastAsia="en-US"/>
        </w:rPr>
        <w:t>改造前一年制冷站</w:t>
      </w:r>
      <w:r>
        <w:rPr>
          <w:rFonts w:hint="eastAsia" w:asciiTheme="minorEastAsia" w:hAnsiTheme="minorEastAsia" w:eastAsiaTheme="minorEastAsia" w:cstheme="minorEastAsia"/>
          <w:snapToGrid w:val="0"/>
          <w:color w:val="auto"/>
          <w:spacing w:val="16"/>
          <w:sz w:val="28"/>
          <w:szCs w:val="28"/>
          <w:highlight w:val="none"/>
          <w:lang w:eastAsia="en-US"/>
        </w:rPr>
        <w:t>能源基准数</w:t>
      </w:r>
      <w:r>
        <w:rPr>
          <w:rFonts w:hint="eastAsia" w:asciiTheme="minorEastAsia" w:hAnsiTheme="minorEastAsia" w:eastAsiaTheme="minorEastAsia" w:cstheme="minorEastAsia"/>
          <w:snapToGrid w:val="0"/>
          <w:color w:val="auto"/>
          <w:spacing w:val="17"/>
          <w:position w:val="1"/>
          <w:sz w:val="28"/>
          <w:szCs w:val="28"/>
          <w:highlight w:val="none"/>
          <w:lang w:eastAsia="en-US"/>
        </w:rPr>
        <w:t>据</w:t>
      </w:r>
      <w:r>
        <w:rPr>
          <w:rFonts w:hint="eastAsia" w:asciiTheme="minorEastAsia" w:hAnsiTheme="minorEastAsia" w:eastAsiaTheme="minorEastAsia" w:cstheme="minorEastAsia"/>
          <w:i/>
          <w:iCs/>
          <w:snapToGrid w:val="0"/>
          <w:color w:val="auto"/>
          <w:position w:val="1"/>
          <w:sz w:val="28"/>
          <w:szCs w:val="28"/>
          <w:highlight w:val="none"/>
          <w:lang w:eastAsia="en-US"/>
        </w:rPr>
        <w:t>E</w:t>
      </w:r>
      <w:r>
        <w:rPr>
          <w:rFonts w:hint="eastAsia" w:asciiTheme="minorEastAsia" w:hAnsiTheme="minorEastAsia" w:eastAsiaTheme="minorEastAsia" w:cstheme="minorEastAsia"/>
          <w:snapToGrid w:val="0"/>
          <w:color w:val="auto"/>
          <w:sz w:val="28"/>
          <w:szCs w:val="28"/>
          <w:highlight w:val="none"/>
          <w:lang w:eastAsia="en-US"/>
        </w:rPr>
        <w:t>chiller</w:t>
      </w:r>
      <w:r>
        <w:rPr>
          <w:rFonts w:hint="eastAsia" w:asciiTheme="minorEastAsia" w:hAnsiTheme="minorEastAsia" w:eastAsiaTheme="minorEastAsia" w:cstheme="minorEastAsia"/>
          <w:snapToGrid w:val="0"/>
          <w:color w:val="auto"/>
          <w:spacing w:val="17"/>
          <w:sz w:val="28"/>
          <w:szCs w:val="28"/>
          <w:highlight w:val="none"/>
          <w:lang w:eastAsia="en-US"/>
        </w:rPr>
        <w:t>⁃</w:t>
      </w:r>
      <w:r>
        <w:rPr>
          <w:rFonts w:hint="eastAsia" w:asciiTheme="minorEastAsia" w:hAnsiTheme="minorEastAsia" w:eastAsiaTheme="minorEastAsia" w:cstheme="minorEastAsia"/>
          <w:snapToGrid w:val="0"/>
          <w:color w:val="auto"/>
          <w:sz w:val="28"/>
          <w:szCs w:val="28"/>
          <w:highlight w:val="none"/>
          <w:lang w:eastAsia="en-US"/>
        </w:rPr>
        <w:t>base</w:t>
      </w:r>
      <w:r>
        <w:rPr>
          <w:rFonts w:hint="eastAsia" w:asciiTheme="minorEastAsia" w:hAnsiTheme="minorEastAsia" w:eastAsiaTheme="minorEastAsia" w:cstheme="minorEastAsia"/>
          <w:snapToGrid w:val="0"/>
          <w:color w:val="auto"/>
          <w:spacing w:val="17"/>
          <w:sz w:val="28"/>
          <w:szCs w:val="28"/>
          <w:highlight w:val="none"/>
          <w:lang w:eastAsia="en-US"/>
        </w:rPr>
        <w:t>0</w:t>
      </w:r>
      <w:r>
        <w:rPr>
          <w:rFonts w:hint="eastAsia" w:asciiTheme="minorEastAsia" w:hAnsiTheme="minorEastAsia" w:eastAsiaTheme="minorEastAsia" w:cstheme="minorEastAsia"/>
          <w:snapToGrid w:val="0"/>
          <w:color w:val="auto"/>
          <w:spacing w:val="17"/>
          <w:position w:val="1"/>
          <w:sz w:val="28"/>
          <w:szCs w:val="28"/>
          <w:highlight w:val="none"/>
          <w:lang w:eastAsia="en-US"/>
        </w:rPr>
        <w:t>：</w:t>
      </w:r>
    </w:p>
    <w:tbl>
      <w:tblPr>
        <w:tblStyle w:val="109"/>
        <w:tblW w:w="9347" w:type="dxa"/>
        <w:tblInd w:w="74"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4610"/>
        <w:gridCol w:w="4737"/>
      </w:tblGrid>
      <w:tr w14:paraId="39DE1C2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4610" w:type="dxa"/>
            <w:tcBorders>
              <w:right w:val="single" w:color="231F20" w:sz="2" w:space="0"/>
            </w:tcBorders>
            <w:vAlign w:val="center"/>
          </w:tcPr>
          <w:p w14:paraId="3187F346">
            <w:pPr>
              <w:widowControl/>
              <w:autoSpaceDE w:val="0"/>
              <w:autoSpaceDN w:val="0"/>
              <w:adjustRightInd w:val="0"/>
              <w:snapToGrid w:val="0"/>
              <w:spacing w:line="480" w:lineRule="exact"/>
              <w:ind w:firstLine="864"/>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41"/>
                <w:w w:val="125"/>
                <w:kern w:val="0"/>
                <w:sz w:val="28"/>
                <w:szCs w:val="28"/>
                <w:highlight w:val="none"/>
                <w:lang w:eastAsia="en-US"/>
              </w:rPr>
              <w:t>××××年</w:t>
            </w:r>
          </w:p>
        </w:tc>
        <w:tc>
          <w:tcPr>
            <w:tcW w:w="4737" w:type="dxa"/>
            <w:tcBorders>
              <w:left w:val="single" w:color="231F20" w:sz="2" w:space="0"/>
            </w:tcBorders>
            <w:vAlign w:val="center"/>
          </w:tcPr>
          <w:p w14:paraId="0DAD14C2">
            <w:pPr>
              <w:widowControl/>
              <w:autoSpaceDE w:val="0"/>
              <w:autoSpaceDN w:val="0"/>
              <w:adjustRightInd w:val="0"/>
              <w:snapToGrid w:val="0"/>
              <w:spacing w:line="480" w:lineRule="exact"/>
              <w:ind w:firstLine="580"/>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5"/>
                <w:kern w:val="0"/>
                <w:sz w:val="28"/>
                <w:szCs w:val="28"/>
                <w:highlight w:val="none"/>
                <w:lang w:eastAsia="en-US"/>
              </w:rPr>
              <w:t>2023年</w:t>
            </w:r>
          </w:p>
        </w:tc>
      </w:tr>
      <w:tr w14:paraId="77C4041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4610" w:type="dxa"/>
            <w:tcBorders>
              <w:right w:val="single" w:color="231F20" w:sz="2" w:space="0"/>
            </w:tcBorders>
            <w:vAlign w:val="center"/>
          </w:tcPr>
          <w:p w14:paraId="62C30EAF">
            <w:pPr>
              <w:widowControl/>
              <w:autoSpaceDE w:val="0"/>
              <w:autoSpaceDN w:val="0"/>
              <w:adjustRightInd w:val="0"/>
              <w:snapToGrid w:val="0"/>
              <w:spacing w:line="480" w:lineRule="exact"/>
              <w:ind w:firstLine="596"/>
              <w:jc w:val="center"/>
              <w:textAlignment w:val="baseline"/>
              <w:rPr>
                <w:rFonts w:asciiTheme="minorEastAsia" w:hAnsiTheme="minorEastAsia" w:eastAsiaTheme="minorEastAsia" w:cstheme="minorEastAsia"/>
                <w:snapToGrid w:val="0"/>
                <w:color w:val="auto"/>
                <w:kern w:val="0"/>
                <w:sz w:val="28"/>
                <w:szCs w:val="28"/>
                <w:highlight w:val="none"/>
                <w:lang w:eastAsia="zh-CN"/>
              </w:rPr>
            </w:pPr>
            <w:r>
              <w:rPr>
                <w:rFonts w:hint="eastAsia" w:asciiTheme="minorEastAsia" w:hAnsiTheme="minorEastAsia" w:eastAsiaTheme="minorEastAsia" w:cstheme="minorEastAsia"/>
                <w:snapToGrid w:val="0"/>
                <w:color w:val="auto"/>
                <w:spacing w:val="9"/>
                <w:kern w:val="0"/>
                <w:sz w:val="28"/>
                <w:szCs w:val="28"/>
                <w:highlight w:val="none"/>
                <w:lang w:eastAsia="zh-CN"/>
              </w:rPr>
              <w:t>制冷站用电量（万</w:t>
            </w:r>
            <w:r>
              <w:rPr>
                <w:rFonts w:hint="eastAsia" w:asciiTheme="minorEastAsia" w:hAnsiTheme="minorEastAsia" w:eastAsiaTheme="minorEastAsia" w:cstheme="minorEastAsia"/>
                <w:snapToGrid w:val="0"/>
                <w:color w:val="auto"/>
                <w:kern w:val="0"/>
                <w:sz w:val="28"/>
                <w:szCs w:val="28"/>
                <w:highlight w:val="none"/>
                <w:lang w:eastAsia="zh-CN"/>
              </w:rPr>
              <w:t>kWh</w:t>
            </w:r>
            <w:r>
              <w:rPr>
                <w:rFonts w:hint="eastAsia" w:asciiTheme="minorEastAsia" w:hAnsiTheme="minorEastAsia" w:eastAsiaTheme="minorEastAsia" w:cstheme="minorEastAsia"/>
                <w:snapToGrid w:val="0"/>
                <w:color w:val="auto"/>
                <w:spacing w:val="9"/>
                <w:kern w:val="0"/>
                <w:sz w:val="28"/>
                <w:szCs w:val="28"/>
                <w:highlight w:val="none"/>
                <w:lang w:eastAsia="zh-CN"/>
              </w:rPr>
              <w:t>）</w:t>
            </w:r>
          </w:p>
        </w:tc>
        <w:tc>
          <w:tcPr>
            <w:tcW w:w="4737" w:type="dxa"/>
            <w:tcBorders>
              <w:left w:val="single" w:color="231F20" w:sz="2" w:space="0"/>
            </w:tcBorders>
            <w:vAlign w:val="center"/>
          </w:tcPr>
          <w:p w14:paraId="253F9805">
            <w:pPr>
              <w:widowControl/>
              <w:autoSpaceDE w:val="0"/>
              <w:autoSpaceDN w:val="0"/>
              <w:adjustRightInd w:val="0"/>
              <w:snapToGrid w:val="0"/>
              <w:spacing w:line="480" w:lineRule="exact"/>
              <w:ind w:firstLine="888"/>
              <w:jc w:val="center"/>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47"/>
                <w:w w:val="125"/>
                <w:kern w:val="0"/>
                <w:position w:val="2"/>
                <w:sz w:val="28"/>
                <w:szCs w:val="28"/>
                <w:highlight w:val="none"/>
                <w:lang w:eastAsia="en-US"/>
              </w:rPr>
              <w:t>××</w:t>
            </w:r>
          </w:p>
        </w:tc>
      </w:tr>
    </w:tbl>
    <w:p w14:paraId="21976273">
      <w:pPr>
        <w:widowControl/>
        <w:autoSpaceDE w:val="0"/>
        <w:autoSpaceDN w:val="0"/>
        <w:adjustRightInd w:val="0"/>
        <w:snapToGrid w:val="0"/>
        <w:spacing w:line="480" w:lineRule="exact"/>
        <w:ind w:firstLine="62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5"/>
          <w:kern w:val="0"/>
          <w:sz w:val="28"/>
          <w:szCs w:val="28"/>
          <w:highlight w:val="none"/>
        </w:rPr>
        <w:t>托管后将增加多功能电表计量制冷站电量。实时记录，并逐月统计，由于上面多种因素所引起的制</w:t>
      </w:r>
      <w:r>
        <w:rPr>
          <w:rFonts w:hint="eastAsia" w:asciiTheme="minorEastAsia" w:hAnsiTheme="minorEastAsia" w:eastAsiaTheme="minorEastAsia" w:cstheme="minorEastAsia"/>
          <w:snapToGrid w:val="0"/>
          <w:color w:val="auto"/>
          <w:spacing w:val="18"/>
          <w:kern w:val="0"/>
          <w:sz w:val="28"/>
          <w:szCs w:val="28"/>
          <w:highlight w:val="none"/>
        </w:rPr>
        <w:t>冷站基准能耗及总电耗基准变化按如下公式进行调整：</w:t>
      </w:r>
    </w:p>
    <w:p w14:paraId="1DED73B6">
      <w:pPr>
        <w:autoSpaceDE w:val="0"/>
        <w:autoSpaceDN w:val="0"/>
        <w:adjustRightInd w:val="0"/>
        <w:snapToGrid w:val="0"/>
        <w:spacing w:line="480" w:lineRule="exact"/>
        <w:ind w:firstLine="660" w:firstLineChars="200"/>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i/>
          <w:iCs/>
          <w:snapToGrid w:val="0"/>
          <w:color w:val="auto"/>
          <w:spacing w:val="7"/>
          <w:w w:val="113"/>
          <w:position w:val="1"/>
          <w:sz w:val="28"/>
          <w:szCs w:val="28"/>
          <w:highlight w:val="none"/>
          <w:lang w:eastAsia="en-US"/>
        </w:rPr>
        <w:t>E</w:t>
      </w:r>
      <w:r>
        <w:rPr>
          <w:rFonts w:hint="eastAsia" w:asciiTheme="minorEastAsia" w:hAnsiTheme="minorEastAsia" w:eastAsiaTheme="minorEastAsia" w:cstheme="minorEastAsia"/>
          <w:snapToGrid w:val="0"/>
          <w:color w:val="auto"/>
          <w:spacing w:val="7"/>
          <w:w w:val="113"/>
          <w:sz w:val="28"/>
          <w:szCs w:val="28"/>
          <w:highlight w:val="none"/>
          <w:vertAlign w:val="subscript"/>
          <w:lang w:eastAsia="en-US"/>
        </w:rPr>
        <w:t>chiller</w:t>
      </w:r>
      <w:r>
        <w:rPr>
          <w:rFonts w:hint="eastAsia" w:asciiTheme="minorEastAsia" w:hAnsiTheme="minorEastAsia" w:eastAsiaTheme="minorEastAsia" w:cstheme="minorEastAsia"/>
          <w:snapToGrid w:val="0"/>
          <w:color w:val="auto"/>
          <w:spacing w:val="7"/>
          <w:w w:val="113"/>
          <w:sz w:val="28"/>
          <w:szCs w:val="28"/>
          <w:highlight w:val="none"/>
          <w:vertAlign w:val="subscript"/>
        </w:rPr>
        <w:t>-</w:t>
      </w:r>
      <w:r>
        <w:rPr>
          <w:rFonts w:hint="eastAsia" w:asciiTheme="minorEastAsia" w:hAnsiTheme="minorEastAsia" w:eastAsiaTheme="minorEastAsia" w:cstheme="minorEastAsia"/>
          <w:snapToGrid w:val="0"/>
          <w:color w:val="auto"/>
          <w:spacing w:val="7"/>
          <w:w w:val="113"/>
          <w:sz w:val="28"/>
          <w:szCs w:val="28"/>
          <w:highlight w:val="none"/>
          <w:vertAlign w:val="subscript"/>
          <w:lang w:eastAsia="en-US"/>
        </w:rPr>
        <w:t>base</w:t>
      </w:r>
      <w:r>
        <w:rPr>
          <w:rFonts w:hint="eastAsia" w:asciiTheme="minorEastAsia" w:hAnsiTheme="minorEastAsia" w:eastAsiaTheme="minorEastAsia" w:cstheme="minorEastAsia"/>
          <w:snapToGrid w:val="0"/>
          <w:color w:val="auto"/>
          <w:spacing w:val="7"/>
          <w:w w:val="113"/>
          <w:position w:val="1"/>
          <w:sz w:val="28"/>
          <w:szCs w:val="28"/>
          <w:highlight w:val="none"/>
          <w:lang w:eastAsia="en-US"/>
        </w:rPr>
        <w:t>=</w:t>
      </w:r>
      <w:r>
        <w:rPr>
          <w:rFonts w:hint="eastAsia" w:asciiTheme="minorEastAsia" w:hAnsiTheme="minorEastAsia" w:eastAsiaTheme="minorEastAsia" w:cstheme="minorEastAsia"/>
          <w:i/>
          <w:iCs/>
          <w:snapToGrid w:val="0"/>
          <w:color w:val="auto"/>
          <w:spacing w:val="7"/>
          <w:w w:val="113"/>
          <w:position w:val="1"/>
          <w:sz w:val="28"/>
          <w:szCs w:val="28"/>
          <w:highlight w:val="none"/>
          <w:lang w:eastAsia="en-US"/>
        </w:rPr>
        <w:t>K</w:t>
      </w:r>
      <w:r>
        <w:rPr>
          <w:rFonts w:hint="eastAsia" w:asciiTheme="minorEastAsia" w:hAnsiTheme="minorEastAsia" w:eastAsiaTheme="minorEastAsia" w:cstheme="minorEastAsia"/>
          <w:snapToGrid w:val="0"/>
          <w:color w:val="auto"/>
          <w:spacing w:val="7"/>
          <w:w w:val="113"/>
          <w:position w:val="-1"/>
          <w:sz w:val="28"/>
          <w:szCs w:val="28"/>
          <w:highlight w:val="none"/>
          <w:vertAlign w:val="subscript"/>
          <w:lang w:eastAsia="en-US"/>
        </w:rPr>
        <w:t>A</w:t>
      </w:r>
      <w:r>
        <w:rPr>
          <w:rFonts w:hint="eastAsia" w:asciiTheme="minorEastAsia" w:hAnsiTheme="minorEastAsia" w:eastAsiaTheme="minorEastAsia" w:cstheme="minorEastAsia"/>
          <w:snapToGrid w:val="0"/>
          <w:color w:val="auto"/>
          <w:spacing w:val="7"/>
          <w:w w:val="113"/>
          <w:position w:val="1"/>
          <w:sz w:val="28"/>
          <w:szCs w:val="28"/>
          <w:highlight w:val="none"/>
          <w:lang w:eastAsia="en-US"/>
        </w:rPr>
        <w:t>×</w:t>
      </w:r>
      <w:r>
        <w:rPr>
          <w:rFonts w:hint="eastAsia" w:asciiTheme="minorEastAsia" w:hAnsiTheme="minorEastAsia" w:eastAsiaTheme="minorEastAsia" w:cstheme="minorEastAsia"/>
          <w:i/>
          <w:iCs/>
          <w:snapToGrid w:val="0"/>
          <w:color w:val="auto"/>
          <w:spacing w:val="7"/>
          <w:w w:val="113"/>
          <w:position w:val="1"/>
          <w:sz w:val="28"/>
          <w:szCs w:val="28"/>
          <w:highlight w:val="none"/>
          <w:lang w:eastAsia="en-US"/>
        </w:rPr>
        <w:t>K</w:t>
      </w:r>
      <w:r>
        <w:rPr>
          <w:rFonts w:hint="eastAsia" w:asciiTheme="minorEastAsia" w:hAnsiTheme="minorEastAsia" w:eastAsiaTheme="minorEastAsia" w:cstheme="minorEastAsia"/>
          <w:snapToGrid w:val="0"/>
          <w:color w:val="auto"/>
          <w:spacing w:val="7"/>
          <w:w w:val="113"/>
          <w:position w:val="-1"/>
          <w:sz w:val="28"/>
          <w:szCs w:val="28"/>
          <w:highlight w:val="none"/>
          <w:vertAlign w:val="subscript"/>
          <w:lang w:eastAsia="en-US"/>
        </w:rPr>
        <w:t>cool</w:t>
      </w:r>
      <w:r>
        <w:rPr>
          <w:rFonts w:hint="eastAsia" w:asciiTheme="minorEastAsia" w:hAnsiTheme="minorEastAsia" w:eastAsiaTheme="minorEastAsia" w:cstheme="minorEastAsia"/>
          <w:snapToGrid w:val="0"/>
          <w:color w:val="auto"/>
          <w:spacing w:val="7"/>
          <w:w w:val="113"/>
          <w:position w:val="1"/>
          <w:sz w:val="28"/>
          <w:szCs w:val="28"/>
          <w:highlight w:val="none"/>
          <w:lang w:eastAsia="en-US"/>
        </w:rPr>
        <w:t>×</w:t>
      </w:r>
      <w:r>
        <w:rPr>
          <w:rFonts w:hint="eastAsia" w:asciiTheme="minorEastAsia" w:hAnsiTheme="minorEastAsia" w:eastAsiaTheme="minorEastAsia" w:cstheme="minorEastAsia"/>
          <w:i/>
          <w:iCs/>
          <w:snapToGrid w:val="0"/>
          <w:color w:val="auto"/>
          <w:spacing w:val="7"/>
          <w:w w:val="113"/>
          <w:position w:val="1"/>
          <w:sz w:val="28"/>
          <w:szCs w:val="28"/>
          <w:highlight w:val="none"/>
          <w:lang w:eastAsia="en-US"/>
        </w:rPr>
        <w:t>K</w:t>
      </w:r>
      <w:r>
        <w:rPr>
          <w:rFonts w:hint="eastAsia" w:asciiTheme="minorEastAsia" w:hAnsiTheme="minorEastAsia" w:eastAsiaTheme="minorEastAsia" w:cstheme="minorEastAsia"/>
          <w:snapToGrid w:val="0"/>
          <w:color w:val="auto"/>
          <w:spacing w:val="7"/>
          <w:w w:val="113"/>
          <w:position w:val="-1"/>
          <w:sz w:val="28"/>
          <w:szCs w:val="28"/>
          <w:highlight w:val="none"/>
          <w:vertAlign w:val="subscript"/>
          <w:lang w:eastAsia="en-US"/>
        </w:rPr>
        <w:t>P</w:t>
      </w:r>
      <w:r>
        <w:rPr>
          <w:rFonts w:hint="eastAsia" w:asciiTheme="minorEastAsia" w:hAnsiTheme="minorEastAsia" w:eastAsiaTheme="minorEastAsia" w:cstheme="minorEastAsia"/>
          <w:snapToGrid w:val="0"/>
          <w:color w:val="auto"/>
          <w:spacing w:val="7"/>
          <w:w w:val="113"/>
          <w:position w:val="1"/>
          <w:sz w:val="28"/>
          <w:szCs w:val="28"/>
          <w:highlight w:val="none"/>
          <w:lang w:eastAsia="en-US"/>
        </w:rPr>
        <w:t>×</w:t>
      </w:r>
      <w:r>
        <w:rPr>
          <w:rFonts w:hint="eastAsia" w:asciiTheme="minorEastAsia" w:hAnsiTheme="minorEastAsia" w:eastAsiaTheme="minorEastAsia" w:cstheme="minorEastAsia"/>
          <w:i/>
          <w:iCs/>
          <w:snapToGrid w:val="0"/>
          <w:color w:val="auto"/>
          <w:spacing w:val="7"/>
          <w:w w:val="113"/>
          <w:position w:val="1"/>
          <w:sz w:val="28"/>
          <w:szCs w:val="28"/>
          <w:highlight w:val="none"/>
          <w:lang w:eastAsia="en-US"/>
        </w:rPr>
        <w:t>K</w:t>
      </w:r>
      <w:r>
        <w:rPr>
          <w:rFonts w:hint="eastAsia" w:asciiTheme="minorEastAsia" w:hAnsiTheme="minorEastAsia" w:eastAsiaTheme="minorEastAsia" w:cstheme="minorEastAsia"/>
          <w:snapToGrid w:val="0"/>
          <w:color w:val="auto"/>
          <w:spacing w:val="7"/>
          <w:w w:val="113"/>
          <w:position w:val="-1"/>
          <w:sz w:val="28"/>
          <w:szCs w:val="28"/>
          <w:highlight w:val="none"/>
          <w:vertAlign w:val="subscript"/>
          <w:lang w:eastAsia="en-US"/>
        </w:rPr>
        <w:t>I</w:t>
      </w:r>
      <w:r>
        <w:rPr>
          <w:rFonts w:hint="eastAsia" w:asciiTheme="minorEastAsia" w:hAnsiTheme="minorEastAsia" w:eastAsiaTheme="minorEastAsia" w:cstheme="minorEastAsia"/>
          <w:snapToGrid w:val="0"/>
          <w:color w:val="auto"/>
          <w:spacing w:val="7"/>
          <w:w w:val="113"/>
          <w:position w:val="1"/>
          <w:sz w:val="28"/>
          <w:szCs w:val="28"/>
          <w:highlight w:val="none"/>
          <w:lang w:eastAsia="en-US"/>
        </w:rPr>
        <w:t>×</w:t>
      </w:r>
      <w:r>
        <w:rPr>
          <w:rFonts w:hint="eastAsia" w:asciiTheme="minorEastAsia" w:hAnsiTheme="minorEastAsia" w:eastAsiaTheme="minorEastAsia" w:cstheme="minorEastAsia"/>
          <w:i/>
          <w:iCs/>
          <w:snapToGrid w:val="0"/>
          <w:color w:val="auto"/>
          <w:spacing w:val="7"/>
          <w:w w:val="113"/>
          <w:position w:val="1"/>
          <w:sz w:val="28"/>
          <w:szCs w:val="28"/>
          <w:highlight w:val="none"/>
          <w:lang w:eastAsia="en-US"/>
        </w:rPr>
        <w:t>E</w:t>
      </w:r>
      <w:r>
        <w:rPr>
          <w:rFonts w:hint="eastAsia" w:asciiTheme="minorEastAsia" w:hAnsiTheme="minorEastAsia" w:eastAsiaTheme="minorEastAsia" w:cstheme="minorEastAsia"/>
          <w:snapToGrid w:val="0"/>
          <w:color w:val="auto"/>
          <w:spacing w:val="7"/>
          <w:w w:val="113"/>
          <w:sz w:val="28"/>
          <w:szCs w:val="28"/>
          <w:highlight w:val="none"/>
          <w:vertAlign w:val="subscript"/>
          <w:lang w:eastAsia="en-US"/>
        </w:rPr>
        <w:t>chiller</w:t>
      </w:r>
      <w:r>
        <w:rPr>
          <w:rFonts w:hint="eastAsia" w:asciiTheme="minorEastAsia" w:hAnsiTheme="minorEastAsia" w:eastAsiaTheme="minorEastAsia" w:cstheme="minorEastAsia"/>
          <w:snapToGrid w:val="0"/>
          <w:color w:val="auto"/>
          <w:spacing w:val="7"/>
          <w:w w:val="113"/>
          <w:sz w:val="28"/>
          <w:szCs w:val="28"/>
          <w:highlight w:val="none"/>
          <w:vertAlign w:val="subscript"/>
        </w:rPr>
        <w:t>-</w:t>
      </w:r>
      <w:r>
        <w:rPr>
          <w:rFonts w:hint="eastAsia" w:asciiTheme="minorEastAsia" w:hAnsiTheme="minorEastAsia" w:eastAsiaTheme="minorEastAsia" w:cstheme="minorEastAsia"/>
          <w:snapToGrid w:val="0"/>
          <w:color w:val="auto"/>
          <w:spacing w:val="7"/>
          <w:w w:val="113"/>
          <w:sz w:val="28"/>
          <w:szCs w:val="28"/>
          <w:highlight w:val="none"/>
          <w:vertAlign w:val="subscript"/>
          <w:lang w:eastAsia="en-US"/>
        </w:rPr>
        <w:t>base0</w:t>
      </w:r>
    </w:p>
    <w:p w14:paraId="6BA18377">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6"/>
          <w:kern w:val="0"/>
          <w:sz w:val="28"/>
          <w:szCs w:val="28"/>
          <w:highlight w:val="none"/>
          <w:lang w:eastAsia="en-US"/>
        </w:rPr>
        <w:t>式中：</w:t>
      </w:r>
    </w:p>
    <w:p w14:paraId="44D1BFAC">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pacing w:val="20"/>
          <w:sz w:val="28"/>
          <w:szCs w:val="28"/>
          <w:highlight w:val="none"/>
          <w:lang w:eastAsia="en-US"/>
        </w:rPr>
      </w:pPr>
      <w:r>
        <w:rPr>
          <w:rFonts w:hint="eastAsia" w:asciiTheme="minorEastAsia" w:hAnsiTheme="minorEastAsia" w:eastAsiaTheme="minorEastAsia" w:cstheme="minorEastAsia"/>
          <w:i/>
          <w:iCs/>
          <w:snapToGrid w:val="0"/>
          <w:color w:val="auto"/>
          <w:sz w:val="28"/>
          <w:szCs w:val="28"/>
          <w:highlight w:val="none"/>
          <w:lang w:eastAsia="en-US"/>
        </w:rPr>
        <w:t>E</w:t>
      </w:r>
      <w:r>
        <w:rPr>
          <w:rFonts w:hint="eastAsia" w:asciiTheme="minorEastAsia" w:hAnsiTheme="minorEastAsia" w:eastAsiaTheme="minorEastAsia" w:cstheme="minorEastAsia"/>
          <w:snapToGrid w:val="0"/>
          <w:color w:val="auto"/>
          <w:sz w:val="28"/>
          <w:szCs w:val="28"/>
          <w:highlight w:val="none"/>
          <w:vertAlign w:val="subscript"/>
          <w:lang w:eastAsia="en-US"/>
        </w:rPr>
        <w:t>chiller</w:t>
      </w:r>
      <w:r>
        <w:rPr>
          <w:rFonts w:hint="eastAsia" w:asciiTheme="minorEastAsia" w:hAnsiTheme="minorEastAsia" w:eastAsiaTheme="minorEastAsia" w:cstheme="minorEastAsia"/>
          <w:snapToGrid w:val="0"/>
          <w:color w:val="auto"/>
          <w:spacing w:val="20"/>
          <w:sz w:val="28"/>
          <w:szCs w:val="28"/>
          <w:highlight w:val="none"/>
          <w:vertAlign w:val="subscript"/>
        </w:rPr>
        <w:t>-</w:t>
      </w:r>
      <w:r>
        <w:rPr>
          <w:rFonts w:hint="eastAsia" w:asciiTheme="minorEastAsia" w:hAnsiTheme="minorEastAsia" w:eastAsiaTheme="minorEastAsia" w:cstheme="minorEastAsia"/>
          <w:snapToGrid w:val="0"/>
          <w:color w:val="auto"/>
          <w:sz w:val="28"/>
          <w:szCs w:val="28"/>
          <w:highlight w:val="none"/>
          <w:vertAlign w:val="subscript"/>
          <w:lang w:eastAsia="en-US"/>
        </w:rPr>
        <w:t>base</w:t>
      </w:r>
      <w:r>
        <w:rPr>
          <w:rFonts w:hint="eastAsia" w:asciiTheme="minorEastAsia" w:hAnsiTheme="minorEastAsia" w:eastAsiaTheme="minorEastAsia" w:cstheme="minorEastAsia"/>
          <w:snapToGrid w:val="0"/>
          <w:color w:val="auto"/>
          <w:spacing w:val="20"/>
          <w:sz w:val="28"/>
          <w:szCs w:val="28"/>
          <w:highlight w:val="none"/>
          <w:vertAlign w:val="subscript"/>
          <w:lang w:eastAsia="en-US"/>
        </w:rPr>
        <w:t>0</w:t>
      </w:r>
      <w:r>
        <w:rPr>
          <w:rFonts w:hint="eastAsia" w:asciiTheme="minorEastAsia" w:hAnsiTheme="minorEastAsia" w:eastAsiaTheme="minorEastAsia" w:cstheme="minorEastAsia"/>
          <w:snapToGrid w:val="0"/>
          <w:color w:val="auto"/>
          <w:spacing w:val="20"/>
          <w:sz w:val="28"/>
          <w:szCs w:val="28"/>
          <w:highlight w:val="none"/>
          <w:lang w:eastAsia="en-US"/>
        </w:rPr>
        <w:t>——制冷站用电量基准（基于合同签订前一年全年统计数据</w:t>
      </w:r>
      <w:r>
        <w:rPr>
          <w:rFonts w:hint="eastAsia" w:asciiTheme="minorEastAsia" w:hAnsiTheme="minorEastAsia" w:eastAsiaTheme="minorEastAsia" w:cstheme="minorEastAsia"/>
          <w:snapToGrid w:val="0"/>
          <w:color w:val="auto"/>
          <w:spacing w:val="-31"/>
          <w:w w:val="69"/>
          <w:sz w:val="28"/>
          <w:szCs w:val="28"/>
          <w:highlight w:val="none"/>
          <w:lang w:eastAsia="en-US"/>
        </w:rPr>
        <w:t>），</w:t>
      </w:r>
      <w:r>
        <w:rPr>
          <w:rFonts w:hint="eastAsia" w:asciiTheme="minorEastAsia" w:hAnsiTheme="minorEastAsia" w:eastAsiaTheme="minorEastAsia" w:cstheme="minorEastAsia"/>
          <w:snapToGrid w:val="0"/>
          <w:color w:val="auto"/>
          <w:spacing w:val="20"/>
          <w:sz w:val="28"/>
          <w:szCs w:val="28"/>
          <w:highlight w:val="none"/>
          <w:lang w:eastAsia="en-US"/>
        </w:rPr>
        <w:t>为××万</w:t>
      </w:r>
      <w:r>
        <w:rPr>
          <w:rFonts w:hint="eastAsia" w:asciiTheme="minorEastAsia" w:hAnsiTheme="minorEastAsia" w:eastAsiaTheme="minorEastAsia" w:cstheme="minorEastAsia"/>
          <w:snapToGrid w:val="0"/>
          <w:color w:val="auto"/>
          <w:sz w:val="28"/>
          <w:szCs w:val="28"/>
          <w:highlight w:val="none"/>
          <w:lang w:eastAsia="en-US"/>
        </w:rPr>
        <w:t>kWh</w:t>
      </w:r>
      <w:r>
        <w:rPr>
          <w:rFonts w:hint="eastAsia" w:asciiTheme="minorEastAsia" w:hAnsiTheme="minorEastAsia" w:eastAsiaTheme="minorEastAsia" w:cstheme="minorEastAsia"/>
          <w:snapToGrid w:val="0"/>
          <w:color w:val="auto"/>
          <w:spacing w:val="20"/>
          <w:sz w:val="28"/>
          <w:szCs w:val="28"/>
          <w:highlight w:val="none"/>
          <w:lang w:eastAsia="en-US"/>
        </w:rPr>
        <w:t>；</w:t>
      </w:r>
    </w:p>
    <w:p w14:paraId="169E5373">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i/>
          <w:iCs/>
          <w:snapToGrid w:val="0"/>
          <w:color w:val="auto"/>
          <w:sz w:val="28"/>
          <w:szCs w:val="28"/>
          <w:highlight w:val="none"/>
          <w:lang w:eastAsia="en-US"/>
        </w:rPr>
        <w:t>E</w:t>
      </w:r>
      <w:r>
        <w:rPr>
          <w:rFonts w:hint="eastAsia" w:asciiTheme="minorEastAsia" w:hAnsiTheme="minorEastAsia" w:eastAsiaTheme="minorEastAsia" w:cstheme="minorEastAsia"/>
          <w:snapToGrid w:val="0"/>
          <w:color w:val="auto"/>
          <w:sz w:val="28"/>
          <w:szCs w:val="28"/>
          <w:highlight w:val="none"/>
          <w:vertAlign w:val="subscript"/>
          <w:lang w:eastAsia="en-US"/>
        </w:rPr>
        <w:t>chiller</w:t>
      </w:r>
      <w:r>
        <w:rPr>
          <w:rFonts w:hint="eastAsia" w:asciiTheme="minorEastAsia" w:hAnsiTheme="minorEastAsia" w:eastAsiaTheme="minorEastAsia" w:cstheme="minorEastAsia"/>
          <w:snapToGrid w:val="0"/>
          <w:color w:val="auto"/>
          <w:spacing w:val="16"/>
          <w:sz w:val="28"/>
          <w:szCs w:val="28"/>
          <w:highlight w:val="none"/>
          <w:vertAlign w:val="subscript"/>
        </w:rPr>
        <w:t>-</w:t>
      </w:r>
      <w:r>
        <w:rPr>
          <w:rFonts w:hint="eastAsia" w:asciiTheme="minorEastAsia" w:hAnsiTheme="minorEastAsia" w:eastAsiaTheme="minorEastAsia" w:cstheme="minorEastAsia"/>
          <w:snapToGrid w:val="0"/>
          <w:color w:val="auto"/>
          <w:sz w:val="28"/>
          <w:szCs w:val="28"/>
          <w:highlight w:val="none"/>
          <w:vertAlign w:val="subscript"/>
          <w:lang w:eastAsia="en-US"/>
        </w:rPr>
        <w:t>base</w:t>
      </w:r>
      <w:r>
        <w:rPr>
          <w:rFonts w:hint="eastAsia" w:asciiTheme="minorEastAsia" w:hAnsiTheme="minorEastAsia" w:eastAsiaTheme="minorEastAsia" w:cstheme="minorEastAsia"/>
          <w:snapToGrid w:val="0"/>
          <w:color w:val="auto"/>
          <w:spacing w:val="16"/>
          <w:sz w:val="28"/>
          <w:szCs w:val="28"/>
          <w:highlight w:val="none"/>
          <w:lang w:eastAsia="en-US"/>
        </w:rPr>
        <w:t>——修正后制冷站用电量基</w:t>
      </w:r>
      <w:r>
        <w:rPr>
          <w:rFonts w:hint="eastAsia" w:asciiTheme="minorEastAsia" w:hAnsiTheme="minorEastAsia" w:eastAsiaTheme="minorEastAsia" w:cstheme="minorEastAsia"/>
          <w:snapToGrid w:val="0"/>
          <w:color w:val="auto"/>
          <w:spacing w:val="15"/>
          <w:sz w:val="28"/>
          <w:szCs w:val="28"/>
          <w:highlight w:val="none"/>
          <w:lang w:eastAsia="en-US"/>
        </w:rPr>
        <w:t>准；</w:t>
      </w:r>
    </w:p>
    <w:p w14:paraId="6BBE1893">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i/>
          <w:iCs/>
          <w:snapToGrid w:val="0"/>
          <w:color w:val="auto"/>
          <w:sz w:val="28"/>
          <w:szCs w:val="28"/>
          <w:highlight w:val="none"/>
          <w:lang w:eastAsia="en-US"/>
        </w:rPr>
        <w:t>K</w:t>
      </w:r>
      <w:r>
        <w:rPr>
          <w:rFonts w:hint="eastAsia" w:asciiTheme="minorEastAsia" w:hAnsiTheme="minorEastAsia" w:eastAsiaTheme="minorEastAsia" w:cstheme="minorEastAsia"/>
          <w:snapToGrid w:val="0"/>
          <w:color w:val="auto"/>
          <w:position w:val="-2"/>
          <w:sz w:val="28"/>
          <w:szCs w:val="28"/>
          <w:highlight w:val="none"/>
          <w:vertAlign w:val="subscript"/>
          <w:lang w:eastAsia="en-US"/>
        </w:rPr>
        <w:t>A</w:t>
      </w:r>
      <w:r>
        <w:rPr>
          <w:rFonts w:hint="eastAsia" w:asciiTheme="minorEastAsia" w:hAnsiTheme="minorEastAsia" w:eastAsiaTheme="minorEastAsia" w:cstheme="minorEastAsia"/>
          <w:snapToGrid w:val="0"/>
          <w:color w:val="auto"/>
          <w:spacing w:val="8"/>
          <w:sz w:val="28"/>
          <w:szCs w:val="28"/>
          <w:highlight w:val="none"/>
          <w:lang w:eastAsia="en-US"/>
        </w:rPr>
        <w:t>——空调面积修正系数；</w:t>
      </w:r>
    </w:p>
    <w:p w14:paraId="20B3D43A">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i/>
          <w:iCs/>
          <w:snapToGrid w:val="0"/>
          <w:color w:val="auto"/>
          <w:sz w:val="28"/>
          <w:szCs w:val="28"/>
          <w:highlight w:val="none"/>
        </w:rPr>
        <w:t>K</w:t>
      </w:r>
      <w:r>
        <w:rPr>
          <w:rFonts w:hint="eastAsia" w:asciiTheme="minorEastAsia" w:hAnsiTheme="minorEastAsia" w:eastAsiaTheme="minorEastAsia" w:cstheme="minorEastAsia"/>
          <w:snapToGrid w:val="0"/>
          <w:color w:val="auto"/>
          <w:position w:val="-2"/>
          <w:sz w:val="28"/>
          <w:szCs w:val="28"/>
          <w:highlight w:val="none"/>
          <w:vertAlign w:val="subscript"/>
        </w:rPr>
        <w:t>cool</w:t>
      </w:r>
      <w:r>
        <w:rPr>
          <w:rFonts w:hint="eastAsia" w:asciiTheme="minorEastAsia" w:hAnsiTheme="minorEastAsia" w:eastAsiaTheme="minorEastAsia" w:cstheme="minorEastAsia"/>
          <w:snapToGrid w:val="0"/>
          <w:color w:val="auto"/>
          <w:spacing w:val="9"/>
          <w:sz w:val="28"/>
          <w:szCs w:val="28"/>
          <w:highlight w:val="none"/>
        </w:rPr>
        <w:t>——室外天气修正系数；</w:t>
      </w:r>
    </w:p>
    <w:p w14:paraId="53F97169">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pacing w:val="6"/>
          <w:sz w:val="28"/>
          <w:szCs w:val="28"/>
          <w:highlight w:val="none"/>
        </w:rPr>
      </w:pPr>
      <w:r>
        <w:rPr>
          <w:rFonts w:hint="eastAsia" w:asciiTheme="minorEastAsia" w:hAnsiTheme="minorEastAsia" w:eastAsiaTheme="minorEastAsia" w:cstheme="minorEastAsia"/>
          <w:i/>
          <w:iCs/>
          <w:snapToGrid w:val="0"/>
          <w:color w:val="auto"/>
          <w:sz w:val="28"/>
          <w:szCs w:val="28"/>
          <w:highlight w:val="none"/>
        </w:rPr>
        <w:t>K</w:t>
      </w:r>
      <w:r>
        <w:rPr>
          <w:rFonts w:hint="eastAsia" w:asciiTheme="minorEastAsia" w:hAnsiTheme="minorEastAsia" w:eastAsiaTheme="minorEastAsia" w:cstheme="minorEastAsia"/>
          <w:snapToGrid w:val="0"/>
          <w:color w:val="auto"/>
          <w:position w:val="-2"/>
          <w:sz w:val="28"/>
          <w:szCs w:val="28"/>
          <w:highlight w:val="none"/>
          <w:vertAlign w:val="subscript"/>
        </w:rPr>
        <w:t>P</w:t>
      </w:r>
      <w:r>
        <w:rPr>
          <w:rFonts w:hint="eastAsia" w:asciiTheme="minorEastAsia" w:hAnsiTheme="minorEastAsia" w:eastAsiaTheme="minorEastAsia" w:cstheme="minorEastAsia"/>
          <w:snapToGrid w:val="0"/>
          <w:color w:val="auto"/>
          <w:spacing w:val="7"/>
          <w:sz w:val="28"/>
          <w:szCs w:val="28"/>
          <w:highlight w:val="none"/>
        </w:rPr>
        <w:t>—</w:t>
      </w:r>
      <w:r>
        <w:rPr>
          <w:rFonts w:hint="eastAsia" w:asciiTheme="minorEastAsia" w:hAnsiTheme="minorEastAsia" w:eastAsiaTheme="minorEastAsia" w:cstheme="minorEastAsia"/>
          <w:snapToGrid w:val="0"/>
          <w:color w:val="auto"/>
          <w:spacing w:val="6"/>
          <w:sz w:val="28"/>
          <w:szCs w:val="28"/>
          <w:highlight w:val="none"/>
        </w:rPr>
        <w:t>—常驻人员修正系数；</w:t>
      </w:r>
    </w:p>
    <w:p w14:paraId="69ABBE96">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i/>
          <w:iCs/>
          <w:snapToGrid w:val="0"/>
          <w:color w:val="auto"/>
          <w:sz w:val="28"/>
          <w:szCs w:val="28"/>
          <w:highlight w:val="none"/>
        </w:rPr>
        <w:t>K</w:t>
      </w:r>
      <w:r>
        <w:rPr>
          <w:rFonts w:hint="eastAsia" w:asciiTheme="minorEastAsia" w:hAnsiTheme="minorEastAsia" w:eastAsiaTheme="minorEastAsia" w:cstheme="minorEastAsia"/>
          <w:snapToGrid w:val="0"/>
          <w:color w:val="auto"/>
          <w:position w:val="-2"/>
          <w:sz w:val="28"/>
          <w:szCs w:val="28"/>
          <w:highlight w:val="none"/>
          <w:vertAlign w:val="subscript"/>
        </w:rPr>
        <w:t>I</w:t>
      </w:r>
      <w:r>
        <w:rPr>
          <w:rFonts w:hint="eastAsia" w:asciiTheme="minorEastAsia" w:hAnsiTheme="minorEastAsia" w:eastAsiaTheme="minorEastAsia" w:cstheme="minorEastAsia"/>
          <w:snapToGrid w:val="0"/>
          <w:color w:val="auto"/>
          <w:spacing w:val="6"/>
          <w:sz w:val="28"/>
          <w:szCs w:val="28"/>
          <w:highlight w:val="none"/>
        </w:rPr>
        <w:t>——其他修正系数。</w:t>
      </w:r>
    </w:p>
    <w:p w14:paraId="1677308E">
      <w:pPr>
        <w:widowControl/>
        <w:autoSpaceDE w:val="0"/>
        <w:autoSpaceDN w:val="0"/>
        <w:adjustRightInd w:val="0"/>
        <w:snapToGrid w:val="0"/>
        <w:spacing w:line="480" w:lineRule="exact"/>
        <w:ind w:firstLine="63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8"/>
          <w:kern w:val="0"/>
          <w:sz w:val="28"/>
          <w:szCs w:val="28"/>
          <w:highlight w:val="none"/>
        </w:rPr>
        <w:t>如果托管期内实际发生的电量与基准值的偏差≥±1%时，根据以上公式当月提出</w:t>
      </w:r>
      <w:r>
        <w:rPr>
          <w:rFonts w:hint="eastAsia" w:asciiTheme="minorEastAsia" w:hAnsiTheme="minorEastAsia" w:eastAsiaTheme="minorEastAsia" w:cstheme="minorEastAsia"/>
          <w:snapToGrid w:val="0"/>
          <w:color w:val="auto"/>
          <w:spacing w:val="17"/>
          <w:kern w:val="0"/>
          <w:sz w:val="28"/>
          <w:szCs w:val="28"/>
          <w:highlight w:val="none"/>
        </w:rPr>
        <w:t>对能源基准进行修</w:t>
      </w:r>
      <w:r>
        <w:rPr>
          <w:rFonts w:hint="eastAsia" w:asciiTheme="minorEastAsia" w:hAnsiTheme="minorEastAsia" w:eastAsiaTheme="minorEastAsia" w:cstheme="minorEastAsia"/>
          <w:snapToGrid w:val="0"/>
          <w:color w:val="auto"/>
          <w:spacing w:val="15"/>
          <w:kern w:val="0"/>
          <w:sz w:val="28"/>
          <w:szCs w:val="28"/>
          <w:highlight w:val="none"/>
        </w:rPr>
        <w:t>正；如果偏差&lt;±1%时，暂不修正，当累计偏差≥±1%时统一修正</w:t>
      </w:r>
      <w:r>
        <w:rPr>
          <w:rFonts w:hint="eastAsia" w:asciiTheme="minorEastAsia" w:hAnsiTheme="minorEastAsia" w:eastAsiaTheme="minorEastAsia" w:cstheme="minorEastAsia"/>
          <w:snapToGrid w:val="0"/>
          <w:color w:val="auto"/>
          <w:spacing w:val="14"/>
          <w:kern w:val="0"/>
          <w:sz w:val="28"/>
          <w:szCs w:val="28"/>
          <w:highlight w:val="none"/>
        </w:rPr>
        <w:t>。相关的修正参数计算方法详见前文。</w:t>
      </w:r>
    </w:p>
    <w:p w14:paraId="1E372531">
      <w:pPr>
        <w:widowControl/>
        <w:autoSpaceDE w:val="0"/>
        <w:autoSpaceDN w:val="0"/>
        <w:adjustRightInd w:val="0"/>
        <w:snapToGrid w:val="0"/>
        <w:spacing w:line="480" w:lineRule="exact"/>
        <w:ind w:firstLine="62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5"/>
          <w:kern w:val="0"/>
          <w:sz w:val="28"/>
          <w:szCs w:val="28"/>
          <w:highlight w:val="none"/>
        </w:rPr>
        <w:t>当实际运行时上述条件发生变化时，按照规</w:t>
      </w:r>
      <w:r>
        <w:rPr>
          <w:rFonts w:hint="eastAsia" w:asciiTheme="minorEastAsia" w:hAnsiTheme="minorEastAsia" w:eastAsiaTheme="minorEastAsia" w:cstheme="minorEastAsia"/>
          <w:snapToGrid w:val="0"/>
          <w:color w:val="auto"/>
          <w:spacing w:val="14"/>
          <w:kern w:val="0"/>
          <w:sz w:val="28"/>
          <w:szCs w:val="28"/>
          <w:highlight w:val="none"/>
        </w:rPr>
        <w:t>定的修正方法予以修正。</w:t>
      </w:r>
    </w:p>
    <w:p w14:paraId="2C87E260">
      <w:pPr>
        <w:widowControl/>
        <w:autoSpaceDE w:val="0"/>
        <w:autoSpaceDN w:val="0"/>
        <w:adjustRightInd w:val="0"/>
        <w:snapToGrid w:val="0"/>
        <w:spacing w:line="480" w:lineRule="exact"/>
        <w:ind w:firstLine="59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8"/>
          <w:kern w:val="0"/>
          <w:sz w:val="28"/>
          <w:szCs w:val="28"/>
          <w:highlight w:val="none"/>
        </w:rPr>
        <w:t>（二）一般用电设备电耗调整规则</w:t>
      </w:r>
    </w:p>
    <w:p w14:paraId="5A9F02EA">
      <w:pPr>
        <w:widowControl/>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4"/>
          <w:kern w:val="0"/>
          <w:sz w:val="28"/>
          <w:szCs w:val="28"/>
          <w:highlight w:val="none"/>
        </w:rPr>
        <w:t>1.一般用电设备能耗调整规则</w:t>
      </w:r>
    </w:p>
    <w:p w14:paraId="655F81C7">
      <w:pPr>
        <w:widowControl/>
        <w:autoSpaceDE w:val="0"/>
        <w:autoSpaceDN w:val="0"/>
        <w:adjustRightInd w:val="0"/>
        <w:snapToGrid w:val="0"/>
        <w:spacing w:line="480" w:lineRule="exact"/>
        <w:ind w:firstLine="59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9"/>
          <w:kern w:val="0"/>
          <w:sz w:val="28"/>
          <w:szCs w:val="28"/>
          <w:highlight w:val="none"/>
        </w:rPr>
        <w:t>双方以“可研报告”及登记造册的设备清单（合同签订1</w:t>
      </w:r>
      <w:r>
        <w:rPr>
          <w:rFonts w:hint="eastAsia" w:asciiTheme="minorEastAsia" w:hAnsiTheme="minorEastAsia" w:eastAsiaTheme="minorEastAsia" w:cstheme="minorEastAsia"/>
          <w:snapToGrid w:val="0"/>
          <w:color w:val="auto"/>
          <w:spacing w:val="8"/>
          <w:kern w:val="0"/>
          <w:sz w:val="28"/>
          <w:szCs w:val="28"/>
          <w:highlight w:val="none"/>
        </w:rPr>
        <w:t>2个月以前）为基准，托管电量根据实际增加</w:t>
      </w:r>
      <w:r>
        <w:rPr>
          <w:rFonts w:hint="eastAsia" w:asciiTheme="minorEastAsia" w:hAnsiTheme="minorEastAsia" w:eastAsiaTheme="minorEastAsia" w:cstheme="minorEastAsia"/>
          <w:snapToGrid w:val="0"/>
          <w:color w:val="auto"/>
          <w:spacing w:val="16"/>
          <w:kern w:val="0"/>
          <w:sz w:val="28"/>
          <w:szCs w:val="28"/>
          <w:highlight w:val="none"/>
        </w:rPr>
        <w:t>设备的使用耗电情况及时进行调整。用能单位添加或减</w:t>
      </w:r>
      <w:r>
        <w:rPr>
          <w:rFonts w:hint="eastAsia" w:asciiTheme="minorEastAsia" w:hAnsiTheme="minorEastAsia" w:eastAsiaTheme="minorEastAsia" w:cstheme="minorEastAsia"/>
          <w:snapToGrid w:val="0"/>
          <w:color w:val="auto"/>
          <w:spacing w:val="15"/>
          <w:kern w:val="0"/>
          <w:sz w:val="28"/>
          <w:szCs w:val="28"/>
          <w:highlight w:val="none"/>
        </w:rPr>
        <w:t>少用电设备前，应事先书面告知乙方；因用电设备增减而引起的预测年耗电量的累积总和在年托管基准电量1%以内，乙方进行必要的记录核实，托管电量基准不予调整；因用电设备增减而引起的预测年耗电量累积超过年托管基准电量1%以上的，在添</w:t>
      </w:r>
      <w:r>
        <w:rPr>
          <w:rFonts w:hint="eastAsia" w:asciiTheme="minorEastAsia" w:hAnsiTheme="minorEastAsia" w:eastAsiaTheme="minorEastAsia" w:cstheme="minorEastAsia"/>
          <w:snapToGrid w:val="0"/>
          <w:color w:val="auto"/>
          <w:spacing w:val="16"/>
          <w:kern w:val="0"/>
          <w:sz w:val="28"/>
          <w:szCs w:val="28"/>
          <w:highlight w:val="none"/>
        </w:rPr>
        <w:t>加设备的次月，年托管电量和月托管电量按预测用电量进行相应的</w:t>
      </w:r>
      <w:r>
        <w:rPr>
          <w:rFonts w:hint="eastAsia" w:asciiTheme="minorEastAsia" w:hAnsiTheme="minorEastAsia" w:eastAsiaTheme="minorEastAsia" w:cstheme="minorEastAsia"/>
          <w:snapToGrid w:val="0"/>
          <w:color w:val="auto"/>
          <w:spacing w:val="15"/>
          <w:kern w:val="0"/>
          <w:sz w:val="28"/>
          <w:szCs w:val="28"/>
          <w:highlight w:val="none"/>
        </w:rPr>
        <w:t>增加或减少。</w:t>
      </w:r>
    </w:p>
    <w:p w14:paraId="6115A0E0">
      <w:pPr>
        <w:widowControl/>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2.新增设备统计起始时间</w:t>
      </w:r>
    </w:p>
    <w:p w14:paraId="47374251">
      <w:pPr>
        <w:widowControl/>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4"/>
          <w:kern w:val="0"/>
          <w:sz w:val="28"/>
          <w:szCs w:val="28"/>
          <w:highlight w:val="none"/>
        </w:rPr>
        <w:t>新增设备统计从合同签订前12个月开始计算，按照设备新增的具体时间计算设备电耗增加情况。</w:t>
      </w:r>
    </w:p>
    <w:p w14:paraId="1D058BED">
      <w:pPr>
        <w:widowControl/>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0"/>
          <w:kern w:val="0"/>
          <w:sz w:val="28"/>
          <w:szCs w:val="28"/>
          <w:highlight w:val="none"/>
        </w:rPr>
        <w:t>3.新增电耗计算方法</w:t>
      </w:r>
    </w:p>
    <w:p w14:paraId="3B13826F">
      <w:pPr>
        <w:widowControl/>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7"/>
          <w:kern w:val="0"/>
          <w:sz w:val="28"/>
          <w:szCs w:val="28"/>
          <w:highlight w:val="none"/>
        </w:rPr>
        <w:t>增减用电设备的预测年用电量按下式计算：</w:t>
      </w:r>
    </w:p>
    <w:p w14:paraId="75BEFB5D">
      <w:pPr>
        <w:widowControl/>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调整设备用月电量</w:t>
      </w:r>
      <w:r>
        <w:rPr>
          <w:rFonts w:hint="eastAsia" w:asciiTheme="minorEastAsia" w:hAnsiTheme="minorEastAsia" w:eastAsiaTheme="minorEastAsia" w:cstheme="minorEastAsia"/>
          <w:snapToGrid w:val="0"/>
          <w:color w:val="auto"/>
          <w:kern w:val="0"/>
          <w:position w:val="-10"/>
          <w:sz w:val="28"/>
          <w:szCs w:val="28"/>
          <w:highlight w:val="none"/>
        </w:rPr>
        <w:drawing>
          <wp:inline distT="0" distB="0" distL="0" distR="0">
            <wp:extent cx="1268095" cy="219075"/>
            <wp:effectExtent l="0" t="0" r="8255" b="8890"/>
            <wp:docPr id="17" name="IM 2"/>
            <wp:cNvGraphicFramePr/>
            <a:graphic xmlns:a="http://schemas.openxmlformats.org/drawingml/2006/main">
              <a:graphicData uri="http://schemas.openxmlformats.org/drawingml/2006/picture">
                <pic:pic xmlns:pic="http://schemas.openxmlformats.org/drawingml/2006/picture">
                  <pic:nvPicPr>
                    <pic:cNvPr id="17" name="IM 2"/>
                    <pic:cNvPicPr/>
                  </pic:nvPicPr>
                  <pic:blipFill>
                    <a:blip r:embed="rId22"/>
                    <a:stretch>
                      <a:fillRect/>
                    </a:stretch>
                  </pic:blipFill>
                  <pic:spPr>
                    <a:xfrm>
                      <a:off x="0" y="0"/>
                      <a:ext cx="1268300" cy="219377"/>
                    </a:xfrm>
                    <a:prstGeom prst="rect">
                      <a:avLst/>
                    </a:prstGeom>
                  </pic:spPr>
                </pic:pic>
              </a:graphicData>
            </a:graphic>
          </wp:inline>
        </w:drawing>
      </w:r>
    </w:p>
    <w:p w14:paraId="1FEF1FA1">
      <w:pPr>
        <w:autoSpaceDE w:val="0"/>
        <w:autoSpaceDN w:val="0"/>
        <w:adjustRightInd w:val="0"/>
        <w:snapToGrid w:val="0"/>
        <w:spacing w:line="480" w:lineRule="exact"/>
        <w:ind w:firstLine="62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5"/>
          <w:position w:val="7"/>
          <w:sz w:val="28"/>
          <w:szCs w:val="28"/>
          <w:highlight w:val="none"/>
        </w:rPr>
        <w:t>调整设备用年电量=12×</w:t>
      </w:r>
      <w:r>
        <w:rPr>
          <w:rFonts w:hint="eastAsia" w:asciiTheme="minorEastAsia" w:hAnsiTheme="minorEastAsia" w:eastAsiaTheme="minorEastAsia" w:cstheme="minorEastAsia"/>
          <w:snapToGrid w:val="0"/>
          <w:color w:val="auto"/>
          <w:spacing w:val="15"/>
          <w:position w:val="4"/>
          <w:sz w:val="28"/>
          <w:szCs w:val="28"/>
          <w:highlight w:val="none"/>
        </w:rPr>
        <w:t>∑</w:t>
      </w:r>
      <w:r>
        <w:rPr>
          <w:rFonts w:hint="eastAsia" w:asciiTheme="minorEastAsia" w:hAnsiTheme="minorEastAsia" w:eastAsiaTheme="minorEastAsia" w:cstheme="minorEastAsia"/>
          <w:snapToGrid w:val="0"/>
          <w:color w:val="auto"/>
          <w:sz w:val="28"/>
          <w:szCs w:val="28"/>
          <w:highlight w:val="none"/>
          <w:lang w:eastAsia="en-US"/>
        </w:rPr>
        <w:fldChar w:fldCharType="begin"/>
      </w:r>
      <w:r>
        <w:rPr>
          <w:rFonts w:hint="eastAsia" w:asciiTheme="minorEastAsia" w:hAnsiTheme="minorEastAsia" w:eastAsiaTheme="minorEastAsia" w:cstheme="minorEastAsia"/>
          <w:snapToGrid w:val="0"/>
          <w:color w:val="auto"/>
          <w:sz w:val="28"/>
          <w:szCs w:val="28"/>
          <w:highlight w:val="none"/>
          <w:lang w:eastAsia="en-US"/>
        </w:rPr>
        <w:instrText xml:space="preserve">EQ \* jc3 \* hps14 \o\al(\s\up 13(</w:instrText>
      </w:r>
      <w:r>
        <w:rPr>
          <w:rFonts w:hint="eastAsia" w:asciiTheme="minorEastAsia" w:hAnsiTheme="minorEastAsia" w:eastAsiaTheme="minorEastAsia" w:cstheme="minorEastAsia"/>
          <w:i/>
          <w:iCs/>
          <w:snapToGrid w:val="0"/>
          <w:color w:val="auto"/>
          <w:w w:val="98"/>
          <w:position w:val="7"/>
          <w:sz w:val="28"/>
          <w:szCs w:val="28"/>
          <w:highlight w:val="none"/>
        </w:rPr>
        <w:instrText xml:space="preserve">n</w:instrText>
      </w:r>
      <w:r>
        <w:rPr>
          <w:rFonts w:hint="eastAsia" w:asciiTheme="minorEastAsia" w:hAnsiTheme="minorEastAsia" w:eastAsiaTheme="minorEastAsia" w:cstheme="minorEastAsia"/>
          <w:snapToGrid w:val="0"/>
          <w:color w:val="auto"/>
          <w:sz w:val="28"/>
          <w:szCs w:val="28"/>
          <w:highlight w:val="none"/>
          <w:lang w:eastAsia="en-US"/>
        </w:rPr>
        <w:instrText xml:space="preserve">),</w:instrText>
      </w:r>
      <w:r>
        <w:rPr>
          <w:rFonts w:hint="eastAsia" w:asciiTheme="minorEastAsia" w:hAnsiTheme="minorEastAsia" w:eastAsiaTheme="minorEastAsia" w:cstheme="minorEastAsia"/>
          <w:i/>
          <w:iCs/>
          <w:snapToGrid w:val="0"/>
          <w:color w:val="auto"/>
          <w:w w:val="152"/>
          <w:position w:val="1"/>
          <w:sz w:val="28"/>
          <w:szCs w:val="28"/>
          <w:highlight w:val="none"/>
        </w:rPr>
        <w:instrText xml:space="preserve">i</w:instrText>
      </w:r>
      <w:r>
        <w:rPr>
          <w:rFonts w:hint="eastAsia" w:asciiTheme="minorEastAsia" w:hAnsiTheme="minorEastAsia" w:eastAsiaTheme="minorEastAsia" w:cstheme="minorEastAsia"/>
          <w:snapToGrid w:val="0"/>
          <w:color w:val="auto"/>
          <w:sz w:val="28"/>
          <w:szCs w:val="28"/>
          <w:highlight w:val="none"/>
          <w:lang w:eastAsia="en-US"/>
        </w:rPr>
        <w:instrText xml:space="preserve">)</w:instrText>
      </w:r>
      <w:r>
        <w:rPr>
          <w:rFonts w:hint="eastAsia" w:asciiTheme="minorEastAsia" w:hAnsiTheme="minorEastAsia" w:eastAsiaTheme="minorEastAsia" w:cstheme="minorEastAsia"/>
          <w:snapToGrid w:val="0"/>
          <w:color w:val="auto"/>
          <w:sz w:val="28"/>
          <w:szCs w:val="28"/>
          <w:highlight w:val="none"/>
          <w:lang w:eastAsia="en-US"/>
        </w:rPr>
        <w:fldChar w:fldCharType="end"/>
      </w:r>
      <w:r>
        <w:rPr>
          <w:rFonts w:hint="eastAsia" w:asciiTheme="minorEastAsia" w:hAnsiTheme="minorEastAsia" w:eastAsiaTheme="minorEastAsia" w:cstheme="minorEastAsia"/>
          <w:snapToGrid w:val="0"/>
          <w:color w:val="auto"/>
          <w:spacing w:val="15"/>
          <w:position w:val="1"/>
          <w:sz w:val="28"/>
          <w:szCs w:val="28"/>
          <w:highlight w:val="none"/>
        </w:rPr>
        <w:t>=0</w:t>
      </w:r>
      <w:r>
        <w:rPr>
          <w:rFonts w:hint="eastAsia" w:asciiTheme="minorEastAsia" w:hAnsiTheme="minorEastAsia" w:eastAsiaTheme="minorEastAsia" w:cstheme="minorEastAsia"/>
          <w:snapToGrid w:val="0"/>
          <w:color w:val="auto"/>
          <w:spacing w:val="15"/>
          <w:position w:val="7"/>
          <w:sz w:val="28"/>
          <w:szCs w:val="28"/>
          <w:highlight w:val="none"/>
        </w:rPr>
        <w:t>(</w:t>
      </w:r>
      <w:r>
        <w:rPr>
          <w:rFonts w:hint="eastAsia" w:asciiTheme="minorEastAsia" w:hAnsiTheme="minorEastAsia" w:eastAsiaTheme="minorEastAsia" w:cstheme="minorEastAsia"/>
          <w:i/>
          <w:iCs/>
          <w:snapToGrid w:val="0"/>
          <w:color w:val="auto"/>
          <w:position w:val="7"/>
          <w:sz w:val="28"/>
          <w:szCs w:val="28"/>
          <w:highlight w:val="none"/>
        </w:rPr>
        <w:t>N</w:t>
      </w:r>
      <w:r>
        <w:rPr>
          <w:rFonts w:hint="eastAsia" w:asciiTheme="minorEastAsia" w:hAnsiTheme="minorEastAsia" w:eastAsiaTheme="minorEastAsia" w:cstheme="minorEastAsia"/>
          <w:i/>
          <w:iCs/>
          <w:snapToGrid w:val="0"/>
          <w:color w:val="auto"/>
          <w:position w:val="4"/>
          <w:sz w:val="28"/>
          <w:szCs w:val="28"/>
          <w:highlight w:val="none"/>
          <w:vertAlign w:val="subscript"/>
        </w:rPr>
        <w:t>i</w:t>
      </w:r>
      <w:r>
        <w:rPr>
          <w:rFonts w:hint="eastAsia" w:asciiTheme="minorEastAsia" w:hAnsiTheme="minorEastAsia" w:eastAsiaTheme="minorEastAsia" w:cstheme="minorEastAsia"/>
          <w:snapToGrid w:val="0"/>
          <w:color w:val="auto"/>
          <w:spacing w:val="15"/>
          <w:position w:val="7"/>
          <w:sz w:val="28"/>
          <w:szCs w:val="28"/>
          <w:highlight w:val="none"/>
        </w:rPr>
        <w:t>×</w:t>
      </w:r>
      <w:r>
        <w:rPr>
          <w:rFonts w:hint="eastAsia" w:asciiTheme="minorEastAsia" w:hAnsiTheme="minorEastAsia" w:eastAsiaTheme="minorEastAsia" w:cstheme="minorEastAsia"/>
          <w:i/>
          <w:iCs/>
          <w:snapToGrid w:val="0"/>
          <w:color w:val="auto"/>
          <w:spacing w:val="15"/>
          <w:position w:val="7"/>
          <w:sz w:val="28"/>
          <w:szCs w:val="28"/>
          <w:highlight w:val="none"/>
        </w:rPr>
        <w:t>Q</w:t>
      </w:r>
      <w:r>
        <w:rPr>
          <w:rFonts w:hint="eastAsia" w:asciiTheme="minorEastAsia" w:hAnsiTheme="minorEastAsia" w:eastAsiaTheme="minorEastAsia" w:cstheme="minorEastAsia"/>
          <w:snapToGrid w:val="0"/>
          <w:color w:val="auto"/>
          <w:spacing w:val="15"/>
          <w:position w:val="7"/>
          <w:sz w:val="28"/>
          <w:szCs w:val="28"/>
          <w:highlight w:val="none"/>
        </w:rPr>
        <w:t>×</w:t>
      </w:r>
      <w:r>
        <w:rPr>
          <w:rFonts w:hint="eastAsia" w:asciiTheme="minorEastAsia" w:hAnsiTheme="minorEastAsia" w:eastAsiaTheme="minorEastAsia" w:cstheme="minorEastAsia"/>
          <w:i/>
          <w:iCs/>
          <w:snapToGrid w:val="0"/>
          <w:color w:val="auto"/>
          <w:spacing w:val="15"/>
          <w:position w:val="7"/>
          <w:sz w:val="28"/>
          <w:szCs w:val="28"/>
          <w:highlight w:val="none"/>
        </w:rPr>
        <w:t>H</w:t>
      </w:r>
      <w:r>
        <w:rPr>
          <w:rFonts w:hint="eastAsia" w:asciiTheme="minorEastAsia" w:hAnsiTheme="minorEastAsia" w:eastAsiaTheme="minorEastAsia" w:cstheme="minorEastAsia"/>
          <w:snapToGrid w:val="0"/>
          <w:color w:val="auto"/>
          <w:spacing w:val="15"/>
          <w:position w:val="7"/>
          <w:sz w:val="28"/>
          <w:szCs w:val="28"/>
          <w:highlight w:val="none"/>
        </w:rPr>
        <w:t>)</w:t>
      </w:r>
    </w:p>
    <w:p w14:paraId="723FF9A3">
      <w:pPr>
        <w:widowControl/>
        <w:autoSpaceDE w:val="0"/>
        <w:autoSpaceDN w:val="0"/>
        <w:adjustRightInd w:val="0"/>
        <w:snapToGrid w:val="0"/>
        <w:spacing w:line="480" w:lineRule="exact"/>
        <w:ind w:firstLine="64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21"/>
          <w:kern w:val="0"/>
          <w:sz w:val="28"/>
          <w:szCs w:val="28"/>
          <w:highlight w:val="none"/>
        </w:rPr>
        <w:t>托管月电量＝基准月电量+调整设备月用电量托管年电量＝基准年电量+调整设备年用电量</w:t>
      </w:r>
    </w:p>
    <w:p w14:paraId="0F686D44">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6"/>
          <w:kern w:val="0"/>
          <w:sz w:val="28"/>
          <w:szCs w:val="28"/>
          <w:highlight w:val="none"/>
        </w:rPr>
        <w:t>式中：</w:t>
      </w:r>
    </w:p>
    <w:p w14:paraId="2800CBDC">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pacing w:val="-40"/>
          <w:w w:val="88"/>
          <w:sz w:val="28"/>
          <w:szCs w:val="28"/>
          <w:highlight w:val="none"/>
        </w:rPr>
      </w:pPr>
      <w:r>
        <w:rPr>
          <w:rFonts w:hint="eastAsia" w:asciiTheme="minorEastAsia" w:hAnsiTheme="minorEastAsia" w:eastAsiaTheme="minorEastAsia" w:cstheme="minorEastAsia"/>
          <w:i/>
          <w:iCs/>
          <w:snapToGrid w:val="0"/>
          <w:color w:val="auto"/>
          <w:sz w:val="28"/>
          <w:szCs w:val="28"/>
          <w:highlight w:val="none"/>
        </w:rPr>
        <w:t>N</w:t>
      </w:r>
      <w:r>
        <w:rPr>
          <w:rFonts w:hint="eastAsia" w:asciiTheme="minorEastAsia" w:hAnsiTheme="minorEastAsia" w:eastAsiaTheme="minorEastAsia" w:cstheme="minorEastAsia"/>
          <w:i/>
          <w:iCs/>
          <w:snapToGrid w:val="0"/>
          <w:color w:val="auto"/>
          <w:position w:val="-2"/>
          <w:sz w:val="28"/>
          <w:szCs w:val="28"/>
          <w:highlight w:val="none"/>
          <w:vertAlign w:val="subscript"/>
        </w:rPr>
        <w:t>i</w:t>
      </w:r>
      <w:r>
        <w:rPr>
          <w:rFonts w:hint="eastAsia" w:asciiTheme="minorEastAsia" w:hAnsiTheme="minorEastAsia" w:eastAsiaTheme="minorEastAsia" w:cstheme="minorEastAsia"/>
          <w:snapToGrid w:val="0"/>
          <w:color w:val="auto"/>
          <w:spacing w:val="9"/>
          <w:sz w:val="28"/>
          <w:szCs w:val="28"/>
          <w:highlight w:val="none"/>
        </w:rPr>
        <w:t>——添加或减少的第</w:t>
      </w:r>
      <w:r>
        <w:rPr>
          <w:rFonts w:hint="eastAsia" w:asciiTheme="minorEastAsia" w:hAnsiTheme="minorEastAsia" w:eastAsiaTheme="minorEastAsia" w:cstheme="minorEastAsia"/>
          <w:i/>
          <w:iCs/>
          <w:snapToGrid w:val="0"/>
          <w:color w:val="auto"/>
          <w:spacing w:val="9"/>
          <w:sz w:val="28"/>
          <w:szCs w:val="28"/>
          <w:highlight w:val="none"/>
        </w:rPr>
        <w:t>i</w:t>
      </w:r>
      <w:r>
        <w:rPr>
          <w:rFonts w:hint="eastAsia" w:asciiTheme="minorEastAsia" w:hAnsiTheme="minorEastAsia" w:eastAsiaTheme="minorEastAsia" w:cstheme="minorEastAsia"/>
          <w:snapToGrid w:val="0"/>
          <w:color w:val="auto"/>
          <w:spacing w:val="9"/>
          <w:sz w:val="28"/>
          <w:szCs w:val="28"/>
          <w:highlight w:val="none"/>
        </w:rPr>
        <w:t>类用电设备功率（</w:t>
      </w:r>
      <w:r>
        <w:rPr>
          <w:rFonts w:hint="eastAsia" w:asciiTheme="minorEastAsia" w:hAnsiTheme="minorEastAsia" w:eastAsiaTheme="minorEastAsia" w:cstheme="minorEastAsia"/>
          <w:snapToGrid w:val="0"/>
          <w:color w:val="auto"/>
          <w:sz w:val="28"/>
          <w:szCs w:val="28"/>
          <w:highlight w:val="none"/>
        </w:rPr>
        <w:t>kW</w:t>
      </w:r>
      <w:r>
        <w:rPr>
          <w:rFonts w:hint="eastAsia" w:asciiTheme="minorEastAsia" w:hAnsiTheme="minorEastAsia" w:eastAsiaTheme="minorEastAsia" w:cstheme="minorEastAsia"/>
          <w:snapToGrid w:val="0"/>
          <w:color w:val="auto"/>
          <w:spacing w:val="-40"/>
          <w:w w:val="88"/>
          <w:sz w:val="28"/>
          <w:szCs w:val="28"/>
          <w:highlight w:val="none"/>
        </w:rPr>
        <w:t>），</w:t>
      </w:r>
      <w:r>
        <w:rPr>
          <w:rFonts w:hint="eastAsia" w:asciiTheme="minorEastAsia" w:hAnsiTheme="minorEastAsia" w:eastAsiaTheme="minorEastAsia" w:cstheme="minorEastAsia"/>
          <w:i/>
          <w:iCs/>
          <w:snapToGrid w:val="0"/>
          <w:color w:val="auto"/>
          <w:spacing w:val="9"/>
          <w:sz w:val="28"/>
          <w:szCs w:val="28"/>
          <w:highlight w:val="none"/>
        </w:rPr>
        <w:t>i</w:t>
      </w:r>
      <w:r>
        <w:rPr>
          <w:rFonts w:hint="eastAsia" w:asciiTheme="minorEastAsia" w:hAnsiTheme="minorEastAsia" w:eastAsiaTheme="minorEastAsia" w:cstheme="minorEastAsia"/>
          <w:snapToGrid w:val="0"/>
          <w:color w:val="auto"/>
          <w:spacing w:val="9"/>
          <w:sz w:val="28"/>
          <w:szCs w:val="28"/>
          <w:highlight w:val="none"/>
        </w:rPr>
        <w:t>∝（1~</w:t>
      </w:r>
      <w:r>
        <w:rPr>
          <w:rFonts w:hint="eastAsia" w:asciiTheme="minorEastAsia" w:hAnsiTheme="minorEastAsia" w:eastAsiaTheme="minorEastAsia" w:cstheme="minorEastAsia"/>
          <w:i/>
          <w:iCs/>
          <w:snapToGrid w:val="0"/>
          <w:color w:val="auto"/>
          <w:spacing w:val="9"/>
          <w:sz w:val="28"/>
          <w:szCs w:val="28"/>
          <w:highlight w:val="none"/>
        </w:rPr>
        <w:t>n</w:t>
      </w:r>
      <w:r>
        <w:rPr>
          <w:rFonts w:hint="eastAsia" w:asciiTheme="minorEastAsia" w:hAnsiTheme="minorEastAsia" w:eastAsiaTheme="minorEastAsia" w:cstheme="minorEastAsia"/>
          <w:snapToGrid w:val="0"/>
          <w:color w:val="auto"/>
          <w:spacing w:val="-40"/>
          <w:w w:val="88"/>
          <w:sz w:val="28"/>
          <w:szCs w:val="28"/>
          <w:highlight w:val="none"/>
        </w:rPr>
        <w:t>）；</w:t>
      </w:r>
    </w:p>
    <w:p w14:paraId="04101BD2">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i/>
          <w:iCs/>
          <w:snapToGrid w:val="0"/>
          <w:color w:val="auto"/>
          <w:spacing w:val="10"/>
          <w:sz w:val="28"/>
          <w:szCs w:val="28"/>
          <w:highlight w:val="none"/>
        </w:rPr>
        <w:t>Q</w:t>
      </w:r>
      <w:r>
        <w:rPr>
          <w:rFonts w:hint="eastAsia" w:asciiTheme="minorEastAsia" w:hAnsiTheme="minorEastAsia" w:eastAsiaTheme="minorEastAsia" w:cstheme="minorEastAsia"/>
          <w:snapToGrid w:val="0"/>
          <w:color w:val="auto"/>
          <w:spacing w:val="10"/>
          <w:sz w:val="28"/>
          <w:szCs w:val="28"/>
          <w:highlight w:val="none"/>
        </w:rPr>
        <w:t>——添加或减少的第</w:t>
      </w:r>
      <w:r>
        <w:rPr>
          <w:rFonts w:hint="eastAsia" w:asciiTheme="minorEastAsia" w:hAnsiTheme="minorEastAsia" w:eastAsiaTheme="minorEastAsia" w:cstheme="minorEastAsia"/>
          <w:i/>
          <w:iCs/>
          <w:snapToGrid w:val="0"/>
          <w:color w:val="auto"/>
          <w:spacing w:val="10"/>
          <w:sz w:val="28"/>
          <w:szCs w:val="28"/>
          <w:highlight w:val="none"/>
        </w:rPr>
        <w:t>i</w:t>
      </w:r>
      <w:r>
        <w:rPr>
          <w:rFonts w:hint="eastAsia" w:asciiTheme="minorEastAsia" w:hAnsiTheme="minorEastAsia" w:eastAsiaTheme="minorEastAsia" w:cstheme="minorEastAsia"/>
          <w:snapToGrid w:val="0"/>
          <w:color w:val="auto"/>
          <w:spacing w:val="10"/>
          <w:sz w:val="28"/>
          <w:szCs w:val="28"/>
          <w:highlight w:val="none"/>
        </w:rPr>
        <w:t>类用电设备数量（台</w:t>
      </w:r>
      <w:r>
        <w:rPr>
          <w:rFonts w:hint="eastAsia" w:asciiTheme="minorEastAsia" w:hAnsiTheme="minorEastAsia" w:eastAsiaTheme="minorEastAsia" w:cstheme="minorEastAsia"/>
          <w:snapToGrid w:val="0"/>
          <w:color w:val="auto"/>
          <w:spacing w:val="-46"/>
          <w:sz w:val="28"/>
          <w:szCs w:val="28"/>
          <w:highlight w:val="none"/>
        </w:rPr>
        <w:t>）；</w:t>
      </w:r>
    </w:p>
    <w:p w14:paraId="7F006F35">
      <w:pPr>
        <w:autoSpaceDE w:val="0"/>
        <w:autoSpaceDN w:val="0"/>
        <w:adjustRightInd w:val="0"/>
        <w:snapToGrid w:val="0"/>
        <w:spacing w:line="480" w:lineRule="exact"/>
        <w:ind w:firstLine="59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i/>
          <w:iCs/>
          <w:snapToGrid w:val="0"/>
          <w:color w:val="auto"/>
          <w:spacing w:val="8"/>
          <w:sz w:val="28"/>
          <w:szCs w:val="28"/>
          <w:highlight w:val="none"/>
        </w:rPr>
        <w:t>H</w:t>
      </w:r>
      <w:r>
        <w:rPr>
          <w:rFonts w:hint="eastAsia" w:asciiTheme="minorEastAsia" w:hAnsiTheme="minorEastAsia" w:eastAsiaTheme="minorEastAsia" w:cstheme="minorEastAsia"/>
          <w:snapToGrid w:val="0"/>
          <w:color w:val="auto"/>
          <w:spacing w:val="8"/>
          <w:sz w:val="28"/>
          <w:szCs w:val="28"/>
          <w:highlight w:val="none"/>
        </w:rPr>
        <w:t>——添加或减少的第</w:t>
      </w:r>
      <w:r>
        <w:rPr>
          <w:rFonts w:hint="eastAsia" w:asciiTheme="minorEastAsia" w:hAnsiTheme="minorEastAsia" w:eastAsiaTheme="minorEastAsia" w:cstheme="minorEastAsia"/>
          <w:i/>
          <w:iCs/>
          <w:snapToGrid w:val="0"/>
          <w:color w:val="auto"/>
          <w:spacing w:val="8"/>
          <w:sz w:val="28"/>
          <w:szCs w:val="28"/>
          <w:highlight w:val="none"/>
        </w:rPr>
        <w:t>i</w:t>
      </w:r>
      <w:r>
        <w:rPr>
          <w:rFonts w:hint="eastAsia" w:asciiTheme="minorEastAsia" w:hAnsiTheme="minorEastAsia" w:eastAsiaTheme="minorEastAsia" w:cstheme="minorEastAsia"/>
          <w:snapToGrid w:val="0"/>
          <w:color w:val="auto"/>
          <w:spacing w:val="8"/>
          <w:sz w:val="28"/>
          <w:szCs w:val="28"/>
          <w:highlight w:val="none"/>
        </w:rPr>
        <w:t>类用电设备月运行时间（小时）。</w:t>
      </w:r>
    </w:p>
    <w:p w14:paraId="7444CE43">
      <w:pPr>
        <w:widowControl/>
        <w:autoSpaceDE w:val="0"/>
        <w:autoSpaceDN w:val="0"/>
        <w:adjustRightInd w:val="0"/>
        <w:snapToGrid w:val="0"/>
        <w:spacing w:line="480" w:lineRule="exact"/>
        <w:ind w:firstLine="59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8"/>
          <w:kern w:val="0"/>
          <w:sz w:val="28"/>
          <w:szCs w:val="28"/>
          <w:highlight w:val="none"/>
        </w:rPr>
        <w:t>（三）托管电量调整触发条件</w:t>
      </w:r>
    </w:p>
    <w:p w14:paraId="6ECABBCF">
      <w:pPr>
        <w:widowControl/>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6"/>
          <w:kern w:val="0"/>
          <w:sz w:val="28"/>
          <w:szCs w:val="28"/>
          <w:highlight w:val="none"/>
        </w:rPr>
        <w:t>用能单位添加或减少用电设备前，应事先书面告知乙方；因用电设备增减而引起的预测年耗电量的</w:t>
      </w:r>
      <w:r>
        <w:rPr>
          <w:rFonts w:hint="eastAsia" w:asciiTheme="minorEastAsia" w:hAnsiTheme="minorEastAsia" w:eastAsiaTheme="minorEastAsia" w:cstheme="minorEastAsia"/>
          <w:snapToGrid w:val="0"/>
          <w:color w:val="auto"/>
          <w:spacing w:val="12"/>
          <w:kern w:val="0"/>
          <w:sz w:val="28"/>
          <w:szCs w:val="28"/>
          <w:highlight w:val="none"/>
        </w:rPr>
        <w:t>累积总和在年托管基准电量1%以内，乙方进行必要的记录核实，托管电量基准不予调整；因用电设备增</w:t>
      </w:r>
      <w:r>
        <w:rPr>
          <w:rFonts w:hint="eastAsia" w:asciiTheme="minorEastAsia" w:hAnsiTheme="minorEastAsia" w:eastAsiaTheme="minorEastAsia" w:cstheme="minorEastAsia"/>
          <w:snapToGrid w:val="0"/>
          <w:color w:val="auto"/>
          <w:spacing w:val="15"/>
          <w:kern w:val="0"/>
          <w:sz w:val="28"/>
          <w:szCs w:val="28"/>
          <w:highlight w:val="none"/>
        </w:rPr>
        <w:t>减而引起的预测年耗电量累积超过年托管基准电量1%以上的，在添加设备的次月，年托管电量和月托</w:t>
      </w:r>
      <w:r>
        <w:rPr>
          <w:rFonts w:hint="eastAsia" w:asciiTheme="minorEastAsia" w:hAnsiTheme="minorEastAsia" w:eastAsiaTheme="minorEastAsia" w:cstheme="minorEastAsia"/>
          <w:snapToGrid w:val="0"/>
          <w:color w:val="auto"/>
          <w:spacing w:val="18"/>
          <w:kern w:val="0"/>
          <w:sz w:val="28"/>
          <w:szCs w:val="28"/>
          <w:highlight w:val="none"/>
        </w:rPr>
        <w:t>管电量按预测用电量进行相应的增加或减少。</w:t>
      </w:r>
    </w:p>
    <w:p w14:paraId="1541380D">
      <w:pPr>
        <w:widowControl/>
        <w:autoSpaceDE w:val="0"/>
        <w:autoSpaceDN w:val="0"/>
        <w:adjustRightInd w:val="0"/>
        <w:snapToGrid w:val="0"/>
        <w:spacing w:line="480" w:lineRule="exact"/>
        <w:ind w:firstLine="59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9"/>
          <w:kern w:val="0"/>
          <w:sz w:val="28"/>
          <w:szCs w:val="28"/>
          <w:highlight w:val="none"/>
        </w:rPr>
        <w:t>（四）托管电量调整的确认办法</w:t>
      </w:r>
    </w:p>
    <w:p w14:paraId="6D722655">
      <w:pPr>
        <w:widowControl/>
        <w:autoSpaceDE w:val="0"/>
        <w:autoSpaceDN w:val="0"/>
        <w:adjustRightInd w:val="0"/>
        <w:snapToGrid w:val="0"/>
        <w:spacing w:line="480" w:lineRule="exact"/>
        <w:ind w:firstLine="62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5"/>
          <w:kern w:val="0"/>
          <w:sz w:val="28"/>
          <w:szCs w:val="28"/>
          <w:highlight w:val="none"/>
        </w:rPr>
        <w:t>1.甲方应定期将设备增减情况及上述使用规律变动情况通知乙方。</w:t>
      </w:r>
    </w:p>
    <w:p w14:paraId="2A9EC576">
      <w:pPr>
        <w:widowControl/>
        <w:autoSpaceDE w:val="0"/>
        <w:autoSpaceDN w:val="0"/>
        <w:adjustRightInd w:val="0"/>
        <w:snapToGrid w:val="0"/>
        <w:spacing w:line="480" w:lineRule="exact"/>
        <w:ind w:firstLine="63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9"/>
          <w:kern w:val="0"/>
          <w:sz w:val="28"/>
          <w:szCs w:val="28"/>
          <w:highlight w:val="none"/>
        </w:rPr>
        <w:t>2.乙方应按上述要求及时收集影响托管电量调整的各种因素，</w:t>
      </w:r>
      <w:r>
        <w:rPr>
          <w:rFonts w:hint="eastAsia" w:asciiTheme="minorEastAsia" w:hAnsiTheme="minorEastAsia" w:eastAsiaTheme="minorEastAsia" w:cstheme="minorEastAsia"/>
          <w:snapToGrid w:val="0"/>
          <w:color w:val="auto"/>
          <w:spacing w:val="18"/>
          <w:kern w:val="0"/>
          <w:sz w:val="28"/>
          <w:szCs w:val="28"/>
          <w:highlight w:val="none"/>
        </w:rPr>
        <w:t>编写托管电量调整清单，并报甲方</w:t>
      </w:r>
      <w:r>
        <w:rPr>
          <w:rFonts w:hint="eastAsia" w:asciiTheme="minorEastAsia" w:hAnsiTheme="minorEastAsia" w:eastAsiaTheme="minorEastAsia" w:cstheme="minorEastAsia"/>
          <w:snapToGrid w:val="0"/>
          <w:color w:val="auto"/>
          <w:spacing w:val="5"/>
          <w:kern w:val="0"/>
          <w:sz w:val="28"/>
          <w:szCs w:val="28"/>
          <w:highlight w:val="none"/>
        </w:rPr>
        <w:t>审核。</w:t>
      </w:r>
    </w:p>
    <w:p w14:paraId="259BDB34">
      <w:pPr>
        <w:widowControl/>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3.原则上甲方应在一个月内完成审核、确</w:t>
      </w:r>
      <w:r>
        <w:rPr>
          <w:rFonts w:hint="eastAsia" w:asciiTheme="minorEastAsia" w:hAnsiTheme="minorEastAsia" w:eastAsiaTheme="minorEastAsia" w:cstheme="minorEastAsia"/>
          <w:snapToGrid w:val="0"/>
          <w:color w:val="auto"/>
          <w:spacing w:val="11"/>
          <w:kern w:val="0"/>
          <w:sz w:val="28"/>
          <w:szCs w:val="28"/>
          <w:highlight w:val="none"/>
        </w:rPr>
        <w:t>认托管电量调整清单。</w:t>
      </w:r>
    </w:p>
    <w:p w14:paraId="3ED7B945">
      <w:pPr>
        <w:widowControl/>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4"/>
          <w:kern w:val="0"/>
          <w:sz w:val="28"/>
          <w:szCs w:val="28"/>
          <w:highlight w:val="none"/>
        </w:rPr>
        <w:t>4.甲乙双方不再另行签订托管电量调整的补充协议。</w:t>
      </w:r>
    </w:p>
    <w:p w14:paraId="4B9C4AA4">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6"/>
          <w:kern w:val="0"/>
          <w:sz w:val="28"/>
          <w:szCs w:val="28"/>
          <w:highlight w:val="none"/>
        </w:rPr>
        <w:t>（五）托管电价调整办法</w:t>
      </w:r>
    </w:p>
    <w:p w14:paraId="2D60C1E5">
      <w:pPr>
        <w:widowControl/>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6"/>
          <w:kern w:val="0"/>
          <w:sz w:val="28"/>
          <w:szCs w:val="28"/>
          <w:highlight w:val="none"/>
        </w:rPr>
        <w:t>1.托管电价以当期物价部门或电力部门颁布的执行电</w:t>
      </w:r>
      <w:r>
        <w:rPr>
          <w:rFonts w:hint="eastAsia" w:asciiTheme="minorEastAsia" w:hAnsiTheme="minorEastAsia" w:eastAsiaTheme="minorEastAsia" w:cstheme="minorEastAsia"/>
          <w:snapToGrid w:val="0"/>
          <w:color w:val="auto"/>
          <w:spacing w:val="15"/>
          <w:kern w:val="0"/>
          <w:sz w:val="28"/>
          <w:szCs w:val="28"/>
          <w:highlight w:val="none"/>
        </w:rPr>
        <w:t>价为准。</w:t>
      </w:r>
    </w:p>
    <w:p w14:paraId="1CCBE952">
      <w:pPr>
        <w:widowControl/>
        <w:autoSpaceDE w:val="0"/>
        <w:autoSpaceDN w:val="0"/>
        <w:adjustRightInd w:val="0"/>
        <w:snapToGrid w:val="0"/>
        <w:spacing w:line="480" w:lineRule="exact"/>
        <w:ind w:firstLine="62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5"/>
          <w:kern w:val="0"/>
          <w:sz w:val="28"/>
          <w:szCs w:val="28"/>
          <w:highlight w:val="none"/>
        </w:rPr>
        <w:t>2.甲乙双方应及时告知对方电价变动情况，乙方负责编写因电价变动引起的</w:t>
      </w:r>
      <w:r>
        <w:rPr>
          <w:rFonts w:hint="eastAsia" w:asciiTheme="minorEastAsia" w:hAnsiTheme="minorEastAsia" w:eastAsiaTheme="minorEastAsia" w:cstheme="minorEastAsia"/>
          <w:snapToGrid w:val="0"/>
          <w:color w:val="auto"/>
          <w:spacing w:val="14"/>
          <w:kern w:val="0"/>
          <w:sz w:val="28"/>
          <w:szCs w:val="28"/>
          <w:highlight w:val="none"/>
        </w:rPr>
        <w:t>托管电费调整清单（或</w:t>
      </w:r>
      <w:r>
        <w:rPr>
          <w:rFonts w:hint="eastAsia" w:asciiTheme="minorEastAsia" w:hAnsiTheme="minorEastAsia" w:eastAsiaTheme="minorEastAsia" w:cstheme="minorEastAsia"/>
          <w:snapToGrid w:val="0"/>
          <w:color w:val="auto"/>
          <w:spacing w:val="19"/>
          <w:kern w:val="0"/>
          <w:sz w:val="28"/>
          <w:szCs w:val="28"/>
          <w:highlight w:val="none"/>
        </w:rPr>
        <w:t>与托管电量调整清单一同编制</w:t>
      </w:r>
      <w:r>
        <w:rPr>
          <w:rFonts w:hint="eastAsia" w:asciiTheme="minorEastAsia" w:hAnsiTheme="minorEastAsia" w:eastAsiaTheme="minorEastAsia" w:cstheme="minorEastAsia"/>
          <w:snapToGrid w:val="0"/>
          <w:color w:val="auto"/>
          <w:spacing w:val="-29"/>
          <w:w w:val="64"/>
          <w:kern w:val="0"/>
          <w:sz w:val="28"/>
          <w:szCs w:val="28"/>
          <w:highlight w:val="none"/>
        </w:rPr>
        <w:t>），</w:t>
      </w:r>
      <w:r>
        <w:rPr>
          <w:rFonts w:hint="eastAsia" w:asciiTheme="minorEastAsia" w:hAnsiTheme="minorEastAsia" w:eastAsiaTheme="minorEastAsia" w:cstheme="minorEastAsia"/>
          <w:snapToGrid w:val="0"/>
          <w:color w:val="auto"/>
          <w:spacing w:val="19"/>
          <w:kern w:val="0"/>
          <w:sz w:val="28"/>
          <w:szCs w:val="28"/>
          <w:highlight w:val="none"/>
        </w:rPr>
        <w:t>并报甲方主管部门审核。</w:t>
      </w:r>
    </w:p>
    <w:p w14:paraId="4CC864D0">
      <w:pPr>
        <w:widowControl/>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3.原则上甲方主管部门应在两周内完成审核、确认托管电费调整清单。</w:t>
      </w:r>
    </w:p>
    <w:p w14:paraId="27B09BC9">
      <w:pPr>
        <w:widowControl/>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4"/>
          <w:kern w:val="0"/>
          <w:sz w:val="28"/>
          <w:szCs w:val="28"/>
          <w:highlight w:val="none"/>
        </w:rPr>
        <w:t>4.甲乙双方不再另行签订托管电价调整的补充协议。</w:t>
      </w:r>
    </w:p>
    <w:p w14:paraId="21511207">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6"/>
          <w:kern w:val="0"/>
          <w:sz w:val="28"/>
          <w:szCs w:val="28"/>
          <w:highlight w:val="none"/>
        </w:rPr>
        <w:t>（六）托管电价调整时间</w:t>
      </w:r>
    </w:p>
    <w:p w14:paraId="426353C1">
      <w:pPr>
        <w:widowControl/>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7"/>
          <w:kern w:val="0"/>
          <w:sz w:val="28"/>
          <w:szCs w:val="28"/>
          <w:highlight w:val="none"/>
        </w:rPr>
        <w:t>托管电量每季度调整一次（或双方协商的时间、周期</w:t>
      </w:r>
      <w:r>
        <w:rPr>
          <w:rFonts w:hint="eastAsia" w:asciiTheme="minorEastAsia" w:hAnsiTheme="minorEastAsia" w:eastAsiaTheme="minorEastAsia" w:cstheme="minorEastAsia"/>
          <w:snapToGrid w:val="0"/>
          <w:color w:val="auto"/>
          <w:spacing w:val="-29"/>
          <w:w w:val="65"/>
          <w:kern w:val="0"/>
          <w:sz w:val="28"/>
          <w:szCs w:val="28"/>
          <w:highlight w:val="none"/>
        </w:rPr>
        <w:t>），</w:t>
      </w:r>
      <w:r>
        <w:rPr>
          <w:rFonts w:hint="eastAsia" w:asciiTheme="minorEastAsia" w:hAnsiTheme="minorEastAsia" w:eastAsiaTheme="minorEastAsia" w:cstheme="minorEastAsia"/>
          <w:snapToGrid w:val="0"/>
          <w:color w:val="auto"/>
          <w:spacing w:val="17"/>
          <w:kern w:val="0"/>
          <w:sz w:val="28"/>
          <w:szCs w:val="28"/>
          <w:highlight w:val="none"/>
        </w:rPr>
        <w:t>对发生在调整日之前的调整电量按照以上调</w:t>
      </w:r>
      <w:r>
        <w:rPr>
          <w:rFonts w:hint="eastAsia" w:asciiTheme="minorEastAsia" w:hAnsiTheme="minorEastAsia" w:eastAsiaTheme="minorEastAsia" w:cstheme="minorEastAsia"/>
          <w:snapToGrid w:val="0"/>
          <w:color w:val="auto"/>
          <w:spacing w:val="16"/>
          <w:kern w:val="0"/>
          <w:sz w:val="28"/>
          <w:szCs w:val="28"/>
          <w:highlight w:val="none"/>
        </w:rPr>
        <w:t>整办法采取多退少补一次性调整，发生在调整日之后的电量按照调整后的基准电量进行结算。</w:t>
      </w:r>
    </w:p>
    <w:p w14:paraId="46566CC3">
      <w:pPr>
        <w:widowControl/>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kern w:val="0"/>
          <w:sz w:val="28"/>
          <w:szCs w:val="28"/>
          <w:highlight w:val="none"/>
        </w:rPr>
        <w:t>二、其他类</w:t>
      </w:r>
    </w:p>
    <w:p w14:paraId="7CDF9A27">
      <w:pPr>
        <w:widowControl/>
        <w:autoSpaceDE w:val="0"/>
        <w:autoSpaceDN w:val="0"/>
        <w:adjustRightInd w:val="0"/>
        <w:snapToGrid w:val="0"/>
        <w:spacing w:line="480" w:lineRule="exact"/>
        <w:ind w:firstLine="63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8"/>
          <w:kern w:val="0"/>
          <w:sz w:val="28"/>
          <w:szCs w:val="28"/>
          <w:highlight w:val="none"/>
        </w:rPr>
        <w:t>不同托管项目可结合具体情况选择性增加以下调整规则：</w:t>
      </w:r>
    </w:p>
    <w:p w14:paraId="7B88B12A">
      <w:pPr>
        <w:widowControl/>
        <w:autoSpaceDE w:val="0"/>
        <w:autoSpaceDN w:val="0"/>
        <w:adjustRightInd w:val="0"/>
        <w:snapToGrid w:val="0"/>
        <w:spacing w:line="480" w:lineRule="exact"/>
        <w:ind w:firstLine="59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8"/>
          <w:kern w:val="0"/>
          <w:sz w:val="28"/>
          <w:szCs w:val="28"/>
          <w:highlight w:val="none"/>
        </w:rPr>
        <w:t>（一）电磁厨房电耗调整规则</w:t>
      </w:r>
    </w:p>
    <w:p w14:paraId="1E1A6E7C">
      <w:pPr>
        <w:widowControl/>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3"/>
          <w:kern w:val="0"/>
          <w:sz w:val="28"/>
          <w:szCs w:val="28"/>
          <w:highlight w:val="none"/>
        </w:rPr>
        <w:t>1.对于已安装计量电表的，可按电磁厨房设备实际用电量进行调</w:t>
      </w:r>
      <w:r>
        <w:rPr>
          <w:rFonts w:hint="eastAsia" w:asciiTheme="minorEastAsia" w:hAnsiTheme="minorEastAsia" w:eastAsiaTheme="minorEastAsia" w:cstheme="minorEastAsia"/>
          <w:snapToGrid w:val="0"/>
          <w:color w:val="auto"/>
          <w:spacing w:val="12"/>
          <w:kern w:val="0"/>
          <w:sz w:val="28"/>
          <w:szCs w:val="28"/>
          <w:highlight w:val="none"/>
        </w:rPr>
        <w:t>整。</w:t>
      </w:r>
    </w:p>
    <w:p w14:paraId="0A9499F6">
      <w:pPr>
        <w:widowControl/>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pacing w:val="13"/>
          <w:kern w:val="0"/>
          <w:sz w:val="28"/>
          <w:szCs w:val="28"/>
          <w:highlight w:val="none"/>
        </w:rPr>
      </w:pPr>
      <w:r>
        <w:rPr>
          <w:rFonts w:hint="eastAsia" w:asciiTheme="minorEastAsia" w:hAnsiTheme="minorEastAsia" w:eastAsiaTheme="minorEastAsia" w:cstheme="minorEastAsia"/>
          <w:snapToGrid w:val="0"/>
          <w:color w:val="auto"/>
          <w:spacing w:val="14"/>
          <w:kern w:val="0"/>
          <w:sz w:val="28"/>
          <w:szCs w:val="28"/>
          <w:highlight w:val="none"/>
        </w:rPr>
        <w:t>2.如未安装计量电表，电磁厨房增减用电设备</w:t>
      </w:r>
      <w:r>
        <w:rPr>
          <w:rFonts w:hint="eastAsia" w:asciiTheme="minorEastAsia" w:hAnsiTheme="minorEastAsia" w:eastAsiaTheme="minorEastAsia" w:cstheme="minorEastAsia"/>
          <w:snapToGrid w:val="0"/>
          <w:color w:val="auto"/>
          <w:spacing w:val="13"/>
          <w:kern w:val="0"/>
          <w:sz w:val="28"/>
          <w:szCs w:val="28"/>
          <w:highlight w:val="none"/>
        </w:rPr>
        <w:t>的预测年用电量按下式计算：</w:t>
      </w:r>
    </w:p>
    <w:p w14:paraId="275D6945">
      <w:pPr>
        <w:widowControl/>
        <w:autoSpaceDE w:val="0"/>
        <w:autoSpaceDN w:val="0"/>
        <w:adjustRightInd w:val="0"/>
        <w:snapToGrid w:val="0"/>
        <w:spacing w:line="480" w:lineRule="exact"/>
        <w:ind w:firstLine="608"/>
        <w:jc w:val="center"/>
        <w:textAlignment w:val="baseline"/>
        <w:rPr>
          <w:rFonts w:asciiTheme="minorEastAsia" w:hAnsiTheme="minorEastAsia" w:eastAsiaTheme="minorEastAsia" w:cstheme="minorEastAsia"/>
          <w:snapToGrid w:val="0"/>
          <w:color w:val="auto"/>
          <w:kern w:val="0"/>
          <w:position w:val="-1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调整设备用月电量</w:t>
      </w:r>
      <w:r>
        <w:rPr>
          <w:rFonts w:hint="eastAsia" w:asciiTheme="minorEastAsia" w:hAnsiTheme="minorEastAsia" w:eastAsiaTheme="minorEastAsia" w:cstheme="minorEastAsia"/>
          <w:snapToGrid w:val="0"/>
          <w:color w:val="auto"/>
          <w:kern w:val="0"/>
          <w:position w:val="-10"/>
          <w:sz w:val="28"/>
          <w:szCs w:val="28"/>
          <w:highlight w:val="none"/>
        </w:rPr>
        <w:drawing>
          <wp:inline distT="0" distB="0" distL="0" distR="0">
            <wp:extent cx="1268095" cy="219075"/>
            <wp:effectExtent l="0" t="0" r="8255" b="8890"/>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23"/>
                    <a:stretch>
                      <a:fillRect/>
                    </a:stretch>
                  </pic:blipFill>
                  <pic:spPr>
                    <a:xfrm>
                      <a:off x="0" y="0"/>
                      <a:ext cx="1268303" cy="219377"/>
                    </a:xfrm>
                    <a:prstGeom prst="rect">
                      <a:avLst/>
                    </a:prstGeom>
                  </pic:spPr>
                </pic:pic>
              </a:graphicData>
            </a:graphic>
          </wp:inline>
        </w:drawing>
      </w:r>
    </w:p>
    <w:p w14:paraId="44BE6ECC">
      <w:pPr>
        <w:widowControl/>
        <w:autoSpaceDE w:val="0"/>
        <w:autoSpaceDN w:val="0"/>
        <w:adjustRightInd w:val="0"/>
        <w:snapToGrid w:val="0"/>
        <w:spacing w:line="480" w:lineRule="exact"/>
        <w:ind w:firstLine="640"/>
        <w:jc w:val="center"/>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20"/>
          <w:kern w:val="0"/>
          <w:sz w:val="28"/>
          <w:szCs w:val="28"/>
          <w:highlight w:val="none"/>
        </w:rPr>
        <w:t>调整设备用年电量=12×</w:t>
      </w:r>
      <w:r>
        <w:rPr>
          <w:rFonts w:hint="eastAsia" w:asciiTheme="minorEastAsia" w:hAnsiTheme="minorEastAsia" w:eastAsiaTheme="minorEastAsia" w:cstheme="minorEastAsia"/>
          <w:snapToGrid w:val="0"/>
          <w:color w:val="auto"/>
          <w:spacing w:val="20"/>
          <w:kern w:val="0"/>
          <w:position w:val="-3"/>
          <w:sz w:val="28"/>
          <w:szCs w:val="28"/>
          <w:highlight w:val="none"/>
        </w:rPr>
        <w:t>∑</w:t>
      </w:r>
      <w:r>
        <w:rPr>
          <w:rFonts w:hint="eastAsia" w:asciiTheme="minorEastAsia" w:hAnsiTheme="minorEastAsia" w:eastAsiaTheme="minorEastAsia" w:cstheme="minorEastAsia"/>
          <w:snapToGrid w:val="0"/>
          <w:color w:val="auto"/>
          <w:kern w:val="0"/>
          <w:position w:val="-7"/>
          <w:sz w:val="28"/>
          <w:szCs w:val="28"/>
          <w:highlight w:val="none"/>
        </w:rPr>
        <w:drawing>
          <wp:inline distT="0" distB="0" distL="0" distR="0">
            <wp:extent cx="986155" cy="155575"/>
            <wp:effectExtent l="0" t="0" r="4445" b="15875"/>
            <wp:docPr id="19" name="IM 6"/>
            <wp:cNvGraphicFramePr/>
            <a:graphic xmlns:a="http://schemas.openxmlformats.org/drawingml/2006/main">
              <a:graphicData uri="http://schemas.openxmlformats.org/drawingml/2006/picture">
                <pic:pic xmlns:pic="http://schemas.openxmlformats.org/drawingml/2006/picture">
                  <pic:nvPicPr>
                    <pic:cNvPr id="19" name="IM 6"/>
                    <pic:cNvPicPr/>
                  </pic:nvPicPr>
                  <pic:blipFill>
                    <a:blip r:embed="rId24"/>
                    <a:stretch>
                      <a:fillRect/>
                    </a:stretch>
                  </pic:blipFill>
                  <pic:spPr>
                    <a:xfrm>
                      <a:off x="0" y="0"/>
                      <a:ext cx="986445" cy="155964"/>
                    </a:xfrm>
                    <a:prstGeom prst="rect">
                      <a:avLst/>
                    </a:prstGeom>
                  </pic:spPr>
                </pic:pic>
              </a:graphicData>
            </a:graphic>
          </wp:inline>
        </w:drawing>
      </w:r>
    </w:p>
    <w:p w14:paraId="63112F50">
      <w:pPr>
        <w:widowControl/>
        <w:autoSpaceDE w:val="0"/>
        <w:autoSpaceDN w:val="0"/>
        <w:adjustRightInd w:val="0"/>
        <w:snapToGrid w:val="0"/>
        <w:spacing w:line="480" w:lineRule="exact"/>
        <w:ind w:firstLine="644"/>
        <w:jc w:val="center"/>
        <w:textAlignment w:val="baseline"/>
        <w:rPr>
          <w:rFonts w:asciiTheme="minorEastAsia" w:hAnsiTheme="minorEastAsia" w:eastAsiaTheme="minorEastAsia" w:cstheme="minorEastAsia"/>
          <w:snapToGrid w:val="0"/>
          <w:color w:val="auto"/>
          <w:spacing w:val="21"/>
          <w:kern w:val="0"/>
          <w:sz w:val="28"/>
          <w:szCs w:val="28"/>
          <w:highlight w:val="none"/>
        </w:rPr>
      </w:pPr>
      <w:r>
        <w:rPr>
          <w:rFonts w:hint="eastAsia" w:asciiTheme="minorEastAsia" w:hAnsiTheme="minorEastAsia" w:eastAsiaTheme="minorEastAsia" w:cstheme="minorEastAsia"/>
          <w:snapToGrid w:val="0"/>
          <w:color w:val="auto"/>
          <w:spacing w:val="21"/>
          <w:kern w:val="0"/>
          <w:sz w:val="28"/>
          <w:szCs w:val="28"/>
          <w:highlight w:val="none"/>
        </w:rPr>
        <w:t>托管月电量＝基准月电量+调整设备月用电量</w:t>
      </w:r>
    </w:p>
    <w:p w14:paraId="519E95C8">
      <w:pPr>
        <w:widowControl/>
        <w:autoSpaceDE w:val="0"/>
        <w:autoSpaceDN w:val="0"/>
        <w:adjustRightInd w:val="0"/>
        <w:snapToGrid w:val="0"/>
        <w:spacing w:line="480" w:lineRule="exact"/>
        <w:ind w:firstLine="644"/>
        <w:jc w:val="center"/>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21"/>
          <w:kern w:val="0"/>
          <w:sz w:val="28"/>
          <w:szCs w:val="28"/>
          <w:highlight w:val="none"/>
        </w:rPr>
        <w:t>托管年电量＝基准年电量+调整设备年用电量</w:t>
      </w:r>
    </w:p>
    <w:p w14:paraId="74093EE5">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6"/>
          <w:kern w:val="0"/>
          <w:sz w:val="28"/>
          <w:szCs w:val="28"/>
          <w:highlight w:val="none"/>
        </w:rPr>
        <w:t>式中：</w:t>
      </w:r>
    </w:p>
    <w:p w14:paraId="3D8FC481">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pacing w:val="-39"/>
          <w:w w:val="87"/>
          <w:sz w:val="28"/>
          <w:szCs w:val="28"/>
          <w:highlight w:val="none"/>
        </w:rPr>
      </w:pPr>
      <w:r>
        <w:rPr>
          <w:rFonts w:hint="eastAsia" w:asciiTheme="minorEastAsia" w:hAnsiTheme="minorEastAsia" w:eastAsiaTheme="minorEastAsia" w:cstheme="minorEastAsia"/>
          <w:i/>
          <w:iCs/>
          <w:snapToGrid w:val="0"/>
          <w:color w:val="auto"/>
          <w:sz w:val="28"/>
          <w:szCs w:val="28"/>
          <w:highlight w:val="none"/>
        </w:rPr>
        <w:t>N</w:t>
      </w:r>
      <w:r>
        <w:rPr>
          <w:rFonts w:hint="eastAsia" w:asciiTheme="minorEastAsia" w:hAnsiTheme="minorEastAsia" w:eastAsiaTheme="minorEastAsia" w:cstheme="minorEastAsia"/>
          <w:i/>
          <w:iCs/>
          <w:snapToGrid w:val="0"/>
          <w:color w:val="auto"/>
          <w:position w:val="-2"/>
          <w:sz w:val="28"/>
          <w:szCs w:val="28"/>
          <w:highlight w:val="none"/>
          <w:vertAlign w:val="subscript"/>
        </w:rPr>
        <w:t>i</w:t>
      </w:r>
      <w:r>
        <w:rPr>
          <w:rFonts w:hint="eastAsia" w:asciiTheme="minorEastAsia" w:hAnsiTheme="minorEastAsia" w:eastAsiaTheme="minorEastAsia" w:cstheme="minorEastAsia"/>
          <w:snapToGrid w:val="0"/>
          <w:color w:val="auto"/>
          <w:spacing w:val="10"/>
          <w:sz w:val="28"/>
          <w:szCs w:val="28"/>
          <w:highlight w:val="none"/>
        </w:rPr>
        <w:t>——添加或减少的第</w:t>
      </w:r>
      <w:r>
        <w:rPr>
          <w:rFonts w:hint="eastAsia" w:asciiTheme="minorEastAsia" w:hAnsiTheme="minorEastAsia" w:eastAsiaTheme="minorEastAsia" w:cstheme="minorEastAsia"/>
          <w:i/>
          <w:iCs/>
          <w:snapToGrid w:val="0"/>
          <w:color w:val="auto"/>
          <w:spacing w:val="10"/>
          <w:sz w:val="28"/>
          <w:szCs w:val="28"/>
          <w:highlight w:val="none"/>
        </w:rPr>
        <w:t>i</w:t>
      </w:r>
      <w:r>
        <w:rPr>
          <w:rFonts w:hint="eastAsia" w:asciiTheme="minorEastAsia" w:hAnsiTheme="minorEastAsia" w:eastAsiaTheme="minorEastAsia" w:cstheme="minorEastAsia"/>
          <w:snapToGrid w:val="0"/>
          <w:color w:val="auto"/>
          <w:spacing w:val="10"/>
          <w:sz w:val="28"/>
          <w:szCs w:val="28"/>
          <w:highlight w:val="none"/>
        </w:rPr>
        <w:t>类电磁厨房设备功率（</w:t>
      </w:r>
      <w:r>
        <w:rPr>
          <w:rFonts w:hint="eastAsia" w:asciiTheme="minorEastAsia" w:hAnsiTheme="minorEastAsia" w:eastAsiaTheme="minorEastAsia" w:cstheme="minorEastAsia"/>
          <w:snapToGrid w:val="0"/>
          <w:color w:val="auto"/>
          <w:sz w:val="28"/>
          <w:szCs w:val="28"/>
          <w:highlight w:val="none"/>
        </w:rPr>
        <w:t>kW</w:t>
      </w:r>
      <w:r>
        <w:rPr>
          <w:rFonts w:hint="eastAsia" w:asciiTheme="minorEastAsia" w:hAnsiTheme="minorEastAsia" w:eastAsiaTheme="minorEastAsia" w:cstheme="minorEastAsia"/>
          <w:snapToGrid w:val="0"/>
          <w:color w:val="auto"/>
          <w:spacing w:val="-39"/>
          <w:w w:val="87"/>
          <w:sz w:val="28"/>
          <w:szCs w:val="28"/>
          <w:highlight w:val="none"/>
        </w:rPr>
        <w:t>），</w:t>
      </w:r>
      <w:r>
        <w:rPr>
          <w:rFonts w:hint="eastAsia" w:asciiTheme="minorEastAsia" w:hAnsiTheme="minorEastAsia" w:eastAsiaTheme="minorEastAsia" w:cstheme="minorEastAsia"/>
          <w:i/>
          <w:iCs/>
          <w:snapToGrid w:val="0"/>
          <w:color w:val="auto"/>
          <w:spacing w:val="10"/>
          <w:sz w:val="28"/>
          <w:szCs w:val="28"/>
          <w:highlight w:val="none"/>
        </w:rPr>
        <w:t>i</w:t>
      </w:r>
      <w:r>
        <w:rPr>
          <w:rFonts w:hint="eastAsia" w:asciiTheme="minorEastAsia" w:hAnsiTheme="minorEastAsia" w:eastAsiaTheme="minorEastAsia" w:cstheme="minorEastAsia"/>
          <w:snapToGrid w:val="0"/>
          <w:color w:val="auto"/>
          <w:spacing w:val="10"/>
          <w:sz w:val="28"/>
          <w:szCs w:val="28"/>
          <w:highlight w:val="none"/>
        </w:rPr>
        <w:t>∝（1~</w:t>
      </w:r>
      <w:r>
        <w:rPr>
          <w:rFonts w:hint="eastAsia" w:asciiTheme="minorEastAsia" w:hAnsiTheme="minorEastAsia" w:eastAsiaTheme="minorEastAsia" w:cstheme="minorEastAsia"/>
          <w:i/>
          <w:iCs/>
          <w:snapToGrid w:val="0"/>
          <w:color w:val="auto"/>
          <w:spacing w:val="10"/>
          <w:sz w:val="28"/>
          <w:szCs w:val="28"/>
          <w:highlight w:val="none"/>
        </w:rPr>
        <w:t>n</w:t>
      </w:r>
      <w:r>
        <w:rPr>
          <w:rFonts w:hint="eastAsia" w:asciiTheme="minorEastAsia" w:hAnsiTheme="minorEastAsia" w:eastAsiaTheme="minorEastAsia" w:cstheme="minorEastAsia"/>
          <w:snapToGrid w:val="0"/>
          <w:color w:val="auto"/>
          <w:spacing w:val="-39"/>
          <w:w w:val="87"/>
          <w:sz w:val="28"/>
          <w:szCs w:val="28"/>
          <w:highlight w:val="none"/>
        </w:rPr>
        <w:t>）；</w:t>
      </w:r>
    </w:p>
    <w:p w14:paraId="2BF612B9">
      <w:pPr>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i/>
          <w:iCs/>
          <w:snapToGrid w:val="0"/>
          <w:color w:val="auto"/>
          <w:spacing w:val="11"/>
          <w:sz w:val="28"/>
          <w:szCs w:val="28"/>
          <w:highlight w:val="none"/>
        </w:rPr>
        <w:t>Q</w:t>
      </w:r>
      <w:r>
        <w:rPr>
          <w:rFonts w:hint="eastAsia" w:asciiTheme="minorEastAsia" w:hAnsiTheme="minorEastAsia" w:eastAsiaTheme="minorEastAsia" w:cstheme="minorEastAsia"/>
          <w:snapToGrid w:val="0"/>
          <w:color w:val="auto"/>
          <w:spacing w:val="11"/>
          <w:sz w:val="28"/>
          <w:szCs w:val="28"/>
          <w:highlight w:val="none"/>
        </w:rPr>
        <w:t>——添加或减少的第</w:t>
      </w:r>
      <w:r>
        <w:rPr>
          <w:rFonts w:hint="eastAsia" w:asciiTheme="minorEastAsia" w:hAnsiTheme="minorEastAsia" w:eastAsiaTheme="minorEastAsia" w:cstheme="minorEastAsia"/>
          <w:i/>
          <w:iCs/>
          <w:snapToGrid w:val="0"/>
          <w:color w:val="auto"/>
          <w:spacing w:val="11"/>
          <w:sz w:val="28"/>
          <w:szCs w:val="28"/>
          <w:highlight w:val="none"/>
        </w:rPr>
        <w:t>i</w:t>
      </w:r>
      <w:r>
        <w:rPr>
          <w:rFonts w:hint="eastAsia" w:asciiTheme="minorEastAsia" w:hAnsiTheme="minorEastAsia" w:eastAsiaTheme="minorEastAsia" w:cstheme="minorEastAsia"/>
          <w:snapToGrid w:val="0"/>
          <w:color w:val="auto"/>
          <w:spacing w:val="11"/>
          <w:sz w:val="28"/>
          <w:szCs w:val="28"/>
          <w:highlight w:val="none"/>
        </w:rPr>
        <w:t>类电磁厨房设备数量（台</w:t>
      </w:r>
      <w:r>
        <w:rPr>
          <w:rFonts w:hint="eastAsia" w:asciiTheme="minorEastAsia" w:hAnsiTheme="minorEastAsia" w:eastAsiaTheme="minorEastAsia" w:cstheme="minorEastAsia"/>
          <w:snapToGrid w:val="0"/>
          <w:color w:val="auto"/>
          <w:spacing w:val="-44"/>
          <w:w w:val="98"/>
          <w:sz w:val="28"/>
          <w:szCs w:val="28"/>
          <w:highlight w:val="none"/>
        </w:rPr>
        <w:t>）；</w:t>
      </w:r>
    </w:p>
    <w:p w14:paraId="5D492F91">
      <w:pPr>
        <w:autoSpaceDE w:val="0"/>
        <w:autoSpaceDN w:val="0"/>
        <w:adjustRightInd w:val="0"/>
        <w:snapToGrid w:val="0"/>
        <w:spacing w:line="480" w:lineRule="exact"/>
        <w:ind w:firstLine="59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i/>
          <w:iCs/>
          <w:snapToGrid w:val="0"/>
          <w:color w:val="auto"/>
          <w:spacing w:val="9"/>
          <w:sz w:val="28"/>
          <w:szCs w:val="28"/>
          <w:highlight w:val="none"/>
        </w:rPr>
        <w:t>H</w:t>
      </w:r>
      <w:r>
        <w:rPr>
          <w:rFonts w:hint="eastAsia" w:asciiTheme="minorEastAsia" w:hAnsiTheme="minorEastAsia" w:eastAsiaTheme="minorEastAsia" w:cstheme="minorEastAsia"/>
          <w:snapToGrid w:val="0"/>
          <w:color w:val="auto"/>
          <w:spacing w:val="9"/>
          <w:sz w:val="28"/>
          <w:szCs w:val="28"/>
          <w:highlight w:val="none"/>
        </w:rPr>
        <w:t>——添加或减少的第</w:t>
      </w:r>
      <w:r>
        <w:rPr>
          <w:rFonts w:hint="eastAsia" w:asciiTheme="minorEastAsia" w:hAnsiTheme="minorEastAsia" w:eastAsiaTheme="minorEastAsia" w:cstheme="minorEastAsia"/>
          <w:i/>
          <w:iCs/>
          <w:snapToGrid w:val="0"/>
          <w:color w:val="auto"/>
          <w:spacing w:val="9"/>
          <w:sz w:val="28"/>
          <w:szCs w:val="28"/>
          <w:highlight w:val="none"/>
        </w:rPr>
        <w:t>i</w:t>
      </w:r>
      <w:r>
        <w:rPr>
          <w:rFonts w:hint="eastAsia" w:asciiTheme="minorEastAsia" w:hAnsiTheme="minorEastAsia" w:eastAsiaTheme="minorEastAsia" w:cstheme="minorEastAsia"/>
          <w:snapToGrid w:val="0"/>
          <w:color w:val="auto"/>
          <w:spacing w:val="9"/>
          <w:sz w:val="28"/>
          <w:szCs w:val="28"/>
          <w:highlight w:val="none"/>
        </w:rPr>
        <w:t>类电磁厨房设备月运行时间（小时）。</w:t>
      </w:r>
    </w:p>
    <w:p w14:paraId="3721E330">
      <w:pPr>
        <w:widowControl/>
        <w:autoSpaceDE w:val="0"/>
        <w:autoSpaceDN w:val="0"/>
        <w:adjustRightInd w:val="0"/>
        <w:snapToGrid w:val="0"/>
        <w:spacing w:line="480" w:lineRule="exact"/>
        <w:ind w:firstLine="58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5"/>
          <w:kern w:val="0"/>
          <w:sz w:val="28"/>
          <w:szCs w:val="28"/>
          <w:highlight w:val="none"/>
        </w:rPr>
        <w:t>（二）充电桩电耗调整规则</w:t>
      </w:r>
    </w:p>
    <w:p w14:paraId="1B963859">
      <w:pPr>
        <w:widowControl/>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1.对于已安装计量电表的，可按充电桩实际用电量进行调整。</w:t>
      </w:r>
    </w:p>
    <w:p w14:paraId="43EF6EAF">
      <w:pPr>
        <w:widowControl/>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3"/>
          <w:kern w:val="0"/>
          <w:sz w:val="28"/>
          <w:szCs w:val="28"/>
          <w:highlight w:val="none"/>
        </w:rPr>
        <w:t>2.如未安装计量电表，充电桩增减用电设备的预测年用电量按下式计算：</w:t>
      </w:r>
    </w:p>
    <w:p w14:paraId="38518245">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position w:val="7"/>
          <w:sz w:val="28"/>
          <w:szCs w:val="28"/>
          <w:highlight w:val="none"/>
        </w:rPr>
        <w:t>调整设备用月电量=</w:t>
      </w:r>
      <w:r>
        <w:rPr>
          <w:rFonts w:hint="eastAsia" w:asciiTheme="minorEastAsia" w:hAnsiTheme="minorEastAsia" w:eastAsiaTheme="minorEastAsia" w:cstheme="minorEastAsia"/>
          <w:snapToGrid w:val="0"/>
          <w:color w:val="auto"/>
          <w:spacing w:val="20"/>
          <w:position w:val="-3"/>
          <w:sz w:val="28"/>
          <w:szCs w:val="28"/>
          <w:highlight w:val="none"/>
        </w:rPr>
        <w:t>∑</w:t>
      </w:r>
      <w:r>
        <w:rPr>
          <w:rFonts w:hint="eastAsia" w:asciiTheme="minorEastAsia" w:hAnsiTheme="minorEastAsia" w:eastAsiaTheme="minorEastAsia" w:cstheme="minorEastAsia"/>
          <w:snapToGrid w:val="0"/>
          <w:color w:val="auto"/>
          <w:position w:val="-7"/>
          <w:sz w:val="28"/>
          <w:szCs w:val="28"/>
          <w:highlight w:val="none"/>
        </w:rPr>
        <w:drawing>
          <wp:inline distT="0" distB="0" distL="0" distR="0">
            <wp:extent cx="986155" cy="155575"/>
            <wp:effectExtent l="0" t="0" r="4445" b="15875"/>
            <wp:docPr id="20" name="IM 8"/>
            <wp:cNvGraphicFramePr/>
            <a:graphic xmlns:a="http://schemas.openxmlformats.org/drawingml/2006/main">
              <a:graphicData uri="http://schemas.openxmlformats.org/drawingml/2006/picture">
                <pic:pic xmlns:pic="http://schemas.openxmlformats.org/drawingml/2006/picture">
                  <pic:nvPicPr>
                    <pic:cNvPr id="20" name="IM 8"/>
                    <pic:cNvPicPr/>
                  </pic:nvPicPr>
                  <pic:blipFill>
                    <a:blip r:embed="rId25"/>
                    <a:stretch>
                      <a:fillRect/>
                    </a:stretch>
                  </pic:blipFill>
                  <pic:spPr>
                    <a:xfrm>
                      <a:off x="0" y="0"/>
                      <a:ext cx="986445" cy="155964"/>
                    </a:xfrm>
                    <a:prstGeom prst="rect">
                      <a:avLst/>
                    </a:prstGeom>
                  </pic:spPr>
                </pic:pic>
              </a:graphicData>
            </a:graphic>
          </wp:inline>
        </w:drawing>
      </w:r>
    </w:p>
    <w:p w14:paraId="71D64418">
      <w:pPr>
        <w:widowControl/>
        <w:autoSpaceDE w:val="0"/>
        <w:autoSpaceDN w:val="0"/>
        <w:adjustRightInd w:val="0"/>
        <w:snapToGrid w:val="0"/>
        <w:spacing w:line="480" w:lineRule="exact"/>
        <w:ind w:firstLine="64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20"/>
          <w:kern w:val="0"/>
          <w:sz w:val="28"/>
          <w:szCs w:val="28"/>
          <w:highlight w:val="none"/>
        </w:rPr>
        <w:t>调整设备用年电量=12×</w:t>
      </w:r>
      <w:r>
        <w:rPr>
          <w:rFonts w:hint="eastAsia" w:asciiTheme="minorEastAsia" w:hAnsiTheme="minorEastAsia" w:eastAsiaTheme="minorEastAsia" w:cstheme="minorEastAsia"/>
          <w:snapToGrid w:val="0"/>
          <w:color w:val="auto"/>
          <w:spacing w:val="20"/>
          <w:kern w:val="0"/>
          <w:position w:val="-3"/>
          <w:sz w:val="28"/>
          <w:szCs w:val="28"/>
          <w:highlight w:val="none"/>
        </w:rPr>
        <w:t>∑</w:t>
      </w:r>
      <w:r>
        <w:rPr>
          <w:rFonts w:hint="eastAsia" w:asciiTheme="minorEastAsia" w:hAnsiTheme="minorEastAsia" w:eastAsiaTheme="minorEastAsia" w:cstheme="minorEastAsia"/>
          <w:snapToGrid w:val="0"/>
          <w:color w:val="auto"/>
          <w:kern w:val="0"/>
          <w:position w:val="-7"/>
          <w:sz w:val="28"/>
          <w:szCs w:val="28"/>
          <w:highlight w:val="none"/>
        </w:rPr>
        <w:drawing>
          <wp:inline distT="0" distB="0" distL="0" distR="0">
            <wp:extent cx="986155" cy="155575"/>
            <wp:effectExtent l="0" t="0" r="4445" b="15875"/>
            <wp:docPr id="21" name="IM 8"/>
            <wp:cNvGraphicFramePr/>
            <a:graphic xmlns:a="http://schemas.openxmlformats.org/drawingml/2006/main">
              <a:graphicData uri="http://schemas.openxmlformats.org/drawingml/2006/picture">
                <pic:pic xmlns:pic="http://schemas.openxmlformats.org/drawingml/2006/picture">
                  <pic:nvPicPr>
                    <pic:cNvPr id="21" name="IM 8"/>
                    <pic:cNvPicPr/>
                  </pic:nvPicPr>
                  <pic:blipFill>
                    <a:blip r:embed="rId25"/>
                    <a:stretch>
                      <a:fillRect/>
                    </a:stretch>
                  </pic:blipFill>
                  <pic:spPr>
                    <a:xfrm>
                      <a:off x="0" y="0"/>
                      <a:ext cx="986445" cy="155964"/>
                    </a:xfrm>
                    <a:prstGeom prst="rect">
                      <a:avLst/>
                    </a:prstGeom>
                  </pic:spPr>
                </pic:pic>
              </a:graphicData>
            </a:graphic>
          </wp:inline>
        </w:drawing>
      </w:r>
    </w:p>
    <w:p w14:paraId="227CD159">
      <w:pPr>
        <w:widowControl/>
        <w:autoSpaceDE w:val="0"/>
        <w:autoSpaceDN w:val="0"/>
        <w:adjustRightInd w:val="0"/>
        <w:snapToGrid w:val="0"/>
        <w:spacing w:line="480" w:lineRule="exact"/>
        <w:ind w:firstLine="64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21"/>
          <w:kern w:val="0"/>
          <w:sz w:val="28"/>
          <w:szCs w:val="28"/>
          <w:highlight w:val="none"/>
        </w:rPr>
        <w:t>托管月电量＝基准月电量+调整设备月用电量托管年电量＝基准年电量+调整设备年用电量</w:t>
      </w:r>
    </w:p>
    <w:p w14:paraId="42EC5C97">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6"/>
          <w:kern w:val="0"/>
          <w:sz w:val="28"/>
          <w:szCs w:val="28"/>
          <w:highlight w:val="none"/>
        </w:rPr>
        <w:t>式中：</w:t>
      </w:r>
    </w:p>
    <w:p w14:paraId="1D1CD3AD">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pacing w:val="-39"/>
          <w:w w:val="86"/>
          <w:sz w:val="28"/>
          <w:szCs w:val="28"/>
          <w:highlight w:val="none"/>
        </w:rPr>
      </w:pPr>
      <w:r>
        <w:rPr>
          <w:rFonts w:hint="eastAsia" w:asciiTheme="minorEastAsia" w:hAnsiTheme="minorEastAsia" w:eastAsiaTheme="minorEastAsia" w:cstheme="minorEastAsia"/>
          <w:i/>
          <w:iCs/>
          <w:snapToGrid w:val="0"/>
          <w:color w:val="auto"/>
          <w:sz w:val="28"/>
          <w:szCs w:val="28"/>
          <w:highlight w:val="none"/>
        </w:rPr>
        <w:t>N</w:t>
      </w:r>
      <w:r>
        <w:rPr>
          <w:rFonts w:hint="eastAsia" w:asciiTheme="minorEastAsia" w:hAnsiTheme="minorEastAsia" w:eastAsiaTheme="minorEastAsia" w:cstheme="minorEastAsia"/>
          <w:i/>
          <w:iCs/>
          <w:snapToGrid w:val="0"/>
          <w:color w:val="auto"/>
          <w:position w:val="-2"/>
          <w:sz w:val="28"/>
          <w:szCs w:val="28"/>
          <w:highlight w:val="none"/>
          <w:vertAlign w:val="subscript"/>
        </w:rPr>
        <w:t>i</w:t>
      </w:r>
      <w:r>
        <w:rPr>
          <w:rFonts w:hint="eastAsia" w:asciiTheme="minorEastAsia" w:hAnsiTheme="minorEastAsia" w:eastAsiaTheme="minorEastAsia" w:cstheme="minorEastAsia"/>
          <w:snapToGrid w:val="0"/>
          <w:color w:val="auto"/>
          <w:spacing w:val="10"/>
          <w:sz w:val="28"/>
          <w:szCs w:val="28"/>
          <w:highlight w:val="none"/>
        </w:rPr>
        <w:t>——添加或减少的第</w:t>
      </w:r>
      <w:r>
        <w:rPr>
          <w:rFonts w:hint="eastAsia" w:asciiTheme="minorEastAsia" w:hAnsiTheme="minorEastAsia" w:eastAsiaTheme="minorEastAsia" w:cstheme="minorEastAsia"/>
          <w:i/>
          <w:iCs/>
          <w:snapToGrid w:val="0"/>
          <w:color w:val="auto"/>
          <w:spacing w:val="10"/>
          <w:sz w:val="28"/>
          <w:szCs w:val="28"/>
          <w:highlight w:val="none"/>
        </w:rPr>
        <w:t>i</w:t>
      </w:r>
      <w:r>
        <w:rPr>
          <w:rFonts w:hint="eastAsia" w:asciiTheme="minorEastAsia" w:hAnsiTheme="minorEastAsia" w:eastAsiaTheme="minorEastAsia" w:cstheme="minorEastAsia"/>
          <w:snapToGrid w:val="0"/>
          <w:color w:val="auto"/>
          <w:spacing w:val="10"/>
          <w:sz w:val="28"/>
          <w:szCs w:val="28"/>
          <w:highlight w:val="none"/>
        </w:rPr>
        <w:t>类充电桩设备功率（</w:t>
      </w:r>
      <w:r>
        <w:rPr>
          <w:rFonts w:hint="eastAsia" w:asciiTheme="minorEastAsia" w:hAnsiTheme="minorEastAsia" w:eastAsiaTheme="minorEastAsia" w:cstheme="minorEastAsia"/>
          <w:snapToGrid w:val="0"/>
          <w:color w:val="auto"/>
          <w:sz w:val="28"/>
          <w:szCs w:val="28"/>
          <w:highlight w:val="none"/>
        </w:rPr>
        <w:t>kW</w:t>
      </w:r>
      <w:r>
        <w:rPr>
          <w:rFonts w:hint="eastAsia" w:asciiTheme="minorEastAsia" w:hAnsiTheme="minorEastAsia" w:eastAsiaTheme="minorEastAsia" w:cstheme="minorEastAsia"/>
          <w:snapToGrid w:val="0"/>
          <w:color w:val="auto"/>
          <w:spacing w:val="-39"/>
          <w:w w:val="86"/>
          <w:sz w:val="28"/>
          <w:szCs w:val="28"/>
          <w:highlight w:val="none"/>
        </w:rPr>
        <w:t>），</w:t>
      </w:r>
      <w:r>
        <w:rPr>
          <w:rFonts w:hint="eastAsia" w:asciiTheme="minorEastAsia" w:hAnsiTheme="minorEastAsia" w:eastAsiaTheme="minorEastAsia" w:cstheme="minorEastAsia"/>
          <w:i/>
          <w:iCs/>
          <w:snapToGrid w:val="0"/>
          <w:color w:val="auto"/>
          <w:spacing w:val="10"/>
          <w:sz w:val="28"/>
          <w:szCs w:val="28"/>
          <w:highlight w:val="none"/>
        </w:rPr>
        <w:t>i</w:t>
      </w:r>
      <w:r>
        <w:rPr>
          <w:rFonts w:hint="eastAsia" w:asciiTheme="minorEastAsia" w:hAnsiTheme="minorEastAsia" w:eastAsiaTheme="minorEastAsia" w:cstheme="minorEastAsia"/>
          <w:snapToGrid w:val="0"/>
          <w:color w:val="auto"/>
          <w:spacing w:val="10"/>
          <w:sz w:val="28"/>
          <w:szCs w:val="28"/>
          <w:highlight w:val="none"/>
        </w:rPr>
        <w:t>∝</w:t>
      </w:r>
      <w:r>
        <w:rPr>
          <w:rFonts w:hint="eastAsia" w:asciiTheme="minorEastAsia" w:hAnsiTheme="minorEastAsia" w:eastAsiaTheme="minorEastAsia" w:cstheme="minorEastAsia"/>
          <w:snapToGrid w:val="0"/>
          <w:color w:val="auto"/>
          <w:spacing w:val="9"/>
          <w:sz w:val="28"/>
          <w:szCs w:val="28"/>
          <w:highlight w:val="none"/>
        </w:rPr>
        <w:t>（1~</w:t>
      </w:r>
      <w:r>
        <w:rPr>
          <w:rFonts w:hint="eastAsia" w:asciiTheme="minorEastAsia" w:hAnsiTheme="minorEastAsia" w:eastAsiaTheme="minorEastAsia" w:cstheme="minorEastAsia"/>
          <w:i/>
          <w:iCs/>
          <w:snapToGrid w:val="0"/>
          <w:color w:val="auto"/>
          <w:spacing w:val="9"/>
          <w:sz w:val="28"/>
          <w:szCs w:val="28"/>
          <w:highlight w:val="none"/>
        </w:rPr>
        <w:t>n</w:t>
      </w:r>
      <w:r>
        <w:rPr>
          <w:rFonts w:hint="eastAsia" w:asciiTheme="minorEastAsia" w:hAnsiTheme="minorEastAsia" w:eastAsiaTheme="minorEastAsia" w:cstheme="minorEastAsia"/>
          <w:snapToGrid w:val="0"/>
          <w:color w:val="auto"/>
          <w:spacing w:val="-39"/>
          <w:w w:val="86"/>
          <w:sz w:val="28"/>
          <w:szCs w:val="28"/>
          <w:highlight w:val="none"/>
        </w:rPr>
        <w:t>）；</w:t>
      </w:r>
    </w:p>
    <w:p w14:paraId="77A6E9D5">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i/>
          <w:iCs/>
          <w:snapToGrid w:val="0"/>
          <w:color w:val="auto"/>
          <w:spacing w:val="10"/>
          <w:sz w:val="28"/>
          <w:szCs w:val="28"/>
          <w:highlight w:val="none"/>
        </w:rPr>
        <w:t>Q</w:t>
      </w:r>
      <w:r>
        <w:rPr>
          <w:rFonts w:hint="eastAsia" w:asciiTheme="minorEastAsia" w:hAnsiTheme="minorEastAsia" w:eastAsiaTheme="minorEastAsia" w:cstheme="minorEastAsia"/>
          <w:snapToGrid w:val="0"/>
          <w:color w:val="auto"/>
          <w:spacing w:val="10"/>
          <w:sz w:val="28"/>
          <w:szCs w:val="28"/>
          <w:highlight w:val="none"/>
        </w:rPr>
        <w:t>——添加或减少的第</w:t>
      </w:r>
      <w:r>
        <w:rPr>
          <w:rFonts w:hint="eastAsia" w:asciiTheme="minorEastAsia" w:hAnsiTheme="minorEastAsia" w:eastAsiaTheme="minorEastAsia" w:cstheme="minorEastAsia"/>
          <w:i/>
          <w:iCs/>
          <w:snapToGrid w:val="0"/>
          <w:color w:val="auto"/>
          <w:spacing w:val="10"/>
          <w:sz w:val="28"/>
          <w:szCs w:val="28"/>
          <w:highlight w:val="none"/>
        </w:rPr>
        <w:t>i</w:t>
      </w:r>
      <w:r>
        <w:rPr>
          <w:rFonts w:hint="eastAsia" w:asciiTheme="minorEastAsia" w:hAnsiTheme="minorEastAsia" w:eastAsiaTheme="minorEastAsia" w:cstheme="minorEastAsia"/>
          <w:snapToGrid w:val="0"/>
          <w:color w:val="auto"/>
          <w:spacing w:val="10"/>
          <w:sz w:val="28"/>
          <w:szCs w:val="28"/>
          <w:highlight w:val="none"/>
        </w:rPr>
        <w:t>类充电桩设备数量（台</w:t>
      </w:r>
      <w:r>
        <w:rPr>
          <w:rFonts w:hint="eastAsia" w:asciiTheme="minorEastAsia" w:hAnsiTheme="minorEastAsia" w:eastAsiaTheme="minorEastAsia" w:cstheme="minorEastAsia"/>
          <w:snapToGrid w:val="0"/>
          <w:color w:val="auto"/>
          <w:spacing w:val="-41"/>
          <w:sz w:val="28"/>
          <w:szCs w:val="28"/>
          <w:highlight w:val="none"/>
        </w:rPr>
        <w:t>）；</w:t>
      </w:r>
    </w:p>
    <w:p w14:paraId="65EA5F29">
      <w:pPr>
        <w:autoSpaceDE w:val="0"/>
        <w:autoSpaceDN w:val="0"/>
        <w:adjustRightInd w:val="0"/>
        <w:snapToGrid w:val="0"/>
        <w:spacing w:line="480" w:lineRule="exact"/>
        <w:ind w:firstLine="59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i/>
          <w:iCs/>
          <w:snapToGrid w:val="0"/>
          <w:color w:val="auto"/>
          <w:spacing w:val="9"/>
          <w:sz w:val="28"/>
          <w:szCs w:val="28"/>
          <w:highlight w:val="none"/>
        </w:rPr>
        <w:t>H</w:t>
      </w:r>
      <w:r>
        <w:rPr>
          <w:rFonts w:hint="eastAsia" w:asciiTheme="minorEastAsia" w:hAnsiTheme="minorEastAsia" w:eastAsiaTheme="minorEastAsia" w:cstheme="minorEastAsia"/>
          <w:snapToGrid w:val="0"/>
          <w:color w:val="auto"/>
          <w:spacing w:val="9"/>
          <w:sz w:val="28"/>
          <w:szCs w:val="28"/>
          <w:highlight w:val="none"/>
        </w:rPr>
        <w:t>——添加或减少的第</w:t>
      </w:r>
      <w:r>
        <w:rPr>
          <w:rFonts w:hint="eastAsia" w:asciiTheme="minorEastAsia" w:hAnsiTheme="minorEastAsia" w:eastAsiaTheme="minorEastAsia" w:cstheme="minorEastAsia"/>
          <w:i/>
          <w:iCs/>
          <w:snapToGrid w:val="0"/>
          <w:color w:val="auto"/>
          <w:spacing w:val="9"/>
          <w:sz w:val="28"/>
          <w:szCs w:val="28"/>
          <w:highlight w:val="none"/>
        </w:rPr>
        <w:t>i</w:t>
      </w:r>
      <w:r>
        <w:rPr>
          <w:rFonts w:hint="eastAsia" w:asciiTheme="minorEastAsia" w:hAnsiTheme="minorEastAsia" w:eastAsiaTheme="minorEastAsia" w:cstheme="minorEastAsia"/>
          <w:snapToGrid w:val="0"/>
          <w:color w:val="auto"/>
          <w:spacing w:val="9"/>
          <w:sz w:val="28"/>
          <w:szCs w:val="28"/>
          <w:highlight w:val="none"/>
        </w:rPr>
        <w:t>类充电桩设备月运行时间（小时）。</w:t>
      </w:r>
    </w:p>
    <w:p w14:paraId="4C115D87">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6"/>
          <w:kern w:val="0"/>
          <w:sz w:val="28"/>
          <w:szCs w:val="28"/>
          <w:highlight w:val="none"/>
        </w:rPr>
        <w:t>（三）商业用电调整规则</w:t>
      </w:r>
    </w:p>
    <w:p w14:paraId="3E59BCA4">
      <w:pPr>
        <w:widowControl/>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1.对于已安装计量电表的，可按商业实际用电量进行</w:t>
      </w:r>
      <w:r>
        <w:rPr>
          <w:rFonts w:hint="eastAsia" w:asciiTheme="minorEastAsia" w:hAnsiTheme="minorEastAsia" w:eastAsiaTheme="minorEastAsia" w:cstheme="minorEastAsia"/>
          <w:snapToGrid w:val="0"/>
          <w:color w:val="auto"/>
          <w:spacing w:val="11"/>
          <w:kern w:val="0"/>
          <w:sz w:val="28"/>
          <w:szCs w:val="28"/>
          <w:highlight w:val="none"/>
        </w:rPr>
        <w:t>调整。</w:t>
      </w:r>
    </w:p>
    <w:p w14:paraId="33A70799">
      <w:pPr>
        <w:widowControl/>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4"/>
          <w:kern w:val="0"/>
          <w:sz w:val="28"/>
          <w:szCs w:val="28"/>
          <w:highlight w:val="none"/>
        </w:rPr>
        <w:t>2.如未安装计量电表，以合同签订时的商业面积为基准。若当年商业建筑面积有所增加或减少，应</w:t>
      </w:r>
      <w:r>
        <w:rPr>
          <w:rFonts w:hint="eastAsia" w:asciiTheme="minorEastAsia" w:hAnsiTheme="minorEastAsia" w:eastAsiaTheme="minorEastAsia" w:cstheme="minorEastAsia"/>
          <w:snapToGrid w:val="0"/>
          <w:color w:val="auto"/>
          <w:spacing w:val="16"/>
          <w:kern w:val="0"/>
          <w:sz w:val="28"/>
          <w:szCs w:val="28"/>
          <w:highlight w:val="none"/>
        </w:rPr>
        <w:t>根据商业建筑面积进行修正，计算当年新增或减少面积占改造前商业建筑面积的比例，并按此比例调整</w:t>
      </w:r>
      <w:r>
        <w:rPr>
          <w:rFonts w:hint="eastAsia" w:asciiTheme="minorEastAsia" w:hAnsiTheme="minorEastAsia" w:eastAsiaTheme="minorEastAsia" w:cstheme="minorEastAsia"/>
          <w:snapToGrid w:val="0"/>
          <w:color w:val="auto"/>
          <w:spacing w:val="14"/>
          <w:kern w:val="0"/>
          <w:sz w:val="28"/>
          <w:szCs w:val="28"/>
          <w:highlight w:val="none"/>
        </w:rPr>
        <w:t>相应能源基准。</w:t>
      </w:r>
    </w:p>
    <w:p w14:paraId="69C8F4A2">
      <w:pPr>
        <w:autoSpaceDE w:val="0"/>
        <w:autoSpaceDN w:val="0"/>
        <w:adjustRightInd w:val="0"/>
        <w:snapToGrid w:val="0"/>
        <w:spacing w:line="480" w:lineRule="exact"/>
        <w:ind w:firstLine="60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10"/>
          <w:position w:val="1"/>
          <w:sz w:val="28"/>
          <w:szCs w:val="28"/>
          <w:highlight w:val="none"/>
          <w:lang w:eastAsia="en-US"/>
        </w:rPr>
        <w:t>改造后建筑能源基准</w:t>
      </w:r>
      <w:r>
        <w:rPr>
          <w:rFonts w:hint="eastAsia" w:asciiTheme="minorEastAsia" w:hAnsiTheme="minorEastAsia" w:eastAsiaTheme="minorEastAsia" w:cstheme="minorEastAsia"/>
          <w:i/>
          <w:iCs/>
          <w:snapToGrid w:val="0"/>
          <w:color w:val="auto"/>
          <w:spacing w:val="10"/>
          <w:position w:val="1"/>
          <w:sz w:val="28"/>
          <w:szCs w:val="28"/>
          <w:highlight w:val="none"/>
          <w:lang w:eastAsia="en-US"/>
        </w:rPr>
        <w:t>E</w:t>
      </w:r>
      <w:r>
        <w:rPr>
          <w:rFonts w:hint="eastAsia" w:asciiTheme="minorEastAsia" w:hAnsiTheme="minorEastAsia" w:eastAsiaTheme="minorEastAsia" w:cstheme="minorEastAsia"/>
          <w:snapToGrid w:val="0"/>
          <w:color w:val="auto"/>
          <w:spacing w:val="10"/>
          <w:position w:val="-1"/>
          <w:sz w:val="28"/>
          <w:szCs w:val="28"/>
          <w:highlight w:val="none"/>
          <w:vertAlign w:val="subscript"/>
          <w:lang w:eastAsia="en-US"/>
        </w:rPr>
        <w:t>商业</w:t>
      </w:r>
      <w:r>
        <w:rPr>
          <w:rFonts w:hint="eastAsia" w:asciiTheme="minorEastAsia" w:hAnsiTheme="minorEastAsia" w:eastAsiaTheme="minorEastAsia" w:cstheme="minorEastAsia"/>
          <w:snapToGrid w:val="0"/>
          <w:color w:val="auto"/>
          <w:position w:val="-1"/>
          <w:sz w:val="28"/>
          <w:szCs w:val="28"/>
          <w:highlight w:val="none"/>
          <w:vertAlign w:val="subscript"/>
          <w:lang w:eastAsia="en-US"/>
        </w:rPr>
        <w:t>after</w:t>
      </w:r>
      <w:r>
        <w:rPr>
          <w:rFonts w:hint="eastAsia" w:asciiTheme="minorEastAsia" w:hAnsiTheme="minorEastAsia" w:eastAsiaTheme="minorEastAsia" w:cstheme="minorEastAsia"/>
          <w:snapToGrid w:val="0"/>
          <w:color w:val="auto"/>
          <w:spacing w:val="10"/>
          <w:position w:val="1"/>
          <w:sz w:val="28"/>
          <w:szCs w:val="28"/>
          <w:highlight w:val="none"/>
          <w:lang w:eastAsia="en-US"/>
        </w:rPr>
        <w:t>＝</w:t>
      </w:r>
      <w:r>
        <w:rPr>
          <w:rFonts w:hint="eastAsia" w:asciiTheme="minorEastAsia" w:hAnsiTheme="minorEastAsia" w:eastAsiaTheme="minorEastAsia" w:cstheme="minorEastAsia"/>
          <w:i/>
          <w:iCs/>
          <w:snapToGrid w:val="0"/>
          <w:color w:val="auto"/>
          <w:spacing w:val="10"/>
          <w:position w:val="1"/>
          <w:sz w:val="28"/>
          <w:szCs w:val="28"/>
          <w:highlight w:val="none"/>
          <w:lang w:eastAsia="en-US"/>
        </w:rPr>
        <w:t>E</w:t>
      </w:r>
      <w:r>
        <w:rPr>
          <w:rFonts w:hint="eastAsia" w:asciiTheme="minorEastAsia" w:hAnsiTheme="minorEastAsia" w:eastAsiaTheme="minorEastAsia" w:cstheme="minorEastAsia"/>
          <w:snapToGrid w:val="0"/>
          <w:color w:val="auto"/>
          <w:spacing w:val="10"/>
          <w:position w:val="-1"/>
          <w:sz w:val="28"/>
          <w:szCs w:val="28"/>
          <w:highlight w:val="none"/>
          <w:vertAlign w:val="subscript"/>
          <w:lang w:eastAsia="en-US"/>
        </w:rPr>
        <w:t>商业</w:t>
      </w:r>
      <w:r>
        <w:rPr>
          <w:rFonts w:hint="eastAsia" w:asciiTheme="minorEastAsia" w:hAnsiTheme="minorEastAsia" w:eastAsiaTheme="minorEastAsia" w:cstheme="minorEastAsia"/>
          <w:snapToGrid w:val="0"/>
          <w:color w:val="auto"/>
          <w:position w:val="-1"/>
          <w:sz w:val="28"/>
          <w:szCs w:val="28"/>
          <w:highlight w:val="none"/>
          <w:vertAlign w:val="subscript"/>
          <w:lang w:eastAsia="en-US"/>
        </w:rPr>
        <w:t>before</w:t>
      </w:r>
      <w:r>
        <w:rPr>
          <w:rFonts w:hint="eastAsia" w:asciiTheme="minorEastAsia" w:hAnsiTheme="minorEastAsia" w:eastAsiaTheme="minorEastAsia" w:cstheme="minorEastAsia"/>
          <w:snapToGrid w:val="0"/>
          <w:color w:val="auto"/>
          <w:spacing w:val="10"/>
          <w:position w:val="1"/>
          <w:sz w:val="28"/>
          <w:szCs w:val="28"/>
          <w:highlight w:val="none"/>
          <w:lang w:eastAsia="en-US"/>
        </w:rPr>
        <w:t>×</w:t>
      </w:r>
      <w:r>
        <w:rPr>
          <w:rFonts w:hint="eastAsia" w:asciiTheme="minorEastAsia" w:hAnsiTheme="minorEastAsia" w:eastAsiaTheme="minorEastAsia" w:cstheme="minorEastAsia"/>
          <w:i/>
          <w:iCs/>
          <w:snapToGrid w:val="0"/>
          <w:color w:val="auto"/>
          <w:position w:val="1"/>
          <w:sz w:val="28"/>
          <w:szCs w:val="28"/>
          <w:highlight w:val="none"/>
          <w:lang w:eastAsia="en-US"/>
        </w:rPr>
        <w:t>C</w:t>
      </w:r>
      <w:r>
        <w:rPr>
          <w:rFonts w:hint="eastAsia" w:asciiTheme="minorEastAsia" w:hAnsiTheme="minorEastAsia" w:eastAsiaTheme="minorEastAsia" w:cstheme="minorEastAsia"/>
          <w:snapToGrid w:val="0"/>
          <w:color w:val="auto"/>
          <w:position w:val="-1"/>
          <w:sz w:val="28"/>
          <w:szCs w:val="28"/>
          <w:highlight w:val="none"/>
          <w:vertAlign w:val="subscript"/>
          <w:lang w:eastAsia="en-US"/>
        </w:rPr>
        <w:t>after</w:t>
      </w:r>
      <w:r>
        <w:rPr>
          <w:rFonts w:hint="eastAsia" w:asciiTheme="minorEastAsia" w:hAnsiTheme="minorEastAsia" w:eastAsiaTheme="minorEastAsia" w:cstheme="minorEastAsia"/>
          <w:snapToGrid w:val="0"/>
          <w:color w:val="auto"/>
          <w:spacing w:val="10"/>
          <w:position w:val="1"/>
          <w:sz w:val="28"/>
          <w:szCs w:val="28"/>
          <w:highlight w:val="none"/>
          <w:lang w:eastAsia="en-US"/>
        </w:rPr>
        <w:t>/</w:t>
      </w:r>
      <w:r>
        <w:rPr>
          <w:rFonts w:hint="eastAsia" w:asciiTheme="minorEastAsia" w:hAnsiTheme="minorEastAsia" w:eastAsiaTheme="minorEastAsia" w:cstheme="minorEastAsia"/>
          <w:i/>
          <w:iCs/>
          <w:snapToGrid w:val="0"/>
          <w:color w:val="auto"/>
          <w:position w:val="1"/>
          <w:sz w:val="28"/>
          <w:szCs w:val="28"/>
          <w:highlight w:val="none"/>
          <w:lang w:eastAsia="en-US"/>
        </w:rPr>
        <w:t>C</w:t>
      </w:r>
      <w:r>
        <w:rPr>
          <w:rFonts w:hint="eastAsia" w:asciiTheme="minorEastAsia" w:hAnsiTheme="minorEastAsia" w:eastAsiaTheme="minorEastAsia" w:cstheme="minorEastAsia"/>
          <w:snapToGrid w:val="0"/>
          <w:color w:val="auto"/>
          <w:position w:val="-1"/>
          <w:sz w:val="28"/>
          <w:szCs w:val="28"/>
          <w:highlight w:val="none"/>
          <w:vertAlign w:val="subscript"/>
          <w:lang w:eastAsia="en-US"/>
        </w:rPr>
        <w:t>before</w:t>
      </w:r>
    </w:p>
    <w:p w14:paraId="1B4689B1">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6"/>
          <w:kern w:val="0"/>
          <w:sz w:val="28"/>
          <w:szCs w:val="28"/>
          <w:highlight w:val="none"/>
          <w:lang w:eastAsia="en-US"/>
        </w:rPr>
        <w:t>式中：</w:t>
      </w:r>
    </w:p>
    <w:p w14:paraId="2625F9FF">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i/>
          <w:iCs/>
          <w:snapToGrid w:val="0"/>
          <w:color w:val="auto"/>
          <w:sz w:val="28"/>
          <w:szCs w:val="28"/>
          <w:highlight w:val="none"/>
          <w:lang w:eastAsia="en-US"/>
        </w:rPr>
        <w:t>C</w:t>
      </w:r>
      <w:r>
        <w:rPr>
          <w:rFonts w:hint="eastAsia" w:asciiTheme="minorEastAsia" w:hAnsiTheme="minorEastAsia" w:eastAsiaTheme="minorEastAsia" w:cstheme="minorEastAsia"/>
          <w:snapToGrid w:val="0"/>
          <w:color w:val="auto"/>
          <w:position w:val="-2"/>
          <w:sz w:val="28"/>
          <w:szCs w:val="28"/>
          <w:highlight w:val="none"/>
          <w:vertAlign w:val="subscript"/>
          <w:lang w:eastAsia="en-US"/>
        </w:rPr>
        <w:t>after</w:t>
      </w:r>
      <w:r>
        <w:rPr>
          <w:rFonts w:hint="eastAsia" w:asciiTheme="minorEastAsia" w:hAnsiTheme="minorEastAsia" w:eastAsiaTheme="minorEastAsia" w:cstheme="minorEastAsia"/>
          <w:snapToGrid w:val="0"/>
          <w:color w:val="auto"/>
          <w:spacing w:val="6"/>
          <w:sz w:val="28"/>
          <w:szCs w:val="28"/>
          <w:highlight w:val="none"/>
          <w:lang w:eastAsia="en-US"/>
        </w:rPr>
        <w:t>——改造后商业面积；</w:t>
      </w:r>
    </w:p>
    <w:p w14:paraId="13D0EA71">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pacing w:val="2"/>
          <w:sz w:val="28"/>
          <w:szCs w:val="28"/>
          <w:highlight w:val="none"/>
          <w:lang w:eastAsia="en-US"/>
        </w:rPr>
      </w:pPr>
      <w:r>
        <w:rPr>
          <w:rFonts w:hint="eastAsia" w:asciiTheme="minorEastAsia" w:hAnsiTheme="minorEastAsia" w:eastAsiaTheme="minorEastAsia" w:cstheme="minorEastAsia"/>
          <w:i/>
          <w:iCs/>
          <w:snapToGrid w:val="0"/>
          <w:color w:val="auto"/>
          <w:sz w:val="28"/>
          <w:szCs w:val="28"/>
          <w:highlight w:val="none"/>
          <w:lang w:eastAsia="en-US"/>
        </w:rPr>
        <w:t>C</w:t>
      </w:r>
      <w:r>
        <w:rPr>
          <w:rFonts w:hint="eastAsia" w:asciiTheme="minorEastAsia" w:hAnsiTheme="minorEastAsia" w:eastAsiaTheme="minorEastAsia" w:cstheme="minorEastAsia"/>
          <w:snapToGrid w:val="0"/>
          <w:color w:val="auto"/>
          <w:position w:val="-2"/>
          <w:sz w:val="28"/>
          <w:szCs w:val="28"/>
          <w:highlight w:val="none"/>
          <w:vertAlign w:val="subscript"/>
          <w:lang w:eastAsia="en-US"/>
        </w:rPr>
        <w:t>before</w:t>
      </w:r>
      <w:r>
        <w:rPr>
          <w:rFonts w:hint="eastAsia" w:asciiTheme="minorEastAsia" w:hAnsiTheme="minorEastAsia" w:eastAsiaTheme="minorEastAsia" w:cstheme="minorEastAsia"/>
          <w:snapToGrid w:val="0"/>
          <w:color w:val="auto"/>
          <w:spacing w:val="3"/>
          <w:sz w:val="28"/>
          <w:szCs w:val="28"/>
          <w:highlight w:val="none"/>
          <w:lang w:eastAsia="en-US"/>
        </w:rPr>
        <w:t>——改造前商业面积，为××</w:t>
      </w:r>
      <w:r>
        <w:rPr>
          <w:rFonts w:hint="eastAsia" w:asciiTheme="minorEastAsia" w:hAnsiTheme="minorEastAsia" w:eastAsiaTheme="minorEastAsia" w:cstheme="minorEastAsia"/>
          <w:snapToGrid w:val="0"/>
          <w:color w:val="auto"/>
          <w:spacing w:val="2"/>
          <w:sz w:val="28"/>
          <w:szCs w:val="28"/>
          <w:highlight w:val="none"/>
          <w:lang w:eastAsia="en-US"/>
        </w:rPr>
        <w:t>㎡；</w:t>
      </w:r>
    </w:p>
    <w:p w14:paraId="4814AF7E">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i/>
          <w:iCs/>
          <w:snapToGrid w:val="0"/>
          <w:color w:val="auto"/>
          <w:spacing w:val="13"/>
          <w:sz w:val="28"/>
          <w:szCs w:val="28"/>
          <w:highlight w:val="none"/>
        </w:rPr>
        <w:t>E</w:t>
      </w:r>
      <w:r>
        <w:rPr>
          <w:rFonts w:hint="eastAsia" w:asciiTheme="minorEastAsia" w:hAnsiTheme="minorEastAsia" w:eastAsiaTheme="minorEastAsia" w:cstheme="minorEastAsia"/>
          <w:snapToGrid w:val="0"/>
          <w:color w:val="auto"/>
          <w:spacing w:val="13"/>
          <w:position w:val="-2"/>
          <w:sz w:val="28"/>
          <w:szCs w:val="28"/>
          <w:highlight w:val="none"/>
          <w:vertAlign w:val="subscript"/>
        </w:rPr>
        <w:t>商业</w:t>
      </w:r>
      <w:r>
        <w:rPr>
          <w:rFonts w:hint="eastAsia" w:asciiTheme="minorEastAsia" w:hAnsiTheme="minorEastAsia" w:eastAsiaTheme="minorEastAsia" w:cstheme="minorEastAsia"/>
          <w:snapToGrid w:val="0"/>
          <w:color w:val="auto"/>
          <w:position w:val="-2"/>
          <w:sz w:val="28"/>
          <w:szCs w:val="28"/>
          <w:highlight w:val="none"/>
          <w:vertAlign w:val="subscript"/>
        </w:rPr>
        <w:t>after</w:t>
      </w:r>
      <w:r>
        <w:rPr>
          <w:rFonts w:hint="eastAsia" w:asciiTheme="minorEastAsia" w:hAnsiTheme="minorEastAsia" w:eastAsiaTheme="minorEastAsia" w:cstheme="minorEastAsia"/>
          <w:snapToGrid w:val="0"/>
          <w:color w:val="auto"/>
          <w:spacing w:val="13"/>
          <w:sz w:val="28"/>
          <w:szCs w:val="28"/>
          <w:highlight w:val="none"/>
        </w:rPr>
        <w:t>——改造后商业部分能源基准；</w:t>
      </w:r>
    </w:p>
    <w:p w14:paraId="371DB208">
      <w:pPr>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i/>
          <w:iCs/>
          <w:snapToGrid w:val="0"/>
          <w:color w:val="auto"/>
          <w:spacing w:val="10"/>
          <w:sz w:val="28"/>
          <w:szCs w:val="28"/>
          <w:highlight w:val="none"/>
        </w:rPr>
        <w:t>E</w:t>
      </w:r>
      <w:r>
        <w:rPr>
          <w:rFonts w:hint="eastAsia" w:asciiTheme="minorEastAsia" w:hAnsiTheme="minorEastAsia" w:eastAsiaTheme="minorEastAsia" w:cstheme="minorEastAsia"/>
          <w:snapToGrid w:val="0"/>
          <w:color w:val="auto"/>
          <w:spacing w:val="10"/>
          <w:position w:val="-2"/>
          <w:sz w:val="28"/>
          <w:szCs w:val="28"/>
          <w:highlight w:val="none"/>
          <w:vertAlign w:val="subscript"/>
        </w:rPr>
        <w:t>商业</w:t>
      </w:r>
      <w:r>
        <w:rPr>
          <w:rFonts w:hint="eastAsia" w:asciiTheme="minorEastAsia" w:hAnsiTheme="minorEastAsia" w:eastAsiaTheme="minorEastAsia" w:cstheme="minorEastAsia"/>
          <w:snapToGrid w:val="0"/>
          <w:color w:val="auto"/>
          <w:position w:val="-2"/>
          <w:sz w:val="28"/>
          <w:szCs w:val="28"/>
          <w:highlight w:val="none"/>
          <w:vertAlign w:val="subscript"/>
        </w:rPr>
        <w:t>before</w:t>
      </w:r>
      <w:r>
        <w:rPr>
          <w:rFonts w:hint="eastAsia" w:asciiTheme="minorEastAsia" w:hAnsiTheme="minorEastAsia" w:eastAsiaTheme="minorEastAsia" w:cstheme="minorEastAsia"/>
          <w:snapToGrid w:val="0"/>
          <w:color w:val="auto"/>
          <w:spacing w:val="10"/>
          <w:sz w:val="28"/>
          <w:szCs w:val="28"/>
          <w:highlight w:val="none"/>
        </w:rPr>
        <w:t>——改造前商业部分能源基准，为××</w:t>
      </w:r>
      <w:r>
        <w:rPr>
          <w:rFonts w:hint="eastAsia" w:asciiTheme="minorEastAsia" w:hAnsiTheme="minorEastAsia" w:eastAsiaTheme="minorEastAsia" w:cstheme="minorEastAsia"/>
          <w:snapToGrid w:val="0"/>
          <w:color w:val="auto"/>
          <w:sz w:val="28"/>
          <w:szCs w:val="28"/>
          <w:highlight w:val="none"/>
        </w:rPr>
        <w:t>kWh</w:t>
      </w:r>
      <w:r>
        <w:rPr>
          <w:rFonts w:hint="eastAsia" w:asciiTheme="minorEastAsia" w:hAnsiTheme="minorEastAsia" w:eastAsiaTheme="minorEastAsia" w:cstheme="minorEastAsia"/>
          <w:snapToGrid w:val="0"/>
          <w:color w:val="auto"/>
          <w:spacing w:val="10"/>
          <w:sz w:val="28"/>
          <w:szCs w:val="28"/>
          <w:highlight w:val="none"/>
        </w:rPr>
        <w:t>。</w:t>
      </w:r>
    </w:p>
    <w:p w14:paraId="7FB22BBB">
      <w:pPr>
        <w:widowControl/>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（四）大型项目施工与其他临时用能调整规则</w:t>
      </w:r>
    </w:p>
    <w:p w14:paraId="29217B17">
      <w:pPr>
        <w:widowControl/>
        <w:autoSpaceDE w:val="0"/>
        <w:autoSpaceDN w:val="0"/>
        <w:adjustRightInd w:val="0"/>
        <w:snapToGrid w:val="0"/>
        <w:spacing w:line="480" w:lineRule="exact"/>
        <w:ind w:firstLine="608" w:firstLineChars="200"/>
        <w:textAlignment w:val="baseline"/>
        <w:rPr>
          <w:rFonts w:hint="eastAsia" w:asciiTheme="minorEastAsia" w:hAnsiTheme="minorEastAsia" w:eastAsiaTheme="minorEastAsia" w:cstheme="minorEastAsia"/>
          <w:snapToGrid w:val="0"/>
          <w:color w:val="auto"/>
          <w:spacing w:val="12"/>
          <w:kern w:val="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对于单独由配电房敷设电缆的大型施工用电或其他临时用电，由甲方负责加装计量电表，按实结算。</w:t>
      </w:r>
    </w:p>
    <w:p w14:paraId="1905633C">
      <w:pPr>
        <w:widowControl/>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（五）历史能耗数据失真导致托管基准偏差</w:t>
      </w:r>
    </w:p>
    <w:p w14:paraId="66718F0B">
      <w:pPr>
        <w:widowControl/>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7"/>
          <w:kern w:val="0"/>
          <w:sz w:val="28"/>
          <w:szCs w:val="28"/>
          <w:highlight w:val="none"/>
        </w:rPr>
        <w:t>如合同期内发现合同签订前甲方提供的历史能耗数据失真，双方应根据实际偏差情况对后续托管基</w:t>
      </w:r>
      <w:r>
        <w:rPr>
          <w:rFonts w:hint="eastAsia" w:asciiTheme="minorEastAsia" w:hAnsiTheme="minorEastAsia" w:eastAsiaTheme="minorEastAsia" w:cstheme="minorEastAsia"/>
          <w:snapToGrid w:val="0"/>
          <w:color w:val="auto"/>
          <w:spacing w:val="13"/>
          <w:kern w:val="0"/>
          <w:sz w:val="28"/>
          <w:szCs w:val="28"/>
          <w:highlight w:val="none"/>
        </w:rPr>
        <w:t>准进行协商修正，同时对历史托管费用进行多退少补。</w:t>
      </w:r>
    </w:p>
    <w:p w14:paraId="723D10B2">
      <w:pPr>
        <w:widowControl/>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1"/>
          <w:kern w:val="0"/>
          <w:sz w:val="28"/>
          <w:szCs w:val="28"/>
          <w:highlight w:val="none"/>
        </w:rPr>
        <w:t>（六）</w:t>
      </w:r>
      <w:r>
        <w:rPr>
          <w:rFonts w:hint="eastAsia" w:asciiTheme="minorEastAsia" w:hAnsiTheme="minorEastAsia" w:eastAsiaTheme="minorEastAsia" w:cstheme="minorEastAsia"/>
          <w:snapToGrid w:val="0"/>
          <w:color w:val="auto"/>
          <w:spacing w:val="10"/>
          <w:kern w:val="0"/>
          <w:sz w:val="28"/>
          <w:szCs w:val="28"/>
          <w:highlight w:val="none"/>
        </w:rPr>
        <w:t>增加投资引起的服务费用调整</w:t>
      </w:r>
    </w:p>
    <w:p w14:paraId="213DB94E">
      <w:pPr>
        <w:widowControl/>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pacing w:val="15"/>
          <w:kern w:val="0"/>
          <w:sz w:val="28"/>
          <w:szCs w:val="28"/>
          <w:highlight w:val="none"/>
        </w:rPr>
      </w:pPr>
      <w:r>
        <w:rPr>
          <w:rFonts w:hint="eastAsia" w:asciiTheme="minorEastAsia" w:hAnsiTheme="minorEastAsia" w:eastAsiaTheme="minorEastAsia" w:cstheme="minorEastAsia"/>
          <w:snapToGrid w:val="0"/>
          <w:color w:val="auto"/>
          <w:spacing w:val="16"/>
          <w:kern w:val="0"/>
          <w:sz w:val="28"/>
          <w:szCs w:val="28"/>
          <w:highlight w:val="none"/>
        </w:rPr>
        <w:t>甲方可以根据需求要求乙方增加投资改造内容，乙方按投资收益要求引</w:t>
      </w:r>
      <w:r>
        <w:rPr>
          <w:rFonts w:hint="eastAsia" w:asciiTheme="minorEastAsia" w:hAnsiTheme="minorEastAsia" w:eastAsiaTheme="minorEastAsia" w:cstheme="minorEastAsia"/>
          <w:snapToGrid w:val="0"/>
          <w:color w:val="auto"/>
          <w:spacing w:val="15"/>
          <w:kern w:val="0"/>
          <w:sz w:val="28"/>
          <w:szCs w:val="28"/>
          <w:highlight w:val="none"/>
        </w:rPr>
        <w:t>起的服务费用增加。</w:t>
      </w:r>
    </w:p>
    <w:p w14:paraId="3EADAC14">
      <w:pPr>
        <w:widowControl/>
        <w:autoSpaceDE w:val="0"/>
        <w:autoSpaceDN w:val="0"/>
        <w:adjustRightInd w:val="0"/>
        <w:snapToGrid w:val="0"/>
        <w:spacing w:line="480" w:lineRule="exact"/>
        <w:ind w:firstLine="60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1"/>
          <w:kern w:val="0"/>
          <w:sz w:val="28"/>
          <w:szCs w:val="28"/>
          <w:highlight w:val="none"/>
        </w:rPr>
        <w:t>（</w:t>
      </w:r>
      <w:r>
        <w:rPr>
          <w:rFonts w:hint="eastAsia" w:asciiTheme="minorEastAsia" w:hAnsiTheme="minorEastAsia" w:eastAsiaTheme="minorEastAsia" w:cstheme="minorEastAsia"/>
          <w:snapToGrid w:val="0"/>
          <w:color w:val="auto"/>
          <w:spacing w:val="11"/>
          <w:kern w:val="0"/>
          <w:sz w:val="28"/>
          <w:szCs w:val="28"/>
          <w:highlight w:val="none"/>
          <w:lang w:val="en-US" w:eastAsia="zh-CN"/>
        </w:rPr>
        <w:t>七</w:t>
      </w:r>
      <w:r>
        <w:rPr>
          <w:rFonts w:hint="eastAsia" w:asciiTheme="minorEastAsia" w:hAnsiTheme="minorEastAsia" w:eastAsiaTheme="minorEastAsia" w:cstheme="minorEastAsia"/>
          <w:snapToGrid w:val="0"/>
          <w:color w:val="auto"/>
          <w:spacing w:val="11"/>
          <w:kern w:val="0"/>
          <w:sz w:val="28"/>
          <w:szCs w:val="28"/>
          <w:highlight w:val="none"/>
        </w:rPr>
        <w:t>）增加服务内容引起的服务费用调整</w:t>
      </w:r>
    </w:p>
    <w:p w14:paraId="30A1DA58">
      <w:pPr>
        <w:widowControl/>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6"/>
          <w:kern w:val="0"/>
          <w:sz w:val="28"/>
          <w:szCs w:val="28"/>
          <w:highlight w:val="none"/>
        </w:rPr>
        <w:t>甲方可以根据需求要求乙方增加如运营值守、维修维保</w:t>
      </w:r>
      <w:r>
        <w:rPr>
          <w:rFonts w:hint="eastAsia" w:asciiTheme="minorEastAsia" w:hAnsiTheme="minorEastAsia" w:eastAsiaTheme="minorEastAsia" w:cstheme="minorEastAsia"/>
          <w:snapToGrid w:val="0"/>
          <w:color w:val="auto"/>
          <w:spacing w:val="15"/>
          <w:kern w:val="0"/>
          <w:sz w:val="28"/>
          <w:szCs w:val="28"/>
          <w:highlight w:val="none"/>
        </w:rPr>
        <w:t>等其他综合服务的内容，乙方按服务内容增加收取的服务费用。</w:t>
      </w:r>
    </w:p>
    <w:p w14:paraId="1B79E2DB">
      <w:pPr>
        <w:widowControl/>
        <w:autoSpaceDE w:val="0"/>
        <w:autoSpaceDN w:val="0"/>
        <w:adjustRightInd w:val="0"/>
        <w:snapToGrid w:val="0"/>
        <w:spacing w:line="480" w:lineRule="exact"/>
        <w:ind w:firstLine="548"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3"/>
          <w:kern w:val="0"/>
          <w:sz w:val="28"/>
          <w:szCs w:val="28"/>
          <w:highlight w:val="none"/>
        </w:rPr>
        <w:t>（</w:t>
      </w:r>
      <w:r>
        <w:rPr>
          <w:rFonts w:hint="eastAsia" w:asciiTheme="minorEastAsia" w:hAnsiTheme="minorEastAsia" w:eastAsiaTheme="minorEastAsia" w:cstheme="minorEastAsia"/>
          <w:snapToGrid w:val="0"/>
          <w:color w:val="auto"/>
          <w:spacing w:val="-3"/>
          <w:kern w:val="0"/>
          <w:sz w:val="28"/>
          <w:szCs w:val="28"/>
          <w:highlight w:val="none"/>
          <w:lang w:val="en-US" w:eastAsia="zh-CN"/>
        </w:rPr>
        <w:t>八</w:t>
      </w:r>
      <w:r>
        <w:rPr>
          <w:rFonts w:hint="eastAsia" w:asciiTheme="minorEastAsia" w:hAnsiTheme="minorEastAsia" w:eastAsiaTheme="minorEastAsia" w:cstheme="minorEastAsia"/>
          <w:snapToGrid w:val="0"/>
          <w:color w:val="auto"/>
          <w:spacing w:val="-3"/>
          <w:kern w:val="0"/>
          <w:sz w:val="28"/>
          <w:szCs w:val="28"/>
          <w:highlight w:val="none"/>
        </w:rPr>
        <w:t>）燃气、水、蒸汽、热水等其他用能托管调整规则</w:t>
      </w:r>
    </w:p>
    <w:p w14:paraId="1DA4608B">
      <w:pPr>
        <w:widowControl/>
        <w:autoSpaceDE w:val="0"/>
        <w:autoSpaceDN w:val="0"/>
        <w:adjustRightInd w:val="0"/>
        <w:snapToGrid w:val="0"/>
        <w:spacing w:line="480" w:lineRule="exact"/>
        <w:ind w:firstLine="60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0"/>
          <w:kern w:val="0"/>
          <w:sz w:val="28"/>
          <w:szCs w:val="28"/>
          <w:highlight w:val="none"/>
        </w:rPr>
        <w:t>对根据实际计量的燃气、水、蒸汽、热水等其他能源进行按实调整，按相对固定基准托管的其他用能</w:t>
      </w:r>
      <w:r>
        <w:rPr>
          <w:rFonts w:hint="eastAsia" w:asciiTheme="minorEastAsia" w:hAnsiTheme="minorEastAsia" w:eastAsiaTheme="minorEastAsia" w:cstheme="minorEastAsia"/>
          <w:snapToGrid w:val="0"/>
          <w:color w:val="auto"/>
          <w:spacing w:val="16"/>
          <w:kern w:val="0"/>
          <w:sz w:val="28"/>
          <w:szCs w:val="28"/>
          <w:highlight w:val="none"/>
        </w:rPr>
        <w:t>则参照用电调整规则执行。</w:t>
      </w:r>
    </w:p>
    <w:p w14:paraId="58A089D9">
      <w:pPr>
        <w:widowControl/>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4"/>
          <w:kern w:val="0"/>
          <w:sz w:val="28"/>
          <w:szCs w:val="28"/>
          <w:highlight w:val="none"/>
        </w:rPr>
        <w:t>（</w:t>
      </w:r>
      <w:r>
        <w:rPr>
          <w:rFonts w:hint="eastAsia" w:asciiTheme="minorEastAsia" w:hAnsiTheme="minorEastAsia" w:eastAsiaTheme="minorEastAsia" w:cstheme="minorEastAsia"/>
          <w:snapToGrid w:val="0"/>
          <w:color w:val="auto"/>
          <w:spacing w:val="14"/>
          <w:kern w:val="0"/>
          <w:sz w:val="28"/>
          <w:szCs w:val="28"/>
          <w:highlight w:val="none"/>
          <w:lang w:val="en-US" w:eastAsia="zh-CN"/>
        </w:rPr>
        <w:t>九</w:t>
      </w:r>
      <w:r>
        <w:rPr>
          <w:rFonts w:hint="eastAsia" w:asciiTheme="minorEastAsia" w:hAnsiTheme="minorEastAsia" w:eastAsiaTheme="minorEastAsia" w:cstheme="minorEastAsia"/>
          <w:snapToGrid w:val="0"/>
          <w:color w:val="auto"/>
          <w:spacing w:val="14"/>
          <w:kern w:val="0"/>
          <w:sz w:val="28"/>
          <w:szCs w:val="28"/>
          <w:highlight w:val="none"/>
        </w:rPr>
        <w:t>）其他因素导致改造节能效果受影响引起的费用调整</w:t>
      </w:r>
    </w:p>
    <w:p w14:paraId="616528D0">
      <w:pPr>
        <w:widowControl/>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6"/>
          <w:kern w:val="0"/>
          <w:sz w:val="28"/>
          <w:szCs w:val="28"/>
          <w:highlight w:val="none"/>
        </w:rPr>
        <w:t>如因非乙方原因导致改造节能效果受影响，双方综合评估影响原因和节费量减少数额，协商对托管</w:t>
      </w:r>
      <w:r>
        <w:rPr>
          <w:rFonts w:hint="eastAsia" w:asciiTheme="minorEastAsia" w:hAnsiTheme="minorEastAsia" w:eastAsiaTheme="minorEastAsia" w:cstheme="minorEastAsia"/>
          <w:snapToGrid w:val="0"/>
          <w:color w:val="auto"/>
          <w:spacing w:val="14"/>
          <w:kern w:val="0"/>
          <w:sz w:val="28"/>
          <w:szCs w:val="28"/>
          <w:highlight w:val="none"/>
        </w:rPr>
        <w:t>基准进行调整。</w:t>
      </w:r>
    </w:p>
    <w:p w14:paraId="6C9F1497">
      <w:pPr>
        <w:widowControl/>
        <w:autoSpaceDE w:val="0"/>
        <w:autoSpaceDN w:val="0"/>
        <w:adjustRightInd w:val="0"/>
        <w:snapToGrid w:val="0"/>
        <w:spacing w:line="480" w:lineRule="exact"/>
        <w:ind w:firstLine="616" w:firstLineChars="200"/>
        <w:textAlignment w:val="baseline"/>
        <w:rPr>
          <w:rFonts w:hint="eastAsia" w:asciiTheme="minorEastAsia" w:hAnsiTheme="minorEastAsia" w:eastAsiaTheme="minorEastAsia" w:cstheme="minorEastAsia"/>
          <w:snapToGrid w:val="0"/>
          <w:color w:val="auto"/>
          <w:spacing w:val="14"/>
          <w:kern w:val="0"/>
          <w:sz w:val="28"/>
          <w:szCs w:val="28"/>
          <w:highlight w:val="none"/>
        </w:rPr>
      </w:pPr>
      <w:r>
        <w:rPr>
          <w:rFonts w:hint="eastAsia" w:asciiTheme="minorEastAsia" w:hAnsiTheme="minorEastAsia" w:eastAsiaTheme="minorEastAsia" w:cstheme="minorEastAsia"/>
          <w:snapToGrid w:val="0"/>
          <w:color w:val="auto"/>
          <w:spacing w:val="14"/>
          <w:kern w:val="0"/>
          <w:sz w:val="28"/>
          <w:szCs w:val="28"/>
          <w:highlight w:val="none"/>
          <w:lang w:val="en-US" w:eastAsia="zh-CN"/>
        </w:rPr>
        <w:t xml:space="preserve">（十）其他因素导致改造节能效果受影响引起的费用调整 </w:t>
      </w:r>
    </w:p>
    <w:p w14:paraId="188533D9">
      <w:pPr>
        <w:widowControl/>
        <w:autoSpaceDE w:val="0"/>
        <w:autoSpaceDN w:val="0"/>
        <w:adjustRightInd w:val="0"/>
        <w:snapToGrid w:val="0"/>
        <w:spacing w:line="480" w:lineRule="exact"/>
        <w:ind w:firstLine="616" w:firstLineChars="200"/>
        <w:textAlignment w:val="baseline"/>
        <w:rPr>
          <w:rFonts w:hint="eastAsia" w:asciiTheme="minorEastAsia" w:hAnsiTheme="minorEastAsia" w:eastAsiaTheme="minorEastAsia" w:cstheme="minorEastAsia"/>
          <w:snapToGrid w:val="0"/>
          <w:color w:val="auto"/>
          <w:spacing w:val="14"/>
          <w:kern w:val="0"/>
          <w:sz w:val="28"/>
          <w:szCs w:val="28"/>
          <w:highlight w:val="none"/>
        </w:rPr>
      </w:pPr>
      <w:r>
        <w:rPr>
          <w:rFonts w:hint="default" w:asciiTheme="minorEastAsia" w:hAnsiTheme="minorEastAsia" w:eastAsiaTheme="minorEastAsia" w:cstheme="minorEastAsia"/>
          <w:snapToGrid w:val="0"/>
          <w:color w:val="auto"/>
          <w:spacing w:val="14"/>
          <w:kern w:val="0"/>
          <w:sz w:val="28"/>
          <w:szCs w:val="28"/>
          <w:highlight w:val="none"/>
          <w:lang w:val="en-US" w:eastAsia="zh-CN"/>
        </w:rPr>
        <w:t>如因非乙方原因导致改造节能效果受影响，双方综合评估影响原因和节费量减少数额，协商对托管基准进行调整。</w:t>
      </w:r>
    </w:p>
    <w:p w14:paraId="35C8F103">
      <w:pPr>
        <w:widowControl/>
        <w:autoSpaceDE w:val="0"/>
        <w:autoSpaceDN w:val="0"/>
        <w:adjustRightInd w:val="0"/>
        <w:snapToGrid w:val="0"/>
        <w:spacing w:line="480" w:lineRule="exact"/>
        <w:ind w:firstLine="58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5"/>
          <w:kern w:val="0"/>
          <w:sz w:val="28"/>
          <w:szCs w:val="28"/>
          <w:highlight w:val="none"/>
        </w:rPr>
        <w:t>三、专用类</w:t>
      </w:r>
    </w:p>
    <w:p w14:paraId="4B93DB1A">
      <w:pPr>
        <w:widowControl/>
        <w:autoSpaceDE w:val="0"/>
        <w:autoSpaceDN w:val="0"/>
        <w:adjustRightInd w:val="0"/>
        <w:snapToGrid w:val="0"/>
        <w:spacing w:line="480" w:lineRule="exact"/>
        <w:ind w:firstLine="59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8"/>
          <w:kern w:val="0"/>
          <w:sz w:val="28"/>
          <w:szCs w:val="28"/>
          <w:highlight w:val="none"/>
        </w:rPr>
        <w:t>（一）专用调整规则</w:t>
      </w:r>
    </w:p>
    <w:p w14:paraId="4390312C">
      <w:pPr>
        <w:autoSpaceDE w:val="0"/>
        <w:autoSpaceDN w:val="0"/>
        <w:adjustRightInd w:val="0"/>
        <w:snapToGrid w:val="0"/>
        <w:spacing w:line="480" w:lineRule="exact"/>
        <w:ind w:firstLine="61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4"/>
          <w:sz w:val="28"/>
          <w:szCs w:val="28"/>
          <w:highlight w:val="none"/>
          <w:lang w:val="en-US" w:eastAsia="zh-CN"/>
        </w:rPr>
        <w:t>1</w:t>
      </w:r>
      <w:r>
        <w:rPr>
          <w:rFonts w:hint="eastAsia" w:asciiTheme="minorEastAsia" w:hAnsiTheme="minorEastAsia" w:eastAsiaTheme="minorEastAsia" w:cstheme="minorEastAsia"/>
          <w:snapToGrid w:val="0"/>
          <w:color w:val="auto"/>
          <w:spacing w:val="14"/>
          <w:sz w:val="28"/>
          <w:szCs w:val="28"/>
          <w:highlight w:val="none"/>
        </w:rPr>
        <w:t>.大型用电设备增减用电调整规则</w:t>
      </w:r>
    </w:p>
    <w:p w14:paraId="51EED6BA">
      <w:pPr>
        <w:autoSpaceDE w:val="0"/>
        <w:autoSpaceDN w:val="0"/>
        <w:adjustRightInd w:val="0"/>
        <w:snapToGrid w:val="0"/>
        <w:spacing w:line="480" w:lineRule="exact"/>
        <w:ind w:firstLine="56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
          <w:sz w:val="28"/>
          <w:szCs w:val="28"/>
          <w:highlight w:val="none"/>
        </w:rPr>
        <w:t>（1）大型用电设备</w:t>
      </w:r>
    </w:p>
    <w:p w14:paraId="259437E8">
      <w:pPr>
        <w:autoSpaceDE w:val="0"/>
        <w:autoSpaceDN w:val="0"/>
        <w:adjustRightInd w:val="0"/>
        <w:snapToGrid w:val="0"/>
        <w:spacing w:line="480" w:lineRule="exact"/>
        <w:ind w:firstLine="64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22"/>
          <w:sz w:val="28"/>
          <w:szCs w:val="28"/>
          <w:highlight w:val="none"/>
        </w:rPr>
        <w:t>大型用电设备指运行功率较大(≥3</w:t>
      </w:r>
      <w:r>
        <w:rPr>
          <w:rFonts w:hint="eastAsia" w:asciiTheme="minorEastAsia" w:hAnsiTheme="minorEastAsia" w:eastAsiaTheme="minorEastAsia" w:cstheme="minorEastAsia"/>
          <w:snapToGrid w:val="0"/>
          <w:color w:val="auto"/>
          <w:sz w:val="28"/>
          <w:szCs w:val="28"/>
          <w:highlight w:val="none"/>
        </w:rPr>
        <w:t>kW</w:t>
      </w:r>
      <w:r>
        <w:rPr>
          <w:rFonts w:hint="eastAsia" w:asciiTheme="minorEastAsia" w:hAnsiTheme="minorEastAsia" w:eastAsiaTheme="minorEastAsia" w:cstheme="minorEastAsia"/>
          <w:snapToGrid w:val="0"/>
          <w:color w:val="auto"/>
          <w:spacing w:val="-29"/>
          <w:w w:val="64"/>
          <w:sz w:val="28"/>
          <w:szCs w:val="28"/>
          <w:highlight w:val="none"/>
        </w:rPr>
        <w:t>），</w:t>
      </w:r>
      <w:r>
        <w:rPr>
          <w:rFonts w:hint="eastAsia" w:asciiTheme="minorEastAsia" w:hAnsiTheme="minorEastAsia" w:eastAsiaTheme="minorEastAsia" w:cstheme="minorEastAsia"/>
          <w:snapToGrid w:val="0"/>
          <w:color w:val="auto"/>
          <w:spacing w:val="22"/>
          <w:sz w:val="28"/>
          <w:szCs w:val="28"/>
          <w:highlight w:val="none"/>
        </w:rPr>
        <w:t>需单独由配电房敷设电缆的用电设备，例如热泵主</w:t>
      </w:r>
      <w:r>
        <w:rPr>
          <w:rFonts w:hint="eastAsia" w:asciiTheme="minorEastAsia" w:hAnsiTheme="minorEastAsia" w:eastAsiaTheme="minorEastAsia" w:cstheme="minorEastAsia"/>
          <w:snapToGrid w:val="0"/>
          <w:color w:val="auto"/>
          <w:spacing w:val="21"/>
          <w:sz w:val="28"/>
          <w:szCs w:val="28"/>
          <w:highlight w:val="none"/>
        </w:rPr>
        <w:t>机、多</w:t>
      </w:r>
      <w:r>
        <w:rPr>
          <w:rFonts w:hint="eastAsia" w:asciiTheme="minorEastAsia" w:hAnsiTheme="minorEastAsia" w:eastAsiaTheme="minorEastAsia" w:cstheme="minorEastAsia"/>
          <w:snapToGrid w:val="0"/>
          <w:color w:val="auto"/>
          <w:spacing w:val="-3"/>
          <w:sz w:val="28"/>
          <w:szCs w:val="28"/>
          <w:highlight w:val="none"/>
        </w:rPr>
        <w:t>联机、冷水机组、电热水锅炉、CT机、核磁共振仪等。</w:t>
      </w:r>
    </w:p>
    <w:p w14:paraId="033B23EE">
      <w:pPr>
        <w:autoSpaceDE w:val="0"/>
        <w:autoSpaceDN w:val="0"/>
        <w:adjustRightInd w:val="0"/>
        <w:snapToGrid w:val="0"/>
        <w:spacing w:line="480" w:lineRule="exact"/>
        <w:ind w:firstLine="59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8"/>
          <w:sz w:val="28"/>
          <w:szCs w:val="28"/>
          <w:highlight w:val="none"/>
        </w:rPr>
        <w:t>（2）大型用电设备增减用电调整规则</w:t>
      </w:r>
    </w:p>
    <w:p w14:paraId="2EA3E2D8">
      <w:pPr>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7"/>
          <w:sz w:val="28"/>
          <w:szCs w:val="28"/>
          <w:highlight w:val="none"/>
        </w:rPr>
        <w:t>双方以</w:t>
      </w:r>
      <w:r>
        <w:rPr>
          <w:rFonts w:hint="eastAsia" w:asciiTheme="minorEastAsia" w:hAnsiTheme="minorEastAsia" w:eastAsiaTheme="minorEastAsia" w:cstheme="minorEastAsia"/>
          <w:snapToGrid w:val="0"/>
          <w:color w:val="auto"/>
          <w:spacing w:val="41"/>
          <w:w w:val="125"/>
          <w:sz w:val="28"/>
          <w:szCs w:val="28"/>
          <w:highlight w:val="none"/>
        </w:rPr>
        <w:t>××××年××月××日—××××年××月××</w:t>
      </w:r>
      <w:r>
        <w:rPr>
          <w:rFonts w:hint="eastAsia" w:asciiTheme="minorEastAsia" w:hAnsiTheme="minorEastAsia" w:eastAsiaTheme="minorEastAsia" w:cstheme="minorEastAsia"/>
          <w:snapToGrid w:val="0"/>
          <w:color w:val="auto"/>
          <w:spacing w:val="31"/>
          <w:sz w:val="28"/>
          <w:szCs w:val="28"/>
          <w:highlight w:val="none"/>
        </w:rPr>
        <w:t>日累计用电量×××</w:t>
      </w:r>
      <w:r>
        <w:rPr>
          <w:rFonts w:hint="eastAsia" w:asciiTheme="minorEastAsia" w:hAnsiTheme="minorEastAsia" w:eastAsiaTheme="minorEastAsia" w:cstheme="minorEastAsia"/>
          <w:snapToGrid w:val="0"/>
          <w:color w:val="auto"/>
          <w:sz w:val="28"/>
          <w:szCs w:val="28"/>
          <w:highlight w:val="none"/>
        </w:rPr>
        <w:t>kWh</w:t>
      </w:r>
      <w:r>
        <w:rPr>
          <w:rFonts w:hint="eastAsia" w:asciiTheme="minorEastAsia" w:hAnsiTheme="minorEastAsia" w:eastAsiaTheme="minorEastAsia" w:cstheme="minorEastAsia"/>
          <w:snapToGrid w:val="0"/>
          <w:color w:val="auto"/>
          <w:spacing w:val="31"/>
          <w:sz w:val="28"/>
          <w:szCs w:val="28"/>
          <w:highlight w:val="none"/>
        </w:rPr>
        <w:t>为电量</w:t>
      </w:r>
      <w:r>
        <w:rPr>
          <w:rFonts w:hint="eastAsia" w:asciiTheme="minorEastAsia" w:hAnsiTheme="minorEastAsia" w:eastAsiaTheme="minorEastAsia" w:cstheme="minorEastAsia"/>
          <w:snapToGrid w:val="0"/>
          <w:color w:val="auto"/>
          <w:spacing w:val="11"/>
          <w:sz w:val="28"/>
          <w:szCs w:val="28"/>
          <w:highlight w:val="none"/>
        </w:rPr>
        <w:t>托管基准。截至</w:t>
      </w:r>
      <w:r>
        <w:rPr>
          <w:rFonts w:hint="eastAsia" w:asciiTheme="minorEastAsia" w:hAnsiTheme="minorEastAsia" w:eastAsiaTheme="minorEastAsia" w:cstheme="minorEastAsia"/>
          <w:snapToGrid w:val="0"/>
          <w:color w:val="auto"/>
          <w:spacing w:val="52"/>
          <w:w w:val="129"/>
          <w:sz w:val="28"/>
          <w:szCs w:val="28"/>
          <w:highlight w:val="none"/>
        </w:rPr>
        <w:t>××××年××</w:t>
      </w:r>
      <w:r>
        <w:rPr>
          <w:rFonts w:hint="eastAsia" w:asciiTheme="minorEastAsia" w:hAnsiTheme="minorEastAsia" w:eastAsiaTheme="minorEastAsia" w:cstheme="minorEastAsia"/>
          <w:snapToGrid w:val="0"/>
          <w:color w:val="auto"/>
          <w:spacing w:val="13"/>
          <w:sz w:val="28"/>
          <w:szCs w:val="28"/>
          <w:highlight w:val="none"/>
        </w:rPr>
        <w:t>月，托管期内，每年根据实际增减大型用电设备的</w:t>
      </w:r>
      <w:r>
        <w:rPr>
          <w:rFonts w:hint="eastAsia" w:asciiTheme="minorEastAsia" w:hAnsiTheme="minorEastAsia" w:eastAsiaTheme="minorEastAsia" w:cstheme="minorEastAsia"/>
          <w:snapToGrid w:val="0"/>
          <w:color w:val="auto"/>
          <w:spacing w:val="12"/>
          <w:sz w:val="28"/>
          <w:szCs w:val="28"/>
          <w:highlight w:val="none"/>
        </w:rPr>
        <w:t>用电进行结算调整。</w:t>
      </w:r>
    </w:p>
    <w:p w14:paraId="5E207709">
      <w:pPr>
        <w:autoSpaceDE w:val="0"/>
        <w:autoSpaceDN w:val="0"/>
        <w:adjustRightInd w:val="0"/>
        <w:snapToGrid w:val="0"/>
        <w:spacing w:line="480" w:lineRule="exact"/>
        <w:ind w:firstLine="90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50"/>
          <w:w w:val="125"/>
          <w:sz w:val="28"/>
          <w:szCs w:val="28"/>
          <w:highlight w:val="none"/>
        </w:rPr>
        <w:t>××××年××</w:t>
      </w:r>
      <w:r>
        <w:rPr>
          <w:rFonts w:hint="eastAsia" w:asciiTheme="minorEastAsia" w:hAnsiTheme="minorEastAsia" w:eastAsiaTheme="minorEastAsia" w:cstheme="minorEastAsia"/>
          <w:snapToGrid w:val="0"/>
          <w:color w:val="auto"/>
          <w:spacing w:val="12"/>
          <w:sz w:val="28"/>
          <w:szCs w:val="28"/>
          <w:highlight w:val="none"/>
        </w:rPr>
        <w:t>月至合同签订日，用能单位添加的大型用电设备，需加装计量电表</w:t>
      </w:r>
      <w:r>
        <w:rPr>
          <w:rFonts w:hint="eastAsia" w:asciiTheme="minorEastAsia" w:hAnsiTheme="minorEastAsia" w:eastAsiaTheme="minorEastAsia" w:cstheme="minorEastAsia"/>
          <w:snapToGrid w:val="0"/>
          <w:color w:val="auto"/>
          <w:spacing w:val="11"/>
          <w:sz w:val="28"/>
          <w:szCs w:val="28"/>
          <w:highlight w:val="none"/>
        </w:rPr>
        <w:t>，从合同签订日开</w:t>
      </w:r>
      <w:r>
        <w:rPr>
          <w:rFonts w:hint="eastAsia" w:asciiTheme="minorEastAsia" w:hAnsiTheme="minorEastAsia" w:eastAsiaTheme="minorEastAsia" w:cstheme="minorEastAsia"/>
          <w:snapToGrid w:val="0"/>
          <w:color w:val="auto"/>
          <w:spacing w:val="16"/>
          <w:sz w:val="28"/>
          <w:szCs w:val="28"/>
          <w:highlight w:val="none"/>
        </w:rPr>
        <w:t>始计量用电设备的年耗电量（年耗电量=计量电表日均用电量×投入使用天数）。</w:t>
      </w:r>
    </w:p>
    <w:p w14:paraId="3F312197">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合同签订日之后，用能单位添加或减少大型用电设备前，应事先书面告知乙方新增用电设备及电缆</w:t>
      </w:r>
      <w:r>
        <w:rPr>
          <w:rFonts w:hint="eastAsia" w:asciiTheme="minorEastAsia" w:hAnsiTheme="minorEastAsia" w:eastAsiaTheme="minorEastAsia" w:cstheme="minorEastAsia"/>
          <w:snapToGrid w:val="0"/>
          <w:color w:val="auto"/>
          <w:spacing w:val="13"/>
          <w:sz w:val="28"/>
          <w:szCs w:val="28"/>
          <w:highlight w:val="none"/>
        </w:rPr>
        <w:t>电源取电位置，乙方进行必要核实，新增用电设备新敷设电缆需由甲方加装计量电表，通电当日</w:t>
      </w:r>
      <w:r>
        <w:rPr>
          <w:rFonts w:hint="eastAsia" w:asciiTheme="minorEastAsia" w:hAnsiTheme="minorEastAsia" w:eastAsiaTheme="minorEastAsia" w:cstheme="minorEastAsia"/>
          <w:snapToGrid w:val="0"/>
          <w:color w:val="auto"/>
          <w:spacing w:val="12"/>
          <w:sz w:val="28"/>
          <w:szCs w:val="28"/>
          <w:highlight w:val="none"/>
        </w:rPr>
        <w:t>起开始计</w:t>
      </w:r>
      <w:r>
        <w:rPr>
          <w:rFonts w:hint="eastAsia" w:asciiTheme="minorEastAsia" w:hAnsiTheme="minorEastAsia" w:eastAsiaTheme="minorEastAsia" w:cstheme="minorEastAsia"/>
          <w:snapToGrid w:val="0"/>
          <w:color w:val="auto"/>
          <w:spacing w:val="17"/>
          <w:sz w:val="28"/>
          <w:szCs w:val="28"/>
          <w:highlight w:val="none"/>
        </w:rPr>
        <w:t>量新增设备用电量（由双方确认</w:t>
      </w:r>
      <w:r>
        <w:rPr>
          <w:rFonts w:hint="eastAsia" w:asciiTheme="minorEastAsia" w:hAnsiTheme="minorEastAsia" w:eastAsiaTheme="minorEastAsia" w:cstheme="minorEastAsia"/>
          <w:snapToGrid w:val="0"/>
          <w:color w:val="auto"/>
          <w:spacing w:val="-29"/>
          <w:w w:val="64"/>
          <w:sz w:val="28"/>
          <w:szCs w:val="28"/>
          <w:highlight w:val="none"/>
        </w:rPr>
        <w:t>），</w:t>
      </w:r>
      <w:r>
        <w:rPr>
          <w:rFonts w:hint="eastAsia" w:asciiTheme="minorEastAsia" w:hAnsiTheme="minorEastAsia" w:eastAsiaTheme="minorEastAsia" w:cstheme="minorEastAsia"/>
          <w:snapToGrid w:val="0"/>
          <w:color w:val="auto"/>
          <w:spacing w:val="17"/>
          <w:sz w:val="28"/>
          <w:szCs w:val="28"/>
          <w:highlight w:val="none"/>
        </w:rPr>
        <w:t>托管电量按电表实际计量读数进行相应的调增。针对大型用电设备的</w:t>
      </w:r>
      <w:r>
        <w:rPr>
          <w:rFonts w:hint="eastAsia" w:asciiTheme="minorEastAsia" w:hAnsiTheme="minorEastAsia" w:eastAsiaTheme="minorEastAsia" w:cstheme="minorEastAsia"/>
          <w:snapToGrid w:val="0"/>
          <w:color w:val="auto"/>
          <w:spacing w:val="11"/>
          <w:sz w:val="28"/>
          <w:szCs w:val="28"/>
          <w:highlight w:val="none"/>
        </w:rPr>
        <w:t>退出，如相应的配电回路已加装计量电表，根据前一年同期抄表数据进行调减；如未加装计</w:t>
      </w:r>
      <w:r>
        <w:rPr>
          <w:rFonts w:hint="eastAsia" w:asciiTheme="minorEastAsia" w:hAnsiTheme="minorEastAsia" w:eastAsiaTheme="minorEastAsia" w:cstheme="minorEastAsia"/>
          <w:snapToGrid w:val="0"/>
          <w:color w:val="auto"/>
          <w:spacing w:val="10"/>
          <w:sz w:val="28"/>
          <w:szCs w:val="28"/>
          <w:highlight w:val="none"/>
        </w:rPr>
        <w:t>量电表，退出</w:t>
      </w:r>
      <w:r>
        <w:rPr>
          <w:rFonts w:hint="eastAsia" w:asciiTheme="minorEastAsia" w:hAnsiTheme="minorEastAsia" w:eastAsiaTheme="minorEastAsia" w:cstheme="minorEastAsia"/>
          <w:snapToGrid w:val="0"/>
          <w:color w:val="auto"/>
          <w:spacing w:val="16"/>
          <w:sz w:val="28"/>
          <w:szCs w:val="28"/>
          <w:highlight w:val="none"/>
        </w:rPr>
        <w:t>前甲方需提前至少一个月告知乙方加装计量电表，根据计量读数进行全年的托管电量调减计算，最终调减电量需经双方确认（年耗电量=计量电表日均用电量×投入使用天数）。</w:t>
      </w:r>
    </w:p>
    <w:p w14:paraId="1AA05069">
      <w:pPr>
        <w:autoSpaceDE w:val="0"/>
        <w:autoSpaceDN w:val="0"/>
        <w:adjustRightInd w:val="0"/>
        <w:snapToGrid w:val="0"/>
        <w:spacing w:line="480" w:lineRule="exact"/>
        <w:ind w:firstLine="62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5"/>
          <w:sz w:val="28"/>
          <w:szCs w:val="28"/>
          <w:highlight w:val="none"/>
          <w:lang w:val="en-US" w:eastAsia="zh-CN"/>
        </w:rPr>
        <w:t>2</w:t>
      </w:r>
      <w:r>
        <w:rPr>
          <w:rFonts w:hint="eastAsia" w:asciiTheme="minorEastAsia" w:hAnsiTheme="minorEastAsia" w:eastAsiaTheme="minorEastAsia" w:cstheme="minorEastAsia"/>
          <w:snapToGrid w:val="0"/>
          <w:color w:val="auto"/>
          <w:spacing w:val="15"/>
          <w:sz w:val="28"/>
          <w:szCs w:val="28"/>
          <w:highlight w:val="none"/>
        </w:rPr>
        <w:t>.新建大楼投用或装修楼栋退出调整规则</w:t>
      </w:r>
    </w:p>
    <w:p w14:paraId="526E6266">
      <w:pPr>
        <w:widowControl/>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6"/>
          <w:kern w:val="0"/>
          <w:sz w:val="28"/>
          <w:szCs w:val="28"/>
          <w:highlight w:val="none"/>
        </w:rPr>
        <w:t>考虑未来合同期内可能会有更多的新建大楼投用，一旦新大楼投入使用，建筑总电费会出现逐渐攀</w:t>
      </w:r>
      <w:r>
        <w:rPr>
          <w:rFonts w:hint="eastAsia" w:asciiTheme="minorEastAsia" w:hAnsiTheme="minorEastAsia" w:eastAsiaTheme="minorEastAsia" w:cstheme="minorEastAsia"/>
          <w:snapToGrid w:val="0"/>
          <w:color w:val="auto"/>
          <w:spacing w:val="12"/>
          <w:kern w:val="0"/>
          <w:sz w:val="28"/>
          <w:szCs w:val="28"/>
          <w:highlight w:val="none"/>
        </w:rPr>
        <w:t>升。因此，在新建大楼电量趋于稳定之前，按实际发生电</w:t>
      </w:r>
      <w:r>
        <w:rPr>
          <w:rFonts w:hint="eastAsia" w:asciiTheme="minorEastAsia" w:hAnsiTheme="minorEastAsia" w:eastAsiaTheme="minorEastAsia" w:cstheme="minorEastAsia"/>
          <w:snapToGrid w:val="0"/>
          <w:color w:val="auto"/>
          <w:spacing w:val="11"/>
          <w:kern w:val="0"/>
          <w:sz w:val="28"/>
          <w:szCs w:val="28"/>
          <w:highlight w:val="none"/>
        </w:rPr>
        <w:t>费进行托管，需对新建大楼配电支路上加装分项计量电表，实时计量新建大楼的电耗。</w:t>
      </w:r>
    </w:p>
    <w:p w14:paraId="673A5E8D">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假定合同期内对应月份基准托管费用为</w:t>
      </w:r>
      <w:r>
        <w:rPr>
          <w:rFonts w:hint="eastAsia" w:asciiTheme="minorEastAsia" w:hAnsiTheme="minorEastAsia" w:eastAsiaTheme="minorEastAsia" w:cstheme="minorEastAsia"/>
          <w:i/>
          <w:iCs/>
          <w:snapToGrid w:val="0"/>
          <w:color w:val="auto"/>
          <w:spacing w:val="16"/>
          <w:sz w:val="28"/>
          <w:szCs w:val="28"/>
          <w:highlight w:val="none"/>
        </w:rPr>
        <w:t>A</w:t>
      </w:r>
      <w:r>
        <w:rPr>
          <w:rFonts w:hint="eastAsia" w:asciiTheme="minorEastAsia" w:hAnsiTheme="minorEastAsia" w:eastAsiaTheme="minorEastAsia" w:cstheme="minorEastAsia"/>
          <w:snapToGrid w:val="0"/>
          <w:color w:val="auto"/>
          <w:spacing w:val="16"/>
          <w:sz w:val="28"/>
          <w:szCs w:val="28"/>
          <w:highlight w:val="none"/>
        </w:rPr>
        <w:t>万元，当月新建大楼配电支路实际发生电费（由新建大楼</w:t>
      </w:r>
      <w:r>
        <w:rPr>
          <w:rFonts w:hint="eastAsia" w:asciiTheme="minorEastAsia" w:hAnsiTheme="minorEastAsia" w:eastAsiaTheme="minorEastAsia" w:cstheme="minorEastAsia"/>
          <w:snapToGrid w:val="0"/>
          <w:color w:val="auto"/>
          <w:spacing w:val="14"/>
          <w:sz w:val="28"/>
          <w:szCs w:val="28"/>
          <w:highlight w:val="none"/>
        </w:rPr>
        <w:t>配电支路分项计量电表计量）为</w:t>
      </w:r>
      <w:r>
        <w:rPr>
          <w:rFonts w:hint="eastAsia" w:asciiTheme="minorEastAsia" w:hAnsiTheme="minorEastAsia" w:eastAsiaTheme="minorEastAsia" w:cstheme="minorEastAsia"/>
          <w:i/>
          <w:iCs/>
          <w:snapToGrid w:val="0"/>
          <w:color w:val="auto"/>
          <w:spacing w:val="14"/>
          <w:sz w:val="28"/>
          <w:szCs w:val="28"/>
          <w:highlight w:val="none"/>
        </w:rPr>
        <w:t>B</w:t>
      </w:r>
      <w:r>
        <w:rPr>
          <w:rFonts w:hint="eastAsia" w:asciiTheme="minorEastAsia" w:hAnsiTheme="minorEastAsia" w:eastAsiaTheme="minorEastAsia" w:cstheme="minorEastAsia"/>
          <w:snapToGrid w:val="0"/>
          <w:color w:val="auto"/>
          <w:spacing w:val="14"/>
          <w:sz w:val="28"/>
          <w:szCs w:val="28"/>
          <w:highlight w:val="none"/>
        </w:rPr>
        <w:t>万元，则该月托管费用为</w:t>
      </w:r>
      <w:r>
        <w:rPr>
          <w:rFonts w:hint="eastAsia" w:asciiTheme="minorEastAsia" w:hAnsiTheme="minorEastAsia" w:eastAsiaTheme="minorEastAsia" w:cstheme="minorEastAsia"/>
          <w:i/>
          <w:iCs/>
          <w:snapToGrid w:val="0"/>
          <w:color w:val="auto"/>
          <w:spacing w:val="14"/>
          <w:sz w:val="28"/>
          <w:szCs w:val="28"/>
          <w:highlight w:val="none"/>
        </w:rPr>
        <w:t>A</w:t>
      </w:r>
      <w:r>
        <w:rPr>
          <w:rFonts w:hint="eastAsia" w:asciiTheme="minorEastAsia" w:hAnsiTheme="minorEastAsia" w:eastAsiaTheme="minorEastAsia" w:cstheme="minorEastAsia"/>
          <w:snapToGrid w:val="0"/>
          <w:color w:val="auto"/>
          <w:spacing w:val="14"/>
          <w:sz w:val="28"/>
          <w:szCs w:val="28"/>
          <w:highlight w:val="none"/>
        </w:rPr>
        <w:t>+</w:t>
      </w:r>
      <w:r>
        <w:rPr>
          <w:rFonts w:hint="eastAsia" w:asciiTheme="minorEastAsia" w:hAnsiTheme="minorEastAsia" w:eastAsiaTheme="minorEastAsia" w:cstheme="minorEastAsia"/>
          <w:i/>
          <w:iCs/>
          <w:snapToGrid w:val="0"/>
          <w:color w:val="auto"/>
          <w:spacing w:val="13"/>
          <w:sz w:val="28"/>
          <w:szCs w:val="28"/>
          <w:highlight w:val="none"/>
        </w:rPr>
        <w:t>B</w:t>
      </w:r>
      <w:r>
        <w:rPr>
          <w:rFonts w:hint="eastAsia" w:asciiTheme="minorEastAsia" w:hAnsiTheme="minorEastAsia" w:eastAsiaTheme="minorEastAsia" w:cstheme="minorEastAsia"/>
          <w:snapToGrid w:val="0"/>
          <w:color w:val="auto"/>
          <w:spacing w:val="13"/>
          <w:sz w:val="28"/>
          <w:szCs w:val="28"/>
          <w:highlight w:val="none"/>
        </w:rPr>
        <w:t>。</w:t>
      </w:r>
    </w:p>
    <w:p w14:paraId="07764EB8">
      <w:pPr>
        <w:widowControl/>
        <w:autoSpaceDE w:val="0"/>
        <w:autoSpaceDN w:val="0"/>
        <w:adjustRightInd w:val="0"/>
        <w:snapToGrid w:val="0"/>
        <w:spacing w:line="480" w:lineRule="exact"/>
        <w:ind w:firstLine="608" w:firstLineChars="200"/>
        <w:textAlignment w:val="baseline"/>
        <w:rPr>
          <w:rFonts w:asciiTheme="minorEastAsia" w:hAnsiTheme="minorEastAsia" w:eastAsiaTheme="minorEastAsia" w:cstheme="minorEastAsia"/>
          <w:snapToGrid w:val="0"/>
          <w:color w:val="auto"/>
          <w:spacing w:val="7"/>
          <w:kern w:val="0"/>
          <w:sz w:val="28"/>
          <w:szCs w:val="28"/>
          <w:highlight w:val="none"/>
        </w:rPr>
      </w:pPr>
      <w:r>
        <w:rPr>
          <w:rFonts w:hint="eastAsia" w:asciiTheme="minorEastAsia" w:hAnsiTheme="minorEastAsia" w:eastAsiaTheme="minorEastAsia" w:cstheme="minorEastAsia"/>
          <w:snapToGrid w:val="0"/>
          <w:color w:val="auto"/>
          <w:spacing w:val="12"/>
          <w:kern w:val="0"/>
          <w:sz w:val="28"/>
          <w:szCs w:val="28"/>
          <w:highlight w:val="none"/>
        </w:rPr>
        <w:t>托管范围内的部分楼栋因设备设施老旧，需全楼退出进行翻新，从退出当月至托管年末止，需</w:t>
      </w:r>
      <w:r>
        <w:rPr>
          <w:rFonts w:hint="eastAsia" w:asciiTheme="minorEastAsia" w:hAnsiTheme="minorEastAsia" w:eastAsiaTheme="minorEastAsia" w:cstheme="minorEastAsia"/>
          <w:snapToGrid w:val="0"/>
          <w:color w:val="auto"/>
          <w:spacing w:val="18"/>
          <w:kern w:val="0"/>
          <w:sz w:val="28"/>
          <w:szCs w:val="28"/>
          <w:highlight w:val="none"/>
        </w:rPr>
        <w:t>将该楼栋相应的用电量进行调减结算（对装修退出前一年同期抄表数据进行调减结算</w:t>
      </w:r>
      <w:r>
        <w:rPr>
          <w:rFonts w:hint="eastAsia" w:asciiTheme="minorEastAsia" w:hAnsiTheme="minorEastAsia" w:eastAsiaTheme="minorEastAsia" w:cstheme="minorEastAsia"/>
          <w:snapToGrid w:val="0"/>
          <w:color w:val="auto"/>
          <w:spacing w:val="-28"/>
          <w:w w:val="63"/>
          <w:kern w:val="0"/>
          <w:sz w:val="28"/>
          <w:szCs w:val="28"/>
          <w:highlight w:val="none"/>
        </w:rPr>
        <w:t>），</w:t>
      </w:r>
      <w:r>
        <w:rPr>
          <w:rFonts w:hint="eastAsia" w:asciiTheme="minorEastAsia" w:hAnsiTheme="minorEastAsia" w:eastAsiaTheme="minorEastAsia" w:cstheme="minorEastAsia"/>
          <w:snapToGrid w:val="0"/>
          <w:color w:val="auto"/>
          <w:spacing w:val="18"/>
          <w:kern w:val="0"/>
          <w:sz w:val="28"/>
          <w:szCs w:val="28"/>
          <w:highlight w:val="none"/>
        </w:rPr>
        <w:t>下一个合同</w:t>
      </w:r>
      <w:r>
        <w:rPr>
          <w:rFonts w:hint="eastAsia" w:asciiTheme="minorEastAsia" w:hAnsiTheme="minorEastAsia" w:eastAsiaTheme="minorEastAsia" w:cstheme="minorEastAsia"/>
          <w:snapToGrid w:val="0"/>
          <w:color w:val="auto"/>
          <w:spacing w:val="17"/>
          <w:kern w:val="0"/>
          <w:sz w:val="28"/>
          <w:szCs w:val="28"/>
          <w:highlight w:val="none"/>
        </w:rPr>
        <w:t>年基准能源量需将该楼栋的基准电量（以装修退出前一年总</w:t>
      </w:r>
      <w:r>
        <w:rPr>
          <w:rFonts w:hint="eastAsia" w:asciiTheme="minorEastAsia" w:hAnsiTheme="minorEastAsia" w:eastAsiaTheme="minorEastAsia" w:cstheme="minorEastAsia"/>
          <w:snapToGrid w:val="0"/>
          <w:color w:val="auto"/>
          <w:spacing w:val="16"/>
          <w:kern w:val="0"/>
          <w:sz w:val="28"/>
          <w:szCs w:val="28"/>
          <w:highlight w:val="none"/>
        </w:rPr>
        <w:t>用电量为基准电量）扣减。翻新楼栋投用后电量未趋于稳定的，按实际发生电费进行托管，需对装修楼栋配电支路加装分</w:t>
      </w:r>
      <w:r>
        <w:rPr>
          <w:rFonts w:hint="eastAsia" w:asciiTheme="minorEastAsia" w:hAnsiTheme="minorEastAsia" w:eastAsiaTheme="minorEastAsia" w:cstheme="minorEastAsia"/>
          <w:snapToGrid w:val="0"/>
          <w:color w:val="auto"/>
          <w:spacing w:val="15"/>
          <w:kern w:val="0"/>
          <w:sz w:val="28"/>
          <w:szCs w:val="28"/>
          <w:highlight w:val="none"/>
        </w:rPr>
        <w:t>项计量电表，实时计量大楼的</w:t>
      </w:r>
      <w:r>
        <w:rPr>
          <w:rFonts w:hint="eastAsia" w:asciiTheme="minorEastAsia" w:hAnsiTheme="minorEastAsia" w:eastAsiaTheme="minorEastAsia" w:cstheme="minorEastAsia"/>
          <w:snapToGrid w:val="0"/>
          <w:color w:val="auto"/>
          <w:spacing w:val="7"/>
          <w:kern w:val="0"/>
          <w:sz w:val="28"/>
          <w:szCs w:val="28"/>
          <w:highlight w:val="none"/>
        </w:rPr>
        <w:t>电耗。</w:t>
      </w:r>
    </w:p>
    <w:p w14:paraId="3FBDA104">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lang w:val="en-US" w:eastAsia="zh-CN"/>
        </w:rPr>
        <w:t>3</w:t>
      </w:r>
      <w:r>
        <w:rPr>
          <w:rFonts w:hint="eastAsia" w:asciiTheme="minorEastAsia" w:hAnsiTheme="minorEastAsia" w:eastAsiaTheme="minorEastAsia" w:cstheme="minorEastAsia"/>
          <w:snapToGrid w:val="0"/>
          <w:color w:val="auto"/>
          <w:spacing w:val="13"/>
          <w:sz w:val="28"/>
          <w:szCs w:val="28"/>
          <w:highlight w:val="none"/>
        </w:rPr>
        <w:t>.用能区域功能发生重大变更</w:t>
      </w:r>
    </w:p>
    <w:p w14:paraId="67A42786">
      <w:pPr>
        <w:widowControl/>
        <w:autoSpaceDE w:val="0"/>
        <w:autoSpaceDN w:val="0"/>
        <w:adjustRightInd w:val="0"/>
        <w:snapToGrid w:val="0"/>
        <w:spacing w:line="480" w:lineRule="exact"/>
        <w:ind w:firstLine="592"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8"/>
          <w:kern w:val="0"/>
          <w:sz w:val="28"/>
          <w:szCs w:val="28"/>
          <w:highlight w:val="none"/>
        </w:rPr>
        <w:t>合同期内部分用能区域功能会发生重大调整，例如，宿舍功能调整为办公区、实验室及住院病房，部分空置房间重新投用，部分房间装修退出使用等，会导致该楼栋用电量变化，相应调整规则如下：</w:t>
      </w:r>
    </w:p>
    <w:p w14:paraId="7F2A02F6">
      <w:pPr>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7"/>
          <w:sz w:val="28"/>
          <w:szCs w:val="28"/>
          <w:highlight w:val="none"/>
        </w:rPr>
        <w:t>（1）当用能区域功能重大调整导致其所在楼栋年用电量变化率低于5%（与调整前半年所在楼栋半</w:t>
      </w:r>
      <w:r>
        <w:rPr>
          <w:rFonts w:hint="eastAsia" w:asciiTheme="minorEastAsia" w:hAnsiTheme="minorEastAsia" w:eastAsiaTheme="minorEastAsia" w:cstheme="minorEastAsia"/>
          <w:snapToGrid w:val="0"/>
          <w:color w:val="auto"/>
          <w:spacing w:val="19"/>
          <w:sz w:val="28"/>
          <w:szCs w:val="28"/>
          <w:highlight w:val="none"/>
        </w:rPr>
        <w:t>年总用电量进行对比</w:t>
      </w:r>
      <w:r>
        <w:rPr>
          <w:rFonts w:hint="eastAsia" w:asciiTheme="minorEastAsia" w:hAnsiTheme="minorEastAsia" w:eastAsiaTheme="minorEastAsia" w:cstheme="minorEastAsia"/>
          <w:snapToGrid w:val="0"/>
          <w:color w:val="auto"/>
          <w:spacing w:val="-28"/>
          <w:w w:val="63"/>
          <w:sz w:val="28"/>
          <w:szCs w:val="28"/>
          <w:highlight w:val="none"/>
        </w:rPr>
        <w:t>），</w:t>
      </w:r>
      <w:r>
        <w:rPr>
          <w:rFonts w:hint="eastAsia" w:asciiTheme="minorEastAsia" w:hAnsiTheme="minorEastAsia" w:eastAsiaTheme="minorEastAsia" w:cstheme="minorEastAsia"/>
          <w:snapToGrid w:val="0"/>
          <w:color w:val="auto"/>
          <w:spacing w:val="19"/>
          <w:sz w:val="28"/>
          <w:szCs w:val="28"/>
          <w:highlight w:val="none"/>
        </w:rPr>
        <w:t>托管电量不做调整。</w:t>
      </w:r>
    </w:p>
    <w:p w14:paraId="7359EEE8">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（2）当用能区域功能重大调整导致其所在楼栋年用电量变化率（调整前一</w:t>
      </w:r>
      <w:r>
        <w:rPr>
          <w:rFonts w:hint="eastAsia" w:asciiTheme="minorEastAsia" w:hAnsiTheme="minorEastAsia" w:eastAsiaTheme="minorEastAsia" w:cstheme="minorEastAsia"/>
          <w:snapToGrid w:val="0"/>
          <w:color w:val="auto"/>
          <w:spacing w:val="15"/>
          <w:sz w:val="28"/>
          <w:szCs w:val="28"/>
          <w:highlight w:val="none"/>
        </w:rPr>
        <w:t>年所在楼栋年总用电量进</w:t>
      </w:r>
      <w:r>
        <w:rPr>
          <w:rFonts w:hint="eastAsia" w:asciiTheme="minorEastAsia" w:hAnsiTheme="minorEastAsia" w:eastAsiaTheme="minorEastAsia" w:cstheme="minorEastAsia"/>
          <w:snapToGrid w:val="0"/>
          <w:color w:val="auto"/>
          <w:spacing w:val="9"/>
          <w:sz w:val="28"/>
          <w:szCs w:val="28"/>
          <w:highlight w:val="none"/>
        </w:rPr>
        <w:t>行对比）高于5%，以调整前一年楼栋年总用电量为基准值，按实结算，多退少补。例</w:t>
      </w:r>
      <w:r>
        <w:rPr>
          <w:rFonts w:hint="eastAsia" w:asciiTheme="minorEastAsia" w:hAnsiTheme="minorEastAsia" w:eastAsiaTheme="minorEastAsia" w:cstheme="minorEastAsia"/>
          <w:snapToGrid w:val="0"/>
          <w:color w:val="auto"/>
          <w:spacing w:val="8"/>
          <w:sz w:val="28"/>
          <w:szCs w:val="28"/>
          <w:highlight w:val="none"/>
        </w:rPr>
        <w:t>如用能区域</w:t>
      </w:r>
      <w:r>
        <w:rPr>
          <w:rFonts w:hint="eastAsia" w:asciiTheme="minorEastAsia" w:hAnsiTheme="minorEastAsia" w:eastAsiaTheme="minorEastAsia" w:cstheme="minorEastAsia"/>
          <w:snapToGrid w:val="0"/>
          <w:color w:val="auto"/>
          <w:spacing w:val="20"/>
          <w:sz w:val="28"/>
          <w:szCs w:val="28"/>
          <w:highlight w:val="none"/>
        </w:rPr>
        <w:t>功能调整前一年所在楼栋年总用电量为</w:t>
      </w:r>
      <w:r>
        <w:rPr>
          <w:rFonts w:hint="eastAsia" w:asciiTheme="minorEastAsia" w:hAnsiTheme="minorEastAsia" w:eastAsiaTheme="minorEastAsia" w:cstheme="minorEastAsia"/>
          <w:i/>
          <w:iCs/>
          <w:snapToGrid w:val="0"/>
          <w:color w:val="auto"/>
          <w:spacing w:val="20"/>
          <w:sz w:val="28"/>
          <w:szCs w:val="28"/>
          <w:highlight w:val="none"/>
        </w:rPr>
        <w:t>A</w:t>
      </w:r>
      <w:r>
        <w:rPr>
          <w:rFonts w:hint="eastAsia" w:asciiTheme="minorEastAsia" w:hAnsiTheme="minorEastAsia" w:eastAsiaTheme="minorEastAsia" w:cstheme="minorEastAsia"/>
          <w:snapToGrid w:val="0"/>
          <w:color w:val="auto"/>
          <w:spacing w:val="20"/>
          <w:sz w:val="28"/>
          <w:szCs w:val="28"/>
          <w:highlight w:val="none"/>
        </w:rPr>
        <w:t>万</w:t>
      </w:r>
      <w:r>
        <w:rPr>
          <w:rFonts w:hint="eastAsia" w:asciiTheme="minorEastAsia" w:hAnsiTheme="minorEastAsia" w:eastAsiaTheme="minorEastAsia" w:cstheme="minorEastAsia"/>
          <w:snapToGrid w:val="0"/>
          <w:color w:val="auto"/>
          <w:sz w:val="28"/>
          <w:szCs w:val="28"/>
          <w:highlight w:val="none"/>
        </w:rPr>
        <w:t>kWh</w:t>
      </w:r>
      <w:r>
        <w:rPr>
          <w:rFonts w:hint="eastAsia" w:asciiTheme="minorEastAsia" w:hAnsiTheme="minorEastAsia" w:eastAsiaTheme="minorEastAsia" w:cstheme="minorEastAsia"/>
          <w:snapToGrid w:val="0"/>
          <w:color w:val="auto"/>
          <w:spacing w:val="20"/>
          <w:sz w:val="28"/>
          <w:szCs w:val="28"/>
          <w:highlight w:val="none"/>
        </w:rPr>
        <w:t>，功能变更当年及</w:t>
      </w:r>
      <w:r>
        <w:rPr>
          <w:rFonts w:hint="eastAsia" w:asciiTheme="minorEastAsia" w:hAnsiTheme="minorEastAsia" w:eastAsiaTheme="minorEastAsia" w:cstheme="minorEastAsia"/>
          <w:snapToGrid w:val="0"/>
          <w:color w:val="auto"/>
          <w:spacing w:val="19"/>
          <w:sz w:val="28"/>
          <w:szCs w:val="28"/>
          <w:highlight w:val="none"/>
        </w:rPr>
        <w:t>以后的年实际发生电量为</w:t>
      </w:r>
      <w:r>
        <w:rPr>
          <w:rFonts w:hint="eastAsia" w:asciiTheme="minorEastAsia" w:hAnsiTheme="minorEastAsia" w:eastAsiaTheme="minorEastAsia" w:cstheme="minorEastAsia"/>
          <w:i/>
          <w:iCs/>
          <w:snapToGrid w:val="0"/>
          <w:color w:val="auto"/>
          <w:spacing w:val="19"/>
          <w:sz w:val="28"/>
          <w:szCs w:val="28"/>
          <w:highlight w:val="none"/>
        </w:rPr>
        <w:t>B</w:t>
      </w:r>
      <w:r>
        <w:rPr>
          <w:rFonts w:hint="eastAsia" w:asciiTheme="minorEastAsia" w:hAnsiTheme="minorEastAsia" w:eastAsiaTheme="minorEastAsia" w:cstheme="minorEastAsia"/>
          <w:snapToGrid w:val="0"/>
          <w:color w:val="auto"/>
          <w:spacing w:val="-6"/>
          <w:sz w:val="28"/>
          <w:szCs w:val="28"/>
          <w:highlight w:val="none"/>
        </w:rPr>
        <w:t>万kWh，且│</w:t>
      </w:r>
      <w:r>
        <w:rPr>
          <w:rFonts w:hint="eastAsia" w:asciiTheme="minorEastAsia" w:hAnsiTheme="minorEastAsia" w:eastAsiaTheme="minorEastAsia" w:cstheme="minorEastAsia"/>
          <w:i/>
          <w:iCs/>
          <w:snapToGrid w:val="0"/>
          <w:color w:val="auto"/>
          <w:spacing w:val="-6"/>
          <w:sz w:val="28"/>
          <w:szCs w:val="28"/>
          <w:highlight w:val="none"/>
        </w:rPr>
        <w:t>B</w:t>
      </w:r>
      <w:r>
        <w:rPr>
          <w:rFonts w:hint="eastAsia" w:asciiTheme="minorEastAsia" w:hAnsiTheme="minorEastAsia" w:eastAsiaTheme="minorEastAsia" w:cstheme="minorEastAsia"/>
          <w:snapToGrid w:val="0"/>
          <w:color w:val="auto"/>
          <w:spacing w:val="24"/>
          <w:sz w:val="28"/>
          <w:szCs w:val="28"/>
          <w:highlight w:val="none"/>
        </w:rPr>
        <w:t>-</w:t>
      </w:r>
      <w:r>
        <w:rPr>
          <w:rFonts w:hint="eastAsia" w:asciiTheme="minorEastAsia" w:hAnsiTheme="minorEastAsia" w:eastAsiaTheme="minorEastAsia" w:cstheme="minorEastAsia"/>
          <w:i/>
          <w:iCs/>
          <w:snapToGrid w:val="0"/>
          <w:color w:val="auto"/>
          <w:spacing w:val="24"/>
          <w:sz w:val="28"/>
          <w:szCs w:val="28"/>
          <w:highlight w:val="none"/>
        </w:rPr>
        <w:t>A</w:t>
      </w:r>
      <w:r>
        <w:rPr>
          <w:rFonts w:hint="eastAsia" w:asciiTheme="minorEastAsia" w:hAnsiTheme="minorEastAsia" w:eastAsiaTheme="minorEastAsia" w:cstheme="minorEastAsia"/>
          <w:snapToGrid w:val="0"/>
          <w:color w:val="auto"/>
          <w:spacing w:val="24"/>
          <w:sz w:val="28"/>
          <w:szCs w:val="28"/>
          <w:highlight w:val="none"/>
        </w:rPr>
        <w:t>│/</w:t>
      </w:r>
      <w:r>
        <w:rPr>
          <w:rFonts w:hint="eastAsia" w:asciiTheme="minorEastAsia" w:hAnsiTheme="minorEastAsia" w:eastAsiaTheme="minorEastAsia" w:cstheme="minorEastAsia"/>
          <w:i/>
          <w:iCs/>
          <w:snapToGrid w:val="0"/>
          <w:color w:val="auto"/>
          <w:spacing w:val="24"/>
          <w:sz w:val="28"/>
          <w:szCs w:val="28"/>
          <w:highlight w:val="none"/>
        </w:rPr>
        <w:t>A</w:t>
      </w:r>
      <w:r>
        <w:rPr>
          <w:rFonts w:hint="eastAsia" w:asciiTheme="minorEastAsia" w:hAnsiTheme="minorEastAsia" w:eastAsiaTheme="minorEastAsia" w:cstheme="minorEastAsia"/>
          <w:snapToGrid w:val="0"/>
          <w:color w:val="auto"/>
          <w:spacing w:val="24"/>
          <w:sz w:val="28"/>
          <w:szCs w:val="28"/>
          <w:highlight w:val="none"/>
        </w:rPr>
        <w:t>≥5%，则年托管电量调整电量为</w:t>
      </w:r>
      <w:r>
        <w:rPr>
          <w:rFonts w:hint="eastAsia" w:asciiTheme="minorEastAsia" w:hAnsiTheme="minorEastAsia" w:eastAsiaTheme="minorEastAsia" w:cstheme="minorEastAsia"/>
          <w:i/>
          <w:iCs/>
          <w:snapToGrid w:val="0"/>
          <w:color w:val="auto"/>
          <w:spacing w:val="24"/>
          <w:sz w:val="28"/>
          <w:szCs w:val="28"/>
          <w:highlight w:val="none"/>
        </w:rPr>
        <w:t>B</w:t>
      </w:r>
      <w:r>
        <w:rPr>
          <w:rFonts w:hint="eastAsia" w:asciiTheme="minorEastAsia" w:hAnsiTheme="minorEastAsia" w:eastAsiaTheme="minorEastAsia" w:cstheme="minorEastAsia"/>
          <w:snapToGrid w:val="0"/>
          <w:color w:val="auto"/>
          <w:spacing w:val="18"/>
          <w:w w:val="136"/>
          <w:sz w:val="28"/>
          <w:szCs w:val="28"/>
          <w:highlight w:val="none"/>
        </w:rPr>
        <w:t>-</w:t>
      </w:r>
      <w:r>
        <w:rPr>
          <w:rFonts w:hint="eastAsia" w:asciiTheme="minorEastAsia" w:hAnsiTheme="minorEastAsia" w:eastAsiaTheme="minorEastAsia" w:cstheme="minorEastAsia"/>
          <w:i/>
          <w:iCs/>
          <w:snapToGrid w:val="0"/>
          <w:color w:val="auto"/>
          <w:spacing w:val="18"/>
          <w:w w:val="136"/>
          <w:sz w:val="28"/>
          <w:szCs w:val="28"/>
          <w:highlight w:val="none"/>
        </w:rPr>
        <w:t>A</w:t>
      </w:r>
      <w:r>
        <w:rPr>
          <w:rFonts w:hint="eastAsia" w:asciiTheme="minorEastAsia" w:hAnsiTheme="minorEastAsia" w:eastAsiaTheme="minorEastAsia" w:cstheme="minorEastAsia"/>
          <w:snapToGrid w:val="0"/>
          <w:color w:val="auto"/>
          <w:spacing w:val="18"/>
          <w:w w:val="136"/>
          <w:sz w:val="28"/>
          <w:szCs w:val="28"/>
          <w:highlight w:val="none"/>
        </w:rPr>
        <w:t>。</w:t>
      </w:r>
    </w:p>
    <w:p w14:paraId="768454D9">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6"/>
          <w:kern w:val="0"/>
          <w:sz w:val="28"/>
          <w:szCs w:val="28"/>
          <w:highlight w:val="none"/>
        </w:rPr>
        <w:t>（二）数据机房专用调整规则</w:t>
      </w:r>
    </w:p>
    <w:p w14:paraId="6896BBC2">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1.机房设备实际电量发生变化对应的托管基准</w:t>
      </w:r>
      <w:r>
        <w:rPr>
          <w:rFonts w:hint="eastAsia" w:asciiTheme="minorEastAsia" w:hAnsiTheme="minorEastAsia" w:eastAsiaTheme="minorEastAsia" w:cstheme="minorEastAsia"/>
          <w:snapToGrid w:val="0"/>
          <w:color w:val="auto"/>
          <w:spacing w:val="15"/>
          <w:sz w:val="28"/>
          <w:szCs w:val="28"/>
          <w:highlight w:val="none"/>
        </w:rPr>
        <w:t>调整规则</w:t>
      </w:r>
    </w:p>
    <w:p w14:paraId="2236BFCF">
      <w:pPr>
        <w:widowControl/>
        <w:autoSpaceDE w:val="0"/>
        <w:autoSpaceDN w:val="0"/>
        <w:adjustRightInd w:val="0"/>
        <w:snapToGrid w:val="0"/>
        <w:spacing w:line="480" w:lineRule="exact"/>
        <w:ind w:firstLine="620"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15"/>
          <w:kern w:val="0"/>
          <w:sz w:val="28"/>
          <w:szCs w:val="28"/>
          <w:highlight w:val="none"/>
        </w:rPr>
        <w:t>考虑未来合同期内可能会有机房设备增加或退出，数据机</w:t>
      </w:r>
      <w:r>
        <w:rPr>
          <w:rFonts w:hint="eastAsia" w:asciiTheme="minorEastAsia" w:hAnsiTheme="minorEastAsia" w:eastAsiaTheme="minorEastAsia" w:cstheme="minorEastAsia"/>
          <w:snapToGrid w:val="0"/>
          <w:color w:val="auto"/>
          <w:spacing w:val="14"/>
          <w:kern w:val="0"/>
          <w:sz w:val="28"/>
          <w:szCs w:val="28"/>
          <w:highlight w:val="none"/>
        </w:rPr>
        <w:t>房电费会出现波动。因此，在机房设备用</w:t>
      </w:r>
      <w:r>
        <w:rPr>
          <w:rFonts w:hint="eastAsia" w:asciiTheme="minorEastAsia" w:hAnsiTheme="minorEastAsia" w:eastAsiaTheme="minorEastAsia" w:cstheme="minorEastAsia"/>
          <w:snapToGrid w:val="0"/>
          <w:color w:val="auto"/>
          <w:spacing w:val="13"/>
          <w:kern w:val="0"/>
          <w:sz w:val="28"/>
          <w:szCs w:val="28"/>
          <w:highlight w:val="none"/>
        </w:rPr>
        <w:t>电趋于稳定之前，按实际发生电费进行托管，需对机房设备配电支路上加装分项计量电表，实时计量</w:t>
      </w:r>
      <w:r>
        <w:rPr>
          <w:rFonts w:hint="eastAsia" w:asciiTheme="minorEastAsia" w:hAnsiTheme="minorEastAsia" w:eastAsiaTheme="minorEastAsia" w:cstheme="minorEastAsia"/>
          <w:snapToGrid w:val="0"/>
          <w:color w:val="auto"/>
          <w:spacing w:val="12"/>
          <w:kern w:val="0"/>
          <w:sz w:val="28"/>
          <w:szCs w:val="28"/>
          <w:highlight w:val="none"/>
        </w:rPr>
        <w:t>机房设备的电耗，并对该部分电费按实结算。</w:t>
      </w:r>
    </w:p>
    <w:p w14:paraId="3CAAB4EC">
      <w:pPr>
        <w:autoSpaceDE w:val="0"/>
        <w:autoSpaceDN w:val="0"/>
        <w:adjustRightInd w:val="0"/>
        <w:snapToGrid w:val="0"/>
        <w:spacing w:line="480" w:lineRule="exact"/>
        <w:ind w:firstLine="628"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7"/>
          <w:sz w:val="28"/>
          <w:szCs w:val="28"/>
          <w:highlight w:val="none"/>
        </w:rPr>
        <w:t>2.机房设备实际电量发生变化引起空调负荷变化对应的托管基准调整规则</w:t>
      </w:r>
    </w:p>
    <w:p w14:paraId="2347800B">
      <w:pPr>
        <w:autoSpaceDE w:val="0"/>
        <w:autoSpaceDN w:val="0"/>
        <w:adjustRightInd w:val="0"/>
        <w:snapToGrid w:val="0"/>
        <w:spacing w:line="480" w:lineRule="exact"/>
        <w:ind w:firstLine="62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6"/>
          <w:sz w:val="28"/>
          <w:szCs w:val="28"/>
          <w:highlight w:val="none"/>
        </w:rPr>
        <w:t>机房设备用电变化的同时会引起空调负荷变化，从而导致空调用电发生变化，该部分用电变化量按</w:t>
      </w:r>
      <w:r>
        <w:rPr>
          <w:rFonts w:hint="eastAsia" w:asciiTheme="minorEastAsia" w:hAnsiTheme="minorEastAsia" w:eastAsiaTheme="minorEastAsia" w:cstheme="minorEastAsia"/>
          <w:snapToGrid w:val="0"/>
          <w:color w:val="auto"/>
          <w:spacing w:val="15"/>
          <w:sz w:val="28"/>
          <w:szCs w:val="28"/>
          <w:highlight w:val="none"/>
        </w:rPr>
        <w:t>机房设备电耗变化量和双方约定的基准</w:t>
      </w:r>
      <w:r>
        <w:rPr>
          <w:rFonts w:hint="eastAsia" w:asciiTheme="minorEastAsia" w:hAnsiTheme="minorEastAsia" w:eastAsiaTheme="minorEastAsia" w:cstheme="minorEastAsia"/>
          <w:snapToGrid w:val="0"/>
          <w:color w:val="auto"/>
          <w:sz w:val="28"/>
          <w:szCs w:val="28"/>
          <w:highlight w:val="none"/>
        </w:rPr>
        <w:t>PUE</w:t>
      </w:r>
      <w:r>
        <w:rPr>
          <w:rFonts w:hint="eastAsia" w:asciiTheme="minorEastAsia" w:hAnsiTheme="minorEastAsia" w:eastAsiaTheme="minorEastAsia" w:cstheme="minorEastAsia"/>
          <w:snapToGrid w:val="0"/>
          <w:color w:val="auto"/>
          <w:spacing w:val="15"/>
          <w:sz w:val="28"/>
          <w:szCs w:val="28"/>
          <w:highlight w:val="none"/>
        </w:rPr>
        <w:t>值进行测算，多退少补。</w:t>
      </w:r>
    </w:p>
    <w:p w14:paraId="0A4B70B5">
      <w:pPr>
        <w:autoSpaceDE w:val="0"/>
        <w:autoSpaceDN w:val="0"/>
        <w:adjustRightInd w:val="0"/>
        <w:snapToGrid w:val="0"/>
        <w:spacing w:line="480" w:lineRule="exact"/>
        <w:ind w:firstLine="660"/>
        <w:jc w:val="center"/>
        <w:textAlignment w:val="baseline"/>
        <w:rPr>
          <w:rFonts w:asciiTheme="minorEastAsia" w:hAnsiTheme="minorEastAsia" w:eastAsiaTheme="minorEastAsia" w:cstheme="minorEastAsia"/>
          <w:snapToGrid w:val="0"/>
          <w:color w:val="auto"/>
          <w:sz w:val="28"/>
          <w:szCs w:val="28"/>
          <w:highlight w:val="none"/>
          <w:lang w:eastAsia="en-US"/>
        </w:rPr>
      </w:pPr>
      <w:r>
        <w:rPr>
          <w:rFonts w:hint="eastAsia" w:asciiTheme="minorEastAsia" w:hAnsiTheme="minorEastAsia" w:eastAsiaTheme="minorEastAsia" w:cstheme="minorEastAsia"/>
          <w:snapToGrid w:val="0"/>
          <w:color w:val="auto"/>
          <w:spacing w:val="25"/>
          <w:position w:val="1"/>
          <w:sz w:val="28"/>
          <w:szCs w:val="28"/>
          <w:highlight w:val="none"/>
          <w:lang w:eastAsia="en-US"/>
        </w:rPr>
        <w:t>Δ</w:t>
      </w:r>
      <w:r>
        <w:rPr>
          <w:rFonts w:hint="eastAsia" w:asciiTheme="minorEastAsia" w:hAnsiTheme="minorEastAsia" w:eastAsiaTheme="minorEastAsia" w:cstheme="minorEastAsia"/>
          <w:i/>
          <w:iCs/>
          <w:snapToGrid w:val="0"/>
          <w:color w:val="auto"/>
          <w:spacing w:val="25"/>
          <w:position w:val="1"/>
          <w:sz w:val="28"/>
          <w:szCs w:val="28"/>
          <w:highlight w:val="none"/>
          <w:lang w:eastAsia="en-US"/>
        </w:rPr>
        <w:t>T</w:t>
      </w:r>
      <w:r>
        <w:rPr>
          <w:rFonts w:hint="eastAsia" w:asciiTheme="minorEastAsia" w:hAnsiTheme="minorEastAsia" w:eastAsiaTheme="minorEastAsia" w:cstheme="minorEastAsia"/>
          <w:snapToGrid w:val="0"/>
          <w:color w:val="auto"/>
          <w:spacing w:val="25"/>
          <w:position w:val="-1"/>
          <w:sz w:val="28"/>
          <w:szCs w:val="28"/>
          <w:highlight w:val="none"/>
          <w:vertAlign w:val="subscript"/>
          <w:lang w:eastAsia="en-US"/>
        </w:rPr>
        <w:t>n</w:t>
      </w:r>
      <w:r>
        <w:rPr>
          <w:rFonts w:hint="eastAsia" w:asciiTheme="minorEastAsia" w:hAnsiTheme="minorEastAsia" w:eastAsiaTheme="minorEastAsia" w:cstheme="minorEastAsia"/>
          <w:snapToGrid w:val="0"/>
          <w:color w:val="auto"/>
          <w:spacing w:val="25"/>
          <w:position w:val="1"/>
          <w:sz w:val="28"/>
          <w:szCs w:val="28"/>
          <w:highlight w:val="none"/>
          <w:lang w:eastAsia="en-US"/>
        </w:rPr>
        <w:t>=Δ</w:t>
      </w:r>
      <w:r>
        <w:rPr>
          <w:rFonts w:hint="eastAsia" w:asciiTheme="minorEastAsia" w:hAnsiTheme="minorEastAsia" w:eastAsiaTheme="minorEastAsia" w:cstheme="minorEastAsia"/>
          <w:i/>
          <w:iCs/>
          <w:snapToGrid w:val="0"/>
          <w:color w:val="auto"/>
          <w:spacing w:val="25"/>
          <w:position w:val="1"/>
          <w:sz w:val="28"/>
          <w:szCs w:val="28"/>
          <w:highlight w:val="none"/>
          <w:lang w:eastAsia="en-US"/>
        </w:rPr>
        <w:t>W</w:t>
      </w:r>
      <w:r>
        <w:rPr>
          <w:rFonts w:hint="eastAsia" w:asciiTheme="minorEastAsia" w:hAnsiTheme="minorEastAsia" w:eastAsiaTheme="minorEastAsia" w:cstheme="minorEastAsia"/>
          <w:snapToGrid w:val="0"/>
          <w:color w:val="auto"/>
          <w:spacing w:val="25"/>
          <w:position w:val="1"/>
          <w:sz w:val="28"/>
          <w:szCs w:val="28"/>
          <w:highlight w:val="none"/>
          <w:lang w:eastAsia="en-US"/>
        </w:rPr>
        <w:t>×PUE</w:t>
      </w:r>
      <w:r>
        <w:rPr>
          <w:rFonts w:hint="eastAsia" w:asciiTheme="minorEastAsia" w:hAnsiTheme="minorEastAsia" w:eastAsiaTheme="minorEastAsia" w:cstheme="minorEastAsia"/>
          <w:snapToGrid w:val="0"/>
          <w:color w:val="auto"/>
          <w:spacing w:val="25"/>
          <w:position w:val="-1"/>
          <w:sz w:val="28"/>
          <w:szCs w:val="28"/>
          <w:highlight w:val="none"/>
          <w:vertAlign w:val="subscript"/>
          <w:lang w:eastAsia="en-US"/>
        </w:rPr>
        <w:t>n</w:t>
      </w:r>
    </w:p>
    <w:p w14:paraId="446FC843">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spacing w:val="6"/>
          <w:kern w:val="0"/>
          <w:sz w:val="28"/>
          <w:szCs w:val="28"/>
          <w:highlight w:val="none"/>
          <w:lang w:eastAsia="en-US"/>
        </w:rPr>
        <w:t>式中：</w:t>
      </w:r>
    </w:p>
    <w:p w14:paraId="0C97F4F0">
      <w:pPr>
        <w:autoSpaceDE w:val="0"/>
        <w:autoSpaceDN w:val="0"/>
        <w:adjustRightInd w:val="0"/>
        <w:snapToGrid w:val="0"/>
        <w:spacing w:line="480" w:lineRule="exact"/>
        <w:ind w:firstLine="61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3"/>
          <w:sz w:val="28"/>
          <w:szCs w:val="28"/>
          <w:highlight w:val="none"/>
          <w:lang w:eastAsia="en-US"/>
        </w:rPr>
        <w:t>Δ</w:t>
      </w:r>
      <w:r>
        <w:rPr>
          <w:rFonts w:hint="eastAsia" w:asciiTheme="minorEastAsia" w:hAnsiTheme="minorEastAsia" w:eastAsiaTheme="minorEastAsia" w:cstheme="minorEastAsia"/>
          <w:i/>
          <w:iCs/>
          <w:snapToGrid w:val="0"/>
          <w:color w:val="auto"/>
          <w:sz w:val="28"/>
          <w:szCs w:val="28"/>
          <w:highlight w:val="none"/>
        </w:rPr>
        <w:t>T</w:t>
      </w:r>
      <w:r>
        <w:rPr>
          <w:rFonts w:hint="eastAsia" w:asciiTheme="minorEastAsia" w:hAnsiTheme="minorEastAsia" w:eastAsiaTheme="minorEastAsia" w:cstheme="minorEastAsia"/>
          <w:snapToGrid w:val="0"/>
          <w:color w:val="auto"/>
          <w:position w:val="-2"/>
          <w:sz w:val="28"/>
          <w:szCs w:val="28"/>
          <w:highlight w:val="none"/>
          <w:vertAlign w:val="subscript"/>
        </w:rPr>
        <w:t>n</w:t>
      </w:r>
      <w:r>
        <w:rPr>
          <w:rFonts w:hint="eastAsia" w:asciiTheme="minorEastAsia" w:hAnsiTheme="minorEastAsia" w:eastAsiaTheme="minorEastAsia" w:cstheme="minorEastAsia"/>
          <w:snapToGrid w:val="0"/>
          <w:color w:val="auto"/>
          <w:spacing w:val="13"/>
          <w:sz w:val="28"/>
          <w:szCs w:val="28"/>
          <w:highlight w:val="none"/>
        </w:rPr>
        <w:t>——空调用电变化对应托管基准调整</w:t>
      </w:r>
      <w:r>
        <w:rPr>
          <w:rFonts w:hint="eastAsia" w:asciiTheme="minorEastAsia" w:hAnsiTheme="minorEastAsia" w:eastAsiaTheme="minorEastAsia" w:cstheme="minorEastAsia"/>
          <w:snapToGrid w:val="0"/>
          <w:color w:val="auto"/>
          <w:spacing w:val="12"/>
          <w:sz w:val="28"/>
          <w:szCs w:val="28"/>
          <w:highlight w:val="none"/>
        </w:rPr>
        <w:t>值；</w:t>
      </w:r>
      <w:r>
        <w:rPr>
          <w:rFonts w:hint="eastAsia" w:asciiTheme="minorEastAsia" w:hAnsiTheme="minorEastAsia" w:eastAsiaTheme="minorEastAsia" w:cstheme="minorEastAsia"/>
          <w:snapToGrid w:val="0"/>
          <w:color w:val="auto"/>
          <w:spacing w:val="16"/>
          <w:sz w:val="28"/>
          <w:szCs w:val="28"/>
          <w:highlight w:val="none"/>
          <w:lang w:eastAsia="en-US"/>
        </w:rPr>
        <w:t>Δ</w:t>
      </w:r>
      <w:r>
        <w:rPr>
          <w:rFonts w:hint="eastAsia" w:asciiTheme="minorEastAsia" w:hAnsiTheme="minorEastAsia" w:eastAsiaTheme="minorEastAsia" w:cstheme="minorEastAsia"/>
          <w:i/>
          <w:iCs/>
          <w:snapToGrid w:val="0"/>
          <w:color w:val="auto"/>
          <w:spacing w:val="16"/>
          <w:sz w:val="28"/>
          <w:szCs w:val="28"/>
          <w:highlight w:val="none"/>
        </w:rPr>
        <w:t>W</w:t>
      </w:r>
      <w:r>
        <w:rPr>
          <w:rFonts w:hint="eastAsia" w:asciiTheme="minorEastAsia" w:hAnsiTheme="minorEastAsia" w:eastAsiaTheme="minorEastAsia" w:cstheme="minorEastAsia"/>
          <w:snapToGrid w:val="0"/>
          <w:color w:val="auto"/>
          <w:spacing w:val="16"/>
          <w:sz w:val="28"/>
          <w:szCs w:val="28"/>
          <w:highlight w:val="none"/>
        </w:rPr>
        <w:t>——机房设备用电变化量；</w:t>
      </w:r>
    </w:p>
    <w:p w14:paraId="3DE72273">
      <w:pPr>
        <w:autoSpaceDE w:val="0"/>
        <w:autoSpaceDN w:val="0"/>
        <w:adjustRightInd w:val="0"/>
        <w:snapToGrid w:val="0"/>
        <w:spacing w:line="480" w:lineRule="exact"/>
        <w:ind w:firstLine="56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z w:val="28"/>
          <w:szCs w:val="28"/>
          <w:highlight w:val="none"/>
        </w:rPr>
        <w:t>PUE</w:t>
      </w:r>
      <w:r>
        <w:rPr>
          <w:rFonts w:hint="eastAsia" w:asciiTheme="minorEastAsia" w:hAnsiTheme="minorEastAsia" w:eastAsiaTheme="minorEastAsia" w:cstheme="minorEastAsia"/>
          <w:snapToGrid w:val="0"/>
          <w:color w:val="auto"/>
          <w:position w:val="-2"/>
          <w:sz w:val="28"/>
          <w:szCs w:val="28"/>
          <w:highlight w:val="none"/>
          <w:vertAlign w:val="subscript"/>
        </w:rPr>
        <w:t>n</w:t>
      </w:r>
      <w:r>
        <w:rPr>
          <w:rFonts w:hint="eastAsia" w:asciiTheme="minorEastAsia" w:hAnsiTheme="minorEastAsia" w:eastAsiaTheme="minorEastAsia" w:cstheme="minorEastAsia"/>
          <w:snapToGrid w:val="0"/>
          <w:color w:val="auto"/>
          <w:spacing w:val="16"/>
          <w:sz w:val="28"/>
          <w:szCs w:val="28"/>
          <w:highlight w:val="none"/>
        </w:rPr>
        <w:t>——双方约定的基准</w:t>
      </w:r>
      <w:r>
        <w:rPr>
          <w:rFonts w:hint="eastAsia" w:asciiTheme="minorEastAsia" w:hAnsiTheme="minorEastAsia" w:eastAsiaTheme="minorEastAsia" w:cstheme="minorEastAsia"/>
          <w:snapToGrid w:val="0"/>
          <w:color w:val="auto"/>
          <w:sz w:val="28"/>
          <w:szCs w:val="28"/>
          <w:highlight w:val="none"/>
        </w:rPr>
        <w:t>PUE</w:t>
      </w:r>
      <w:r>
        <w:rPr>
          <w:rFonts w:hint="eastAsia" w:asciiTheme="minorEastAsia" w:hAnsiTheme="minorEastAsia" w:eastAsiaTheme="minorEastAsia" w:cstheme="minorEastAsia"/>
          <w:snapToGrid w:val="0"/>
          <w:color w:val="auto"/>
          <w:spacing w:val="16"/>
          <w:sz w:val="28"/>
          <w:szCs w:val="28"/>
          <w:highlight w:val="none"/>
        </w:rPr>
        <w:t>值。</w:t>
      </w:r>
    </w:p>
    <w:p w14:paraId="40EDB1A9">
      <w:pPr>
        <w:widowControl/>
        <w:autoSpaceDE w:val="0"/>
        <w:autoSpaceDN w:val="0"/>
        <w:adjustRightInd w:val="0"/>
        <w:snapToGrid w:val="0"/>
        <w:spacing w:line="480" w:lineRule="exact"/>
        <w:ind w:firstLine="54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4"/>
          <w:kern w:val="0"/>
          <w:sz w:val="28"/>
          <w:szCs w:val="28"/>
          <w:highlight w:val="none"/>
        </w:rPr>
        <w:t>四、能源站</w:t>
      </w:r>
    </w:p>
    <w:p w14:paraId="0A53AE42">
      <w:pPr>
        <w:widowControl/>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kern w:val="0"/>
          <w:sz w:val="28"/>
          <w:szCs w:val="28"/>
          <w:highlight w:val="none"/>
        </w:rPr>
      </w:pPr>
      <w:r>
        <w:rPr>
          <w:rFonts w:hint="eastAsia" w:asciiTheme="minorEastAsia" w:hAnsiTheme="minorEastAsia" w:eastAsiaTheme="minorEastAsia" w:cstheme="minorEastAsia"/>
          <w:snapToGrid w:val="0"/>
          <w:color w:val="auto"/>
          <w:spacing w:val="6"/>
          <w:kern w:val="0"/>
          <w:sz w:val="28"/>
          <w:szCs w:val="28"/>
          <w:highlight w:val="none"/>
        </w:rPr>
        <w:t>空调冷量、采暖热量、热水热量、蒸汽用量（不含采暖</w:t>
      </w:r>
      <w:r>
        <w:rPr>
          <w:rFonts w:hint="eastAsia" w:asciiTheme="minorEastAsia" w:hAnsiTheme="minorEastAsia" w:eastAsiaTheme="minorEastAsia" w:cstheme="minorEastAsia"/>
          <w:snapToGrid w:val="0"/>
          <w:color w:val="auto"/>
          <w:spacing w:val="5"/>
          <w:kern w:val="0"/>
          <w:sz w:val="28"/>
          <w:szCs w:val="28"/>
          <w:highlight w:val="none"/>
        </w:rPr>
        <w:t>和热水）等能源站能源用量与舒适品质、天气状</w:t>
      </w:r>
      <w:r>
        <w:rPr>
          <w:rFonts w:hint="eastAsia" w:asciiTheme="minorEastAsia" w:hAnsiTheme="minorEastAsia" w:eastAsiaTheme="minorEastAsia" w:cstheme="minorEastAsia"/>
          <w:snapToGrid w:val="0"/>
          <w:color w:val="auto"/>
          <w:spacing w:val="11"/>
          <w:kern w:val="0"/>
          <w:sz w:val="28"/>
          <w:szCs w:val="28"/>
          <w:highlight w:val="none"/>
        </w:rPr>
        <w:t>况、用能面积、用能时间等有很大关系，为更好向用户提供能源服务，减少因</w:t>
      </w:r>
      <w:r>
        <w:rPr>
          <w:rFonts w:hint="eastAsia" w:asciiTheme="minorEastAsia" w:hAnsiTheme="minorEastAsia" w:eastAsiaTheme="minorEastAsia" w:cstheme="minorEastAsia"/>
          <w:snapToGrid w:val="0"/>
          <w:color w:val="auto"/>
          <w:spacing w:val="10"/>
          <w:kern w:val="0"/>
          <w:sz w:val="28"/>
          <w:szCs w:val="28"/>
          <w:highlight w:val="none"/>
        </w:rPr>
        <w:t>用户客观能源需求量变化而</w:t>
      </w:r>
      <w:r>
        <w:rPr>
          <w:rFonts w:hint="eastAsia" w:asciiTheme="minorEastAsia" w:hAnsiTheme="minorEastAsia" w:eastAsiaTheme="minorEastAsia" w:cstheme="minorEastAsia"/>
          <w:snapToGrid w:val="0"/>
          <w:color w:val="auto"/>
          <w:spacing w:val="15"/>
          <w:kern w:val="0"/>
          <w:sz w:val="28"/>
          <w:szCs w:val="28"/>
          <w:highlight w:val="none"/>
        </w:rPr>
        <w:t>带来的影响，实现公平公正的多退少补，双方约定，当能源站能源用量发生变化时，参考如</w:t>
      </w:r>
      <w:r>
        <w:rPr>
          <w:rFonts w:hint="eastAsia" w:asciiTheme="minorEastAsia" w:hAnsiTheme="minorEastAsia" w:eastAsiaTheme="minorEastAsia" w:cstheme="minorEastAsia"/>
          <w:snapToGrid w:val="0"/>
          <w:color w:val="auto"/>
          <w:spacing w:val="14"/>
          <w:kern w:val="0"/>
          <w:sz w:val="28"/>
          <w:szCs w:val="28"/>
          <w:highlight w:val="none"/>
        </w:rPr>
        <w:t>下规则进行</w:t>
      </w:r>
      <w:r>
        <w:rPr>
          <w:rFonts w:hint="eastAsia" w:asciiTheme="minorEastAsia" w:hAnsiTheme="minorEastAsia" w:eastAsiaTheme="minorEastAsia" w:cstheme="minorEastAsia"/>
          <w:snapToGrid w:val="0"/>
          <w:color w:val="auto"/>
          <w:spacing w:val="6"/>
          <w:kern w:val="0"/>
          <w:sz w:val="28"/>
          <w:szCs w:val="28"/>
          <w:highlight w:val="none"/>
        </w:rPr>
        <w:t>调整：</w:t>
      </w:r>
    </w:p>
    <w:p w14:paraId="06140FB3">
      <w:pPr>
        <w:autoSpaceDE w:val="0"/>
        <w:autoSpaceDN w:val="0"/>
        <w:adjustRightInd w:val="0"/>
        <w:snapToGrid w:val="0"/>
        <w:spacing w:line="480" w:lineRule="exact"/>
        <w:ind w:firstLine="54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5"/>
          <w:sz w:val="28"/>
          <w:szCs w:val="28"/>
          <w:highlight w:val="none"/>
        </w:rPr>
        <w:t>（1）确定能源站能源单耗（空调冷量、采暖热量、热水热量、蒸汽用量）A1、A2、A3、A4</w:t>
      </w:r>
    </w:p>
    <w:p w14:paraId="3E33695E">
      <w:pPr>
        <w:autoSpaceDE w:val="0"/>
        <w:autoSpaceDN w:val="0"/>
        <w:adjustRightInd w:val="0"/>
        <w:snapToGrid w:val="0"/>
        <w:spacing w:line="480" w:lineRule="exact"/>
        <w:ind w:firstLine="57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4"/>
          <w:sz w:val="28"/>
          <w:szCs w:val="28"/>
          <w:highlight w:val="none"/>
        </w:rPr>
        <w:t>输出：能源站安装冷热量表，分别记录输出冷热量B1、B2、B3、B4（包含空调输出冷量、采暖输出热</w:t>
      </w:r>
      <w:r>
        <w:rPr>
          <w:rFonts w:hint="eastAsia" w:asciiTheme="minorEastAsia" w:hAnsiTheme="minorEastAsia" w:eastAsiaTheme="minorEastAsia" w:cstheme="minorEastAsia"/>
          <w:snapToGrid w:val="0"/>
          <w:color w:val="auto"/>
          <w:spacing w:val="-6"/>
          <w:sz w:val="28"/>
          <w:szCs w:val="28"/>
          <w:highlight w:val="none"/>
        </w:rPr>
        <w:t>量、热水输出热量、蒸汽输出量）。</w:t>
      </w:r>
    </w:p>
    <w:p w14:paraId="54DC1476">
      <w:pPr>
        <w:autoSpaceDE w:val="0"/>
        <w:autoSpaceDN w:val="0"/>
        <w:adjustRightInd w:val="0"/>
        <w:snapToGrid w:val="0"/>
        <w:spacing w:line="480" w:lineRule="exact"/>
        <w:ind w:firstLine="55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2"/>
          <w:sz w:val="28"/>
          <w:szCs w:val="28"/>
          <w:highlight w:val="none"/>
        </w:rPr>
        <w:t>输入：能源站安装计量表具，分别记录消耗量为C1、C2、C3、C4。</w:t>
      </w:r>
      <w:r>
        <w:rPr>
          <w:rFonts w:hint="eastAsia" w:asciiTheme="minorEastAsia" w:hAnsiTheme="minorEastAsia" w:eastAsiaTheme="minorEastAsia" w:cstheme="minorEastAsia"/>
          <w:snapToGrid w:val="0"/>
          <w:color w:val="auto"/>
          <w:spacing w:val="13"/>
          <w:sz w:val="28"/>
          <w:szCs w:val="28"/>
          <w:highlight w:val="none"/>
        </w:rPr>
        <w:t>采样周期：具备计量条件之日起第一个完整年。</w:t>
      </w:r>
    </w:p>
    <w:p w14:paraId="74878DBF">
      <w:pPr>
        <w:autoSpaceDE w:val="0"/>
        <w:autoSpaceDN w:val="0"/>
        <w:adjustRightInd w:val="0"/>
        <w:snapToGrid w:val="0"/>
        <w:spacing w:line="480" w:lineRule="exact"/>
        <w:ind w:firstLine="620"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5"/>
          <w:sz w:val="28"/>
          <w:szCs w:val="28"/>
          <w:highlight w:val="none"/>
        </w:rPr>
        <w:t>能源单耗A1=C1/B1，A2=C2/B2，A3=C3/B3，A4=C4/B4。</w:t>
      </w:r>
    </w:p>
    <w:p w14:paraId="4CBB22C1">
      <w:pPr>
        <w:autoSpaceDE w:val="0"/>
        <w:autoSpaceDN w:val="0"/>
        <w:adjustRightInd w:val="0"/>
        <w:snapToGrid w:val="0"/>
        <w:spacing w:line="480" w:lineRule="exact"/>
        <w:ind w:firstLine="57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3"/>
          <w:sz w:val="28"/>
          <w:szCs w:val="28"/>
          <w:highlight w:val="none"/>
        </w:rPr>
        <w:t>（2）能源站能源用量基准</w:t>
      </w:r>
    </w:p>
    <w:p w14:paraId="0883DF0A">
      <w:pPr>
        <w:autoSpaceDE w:val="0"/>
        <w:autoSpaceDN w:val="0"/>
        <w:adjustRightInd w:val="0"/>
        <w:snapToGrid w:val="0"/>
        <w:spacing w:line="480" w:lineRule="exact"/>
        <w:ind w:firstLine="55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
          <w:sz w:val="28"/>
          <w:szCs w:val="28"/>
          <w:highlight w:val="none"/>
        </w:rPr>
        <w:t>能源站能源用量（空调冷量、采暖热量、热水热量、蒸汽用量）基准D1、D2、D3、D4为能量表计具备计</w:t>
      </w:r>
      <w:r>
        <w:rPr>
          <w:rFonts w:hint="eastAsia" w:asciiTheme="minorEastAsia" w:hAnsiTheme="minorEastAsia" w:eastAsiaTheme="minorEastAsia" w:cstheme="minorEastAsia"/>
          <w:snapToGrid w:val="0"/>
          <w:color w:val="auto"/>
          <w:spacing w:val="17"/>
          <w:sz w:val="28"/>
          <w:szCs w:val="28"/>
          <w:highlight w:val="none"/>
        </w:rPr>
        <w:t>量条件之日起第一个完整年数据。</w:t>
      </w:r>
    </w:p>
    <w:p w14:paraId="6D62B095">
      <w:pPr>
        <w:autoSpaceDE w:val="0"/>
        <w:autoSpaceDN w:val="0"/>
        <w:adjustRightInd w:val="0"/>
        <w:snapToGrid w:val="0"/>
        <w:spacing w:line="480" w:lineRule="exact"/>
        <w:ind w:firstLine="584"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6"/>
          <w:sz w:val="28"/>
          <w:szCs w:val="28"/>
          <w:highlight w:val="none"/>
        </w:rPr>
        <w:t>（3）能源站能源费用调整</w:t>
      </w:r>
    </w:p>
    <w:p w14:paraId="232CBEFB">
      <w:pPr>
        <w:autoSpaceDE w:val="0"/>
        <w:autoSpaceDN w:val="0"/>
        <w:adjustRightInd w:val="0"/>
        <w:snapToGrid w:val="0"/>
        <w:spacing w:line="480" w:lineRule="exact"/>
        <w:ind w:firstLine="632"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18"/>
          <w:sz w:val="28"/>
          <w:szCs w:val="28"/>
          <w:highlight w:val="none"/>
        </w:rPr>
        <w:t>当用能需求发生显著变化时（年实际用能量比基准年用能量增加或减少幅度超过5%</w:t>
      </w:r>
      <w:r>
        <w:rPr>
          <w:rFonts w:hint="eastAsia" w:asciiTheme="minorEastAsia" w:hAnsiTheme="minorEastAsia" w:eastAsiaTheme="minorEastAsia" w:cstheme="minorEastAsia"/>
          <w:snapToGrid w:val="0"/>
          <w:color w:val="auto"/>
          <w:spacing w:val="-30"/>
          <w:w w:val="66"/>
          <w:sz w:val="28"/>
          <w:szCs w:val="28"/>
          <w:highlight w:val="none"/>
        </w:rPr>
        <w:t>），</w:t>
      </w:r>
      <w:r>
        <w:rPr>
          <w:rFonts w:hint="eastAsia" w:asciiTheme="minorEastAsia" w:hAnsiTheme="minorEastAsia" w:eastAsiaTheme="minorEastAsia" w:cstheme="minorEastAsia"/>
          <w:snapToGrid w:val="0"/>
          <w:color w:val="auto"/>
          <w:spacing w:val="18"/>
          <w:sz w:val="28"/>
          <w:szCs w:val="28"/>
          <w:highlight w:val="none"/>
        </w:rPr>
        <w:t>对能源托管</w:t>
      </w:r>
      <w:r>
        <w:rPr>
          <w:rFonts w:hint="eastAsia" w:asciiTheme="minorEastAsia" w:hAnsiTheme="minorEastAsia" w:eastAsiaTheme="minorEastAsia" w:cstheme="minorEastAsia"/>
          <w:snapToGrid w:val="0"/>
          <w:color w:val="auto"/>
          <w:spacing w:val="7"/>
          <w:sz w:val="28"/>
          <w:szCs w:val="28"/>
          <w:highlight w:val="none"/>
        </w:rPr>
        <w:t>费用进行调整，具体如下：</w:t>
      </w:r>
    </w:p>
    <w:p w14:paraId="67E315BE">
      <w:pPr>
        <w:autoSpaceDE w:val="0"/>
        <w:autoSpaceDN w:val="0"/>
        <w:adjustRightInd w:val="0"/>
        <w:snapToGrid w:val="0"/>
        <w:spacing w:line="480" w:lineRule="exact"/>
        <w:ind w:firstLine="576" w:firstLineChars="200"/>
        <w:textAlignment w:val="baseline"/>
        <w:rPr>
          <w:rFonts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pacing w:val="4"/>
          <w:sz w:val="28"/>
          <w:szCs w:val="28"/>
          <w:highlight w:val="none"/>
        </w:rPr>
        <w:t>能源站费用调整：改造后年实际能源用量（空调冷量、采暖热量、热水热量、蒸汽用量）若为E1、E2、</w:t>
      </w:r>
      <w:r>
        <w:rPr>
          <w:rFonts w:hint="eastAsia" w:asciiTheme="minorEastAsia" w:hAnsiTheme="minorEastAsia" w:eastAsiaTheme="minorEastAsia" w:cstheme="minorEastAsia"/>
          <w:snapToGrid w:val="0"/>
          <w:color w:val="auto"/>
          <w:spacing w:val="-2"/>
          <w:sz w:val="28"/>
          <w:szCs w:val="28"/>
          <w:highlight w:val="none"/>
        </w:rPr>
        <w:t>E3、E4，则计算公式如下：</w:t>
      </w:r>
    </w:p>
    <w:p w14:paraId="2DB7659B">
      <w:pPr>
        <w:spacing w:line="560" w:lineRule="exact"/>
        <w:jc w:val="left"/>
        <w:rPr>
          <w:rFonts w:hint="eastAsia" w:ascii="楷体" w:eastAsia="楷体"/>
          <w:color w:val="auto"/>
          <w:sz w:val="32"/>
          <w:szCs w:val="32"/>
          <w:highlight w:val="none"/>
        </w:rPr>
      </w:pPr>
      <w:r>
        <w:rPr>
          <w:rFonts w:hint="eastAsia" w:asciiTheme="minorEastAsia" w:hAnsiTheme="minorEastAsia" w:eastAsiaTheme="minorEastAsia" w:cstheme="minorEastAsia"/>
          <w:snapToGrid w:val="0"/>
          <w:color w:val="auto"/>
          <w:spacing w:val="16"/>
          <w:sz w:val="28"/>
          <w:szCs w:val="28"/>
          <w:highlight w:val="none"/>
          <w:lang w:eastAsia="en-US"/>
        </w:rPr>
        <w:t>能源站调整费=（E1-D1）×A1×当年平均能源单价+（E2-D2）×A2×当年平均能源单价+</w:t>
      </w:r>
      <w:r>
        <w:rPr>
          <w:rFonts w:hint="eastAsia" w:asciiTheme="minorEastAsia" w:hAnsiTheme="minorEastAsia" w:eastAsiaTheme="minorEastAsia" w:cstheme="minorEastAsia"/>
          <w:snapToGrid w:val="0"/>
          <w:color w:val="auto"/>
          <w:spacing w:val="23"/>
          <w:sz w:val="28"/>
          <w:szCs w:val="28"/>
          <w:highlight w:val="none"/>
          <w:lang w:eastAsia="en-US"/>
        </w:rPr>
        <w:t>（E3-D3）×A3×当年平均能源单价+（E4-D4）×A4×当年平均能源单价。</w:t>
      </w:r>
      <w:r>
        <w:rPr>
          <w:rFonts w:hint="eastAsia" w:asciiTheme="minorEastAsia" w:hAnsiTheme="minorEastAsia" w:eastAsiaTheme="minorEastAsia" w:cstheme="minorEastAsia"/>
          <w:snapToGrid w:val="0"/>
          <w:color w:val="auto"/>
          <w:spacing w:val="23"/>
          <w:sz w:val="28"/>
          <w:szCs w:val="28"/>
          <w:highlight w:val="none"/>
        </w:rPr>
        <w:t>若能源用量发生较大变化</w:t>
      </w:r>
      <w:r>
        <w:rPr>
          <w:rFonts w:hint="eastAsia" w:asciiTheme="minorEastAsia" w:hAnsiTheme="minorEastAsia" w:eastAsiaTheme="minorEastAsia" w:cstheme="minorEastAsia"/>
          <w:snapToGrid w:val="0"/>
          <w:color w:val="auto"/>
          <w:spacing w:val="17"/>
          <w:sz w:val="28"/>
          <w:szCs w:val="28"/>
          <w:highlight w:val="none"/>
        </w:rPr>
        <w:t>（幅度超过20%</w:t>
      </w:r>
      <w:r>
        <w:rPr>
          <w:rFonts w:hint="eastAsia" w:asciiTheme="minorEastAsia" w:hAnsiTheme="minorEastAsia" w:eastAsiaTheme="minorEastAsia" w:cstheme="minorEastAsia"/>
          <w:snapToGrid w:val="0"/>
          <w:color w:val="auto"/>
          <w:spacing w:val="-28"/>
          <w:w w:val="63"/>
          <w:sz w:val="28"/>
          <w:szCs w:val="28"/>
          <w:highlight w:val="none"/>
        </w:rPr>
        <w:t>），</w:t>
      </w:r>
      <w:r>
        <w:rPr>
          <w:rFonts w:hint="eastAsia" w:asciiTheme="minorEastAsia" w:hAnsiTheme="minorEastAsia" w:eastAsiaTheme="minorEastAsia" w:cstheme="minorEastAsia"/>
          <w:snapToGrid w:val="0"/>
          <w:color w:val="auto"/>
          <w:spacing w:val="17"/>
          <w:sz w:val="28"/>
          <w:szCs w:val="28"/>
          <w:highlight w:val="none"/>
        </w:rPr>
        <w:t>双方可以签订补充协议进行</w:t>
      </w:r>
      <w:r>
        <w:rPr>
          <w:rFonts w:hint="eastAsia" w:asciiTheme="minorEastAsia" w:hAnsiTheme="minorEastAsia" w:eastAsiaTheme="minorEastAsia" w:cstheme="minorEastAsia"/>
          <w:snapToGrid w:val="0"/>
          <w:color w:val="auto"/>
          <w:spacing w:val="16"/>
          <w:sz w:val="28"/>
          <w:szCs w:val="28"/>
          <w:highlight w:val="none"/>
        </w:rPr>
        <w:t>协商约定。</w:t>
      </w:r>
    </w:p>
    <w:p w14:paraId="0CF1A90A">
      <w:pPr>
        <w:snapToGrid w:val="0"/>
        <w:ind w:firstLine="640"/>
        <w:jc w:val="center"/>
        <w:rPr>
          <w:rFonts w:ascii="宋体" w:hAnsi="宋体"/>
          <w:bCs/>
          <w:color w:val="auto"/>
          <w:sz w:val="32"/>
          <w:szCs w:val="32"/>
          <w:highlight w:val="none"/>
        </w:rPr>
      </w:pPr>
    </w:p>
    <w:p w14:paraId="03020BA3">
      <w:pPr>
        <w:snapToGrid w:val="0"/>
        <w:ind w:firstLine="640"/>
        <w:jc w:val="center"/>
        <w:rPr>
          <w:rFonts w:ascii="宋体" w:hAnsi="宋体"/>
          <w:bCs/>
          <w:color w:val="auto"/>
          <w:sz w:val="32"/>
          <w:szCs w:val="32"/>
          <w:highlight w:val="none"/>
        </w:rPr>
      </w:pPr>
    </w:p>
    <w:p w14:paraId="75B9F048">
      <w:pPr>
        <w:snapToGrid w:val="0"/>
        <w:ind w:firstLine="640"/>
        <w:jc w:val="center"/>
        <w:rPr>
          <w:rFonts w:ascii="宋体" w:hAnsi="宋体"/>
          <w:bCs/>
          <w:color w:val="auto"/>
          <w:sz w:val="32"/>
          <w:szCs w:val="32"/>
          <w:highlight w:val="none"/>
        </w:rPr>
      </w:pPr>
    </w:p>
    <w:p w14:paraId="533345A2">
      <w:pPr>
        <w:snapToGrid w:val="0"/>
        <w:ind w:firstLine="640"/>
        <w:jc w:val="center"/>
        <w:rPr>
          <w:rFonts w:ascii="宋体" w:hAnsi="宋体"/>
          <w:bCs/>
          <w:color w:val="auto"/>
          <w:sz w:val="32"/>
          <w:szCs w:val="32"/>
          <w:highlight w:val="none"/>
        </w:rPr>
      </w:pPr>
    </w:p>
    <w:p w14:paraId="32CC467B">
      <w:pPr>
        <w:snapToGrid w:val="0"/>
        <w:ind w:firstLine="640"/>
        <w:jc w:val="center"/>
        <w:rPr>
          <w:rFonts w:ascii="宋体" w:hAnsi="宋体"/>
          <w:bCs/>
          <w:color w:val="auto"/>
          <w:sz w:val="32"/>
          <w:szCs w:val="32"/>
          <w:highlight w:val="none"/>
        </w:rPr>
      </w:pPr>
    </w:p>
    <w:p w14:paraId="61E8D5AB">
      <w:pPr>
        <w:snapToGrid w:val="0"/>
        <w:ind w:firstLine="640"/>
        <w:jc w:val="center"/>
        <w:rPr>
          <w:rFonts w:ascii="宋体" w:hAnsi="宋体"/>
          <w:bCs/>
          <w:color w:val="auto"/>
          <w:sz w:val="32"/>
          <w:szCs w:val="32"/>
          <w:highlight w:val="none"/>
        </w:rPr>
      </w:pPr>
    </w:p>
    <w:p w14:paraId="403D1802">
      <w:pPr>
        <w:pStyle w:val="2"/>
        <w:ind w:firstLine="883"/>
        <w:jc w:val="center"/>
        <w:rPr>
          <w:color w:val="auto"/>
          <w:highlight w:val="none"/>
        </w:rPr>
      </w:pPr>
      <w:bookmarkStart w:id="139" w:name="_Toc25289"/>
    </w:p>
    <w:p w14:paraId="25D0FEEF">
      <w:pPr>
        <w:pStyle w:val="2"/>
        <w:ind w:firstLine="883"/>
        <w:jc w:val="center"/>
        <w:rPr>
          <w:color w:val="auto"/>
          <w:highlight w:val="none"/>
        </w:rPr>
      </w:pPr>
    </w:p>
    <w:p w14:paraId="161D4D6E">
      <w:pPr>
        <w:pStyle w:val="2"/>
        <w:keepNext/>
        <w:keepLines/>
        <w:pageBreakBefore w:val="0"/>
        <w:widowControl w:val="0"/>
        <w:kinsoku/>
        <w:wordWrap/>
        <w:overflowPunct/>
        <w:topLinePunct w:val="0"/>
        <w:autoSpaceDE/>
        <w:autoSpaceDN/>
        <w:bidi w:val="0"/>
        <w:adjustRightInd/>
        <w:snapToGrid/>
        <w:spacing w:line="579" w:lineRule="auto"/>
        <w:ind w:firstLine="0"/>
        <w:jc w:val="center"/>
        <w:textAlignment w:val="auto"/>
        <w:rPr>
          <w:color w:val="auto"/>
          <w:highlight w:val="none"/>
        </w:rPr>
      </w:pPr>
      <w:r>
        <w:rPr>
          <w:rFonts w:hint="eastAsia"/>
          <w:color w:val="auto"/>
          <w:highlight w:val="none"/>
        </w:rPr>
        <w:t>第六章　投标文件格式</w:t>
      </w:r>
      <w:bookmarkEnd w:id="139"/>
    </w:p>
    <w:p w14:paraId="778453E6">
      <w:pPr>
        <w:snapToGrid w:val="0"/>
        <w:spacing w:before="50" w:after="50"/>
        <w:ind w:firstLine="640"/>
        <w:outlineLvl w:val="1"/>
        <w:rPr>
          <w:rFonts w:ascii="宋体" w:hAnsi="宋体"/>
          <w:color w:val="auto"/>
          <w:sz w:val="32"/>
          <w:szCs w:val="20"/>
          <w:highlight w:val="none"/>
        </w:rPr>
      </w:pPr>
    </w:p>
    <w:p w14:paraId="7D6EB9EA">
      <w:pPr>
        <w:snapToGrid w:val="0"/>
        <w:spacing w:before="50" w:after="50"/>
        <w:ind w:firstLine="640"/>
        <w:outlineLvl w:val="1"/>
        <w:rPr>
          <w:rFonts w:ascii="宋体" w:hAnsi="宋体"/>
          <w:color w:val="auto"/>
          <w:sz w:val="32"/>
          <w:szCs w:val="20"/>
          <w:highlight w:val="none"/>
        </w:rPr>
      </w:pPr>
    </w:p>
    <w:p w14:paraId="2FE9F1A2">
      <w:pPr>
        <w:snapToGrid w:val="0"/>
        <w:spacing w:before="50" w:after="50"/>
        <w:ind w:firstLine="640"/>
        <w:outlineLvl w:val="1"/>
        <w:rPr>
          <w:rFonts w:ascii="宋体" w:hAnsi="宋体"/>
          <w:color w:val="auto"/>
          <w:sz w:val="32"/>
          <w:szCs w:val="20"/>
          <w:highlight w:val="none"/>
        </w:rPr>
      </w:pPr>
    </w:p>
    <w:p w14:paraId="3A29D951">
      <w:pPr>
        <w:snapToGrid w:val="0"/>
        <w:spacing w:before="50" w:after="50"/>
        <w:ind w:firstLine="640"/>
        <w:outlineLvl w:val="1"/>
        <w:rPr>
          <w:rFonts w:ascii="宋体" w:hAnsi="宋体"/>
          <w:color w:val="auto"/>
          <w:sz w:val="32"/>
          <w:szCs w:val="20"/>
          <w:highlight w:val="none"/>
        </w:rPr>
      </w:pPr>
    </w:p>
    <w:p w14:paraId="142DB297">
      <w:pPr>
        <w:snapToGrid w:val="0"/>
        <w:spacing w:before="50" w:after="50"/>
        <w:ind w:firstLine="640"/>
        <w:outlineLvl w:val="1"/>
        <w:rPr>
          <w:rFonts w:ascii="宋体" w:hAnsi="宋体"/>
          <w:color w:val="auto"/>
          <w:sz w:val="32"/>
          <w:szCs w:val="20"/>
          <w:highlight w:val="none"/>
        </w:rPr>
      </w:pPr>
    </w:p>
    <w:p w14:paraId="017FA430">
      <w:pPr>
        <w:snapToGrid w:val="0"/>
        <w:spacing w:before="50" w:after="50"/>
        <w:ind w:firstLine="640"/>
        <w:outlineLvl w:val="1"/>
        <w:rPr>
          <w:rFonts w:ascii="宋体" w:hAnsi="宋体"/>
          <w:color w:val="auto"/>
          <w:sz w:val="32"/>
          <w:szCs w:val="20"/>
          <w:highlight w:val="none"/>
        </w:rPr>
      </w:pPr>
    </w:p>
    <w:p w14:paraId="409B6A3D">
      <w:pPr>
        <w:snapToGrid w:val="0"/>
        <w:spacing w:before="50" w:after="50"/>
        <w:ind w:firstLine="640"/>
        <w:outlineLvl w:val="1"/>
        <w:rPr>
          <w:rFonts w:ascii="宋体" w:hAnsi="宋体"/>
          <w:color w:val="auto"/>
          <w:sz w:val="32"/>
          <w:szCs w:val="20"/>
          <w:highlight w:val="none"/>
        </w:rPr>
      </w:pPr>
    </w:p>
    <w:p w14:paraId="50B072CE">
      <w:pPr>
        <w:snapToGrid w:val="0"/>
        <w:spacing w:before="50" w:after="50"/>
        <w:ind w:firstLine="640"/>
        <w:outlineLvl w:val="1"/>
        <w:rPr>
          <w:rFonts w:ascii="宋体" w:hAnsi="宋体"/>
          <w:color w:val="auto"/>
          <w:sz w:val="32"/>
          <w:szCs w:val="20"/>
          <w:highlight w:val="none"/>
        </w:rPr>
      </w:pPr>
    </w:p>
    <w:p w14:paraId="226963B1">
      <w:pPr>
        <w:snapToGrid w:val="0"/>
        <w:spacing w:before="50" w:after="50"/>
        <w:ind w:firstLine="640"/>
        <w:outlineLvl w:val="1"/>
        <w:rPr>
          <w:rFonts w:ascii="宋体" w:hAnsi="宋体"/>
          <w:color w:val="auto"/>
          <w:sz w:val="32"/>
          <w:szCs w:val="20"/>
          <w:highlight w:val="none"/>
        </w:rPr>
      </w:pPr>
    </w:p>
    <w:p w14:paraId="5849C463">
      <w:pPr>
        <w:keepNext w:val="0"/>
        <w:keepLines w:val="0"/>
        <w:pageBreakBefore w:val="0"/>
        <w:widowControl w:val="0"/>
        <w:kinsoku/>
        <w:wordWrap/>
        <w:overflowPunct/>
        <w:topLinePunct w:val="0"/>
        <w:autoSpaceDE/>
        <w:autoSpaceDN/>
        <w:bidi w:val="0"/>
        <w:adjustRightInd/>
        <w:ind w:firstLine="0" w:firstLineChars="0"/>
        <w:textAlignment w:val="auto"/>
        <w:rPr>
          <w:b/>
          <w:color w:val="auto"/>
          <w:sz w:val="28"/>
          <w:szCs w:val="28"/>
          <w:highlight w:val="none"/>
        </w:rPr>
      </w:pPr>
      <w:r>
        <w:rPr>
          <w:color w:val="auto"/>
          <w:sz w:val="32"/>
          <w:szCs w:val="20"/>
          <w:highlight w:val="none"/>
        </w:rPr>
        <w:br w:type="page"/>
      </w:r>
      <w:bookmarkStart w:id="140" w:name="_Toc19686836"/>
      <w:bookmarkStart w:id="141" w:name="_Toc254970698"/>
      <w:bookmarkStart w:id="142" w:name="_Toc254970557"/>
      <w:r>
        <w:rPr>
          <w:rFonts w:hint="eastAsia"/>
          <w:b/>
          <w:color w:val="auto"/>
          <w:sz w:val="28"/>
          <w:szCs w:val="28"/>
          <w:highlight w:val="none"/>
        </w:rPr>
        <w:t>一、报价文件格式</w:t>
      </w:r>
      <w:bookmarkEnd w:id="140"/>
    </w:p>
    <w:p w14:paraId="2CDD562E">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142" w:firstLine="0" w:firstLineChars="0"/>
        <w:jc w:val="left"/>
        <w:textAlignment w:val="auto"/>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046DFD5D">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142" w:firstLine="0" w:firstLineChars="0"/>
        <w:jc w:val="center"/>
        <w:textAlignment w:val="auto"/>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4924A78">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32"/>
          <w:szCs w:val="20"/>
          <w:highlight w:val="none"/>
        </w:rPr>
      </w:pPr>
      <w:r>
        <w:rPr>
          <w:rFonts w:hint="eastAsia" w:ascii="宋体" w:hAnsi="宋体"/>
          <w:color w:val="auto"/>
          <w:sz w:val="24"/>
          <w:highlight w:val="none"/>
        </w:rPr>
        <w:t xml:space="preserve">                 </w:t>
      </w:r>
    </w:p>
    <w:p w14:paraId="2CE27A8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jc w:val="center"/>
        <w:textAlignment w:val="auto"/>
        <w:rPr>
          <w:rFonts w:ascii="宋体" w:hAnsi="宋体"/>
          <w:bCs/>
          <w:color w:val="auto"/>
          <w:sz w:val="24"/>
          <w:szCs w:val="20"/>
          <w:highlight w:val="none"/>
        </w:rPr>
      </w:pPr>
    </w:p>
    <w:p w14:paraId="343DAEFE">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jc w:val="center"/>
        <w:textAlignment w:val="auto"/>
        <w:rPr>
          <w:rFonts w:ascii="宋体" w:hAnsi="宋体"/>
          <w:b/>
          <w:bCs/>
          <w:color w:val="auto"/>
          <w:sz w:val="32"/>
          <w:szCs w:val="32"/>
          <w:highlight w:val="none"/>
        </w:rPr>
      </w:pPr>
      <w:r>
        <w:rPr>
          <w:rFonts w:hint="eastAsia" w:ascii="宋体" w:hAnsi="宋体"/>
          <w:b/>
          <w:bCs/>
          <w:color w:val="auto"/>
          <w:sz w:val="32"/>
          <w:szCs w:val="32"/>
          <w:highlight w:val="none"/>
        </w:rPr>
        <w:t>报价文件</w:t>
      </w:r>
    </w:p>
    <w:p w14:paraId="07B74495">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szCs w:val="20"/>
          <w:highlight w:val="none"/>
        </w:rPr>
      </w:pPr>
    </w:p>
    <w:p w14:paraId="6697C5BA">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szCs w:val="20"/>
          <w:highlight w:val="none"/>
        </w:rPr>
      </w:pPr>
    </w:p>
    <w:p w14:paraId="3F2A82B2">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szCs w:val="20"/>
          <w:highlight w:val="none"/>
        </w:rPr>
      </w:pPr>
    </w:p>
    <w:p w14:paraId="6B8DA0AB">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szCs w:val="20"/>
          <w:highlight w:val="none"/>
        </w:rPr>
      </w:pPr>
    </w:p>
    <w:p w14:paraId="04C63B4C">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highlight w:val="none"/>
        </w:rPr>
      </w:pPr>
      <w:r>
        <w:rPr>
          <w:rFonts w:hint="eastAsia" w:ascii="宋体" w:hAnsi="宋体"/>
          <w:bCs/>
          <w:color w:val="auto"/>
          <w:sz w:val="24"/>
          <w:highlight w:val="none"/>
        </w:rPr>
        <w:t xml:space="preserve">项目名称： </w:t>
      </w:r>
    </w:p>
    <w:p w14:paraId="6CCA3FAB">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highlight w:val="none"/>
        </w:rPr>
      </w:pPr>
    </w:p>
    <w:p w14:paraId="2035A147">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highlight w:val="none"/>
        </w:rPr>
      </w:pPr>
      <w:r>
        <w:rPr>
          <w:rFonts w:hint="eastAsia" w:ascii="宋体" w:hAnsi="宋体"/>
          <w:bCs/>
          <w:color w:val="auto"/>
          <w:sz w:val="24"/>
          <w:highlight w:val="none"/>
        </w:rPr>
        <w:t xml:space="preserve">项目编号： </w:t>
      </w:r>
    </w:p>
    <w:p w14:paraId="78807623">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highlight w:val="none"/>
        </w:rPr>
      </w:pPr>
    </w:p>
    <w:p w14:paraId="36D9DC48">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highlight w:val="none"/>
        </w:rPr>
      </w:pPr>
      <w:r>
        <w:rPr>
          <w:rFonts w:hint="eastAsia" w:ascii="宋体" w:hAnsi="宋体"/>
          <w:bCs/>
          <w:color w:val="auto"/>
          <w:sz w:val="24"/>
          <w:highlight w:val="none"/>
        </w:rPr>
        <w:t>所投分标：</w:t>
      </w:r>
    </w:p>
    <w:p w14:paraId="0E180CF5">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highlight w:val="none"/>
        </w:rPr>
      </w:pPr>
    </w:p>
    <w:p w14:paraId="61ADE388">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highlight w:val="none"/>
        </w:rPr>
      </w:pPr>
      <w:r>
        <w:rPr>
          <w:rFonts w:hint="eastAsia" w:ascii="宋体" w:hAnsi="宋体"/>
          <w:bCs/>
          <w:color w:val="auto"/>
          <w:sz w:val="24"/>
          <w:highlight w:val="none"/>
        </w:rPr>
        <w:t>投标人名称：</w:t>
      </w:r>
    </w:p>
    <w:p w14:paraId="55ED80F8">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highlight w:val="none"/>
        </w:rPr>
      </w:pPr>
    </w:p>
    <w:p w14:paraId="0B332FCD">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bCs/>
          <w:color w:val="auto"/>
          <w:sz w:val="24"/>
          <w:highlight w:val="none"/>
        </w:rPr>
      </w:pPr>
      <w:r>
        <w:rPr>
          <w:rFonts w:hint="eastAsia" w:ascii="宋体" w:hAnsi="宋体"/>
          <w:bCs/>
          <w:color w:val="auto"/>
          <w:sz w:val="24"/>
          <w:highlight w:val="none"/>
        </w:rPr>
        <w:t>投标人地址：</w:t>
      </w:r>
    </w:p>
    <w:p w14:paraId="4FCCBB6D">
      <w:pPr>
        <w:pStyle w:val="7"/>
        <w:keepNext w:val="0"/>
        <w:keepLines w:val="0"/>
        <w:pageBreakBefore w:val="0"/>
        <w:widowControl w:val="0"/>
        <w:kinsoku/>
        <w:wordWrap/>
        <w:overflowPunct/>
        <w:topLinePunct w:val="0"/>
        <w:autoSpaceDE/>
        <w:autoSpaceDN/>
        <w:bidi w:val="0"/>
        <w:adjustRightInd/>
        <w:snapToGrid w:val="0"/>
        <w:spacing w:before="50" w:after="50" w:line="400" w:lineRule="exact"/>
        <w:ind w:firstLine="0" w:firstLineChars="0"/>
        <w:textAlignment w:val="auto"/>
        <w:rPr>
          <w:rFonts w:ascii="宋体" w:hAnsi="宋体"/>
          <w:bCs/>
          <w:color w:val="auto"/>
          <w:sz w:val="24"/>
          <w:szCs w:val="24"/>
          <w:highlight w:val="none"/>
        </w:rPr>
      </w:pPr>
    </w:p>
    <w:p w14:paraId="11DB03E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0" w:firstLineChars="0"/>
        <w:textAlignment w:val="auto"/>
        <w:rPr>
          <w:rFonts w:ascii="宋体" w:hAnsi="宋体"/>
          <w:color w:val="auto"/>
          <w:sz w:val="30"/>
          <w:szCs w:val="20"/>
          <w:highlight w:val="none"/>
        </w:rPr>
      </w:pPr>
      <w:r>
        <w:rPr>
          <w:rFonts w:hint="eastAsia" w:ascii="宋体" w:hAnsi="宋体"/>
          <w:color w:val="auto"/>
          <w:sz w:val="24"/>
          <w:highlight w:val="none"/>
        </w:rPr>
        <w:t xml:space="preserve">                                   年  月  日</w:t>
      </w:r>
    </w:p>
    <w:p w14:paraId="770F019B">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0" w:firstLineChars="0"/>
        <w:jc w:val="left"/>
        <w:textAlignment w:val="auto"/>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4007FC1E">
      <w:pPr>
        <w:keepNext w:val="0"/>
        <w:keepLines w:val="0"/>
        <w:pageBreakBefore w:val="0"/>
        <w:widowControl w:val="0"/>
        <w:kinsoku/>
        <w:wordWrap/>
        <w:overflowPunct/>
        <w:topLinePunct w:val="0"/>
        <w:autoSpaceDE/>
        <w:autoSpaceDN/>
        <w:bidi w:val="0"/>
        <w:adjustRightInd/>
        <w:snapToGrid w:val="0"/>
        <w:spacing w:before="50" w:after="120" w:afterLines="50" w:line="360" w:lineRule="auto"/>
        <w:ind w:firstLine="0" w:firstLineChars="0"/>
        <w:jc w:val="left"/>
        <w:textAlignment w:val="auto"/>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1C065443">
      <w:pPr>
        <w:snapToGrid w:val="0"/>
        <w:spacing w:before="120" w:beforeLines="50" w:after="50"/>
        <w:ind w:firstLine="482"/>
        <w:rPr>
          <w:rFonts w:ascii="宋体" w:hAnsi="宋体"/>
          <w:b/>
          <w:color w:val="auto"/>
          <w:sz w:val="24"/>
          <w:highlight w:val="none"/>
        </w:rPr>
      </w:pPr>
    </w:p>
    <w:p w14:paraId="616C8CBF">
      <w:pPr>
        <w:snapToGrid w:val="0"/>
        <w:spacing w:before="120" w:beforeLines="50" w:after="50"/>
        <w:ind w:firstLine="482"/>
        <w:rPr>
          <w:rFonts w:ascii="宋体" w:hAnsi="宋体"/>
          <w:b/>
          <w:color w:val="auto"/>
          <w:sz w:val="24"/>
          <w:highlight w:val="none"/>
        </w:rPr>
      </w:pPr>
    </w:p>
    <w:p w14:paraId="250FCF7D">
      <w:pPr>
        <w:snapToGrid w:val="0"/>
        <w:spacing w:before="120" w:beforeLines="50" w:after="50"/>
        <w:ind w:firstLine="482"/>
        <w:rPr>
          <w:rFonts w:ascii="宋体" w:hAnsi="宋体"/>
          <w:b/>
          <w:color w:val="auto"/>
          <w:sz w:val="24"/>
          <w:highlight w:val="none"/>
        </w:rPr>
      </w:pPr>
    </w:p>
    <w:p w14:paraId="2F1976C4">
      <w:pPr>
        <w:keepNext w:val="0"/>
        <w:keepLines w:val="0"/>
        <w:pageBreakBefore w:val="0"/>
        <w:widowControl w:val="0"/>
        <w:kinsoku/>
        <w:wordWrap/>
        <w:overflowPunct/>
        <w:topLinePunct w:val="0"/>
        <w:autoSpaceDE/>
        <w:autoSpaceDN/>
        <w:bidi w:val="0"/>
        <w:adjustRightInd/>
        <w:snapToGrid w:val="0"/>
        <w:spacing w:before="120" w:beforeLines="50" w:after="50"/>
        <w:ind w:left="142" w:firstLine="0"/>
        <w:jc w:val="left"/>
        <w:textAlignment w:val="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1F688B97">
      <w:pPr>
        <w:keepNext w:val="0"/>
        <w:keepLines w:val="0"/>
        <w:pageBreakBefore w:val="0"/>
        <w:widowControl w:val="0"/>
        <w:kinsoku/>
        <w:wordWrap/>
        <w:overflowPunct/>
        <w:topLinePunct w:val="0"/>
        <w:autoSpaceDE/>
        <w:autoSpaceDN/>
        <w:bidi w:val="0"/>
        <w:adjustRightInd/>
        <w:snapToGrid w:val="0"/>
        <w:spacing w:before="120" w:beforeLines="50" w:after="50" w:line="320" w:lineRule="exact"/>
        <w:ind w:firstLine="0"/>
        <w:jc w:val="center"/>
        <w:textAlignment w:val="auto"/>
        <w:rPr>
          <w:rFonts w:ascii="宋体" w:hAnsi="宋体"/>
          <w:b/>
          <w:color w:val="auto"/>
          <w:sz w:val="32"/>
          <w:szCs w:val="32"/>
          <w:highlight w:val="none"/>
        </w:rPr>
      </w:pPr>
      <w:r>
        <w:rPr>
          <w:rFonts w:hint="eastAsia" w:ascii="宋体" w:hAnsi="宋体"/>
          <w:b/>
          <w:color w:val="auto"/>
          <w:sz w:val="32"/>
          <w:szCs w:val="32"/>
          <w:highlight w:val="none"/>
        </w:rPr>
        <w:t>投 标 函</w:t>
      </w:r>
    </w:p>
    <w:p w14:paraId="0CA82BF1">
      <w:pPr>
        <w:snapToGrid w:val="0"/>
        <w:spacing w:before="120" w:beforeLines="50" w:after="50" w:line="320" w:lineRule="exact"/>
        <w:ind w:firstLine="482"/>
        <w:jc w:val="center"/>
        <w:rPr>
          <w:rFonts w:ascii="宋体" w:hAnsi="宋体"/>
          <w:b/>
          <w:color w:val="auto"/>
          <w:sz w:val="24"/>
          <w:szCs w:val="20"/>
          <w:highlight w:val="none"/>
        </w:rPr>
      </w:pPr>
    </w:p>
    <w:p w14:paraId="7F6DAEE9">
      <w:pPr>
        <w:snapToGrid w:val="0"/>
        <w:spacing w:before="120" w:beforeLines="50" w:after="50" w:line="320" w:lineRule="exact"/>
        <w:ind w:firstLine="482"/>
        <w:jc w:val="center"/>
        <w:rPr>
          <w:rFonts w:ascii="宋体" w:hAnsi="宋体"/>
          <w:b/>
          <w:color w:val="auto"/>
          <w:sz w:val="24"/>
          <w:szCs w:val="20"/>
          <w:highlight w:val="none"/>
        </w:rPr>
      </w:pPr>
    </w:p>
    <w:p w14:paraId="65B3FAF2">
      <w:pPr>
        <w:snapToGrid w:val="0"/>
        <w:spacing w:before="120" w:beforeLines="50" w:after="50" w:line="320" w:lineRule="exact"/>
        <w:ind w:firstLine="482"/>
        <w:jc w:val="center"/>
        <w:rPr>
          <w:rFonts w:ascii="宋体" w:hAnsi="宋体"/>
          <w:b/>
          <w:color w:val="auto"/>
          <w:sz w:val="24"/>
          <w:szCs w:val="20"/>
          <w:highlight w:val="none"/>
        </w:rPr>
      </w:pPr>
    </w:p>
    <w:p w14:paraId="34B6BF79">
      <w:pPr>
        <w:snapToGrid w:val="0"/>
        <w:spacing w:line="360" w:lineRule="auto"/>
        <w:ind w:firstLine="480"/>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40B5B65">
      <w:pPr>
        <w:snapToGrid w:val="0"/>
        <w:spacing w:line="360" w:lineRule="auto"/>
        <w:ind w:firstLine="480"/>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09FD405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据此函，我方宣布同意如下：</w:t>
      </w:r>
    </w:p>
    <w:p w14:paraId="2A2CF8E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DD389C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79020CE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3.本投标有效期自投标截止之日起</w:t>
      </w:r>
      <w:r>
        <w:rPr>
          <w:rFonts w:hint="eastAsia" w:ascii="宋体" w:hAnsi="宋体"/>
          <w:color w:val="auto"/>
          <w:sz w:val="24"/>
          <w:highlight w:val="none"/>
          <w:u w:val="single"/>
        </w:rPr>
        <w:t>120</w:t>
      </w:r>
      <w:r>
        <w:rPr>
          <w:rFonts w:hint="eastAsia" w:ascii="宋体" w:hAnsi="宋体"/>
          <w:color w:val="auto"/>
          <w:sz w:val="24"/>
          <w:highlight w:val="none"/>
        </w:rPr>
        <w:t>日。</w:t>
      </w:r>
    </w:p>
    <w:p w14:paraId="5283EAC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54732C9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5855D1E2">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1A3689B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5201B6A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A944EF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19A4203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4F738E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9.与本项目有关的一切正式往来信函请寄：</w:t>
      </w:r>
    </w:p>
    <w:p w14:paraId="2F9E4592">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6FCC340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7FB1551">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15ED2BFF">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8B30F5D">
      <w:pPr>
        <w:snapToGrid w:val="0"/>
        <w:spacing w:line="360" w:lineRule="auto"/>
        <w:ind w:firstLine="480" w:firstLineChars="200"/>
        <w:jc w:val="left"/>
        <w:rPr>
          <w:rFonts w:ascii="宋体" w:hAnsi="宋体"/>
          <w:color w:val="auto"/>
          <w:sz w:val="24"/>
          <w:highlight w:val="none"/>
        </w:rPr>
      </w:pPr>
    </w:p>
    <w:p w14:paraId="2B81AA0B">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60BF8059">
      <w:pPr>
        <w:pStyle w:val="23"/>
        <w:snapToGrid w:val="0"/>
        <w:spacing w:before="295" w:after="295" w:line="360" w:lineRule="auto"/>
        <w:ind w:firstLine="480"/>
        <w:jc w:val="center"/>
        <w:rPr>
          <w:rFonts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3871C2FD">
      <w:pPr>
        <w:pStyle w:val="23"/>
        <w:snapToGrid w:val="0"/>
        <w:spacing w:before="295" w:after="295" w:line="360" w:lineRule="auto"/>
        <w:ind w:firstLine="480"/>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49F162DB">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注：</w:t>
      </w:r>
    </w:p>
    <w:p w14:paraId="4A6D0EA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1.如为联合体投标，“投标人名称”处必须列明联合体各方名称，并标注联合体牵头人名称，</w:t>
      </w:r>
      <w:r>
        <w:rPr>
          <w:rFonts w:hint="eastAsia" w:ascii="宋体" w:hAnsi="宋体"/>
          <w:b/>
          <w:bCs/>
          <w:color w:val="auto"/>
          <w:sz w:val="24"/>
          <w:highlight w:val="none"/>
        </w:rPr>
        <w:t>否则其投标作无效标处理</w:t>
      </w:r>
      <w:r>
        <w:rPr>
          <w:rFonts w:hint="eastAsia" w:ascii="宋体" w:hAnsi="宋体"/>
          <w:color w:val="auto"/>
          <w:sz w:val="24"/>
          <w:highlight w:val="none"/>
        </w:rPr>
        <w:t>。</w:t>
      </w:r>
    </w:p>
    <w:p w14:paraId="1FC24D5B">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2.如为联合体投标，盖章处须加盖联合体牵头人电子签章，</w:t>
      </w:r>
      <w:r>
        <w:rPr>
          <w:rFonts w:hint="eastAsia" w:ascii="宋体" w:hAnsi="宋体"/>
          <w:b/>
          <w:bCs/>
          <w:color w:val="auto"/>
          <w:sz w:val="24"/>
          <w:highlight w:val="none"/>
        </w:rPr>
        <w:t>否则其投标作无效标处理</w:t>
      </w:r>
      <w:r>
        <w:rPr>
          <w:rFonts w:hint="eastAsia" w:ascii="宋体" w:hAnsi="宋体"/>
          <w:color w:val="auto"/>
          <w:sz w:val="24"/>
          <w:highlight w:val="none"/>
        </w:rPr>
        <w:t>。</w:t>
      </w:r>
    </w:p>
    <w:p w14:paraId="256F31F9">
      <w:pPr>
        <w:ind w:firstLine="482"/>
        <w:rPr>
          <w:rFonts w:ascii="宋体" w:hAnsi="宋体"/>
          <w:b/>
          <w:color w:val="auto"/>
          <w:sz w:val="24"/>
          <w:highlight w:val="none"/>
        </w:rPr>
      </w:pPr>
      <w:r>
        <w:rPr>
          <w:rFonts w:hint="eastAsia" w:ascii="宋体" w:hAnsi="宋体"/>
          <w:b/>
          <w:color w:val="auto"/>
          <w:sz w:val="24"/>
          <w:highlight w:val="none"/>
        </w:rPr>
        <w:br w:type="page"/>
      </w:r>
    </w:p>
    <w:p w14:paraId="6E096394">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0" w:firstLineChars="0"/>
        <w:jc w:val="left"/>
        <w:textAlignment w:val="auto"/>
        <w:rPr>
          <w:rFonts w:ascii="宋体" w:hAnsi="宋体"/>
          <w:b/>
          <w:color w:val="auto"/>
          <w:sz w:val="24"/>
          <w:szCs w:val="20"/>
          <w:highlight w:val="none"/>
        </w:rPr>
      </w:pPr>
      <w:r>
        <w:rPr>
          <w:rFonts w:hint="eastAsia" w:ascii="宋体" w:hAnsi="宋体"/>
          <w:b/>
          <w:color w:val="auto"/>
          <w:sz w:val="24"/>
          <w:highlight w:val="none"/>
        </w:rPr>
        <w:t>4. 开标一览表</w:t>
      </w:r>
    </w:p>
    <w:p w14:paraId="22CED949">
      <w:pPr>
        <w:keepNext w:val="0"/>
        <w:keepLines w:val="0"/>
        <w:pageBreakBefore w:val="0"/>
        <w:widowControl w:val="0"/>
        <w:kinsoku/>
        <w:wordWrap/>
        <w:overflowPunct/>
        <w:topLinePunct w:val="0"/>
        <w:autoSpaceDE/>
        <w:autoSpaceDN/>
        <w:bidi w:val="0"/>
        <w:adjustRightInd/>
        <w:snapToGrid w:val="0"/>
        <w:spacing w:before="50" w:after="50"/>
        <w:ind w:firstLine="0" w:firstLineChars="0"/>
        <w:jc w:val="center"/>
        <w:textAlignment w:val="auto"/>
        <w:rPr>
          <w:rFonts w:ascii="宋体" w:hAnsi="宋体"/>
          <w:b/>
          <w:color w:val="auto"/>
          <w:sz w:val="30"/>
          <w:highlight w:val="none"/>
        </w:rPr>
      </w:pPr>
      <w:r>
        <w:rPr>
          <w:rFonts w:hint="eastAsia" w:ascii="宋体" w:hAnsi="宋体"/>
          <w:b/>
          <w:color w:val="auto"/>
          <w:sz w:val="30"/>
          <w:highlight w:val="none"/>
        </w:rPr>
        <w:t>开标一览表</w:t>
      </w:r>
    </w:p>
    <w:p w14:paraId="3A379448">
      <w:pPr>
        <w:keepNext w:val="0"/>
        <w:keepLines w:val="0"/>
        <w:pageBreakBefore w:val="0"/>
        <w:widowControl w:val="0"/>
        <w:kinsoku/>
        <w:wordWrap/>
        <w:overflowPunct/>
        <w:topLinePunct w:val="0"/>
        <w:autoSpaceDE/>
        <w:autoSpaceDN/>
        <w:bidi w:val="0"/>
        <w:adjustRightInd/>
        <w:snapToGrid w:val="0"/>
        <w:spacing w:before="50" w:after="50"/>
        <w:ind w:firstLine="0" w:firstLineChars="0"/>
        <w:jc w:val="center"/>
        <w:textAlignment w:val="auto"/>
        <w:rPr>
          <w:rFonts w:ascii="宋体" w:hAnsi="宋体"/>
          <w:b/>
          <w:color w:val="auto"/>
          <w:sz w:val="30"/>
          <w:szCs w:val="20"/>
          <w:highlight w:val="none"/>
        </w:rPr>
      </w:pPr>
    </w:p>
    <w:p w14:paraId="1749CCEA">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textAlignment w:val="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5EE2B40A">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textAlignment w:val="auto"/>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05CF64A">
      <w:pPr>
        <w:keepNext w:val="0"/>
        <w:keepLines w:val="0"/>
        <w:pageBreakBefore w:val="0"/>
        <w:widowControl w:val="0"/>
        <w:kinsoku/>
        <w:wordWrap/>
        <w:overflowPunct/>
        <w:topLinePunct w:val="0"/>
        <w:autoSpaceDE/>
        <w:autoSpaceDN/>
        <w:bidi w:val="0"/>
        <w:adjustRightInd/>
        <w:snapToGrid w:val="0"/>
        <w:spacing w:before="50" w:after="50" w:line="360" w:lineRule="auto"/>
        <w:ind w:firstLine="0" w:firstLineChars="0"/>
        <w:jc w:val="right"/>
        <w:textAlignment w:val="auto"/>
        <w:rPr>
          <w:rFonts w:ascii="宋体" w:hAnsi="宋体"/>
          <w:color w:val="auto"/>
          <w:sz w:val="24"/>
          <w:highlight w:val="none"/>
        </w:rPr>
      </w:pPr>
      <w:r>
        <w:rPr>
          <w:rFonts w:hint="eastAsia" w:ascii="宋体" w:hAnsi="宋体"/>
          <w:color w:val="auto"/>
          <w:sz w:val="24"/>
          <w:highlight w:val="none"/>
        </w:rPr>
        <w:t>单位：</w:t>
      </w:r>
      <w:r>
        <w:rPr>
          <w:rFonts w:hint="eastAsia" w:ascii="宋体" w:hAnsi="宋体" w:cs="宋体"/>
          <w:color w:val="auto"/>
          <w:sz w:val="24"/>
          <w:highlight w:val="none"/>
          <w:lang w:val="en-US" w:eastAsia="zh-CN"/>
        </w:rPr>
        <w:t>%</w:t>
      </w:r>
    </w:p>
    <w:tbl>
      <w:tblPr>
        <w:tblStyle w:val="45"/>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283"/>
        <w:gridCol w:w="2025"/>
        <w:gridCol w:w="2040"/>
        <w:gridCol w:w="2160"/>
      </w:tblGrid>
      <w:tr w14:paraId="4651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D643DB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2283" w:type="dxa"/>
            <w:tcBorders>
              <w:top w:val="single" w:color="auto" w:sz="4" w:space="0"/>
              <w:left w:val="single" w:color="auto" w:sz="4" w:space="0"/>
              <w:bottom w:val="single" w:color="auto" w:sz="4" w:space="0"/>
              <w:right w:val="single" w:color="auto" w:sz="4" w:space="0"/>
            </w:tcBorders>
            <w:vAlign w:val="center"/>
          </w:tcPr>
          <w:p w14:paraId="755ADAC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hAnsi="宋体" w:cs="宋体"/>
                <w:color w:val="auto"/>
                <w:sz w:val="24"/>
                <w:highlight w:val="none"/>
              </w:rPr>
            </w:pPr>
            <w:r>
              <w:rPr>
                <w:rFonts w:hint="eastAsia" w:ascii="宋体" w:hAnsi="宋体" w:cs="宋体"/>
                <w:color w:val="auto"/>
                <w:sz w:val="24"/>
                <w:highlight w:val="none"/>
              </w:rPr>
              <w:t>标的名称</w:t>
            </w:r>
          </w:p>
        </w:tc>
        <w:tc>
          <w:tcPr>
            <w:tcW w:w="2025" w:type="dxa"/>
            <w:tcBorders>
              <w:top w:val="single" w:color="auto" w:sz="4" w:space="0"/>
              <w:left w:val="single" w:color="auto" w:sz="4" w:space="0"/>
              <w:bottom w:val="single" w:color="auto" w:sz="4" w:space="0"/>
              <w:right w:val="single" w:color="auto" w:sz="4" w:space="0"/>
            </w:tcBorders>
            <w:vAlign w:val="center"/>
          </w:tcPr>
          <w:p w14:paraId="3694177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hAnsi="宋体" w:cs="宋体"/>
                <w:color w:val="auto"/>
                <w:sz w:val="24"/>
                <w:highlight w:val="none"/>
              </w:rPr>
            </w:pPr>
            <w:r>
              <w:rPr>
                <w:rFonts w:hint="eastAsia" w:ascii="宋体" w:hAnsi="宋体" w:cs="宋体"/>
                <w:color w:val="auto"/>
                <w:sz w:val="24"/>
                <w:highlight w:val="none"/>
              </w:rPr>
              <w:t>托管期限（年）</w:t>
            </w:r>
          </w:p>
        </w:tc>
        <w:tc>
          <w:tcPr>
            <w:tcW w:w="2040" w:type="dxa"/>
            <w:tcBorders>
              <w:top w:val="single" w:color="auto" w:sz="4" w:space="0"/>
              <w:left w:val="single" w:color="auto" w:sz="4" w:space="0"/>
              <w:bottom w:val="single" w:color="auto" w:sz="4" w:space="0"/>
              <w:right w:val="single" w:color="auto" w:sz="4" w:space="0"/>
            </w:tcBorders>
            <w:vAlign w:val="center"/>
          </w:tcPr>
          <w:p w14:paraId="6FE63FFD">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投标报价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折扣报价</w:t>
            </w:r>
            <w:r>
              <w:rPr>
                <w:rFonts w:hint="eastAsia" w:ascii="宋体" w:hAnsi="宋体" w:cs="宋体"/>
                <w:color w:val="auto"/>
                <w:sz w:val="24"/>
                <w:highlight w:val="none"/>
                <w:lang w:eastAsia="zh-CN"/>
              </w:rPr>
              <w:t>）</w:t>
            </w:r>
          </w:p>
          <w:p w14:paraId="776CBCA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hAnsi="宋体" w:cs="宋体"/>
                <w:color w:val="auto"/>
                <w:sz w:val="24"/>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9DB10C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hAnsi="宋体" w:cs="宋体"/>
                <w:color w:val="auto"/>
                <w:sz w:val="24"/>
                <w:highlight w:val="none"/>
              </w:rPr>
            </w:pPr>
            <w:r>
              <w:rPr>
                <w:rFonts w:hint="eastAsia" w:ascii="宋体" w:hAnsi="宋体" w:cs="宋体"/>
                <w:color w:val="auto"/>
                <w:sz w:val="24"/>
                <w:highlight w:val="none"/>
              </w:rPr>
              <w:t>备注</w:t>
            </w:r>
          </w:p>
        </w:tc>
      </w:tr>
      <w:tr w14:paraId="2C22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3BEA0D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2283" w:type="dxa"/>
            <w:tcBorders>
              <w:top w:val="single" w:color="auto" w:sz="4" w:space="0"/>
              <w:left w:val="single" w:color="auto" w:sz="4" w:space="0"/>
              <w:bottom w:val="single" w:color="auto" w:sz="4" w:space="0"/>
              <w:right w:val="single" w:color="auto" w:sz="4" w:space="0"/>
            </w:tcBorders>
            <w:vAlign w:val="center"/>
          </w:tcPr>
          <w:p w14:paraId="1FF204D9">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hAnsi="宋体" w:cs="宋体"/>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6AA69E3A">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2040" w:type="dxa"/>
            <w:tcBorders>
              <w:top w:val="single" w:color="auto" w:sz="4" w:space="0"/>
              <w:left w:val="single" w:color="auto" w:sz="4" w:space="0"/>
              <w:bottom w:val="single" w:color="auto" w:sz="4" w:space="0"/>
              <w:right w:val="single" w:color="auto" w:sz="4" w:space="0"/>
            </w:tcBorders>
            <w:vAlign w:val="center"/>
          </w:tcPr>
          <w:p w14:paraId="614DE1B0">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w:t>
            </w:r>
          </w:p>
        </w:tc>
        <w:tc>
          <w:tcPr>
            <w:tcW w:w="2160" w:type="dxa"/>
            <w:tcBorders>
              <w:top w:val="single" w:color="auto" w:sz="4" w:space="0"/>
              <w:left w:val="single" w:color="auto" w:sz="4" w:space="0"/>
              <w:bottom w:val="single" w:color="auto" w:sz="4" w:space="0"/>
              <w:right w:val="single" w:color="auto" w:sz="4" w:space="0"/>
            </w:tcBorders>
            <w:vAlign w:val="center"/>
          </w:tcPr>
          <w:p w14:paraId="2718353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宋体" w:hAnsi="宋体" w:cs="宋体"/>
                <w:color w:val="auto"/>
                <w:sz w:val="24"/>
                <w:highlight w:val="none"/>
              </w:rPr>
            </w:pPr>
          </w:p>
        </w:tc>
      </w:tr>
    </w:tbl>
    <w:p w14:paraId="67C418DC">
      <w:pPr>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 xml:space="preserve">注: </w:t>
      </w:r>
    </w:p>
    <w:p w14:paraId="38AE369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1.投标人的开标一览表必须加盖投标人电子签章并由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4098E326">
      <w:pPr>
        <w:snapToGrid w:val="0"/>
        <w:spacing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331BA7D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bCs/>
          <w:color w:val="auto"/>
          <w:sz w:val="24"/>
          <w:highlight w:val="none"/>
        </w:rPr>
        <w:t>否则其投标作无效标处理</w:t>
      </w:r>
      <w:r>
        <w:rPr>
          <w:rFonts w:hint="eastAsia" w:ascii="宋体" w:hAnsi="宋体"/>
          <w:color w:val="auto"/>
          <w:sz w:val="24"/>
          <w:highlight w:val="none"/>
        </w:rPr>
        <w:t>。</w:t>
      </w:r>
    </w:p>
    <w:p w14:paraId="6CF52D7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4.如为联合体投标，盖章处须加盖联合体牵头人电子签章，</w:t>
      </w:r>
      <w:r>
        <w:rPr>
          <w:rFonts w:hint="eastAsia" w:ascii="宋体" w:hAnsi="宋体"/>
          <w:b/>
          <w:bCs/>
          <w:color w:val="auto"/>
          <w:sz w:val="24"/>
          <w:highlight w:val="none"/>
        </w:rPr>
        <w:t>否则其投标作无效标处理</w:t>
      </w:r>
      <w:r>
        <w:rPr>
          <w:rFonts w:hint="eastAsia" w:ascii="宋体" w:hAnsi="宋体"/>
          <w:color w:val="auto"/>
          <w:sz w:val="24"/>
          <w:highlight w:val="none"/>
        </w:rPr>
        <w:t>。</w:t>
      </w:r>
    </w:p>
    <w:p w14:paraId="3D2D5612">
      <w:pPr>
        <w:spacing w:line="360" w:lineRule="auto"/>
        <w:ind w:firstLine="480"/>
        <w:rPr>
          <w:rFonts w:ascii="宋体" w:hAnsi="宋体"/>
          <w:bCs/>
          <w:color w:val="auto"/>
          <w:sz w:val="24"/>
          <w:highlight w:val="none"/>
        </w:rPr>
      </w:pPr>
    </w:p>
    <w:p w14:paraId="69D68555">
      <w:pPr>
        <w:snapToGrid w:val="0"/>
        <w:spacing w:line="360" w:lineRule="auto"/>
        <w:ind w:left="-2" w:leftChars="-1" w:right="-817" w:rightChars="-389" w:firstLine="480"/>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72479844">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376A6A98">
      <w:pPr>
        <w:snapToGrid w:val="0"/>
        <w:spacing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 xml:space="preserve">                           日期：    年   月   日</w:t>
      </w:r>
    </w:p>
    <w:p w14:paraId="104C6E46">
      <w:pPr>
        <w:snapToGrid w:val="0"/>
        <w:spacing w:line="360" w:lineRule="auto"/>
        <w:ind w:left="-3" w:leftChars="-15" w:right="-817" w:rightChars="-389" w:hanging="28" w:hangingChars="12"/>
        <w:rPr>
          <w:rFonts w:ascii="宋体" w:hAnsi="宋体"/>
          <w:color w:val="auto"/>
          <w:sz w:val="24"/>
          <w:highlight w:val="none"/>
        </w:rPr>
      </w:pPr>
    </w:p>
    <w:p w14:paraId="0217513C">
      <w:pPr>
        <w:keepNext w:val="0"/>
        <w:keepLines w:val="0"/>
        <w:pageBreakBefore w:val="0"/>
        <w:widowControl w:val="0"/>
        <w:kinsoku/>
        <w:wordWrap/>
        <w:overflowPunct/>
        <w:topLinePunct w:val="0"/>
        <w:autoSpaceDE/>
        <w:autoSpaceDN/>
        <w:bidi w:val="0"/>
        <w:adjustRightInd/>
        <w:ind w:firstLine="0" w:firstLineChars="0"/>
        <w:textAlignment w:val="auto"/>
        <w:rPr>
          <w:b/>
          <w:color w:val="auto"/>
          <w:sz w:val="28"/>
          <w:szCs w:val="28"/>
          <w:highlight w:val="none"/>
        </w:rPr>
      </w:pPr>
      <w:r>
        <w:rPr>
          <w:rFonts w:hint="eastAsia" w:ascii="宋体" w:hAnsi="宋体"/>
          <w:color w:val="auto"/>
          <w:sz w:val="24"/>
          <w:highlight w:val="none"/>
        </w:rPr>
        <w:br w:type="page"/>
      </w:r>
      <w:bookmarkStart w:id="143" w:name="_Toc19686837"/>
      <w:r>
        <w:rPr>
          <w:rFonts w:hint="eastAsia"/>
          <w:b/>
          <w:color w:val="auto"/>
          <w:sz w:val="28"/>
          <w:szCs w:val="28"/>
          <w:highlight w:val="none"/>
        </w:rPr>
        <w:t>二、资格证明文件格式</w:t>
      </w:r>
      <w:bookmarkEnd w:id="141"/>
      <w:bookmarkEnd w:id="142"/>
      <w:bookmarkEnd w:id="143"/>
    </w:p>
    <w:p w14:paraId="5851F8E8">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0" w:firstLineChars="0"/>
        <w:jc w:val="left"/>
        <w:textAlignment w:val="auto"/>
        <w:rPr>
          <w:rFonts w:ascii="宋体" w:hAnsi="宋体"/>
          <w:b/>
          <w:color w:val="auto"/>
          <w:sz w:val="24"/>
          <w:highlight w:val="none"/>
        </w:rPr>
      </w:pPr>
      <w:r>
        <w:rPr>
          <w:rFonts w:hint="eastAsia" w:ascii="宋体" w:hAnsi="宋体"/>
          <w:b/>
          <w:color w:val="auto"/>
          <w:sz w:val="24"/>
          <w:highlight w:val="none"/>
        </w:rPr>
        <w:t xml:space="preserve">1.资格证明文件封面格式： </w:t>
      </w:r>
    </w:p>
    <w:p w14:paraId="395E8B10">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0230C644">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color w:val="auto"/>
          <w:sz w:val="24"/>
          <w:szCs w:val="20"/>
          <w:highlight w:val="none"/>
        </w:rPr>
      </w:pPr>
      <w:r>
        <w:rPr>
          <w:rFonts w:hint="eastAsia" w:ascii="宋体" w:hAnsi="宋体"/>
          <w:color w:val="auto"/>
          <w:sz w:val="24"/>
          <w:highlight w:val="none"/>
        </w:rPr>
        <w:t xml:space="preserve">                 </w:t>
      </w:r>
    </w:p>
    <w:p w14:paraId="13005160">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b/>
          <w:color w:val="auto"/>
          <w:sz w:val="24"/>
          <w:szCs w:val="20"/>
          <w:highlight w:val="none"/>
        </w:rPr>
      </w:pPr>
      <w:r>
        <w:rPr>
          <w:rFonts w:hint="eastAsia" w:ascii="宋体" w:hAnsi="宋体"/>
          <w:b/>
          <w:color w:val="auto"/>
          <w:sz w:val="32"/>
          <w:szCs w:val="32"/>
          <w:highlight w:val="none"/>
        </w:rPr>
        <w:t>资格证明文件</w:t>
      </w:r>
    </w:p>
    <w:p w14:paraId="08EF6271">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p>
    <w:p w14:paraId="303D780E">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p>
    <w:p w14:paraId="14F2894F">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p>
    <w:p w14:paraId="778F8CB0">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p>
    <w:p w14:paraId="7C2BA3AE">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p>
    <w:p w14:paraId="68C3B68A">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p>
    <w:p w14:paraId="1F19CA06">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p>
    <w:p w14:paraId="792E4BD1">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highlight w:val="none"/>
        </w:rPr>
      </w:pPr>
      <w:r>
        <w:rPr>
          <w:rFonts w:hint="eastAsia" w:ascii="宋体" w:hAnsi="宋体"/>
          <w:bCs/>
          <w:color w:val="auto"/>
          <w:sz w:val="24"/>
          <w:highlight w:val="none"/>
        </w:rPr>
        <w:t>项目名称：</w:t>
      </w:r>
    </w:p>
    <w:p w14:paraId="10AF75D1">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p>
    <w:p w14:paraId="5285FE62">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highlight w:val="none"/>
        </w:rPr>
      </w:pPr>
      <w:r>
        <w:rPr>
          <w:rFonts w:hint="eastAsia" w:ascii="宋体" w:hAnsi="宋体"/>
          <w:bCs/>
          <w:color w:val="auto"/>
          <w:sz w:val="24"/>
          <w:highlight w:val="none"/>
        </w:rPr>
        <w:t>项目编号：</w:t>
      </w:r>
    </w:p>
    <w:p w14:paraId="250447B0">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r>
        <w:rPr>
          <w:rFonts w:hint="eastAsia" w:ascii="宋体" w:hAnsi="宋体"/>
          <w:bCs/>
          <w:color w:val="auto"/>
          <w:sz w:val="24"/>
          <w:highlight w:val="none"/>
        </w:rPr>
        <w:t xml:space="preserve"> </w:t>
      </w:r>
    </w:p>
    <w:p w14:paraId="58E42BC2">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highlight w:val="none"/>
        </w:rPr>
      </w:pPr>
      <w:r>
        <w:rPr>
          <w:rFonts w:hint="eastAsia" w:ascii="宋体" w:hAnsi="宋体"/>
          <w:bCs/>
          <w:color w:val="auto"/>
          <w:sz w:val="24"/>
          <w:highlight w:val="none"/>
        </w:rPr>
        <w:t>所投分标：</w:t>
      </w:r>
    </w:p>
    <w:p w14:paraId="44258478">
      <w:pPr>
        <w:pStyle w:val="7"/>
        <w:keepNext w:val="0"/>
        <w:keepLines w:val="0"/>
        <w:pageBreakBefore w:val="0"/>
        <w:widowControl w:val="0"/>
        <w:kinsoku/>
        <w:wordWrap/>
        <w:overflowPunct/>
        <w:topLinePunct w:val="0"/>
        <w:autoSpaceDE/>
        <w:autoSpaceDN/>
        <w:bidi w:val="0"/>
        <w:adjustRightInd/>
        <w:snapToGrid w:val="0"/>
        <w:spacing w:before="50" w:after="50"/>
        <w:ind w:firstLine="0" w:firstLineChars="0"/>
        <w:textAlignment w:val="auto"/>
        <w:rPr>
          <w:rFonts w:ascii="宋体" w:hAnsi="宋体"/>
          <w:bCs/>
          <w:color w:val="auto"/>
          <w:sz w:val="24"/>
          <w:szCs w:val="24"/>
          <w:highlight w:val="none"/>
        </w:rPr>
      </w:pPr>
    </w:p>
    <w:p w14:paraId="43883D67">
      <w:pPr>
        <w:pStyle w:val="7"/>
        <w:keepNext w:val="0"/>
        <w:keepLines w:val="0"/>
        <w:pageBreakBefore w:val="0"/>
        <w:widowControl w:val="0"/>
        <w:kinsoku/>
        <w:wordWrap/>
        <w:overflowPunct/>
        <w:topLinePunct w:val="0"/>
        <w:autoSpaceDE/>
        <w:autoSpaceDN/>
        <w:bidi w:val="0"/>
        <w:adjustRightInd/>
        <w:snapToGrid w:val="0"/>
        <w:spacing w:before="50" w:after="50"/>
        <w:ind w:firstLine="0" w:firstLineChars="0"/>
        <w:textAlignment w:val="auto"/>
        <w:rPr>
          <w:rFonts w:ascii="宋体" w:hAnsi="宋体"/>
          <w:bCs/>
          <w:color w:val="auto"/>
          <w:sz w:val="24"/>
          <w:szCs w:val="24"/>
          <w:highlight w:val="none"/>
        </w:rPr>
      </w:pPr>
      <w:r>
        <w:rPr>
          <w:rFonts w:hint="eastAsia" w:ascii="宋体" w:hAnsi="宋体"/>
          <w:bCs/>
          <w:color w:val="auto"/>
          <w:sz w:val="24"/>
          <w:szCs w:val="24"/>
          <w:highlight w:val="none"/>
        </w:rPr>
        <w:t>投标人名称：</w:t>
      </w:r>
    </w:p>
    <w:p w14:paraId="75F06C61">
      <w:pPr>
        <w:pStyle w:val="7"/>
        <w:keepNext w:val="0"/>
        <w:keepLines w:val="0"/>
        <w:pageBreakBefore w:val="0"/>
        <w:widowControl w:val="0"/>
        <w:kinsoku/>
        <w:wordWrap/>
        <w:overflowPunct/>
        <w:topLinePunct w:val="0"/>
        <w:autoSpaceDE/>
        <w:autoSpaceDN/>
        <w:bidi w:val="0"/>
        <w:adjustRightInd/>
        <w:snapToGrid w:val="0"/>
        <w:spacing w:before="50" w:after="50"/>
        <w:ind w:firstLine="0" w:firstLineChars="0"/>
        <w:textAlignment w:val="auto"/>
        <w:rPr>
          <w:rFonts w:ascii="宋体" w:hAnsi="宋体"/>
          <w:bCs/>
          <w:color w:val="auto"/>
          <w:sz w:val="24"/>
          <w:szCs w:val="24"/>
          <w:highlight w:val="none"/>
        </w:rPr>
      </w:pPr>
    </w:p>
    <w:p w14:paraId="6CC7DEF3">
      <w:pPr>
        <w:pStyle w:val="7"/>
        <w:keepNext w:val="0"/>
        <w:keepLines w:val="0"/>
        <w:pageBreakBefore w:val="0"/>
        <w:widowControl w:val="0"/>
        <w:kinsoku/>
        <w:wordWrap/>
        <w:overflowPunct/>
        <w:topLinePunct w:val="0"/>
        <w:autoSpaceDE/>
        <w:autoSpaceDN/>
        <w:bidi w:val="0"/>
        <w:adjustRightInd/>
        <w:snapToGrid w:val="0"/>
        <w:spacing w:before="50" w:after="50"/>
        <w:ind w:firstLine="0" w:firstLineChars="0"/>
        <w:textAlignment w:val="auto"/>
        <w:rPr>
          <w:rFonts w:ascii="宋体" w:hAnsi="宋体"/>
          <w:bCs/>
          <w:color w:val="auto"/>
          <w:sz w:val="24"/>
          <w:szCs w:val="24"/>
          <w:highlight w:val="none"/>
        </w:rPr>
      </w:pPr>
    </w:p>
    <w:p w14:paraId="3A94C06D">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年  月  日</w:t>
      </w:r>
    </w:p>
    <w:p w14:paraId="6718FAC9">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color w:val="auto"/>
          <w:sz w:val="24"/>
          <w:szCs w:val="20"/>
          <w:highlight w:val="none"/>
        </w:rPr>
      </w:pPr>
      <w:r>
        <w:rPr>
          <w:rFonts w:ascii="宋体" w:hAnsi="宋体"/>
          <w:color w:val="auto"/>
          <w:sz w:val="24"/>
          <w:szCs w:val="20"/>
          <w:highlight w:val="none"/>
        </w:rPr>
        <w:t xml:space="preserve"> </w:t>
      </w:r>
    </w:p>
    <w:p w14:paraId="4A67DA26">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color w:val="auto"/>
          <w:sz w:val="24"/>
          <w:szCs w:val="20"/>
          <w:highlight w:val="none"/>
        </w:rPr>
      </w:pPr>
    </w:p>
    <w:p w14:paraId="38A257F0">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0" w:firstLineChars="0"/>
        <w:jc w:val="left"/>
        <w:textAlignment w:val="auto"/>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50CC25C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1407C34C">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left"/>
        <w:textAlignment w:val="auto"/>
        <w:rPr>
          <w:rFonts w:ascii="宋体" w:hAnsi="宋体"/>
          <w:color w:val="auto"/>
          <w:sz w:val="24"/>
          <w:highlight w:val="none"/>
        </w:rPr>
      </w:pPr>
    </w:p>
    <w:p w14:paraId="3F72C1BC">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left"/>
        <w:textAlignment w:val="auto"/>
        <w:rPr>
          <w:rFonts w:ascii="宋体" w:hAnsi="宋体"/>
          <w:color w:val="auto"/>
          <w:sz w:val="24"/>
          <w:highlight w:val="none"/>
        </w:rPr>
      </w:pPr>
    </w:p>
    <w:p w14:paraId="24D06AE4">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left"/>
        <w:textAlignment w:val="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754C385E">
      <w:pPr>
        <w:keepNext w:val="0"/>
        <w:keepLines w:val="0"/>
        <w:pageBreakBefore w:val="0"/>
        <w:widowControl w:val="0"/>
        <w:kinsoku/>
        <w:wordWrap/>
        <w:overflowPunct/>
        <w:topLinePunct w:val="0"/>
        <w:autoSpaceDE/>
        <w:autoSpaceDN/>
        <w:bidi w:val="0"/>
        <w:adjustRightInd/>
        <w:snapToGrid w:val="0"/>
        <w:spacing w:before="50" w:after="120" w:afterLines="50"/>
        <w:ind w:firstLine="0" w:firstLineChars="0"/>
        <w:jc w:val="center"/>
        <w:textAlignment w:val="auto"/>
        <w:rPr>
          <w:rFonts w:ascii="宋体" w:hAnsi="宋体"/>
          <w:b/>
          <w:color w:val="auto"/>
          <w:sz w:val="28"/>
          <w:szCs w:val="28"/>
          <w:highlight w:val="none"/>
        </w:rPr>
      </w:pPr>
    </w:p>
    <w:p w14:paraId="7C18BE1E">
      <w:pPr>
        <w:keepNext w:val="0"/>
        <w:keepLines w:val="0"/>
        <w:pageBreakBefore w:val="0"/>
        <w:widowControl w:val="0"/>
        <w:kinsoku/>
        <w:wordWrap/>
        <w:overflowPunct/>
        <w:topLinePunct w:val="0"/>
        <w:autoSpaceDE/>
        <w:autoSpaceDN/>
        <w:bidi w:val="0"/>
        <w:adjustRightInd/>
        <w:snapToGrid w:val="0"/>
        <w:spacing w:before="50" w:after="120" w:afterLines="50" w:line="360" w:lineRule="auto"/>
        <w:ind w:firstLine="0" w:firstLineChars="0"/>
        <w:jc w:val="center"/>
        <w:textAlignment w:val="auto"/>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7A16DB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FF7A21">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66247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A3E1AE">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DAD481">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163A13">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6F4D0D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632AAE">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79856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C34D7E">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632634">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7FD86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r>
      <w:tr w14:paraId="3B684D3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8C7919">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5C9D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B785D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19AEB6">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D3D62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r>
      <w:tr w14:paraId="265742D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1FA410">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4B8746">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F25465">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21393A">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54992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r>
      <w:tr w14:paraId="42FD00B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DC1388">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F05677">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F8D8F6">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7AFA0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64C977">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宋体" w:hAnsi="宋体" w:cs="宋体"/>
                <w:color w:val="auto"/>
                <w:kern w:val="0"/>
                <w:sz w:val="24"/>
                <w:highlight w:val="none"/>
              </w:rPr>
            </w:pPr>
          </w:p>
        </w:tc>
      </w:tr>
    </w:tbl>
    <w:p w14:paraId="724025CA">
      <w:pPr>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注：</w:t>
      </w:r>
    </w:p>
    <w:p w14:paraId="036F370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297A01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564A5C4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3.投标人不存在直接控股股东的，则在“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F6220D9">
      <w:pPr>
        <w:snapToGrid w:val="0"/>
        <w:spacing w:line="360" w:lineRule="auto"/>
        <w:ind w:firstLine="482" w:firstLineChars="200"/>
        <w:jc w:val="left"/>
        <w:rPr>
          <w:rFonts w:ascii="宋体" w:hAnsi="宋体"/>
          <w:color w:val="auto"/>
          <w:sz w:val="24"/>
          <w:highlight w:val="none"/>
        </w:rPr>
      </w:pPr>
      <w:r>
        <w:rPr>
          <w:rFonts w:hint="eastAsia" w:ascii="宋体" w:hAnsi="宋体"/>
          <w:b/>
          <w:bCs/>
          <w:color w:val="auto"/>
          <w:sz w:val="24"/>
          <w:highlight w:val="none"/>
        </w:rPr>
        <w:t>4.联合体投标时，联合体各方均必须分别提供，并由联合体牵头人加盖电子签章，规定签字处签字（或者电子签名），否则按无效投标处理。</w:t>
      </w:r>
    </w:p>
    <w:p w14:paraId="7C7A0DB2">
      <w:pPr>
        <w:snapToGrid w:val="0"/>
        <w:spacing w:line="360" w:lineRule="auto"/>
        <w:ind w:firstLine="480"/>
        <w:jc w:val="left"/>
        <w:rPr>
          <w:rFonts w:ascii="宋体" w:hAnsi="宋体"/>
          <w:color w:val="auto"/>
          <w:sz w:val="24"/>
          <w:highlight w:val="none"/>
        </w:rPr>
      </w:pPr>
    </w:p>
    <w:p w14:paraId="33E99F99">
      <w:pPr>
        <w:snapToGrid w:val="0"/>
        <w:spacing w:line="360" w:lineRule="auto"/>
        <w:ind w:firstLine="480"/>
        <w:jc w:val="left"/>
        <w:rPr>
          <w:rFonts w:ascii="宋体" w:hAnsi="宋体"/>
          <w:color w:val="auto"/>
          <w:sz w:val="24"/>
          <w:highlight w:val="none"/>
        </w:rPr>
      </w:pPr>
    </w:p>
    <w:p w14:paraId="6EC24263">
      <w:pPr>
        <w:snapToGrid w:val="0"/>
        <w:spacing w:line="360" w:lineRule="auto"/>
        <w:ind w:firstLine="480"/>
        <w:jc w:val="left"/>
        <w:rPr>
          <w:rFonts w:ascii="宋体" w:hAnsi="宋体"/>
          <w:color w:val="auto"/>
          <w:sz w:val="24"/>
          <w:highlight w:val="none"/>
        </w:rPr>
      </w:pPr>
    </w:p>
    <w:p w14:paraId="14A3378E">
      <w:pPr>
        <w:snapToGrid w:val="0"/>
        <w:spacing w:line="360" w:lineRule="auto"/>
        <w:ind w:left="-2" w:leftChars="-1" w:right="-817" w:rightChars="-389" w:firstLine="480"/>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21536817">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2F1E5E6A">
      <w:pPr>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 xml:space="preserve">                                    日期：    年   月   日</w:t>
      </w:r>
    </w:p>
    <w:p w14:paraId="372A5763">
      <w:pPr>
        <w:snapToGrid w:val="0"/>
        <w:ind w:firstLine="562"/>
        <w:jc w:val="center"/>
        <w:rPr>
          <w:rFonts w:ascii="宋体" w:hAnsi="宋体"/>
          <w:b/>
          <w:color w:val="auto"/>
          <w:sz w:val="28"/>
          <w:szCs w:val="28"/>
          <w:highlight w:val="none"/>
        </w:rPr>
      </w:pPr>
    </w:p>
    <w:p w14:paraId="459772A6">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4.</w:t>
      </w:r>
      <w:r>
        <w:rPr>
          <w:color w:val="auto"/>
          <w:highlight w:val="none"/>
        </w:rPr>
        <w:t xml:space="preserve"> </w:t>
      </w:r>
      <w:r>
        <w:rPr>
          <w:rFonts w:hint="eastAsia" w:ascii="宋体" w:hAnsi="宋体"/>
          <w:b/>
          <w:color w:val="auto"/>
          <w:sz w:val="28"/>
          <w:szCs w:val="28"/>
          <w:highlight w:val="none"/>
        </w:rPr>
        <w:t>投标人直接管理关系信息表</w:t>
      </w:r>
    </w:p>
    <w:p w14:paraId="56B045C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4E06061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B8B1F2">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1BDE4A">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73B1FC8">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E22F296">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FF01B2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2C68A7">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02A9AD">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0224AE">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1AE4DD">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p>
        </w:tc>
      </w:tr>
      <w:tr w14:paraId="6364412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774883">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426435">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7CB389">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DDCE9B">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p>
        </w:tc>
      </w:tr>
      <w:tr w14:paraId="023BA28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98F0AD">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8907EB">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10A90F">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5DD7AC">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p>
        </w:tc>
      </w:tr>
      <w:tr w14:paraId="2266F6B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0A5775">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19F9F3">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64BA92">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B69344">
            <w:pPr>
              <w:keepNext w:val="0"/>
              <w:keepLines w:val="0"/>
              <w:pageBreakBefore w:val="0"/>
              <w:widowControl w:val="0"/>
              <w:kinsoku/>
              <w:wordWrap/>
              <w:overflowPunct/>
              <w:topLinePunct w:val="0"/>
              <w:autoSpaceDE/>
              <w:autoSpaceDN/>
              <w:bidi w:val="0"/>
              <w:adjustRightInd/>
              <w:spacing w:line="360" w:lineRule="auto"/>
              <w:ind w:firstLine="0"/>
              <w:jc w:val="center"/>
              <w:textAlignment w:val="auto"/>
              <w:rPr>
                <w:rFonts w:ascii="宋体" w:hAnsi="宋体" w:cs="宋体"/>
                <w:color w:val="auto"/>
                <w:kern w:val="0"/>
                <w:sz w:val="24"/>
                <w:highlight w:val="none"/>
              </w:rPr>
            </w:pPr>
          </w:p>
        </w:tc>
      </w:tr>
    </w:tbl>
    <w:p w14:paraId="0E3C44C1">
      <w:pPr>
        <w:snapToGrid w:val="0"/>
        <w:spacing w:line="360" w:lineRule="auto"/>
        <w:ind w:firstLine="480"/>
        <w:jc w:val="left"/>
        <w:rPr>
          <w:rFonts w:ascii="宋体" w:hAnsi="宋体"/>
          <w:color w:val="auto"/>
          <w:sz w:val="24"/>
          <w:highlight w:val="none"/>
        </w:rPr>
      </w:pPr>
      <w:r>
        <w:rPr>
          <w:rFonts w:hint="eastAsia" w:ascii="宋体" w:hAnsi="宋体"/>
          <w:color w:val="auto"/>
          <w:sz w:val="24"/>
          <w:highlight w:val="none"/>
        </w:rPr>
        <w:t>注：</w:t>
      </w:r>
    </w:p>
    <w:p w14:paraId="69DF971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96BB96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61A718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3.投标人不存在直接管理关系的，则在“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460B39A4">
      <w:pPr>
        <w:snapToGrid w:val="0"/>
        <w:spacing w:line="360" w:lineRule="auto"/>
        <w:ind w:firstLine="482" w:firstLineChars="200"/>
        <w:jc w:val="left"/>
        <w:rPr>
          <w:rFonts w:ascii="宋体" w:hAnsi="宋体"/>
          <w:color w:val="auto"/>
          <w:sz w:val="24"/>
          <w:highlight w:val="none"/>
        </w:rPr>
      </w:pPr>
      <w:r>
        <w:rPr>
          <w:rFonts w:hint="eastAsia" w:ascii="宋体" w:hAnsi="宋体"/>
          <w:b/>
          <w:bCs/>
          <w:color w:val="auto"/>
          <w:sz w:val="24"/>
          <w:highlight w:val="none"/>
        </w:rPr>
        <w:t>4.联合体投标时，联合体各方均必须分别提供，并由联合体牵头人加盖电子签章，规定签字处签字（或者电子签名），否则按无效投标处理。</w:t>
      </w:r>
    </w:p>
    <w:p w14:paraId="3ACAA8AA">
      <w:pPr>
        <w:snapToGrid w:val="0"/>
        <w:spacing w:line="360" w:lineRule="auto"/>
        <w:ind w:firstLine="480" w:firstLineChars="200"/>
        <w:jc w:val="left"/>
        <w:rPr>
          <w:rFonts w:ascii="宋体" w:hAnsi="宋体"/>
          <w:color w:val="auto"/>
          <w:sz w:val="24"/>
          <w:highlight w:val="none"/>
        </w:rPr>
      </w:pPr>
    </w:p>
    <w:p w14:paraId="2AA46A84">
      <w:pPr>
        <w:snapToGrid w:val="0"/>
        <w:spacing w:line="360" w:lineRule="auto"/>
        <w:ind w:firstLine="480"/>
        <w:jc w:val="left"/>
        <w:rPr>
          <w:rFonts w:ascii="宋体" w:hAnsi="宋体"/>
          <w:color w:val="auto"/>
          <w:sz w:val="24"/>
          <w:highlight w:val="none"/>
        </w:rPr>
      </w:pPr>
    </w:p>
    <w:p w14:paraId="6460A814">
      <w:pPr>
        <w:snapToGrid w:val="0"/>
        <w:spacing w:line="360" w:lineRule="auto"/>
        <w:ind w:firstLine="480"/>
        <w:jc w:val="left"/>
        <w:rPr>
          <w:rFonts w:ascii="宋体" w:hAnsi="宋体"/>
          <w:color w:val="auto"/>
          <w:sz w:val="24"/>
          <w:highlight w:val="none"/>
        </w:rPr>
      </w:pPr>
    </w:p>
    <w:p w14:paraId="349CB4B8">
      <w:pPr>
        <w:snapToGrid w:val="0"/>
        <w:spacing w:line="360" w:lineRule="auto"/>
        <w:ind w:firstLine="480"/>
        <w:jc w:val="left"/>
        <w:rPr>
          <w:rFonts w:ascii="宋体" w:hAnsi="宋体"/>
          <w:color w:val="auto"/>
          <w:sz w:val="24"/>
          <w:highlight w:val="none"/>
        </w:rPr>
      </w:pPr>
    </w:p>
    <w:p w14:paraId="0C4969A6">
      <w:pPr>
        <w:snapToGrid w:val="0"/>
        <w:spacing w:line="360" w:lineRule="auto"/>
        <w:ind w:firstLine="480"/>
        <w:jc w:val="left"/>
        <w:rPr>
          <w:color w:val="auto"/>
          <w:sz w:val="24"/>
          <w:highlight w:val="none"/>
        </w:rPr>
      </w:pPr>
    </w:p>
    <w:p w14:paraId="69FC18C3">
      <w:pPr>
        <w:snapToGrid w:val="0"/>
        <w:spacing w:line="360" w:lineRule="auto"/>
        <w:ind w:left="-2" w:leftChars="-1" w:right="-817" w:rightChars="-389" w:firstLine="480"/>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7E62E60B">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0449E6B1">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1C13422E">
      <w:pPr>
        <w:snapToGrid w:val="0"/>
        <w:spacing w:before="120" w:beforeLines="50" w:after="50"/>
        <w:ind w:firstLine="480"/>
        <w:jc w:val="left"/>
        <w:rPr>
          <w:rFonts w:ascii="宋体" w:hAnsi="宋体"/>
          <w:color w:val="auto"/>
          <w:sz w:val="24"/>
          <w:highlight w:val="none"/>
        </w:rPr>
      </w:pPr>
    </w:p>
    <w:p w14:paraId="1433C35F">
      <w:pPr>
        <w:snapToGrid w:val="0"/>
        <w:spacing w:before="50" w:after="120" w:afterLines="50"/>
        <w:jc w:val="left"/>
        <w:rPr>
          <w:rFonts w:ascii="宋体" w:hAnsi="宋体"/>
          <w:color w:val="auto"/>
          <w:szCs w:val="21"/>
          <w:highlight w:val="none"/>
        </w:rPr>
      </w:pPr>
    </w:p>
    <w:p w14:paraId="5EBEB0D7">
      <w:pPr>
        <w:snapToGrid w:val="0"/>
        <w:spacing w:before="120" w:beforeLines="50" w:after="50"/>
        <w:ind w:firstLine="482"/>
        <w:jc w:val="left"/>
        <w:rPr>
          <w:rFonts w:ascii="宋体" w:hAnsi="宋体"/>
          <w:b/>
          <w:color w:val="auto"/>
          <w:sz w:val="24"/>
          <w:szCs w:val="20"/>
          <w:highlight w:val="none"/>
        </w:rPr>
      </w:pPr>
    </w:p>
    <w:p w14:paraId="445BE3D0">
      <w:pPr>
        <w:snapToGrid w:val="0"/>
        <w:spacing w:before="120" w:beforeLines="50" w:after="50"/>
        <w:ind w:left="142" w:firstLine="482"/>
        <w:jc w:val="left"/>
        <w:rPr>
          <w:rFonts w:ascii="宋体" w:hAnsi="宋体"/>
          <w:b/>
          <w:color w:val="auto"/>
          <w:sz w:val="24"/>
          <w:highlight w:val="none"/>
        </w:rPr>
      </w:pPr>
    </w:p>
    <w:p w14:paraId="3AF249CC">
      <w:pPr>
        <w:snapToGrid w:val="0"/>
        <w:spacing w:before="120" w:beforeLines="50" w:after="50"/>
        <w:ind w:left="142" w:firstLine="482"/>
        <w:jc w:val="left"/>
        <w:rPr>
          <w:rFonts w:ascii="宋体" w:hAnsi="宋体"/>
          <w:b/>
          <w:color w:val="auto"/>
          <w:sz w:val="24"/>
          <w:highlight w:val="none"/>
        </w:rPr>
      </w:pPr>
    </w:p>
    <w:p w14:paraId="60AF5AA3">
      <w:pPr>
        <w:keepNext w:val="0"/>
        <w:keepLines w:val="0"/>
        <w:pageBreakBefore w:val="0"/>
        <w:widowControl w:val="0"/>
        <w:kinsoku/>
        <w:wordWrap/>
        <w:overflowPunct/>
        <w:topLinePunct w:val="0"/>
        <w:autoSpaceDE/>
        <w:autoSpaceDN/>
        <w:bidi w:val="0"/>
        <w:adjustRightInd/>
        <w:snapToGrid w:val="0"/>
        <w:spacing w:before="120" w:beforeLines="50" w:after="50"/>
        <w:ind w:left="142" w:firstLine="0"/>
        <w:jc w:val="left"/>
        <w:textAlignment w:val="auto"/>
        <w:rPr>
          <w:rFonts w:ascii="宋体" w:hAnsi="宋体"/>
          <w:b/>
          <w:color w:val="auto"/>
          <w:sz w:val="24"/>
          <w:szCs w:val="20"/>
          <w:highlight w:val="none"/>
        </w:rPr>
      </w:pPr>
      <w:r>
        <w:rPr>
          <w:rFonts w:hint="eastAsia" w:ascii="宋体" w:hAnsi="宋体"/>
          <w:b/>
          <w:color w:val="auto"/>
          <w:sz w:val="24"/>
          <w:highlight w:val="none"/>
        </w:rPr>
        <w:br w:type="page"/>
      </w:r>
      <w:r>
        <w:rPr>
          <w:rFonts w:hint="eastAsia" w:ascii="宋体" w:hAnsi="宋体"/>
          <w:b/>
          <w:color w:val="auto"/>
          <w:sz w:val="24"/>
          <w:highlight w:val="none"/>
        </w:rPr>
        <w:t>5.投标声明</w:t>
      </w:r>
    </w:p>
    <w:p w14:paraId="0C2917BF">
      <w:pPr>
        <w:keepNext w:val="0"/>
        <w:keepLines w:val="0"/>
        <w:pageBreakBefore w:val="0"/>
        <w:widowControl w:val="0"/>
        <w:kinsoku/>
        <w:wordWrap/>
        <w:overflowPunct/>
        <w:topLinePunct w:val="0"/>
        <w:autoSpaceDE/>
        <w:autoSpaceDN/>
        <w:bidi w:val="0"/>
        <w:adjustRightInd/>
        <w:snapToGrid w:val="0"/>
        <w:spacing w:before="50" w:after="120" w:afterLines="50"/>
        <w:ind w:firstLine="0"/>
        <w:jc w:val="left"/>
        <w:textAlignment w:val="auto"/>
        <w:rPr>
          <w:rFonts w:ascii="宋体" w:hAnsi="宋体"/>
          <w:color w:val="auto"/>
          <w:highlight w:val="none"/>
        </w:rPr>
      </w:pPr>
    </w:p>
    <w:p w14:paraId="24CCC3B5">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b/>
          <w:color w:val="auto"/>
          <w:sz w:val="32"/>
          <w:szCs w:val="32"/>
          <w:highlight w:val="none"/>
        </w:rPr>
      </w:pPr>
      <w:r>
        <w:rPr>
          <w:rFonts w:hint="eastAsia" w:ascii="宋体" w:hAnsi="宋体"/>
          <w:b/>
          <w:color w:val="auto"/>
          <w:sz w:val="32"/>
          <w:szCs w:val="32"/>
          <w:highlight w:val="none"/>
        </w:rPr>
        <w:t>投标声明</w:t>
      </w:r>
    </w:p>
    <w:p w14:paraId="70617D74">
      <w:pPr>
        <w:keepNext w:val="0"/>
        <w:keepLines w:val="0"/>
        <w:pageBreakBefore w:val="0"/>
        <w:widowControl w:val="0"/>
        <w:kinsoku/>
        <w:wordWrap/>
        <w:overflowPunct/>
        <w:topLinePunct w:val="0"/>
        <w:autoSpaceDE/>
        <w:autoSpaceDN/>
        <w:bidi w:val="0"/>
        <w:adjustRightInd/>
        <w:spacing w:line="400" w:lineRule="exact"/>
        <w:ind w:firstLine="0"/>
        <w:contextualSpacing/>
        <w:jc w:val="left"/>
        <w:textAlignment w:val="auto"/>
        <w:rPr>
          <w:color w:val="auto"/>
          <w:sz w:val="24"/>
          <w:highlight w:val="none"/>
          <w:u w:val="single"/>
        </w:rPr>
      </w:pPr>
      <w:r>
        <w:rPr>
          <w:rFonts w:hint="eastAsia"/>
          <w:color w:val="auto"/>
          <w:sz w:val="24"/>
          <w:highlight w:val="none"/>
        </w:rPr>
        <w:t>（采购人名称）：</w:t>
      </w:r>
      <w:r>
        <w:rPr>
          <w:rFonts w:hint="eastAsia"/>
          <w:color w:val="auto"/>
          <w:sz w:val="24"/>
          <w:highlight w:val="none"/>
          <w:u w:val="single"/>
        </w:rPr>
        <w:t xml:space="preserve">           </w:t>
      </w:r>
    </w:p>
    <w:p w14:paraId="65021C52">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46417A0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F6A833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76AA00E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165BCB8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7B49841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32E6E73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73A886F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0789BFC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52A2DD0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1E9E443A">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000B42B4">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5CA9F528">
      <w:pPr>
        <w:snapToGrid w:val="0"/>
        <w:spacing w:before="50" w:after="50"/>
        <w:ind w:firstLine="1063" w:firstLineChars="441"/>
        <w:rPr>
          <w:rFonts w:ascii="宋体" w:hAnsi="宋体"/>
          <w:color w:val="auto"/>
          <w:spacing w:val="20"/>
          <w:sz w:val="24"/>
          <w:highlight w:val="none"/>
          <w:u w:val="single"/>
        </w:rPr>
      </w:pPr>
      <w:r>
        <w:rPr>
          <w:rFonts w:hint="eastAsia" w:ascii="宋体" w:hAnsi="宋体"/>
          <w:b/>
          <w:color w:val="auto"/>
          <w:sz w:val="24"/>
          <w:highlight w:val="none"/>
        </w:rPr>
        <w:t xml:space="preserve"> </w:t>
      </w: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98AA270">
      <w:pPr>
        <w:spacing w:line="400" w:lineRule="exact"/>
        <w:ind w:firstLine="480"/>
        <w:contextualSpacing/>
        <w:jc w:val="left"/>
        <w:rPr>
          <w:rFonts w:ascii="宋体" w:hAnsi="宋体"/>
          <w:color w:val="auto"/>
          <w:sz w:val="24"/>
          <w:highlight w:val="none"/>
        </w:rPr>
      </w:pPr>
    </w:p>
    <w:p w14:paraId="0FC8873C">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041EB322">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 xml:space="preserve">                                                  年    月    日</w:t>
      </w:r>
    </w:p>
    <w:p w14:paraId="5475307C">
      <w:pPr>
        <w:spacing w:line="400" w:lineRule="exact"/>
        <w:ind w:firstLine="480"/>
        <w:contextualSpacing/>
        <w:jc w:val="left"/>
        <w:rPr>
          <w:rFonts w:ascii="宋体" w:hAnsi="宋体"/>
          <w:color w:val="auto"/>
          <w:sz w:val="24"/>
          <w:highlight w:val="none"/>
        </w:rPr>
      </w:pPr>
    </w:p>
    <w:p w14:paraId="2C209CC2">
      <w:pPr>
        <w:spacing w:line="400" w:lineRule="exact"/>
        <w:ind w:firstLine="482" w:firstLineChars="200"/>
        <w:contextualSpacing/>
        <w:jc w:val="left"/>
        <w:rPr>
          <w:rFonts w:ascii="宋体" w:hAnsi="宋体"/>
          <w:b/>
          <w:bCs/>
          <w:color w:val="auto"/>
          <w:sz w:val="24"/>
          <w:highlight w:val="none"/>
        </w:rPr>
      </w:pPr>
      <w:bookmarkStart w:id="144" w:name="_Toc19686838"/>
      <w:r>
        <w:rPr>
          <w:rFonts w:hint="eastAsia" w:ascii="宋体" w:hAnsi="宋体"/>
          <w:b/>
          <w:bCs/>
          <w:color w:val="auto"/>
          <w:sz w:val="24"/>
          <w:highlight w:val="none"/>
        </w:rPr>
        <w:t>注；如为联合体投标，盖章处须加盖联合体牵头人电子签章，否则其投标作无效标处理。</w:t>
      </w:r>
    </w:p>
    <w:p w14:paraId="411E1C97">
      <w:pPr>
        <w:keepNext w:val="0"/>
        <w:keepLines w:val="0"/>
        <w:pageBreakBefore w:val="0"/>
        <w:widowControl w:val="0"/>
        <w:kinsoku/>
        <w:wordWrap/>
        <w:overflowPunct/>
        <w:topLinePunct w:val="0"/>
        <w:autoSpaceDE/>
        <w:autoSpaceDN/>
        <w:bidi w:val="0"/>
        <w:adjustRightInd/>
        <w:spacing w:line="400" w:lineRule="exact"/>
        <w:ind w:firstLine="0" w:firstLineChars="0"/>
        <w:contextualSpacing/>
        <w:jc w:val="left"/>
        <w:textAlignment w:val="auto"/>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三、商务及技术文件格式</w:t>
      </w:r>
      <w:bookmarkEnd w:id="144"/>
    </w:p>
    <w:p w14:paraId="2092AD5E">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0" w:firstLineChars="0"/>
        <w:jc w:val="left"/>
        <w:textAlignment w:val="auto"/>
        <w:rPr>
          <w:rFonts w:ascii="宋体" w:hAnsi="宋体"/>
          <w:b/>
          <w:color w:val="auto"/>
          <w:sz w:val="24"/>
          <w:highlight w:val="none"/>
        </w:rPr>
      </w:pPr>
      <w:r>
        <w:rPr>
          <w:rFonts w:hint="eastAsia" w:ascii="宋体" w:hAnsi="宋体"/>
          <w:b/>
          <w:color w:val="auto"/>
          <w:sz w:val="24"/>
          <w:highlight w:val="none"/>
        </w:rPr>
        <w:t xml:space="preserve">1.商务及技术文件封面格式： </w:t>
      </w:r>
    </w:p>
    <w:p w14:paraId="16D3D451">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788ADAB1">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color w:val="auto"/>
          <w:sz w:val="24"/>
          <w:szCs w:val="20"/>
          <w:highlight w:val="none"/>
        </w:rPr>
      </w:pPr>
      <w:r>
        <w:rPr>
          <w:rFonts w:hint="eastAsia" w:ascii="宋体" w:hAnsi="宋体"/>
          <w:color w:val="auto"/>
          <w:sz w:val="24"/>
          <w:highlight w:val="none"/>
        </w:rPr>
        <w:t xml:space="preserve">                </w:t>
      </w:r>
    </w:p>
    <w:p w14:paraId="5B645168">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b/>
          <w:color w:val="auto"/>
          <w:sz w:val="24"/>
          <w:szCs w:val="20"/>
          <w:highlight w:val="none"/>
        </w:rPr>
      </w:pPr>
      <w:r>
        <w:rPr>
          <w:rFonts w:hint="eastAsia" w:ascii="宋体" w:hAnsi="宋体"/>
          <w:b/>
          <w:color w:val="auto"/>
          <w:sz w:val="32"/>
          <w:szCs w:val="32"/>
          <w:highlight w:val="none"/>
        </w:rPr>
        <w:t>商务及技术文件</w:t>
      </w:r>
    </w:p>
    <w:p w14:paraId="1A23C701">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p>
    <w:p w14:paraId="5D8CBDF9">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highlight w:val="none"/>
        </w:rPr>
      </w:pPr>
      <w:r>
        <w:rPr>
          <w:rFonts w:hint="eastAsia" w:ascii="宋体" w:hAnsi="宋体"/>
          <w:bCs/>
          <w:color w:val="auto"/>
          <w:sz w:val="24"/>
          <w:highlight w:val="none"/>
        </w:rPr>
        <w:t>项目名称：</w:t>
      </w:r>
    </w:p>
    <w:p w14:paraId="7D335041">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p>
    <w:p w14:paraId="03F02778">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highlight w:val="none"/>
        </w:rPr>
      </w:pPr>
      <w:r>
        <w:rPr>
          <w:rFonts w:hint="eastAsia" w:ascii="宋体" w:hAnsi="宋体"/>
          <w:bCs/>
          <w:color w:val="auto"/>
          <w:sz w:val="24"/>
          <w:highlight w:val="none"/>
        </w:rPr>
        <w:t>项目编号：</w:t>
      </w:r>
    </w:p>
    <w:p w14:paraId="5D0779B2">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r>
        <w:rPr>
          <w:rFonts w:hint="eastAsia" w:ascii="宋体" w:hAnsi="宋体"/>
          <w:bCs/>
          <w:color w:val="auto"/>
          <w:sz w:val="24"/>
          <w:highlight w:val="none"/>
        </w:rPr>
        <w:t xml:space="preserve"> </w:t>
      </w:r>
    </w:p>
    <w:p w14:paraId="5E49BAA7">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highlight w:val="none"/>
        </w:rPr>
      </w:pPr>
      <w:r>
        <w:rPr>
          <w:rFonts w:hint="eastAsia" w:ascii="宋体" w:hAnsi="宋体"/>
          <w:bCs/>
          <w:color w:val="auto"/>
          <w:sz w:val="24"/>
          <w:highlight w:val="none"/>
        </w:rPr>
        <w:t>所投分标：</w:t>
      </w:r>
    </w:p>
    <w:p w14:paraId="5394784A">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bCs/>
          <w:color w:val="auto"/>
          <w:sz w:val="24"/>
          <w:szCs w:val="20"/>
          <w:highlight w:val="none"/>
        </w:rPr>
      </w:pPr>
    </w:p>
    <w:p w14:paraId="7673C216">
      <w:pPr>
        <w:pStyle w:val="7"/>
        <w:keepNext w:val="0"/>
        <w:keepLines w:val="0"/>
        <w:pageBreakBefore w:val="0"/>
        <w:widowControl w:val="0"/>
        <w:kinsoku/>
        <w:wordWrap/>
        <w:overflowPunct/>
        <w:topLinePunct w:val="0"/>
        <w:autoSpaceDE/>
        <w:autoSpaceDN/>
        <w:bidi w:val="0"/>
        <w:adjustRightInd/>
        <w:snapToGrid w:val="0"/>
        <w:spacing w:before="50" w:after="50"/>
        <w:ind w:firstLine="0" w:firstLineChars="0"/>
        <w:textAlignment w:val="auto"/>
        <w:rPr>
          <w:rFonts w:ascii="宋体" w:hAnsi="宋体"/>
          <w:bCs/>
          <w:color w:val="auto"/>
          <w:sz w:val="24"/>
          <w:szCs w:val="24"/>
          <w:highlight w:val="none"/>
        </w:rPr>
      </w:pPr>
      <w:r>
        <w:rPr>
          <w:rFonts w:hint="eastAsia" w:ascii="宋体" w:hAnsi="宋体"/>
          <w:bCs/>
          <w:color w:val="auto"/>
          <w:sz w:val="24"/>
          <w:szCs w:val="24"/>
          <w:highlight w:val="none"/>
        </w:rPr>
        <w:t>投标人名称：</w:t>
      </w:r>
    </w:p>
    <w:p w14:paraId="0D4C98A3">
      <w:pPr>
        <w:pStyle w:val="7"/>
        <w:keepNext w:val="0"/>
        <w:keepLines w:val="0"/>
        <w:pageBreakBefore w:val="0"/>
        <w:widowControl w:val="0"/>
        <w:kinsoku/>
        <w:wordWrap/>
        <w:overflowPunct/>
        <w:topLinePunct w:val="0"/>
        <w:autoSpaceDE/>
        <w:autoSpaceDN/>
        <w:bidi w:val="0"/>
        <w:adjustRightInd/>
        <w:snapToGrid w:val="0"/>
        <w:spacing w:before="50" w:after="50"/>
        <w:ind w:firstLine="0" w:firstLineChars="0"/>
        <w:textAlignment w:val="auto"/>
        <w:rPr>
          <w:rFonts w:ascii="宋体" w:hAnsi="宋体"/>
          <w:bCs/>
          <w:color w:val="auto"/>
          <w:sz w:val="24"/>
          <w:szCs w:val="24"/>
          <w:highlight w:val="none"/>
        </w:rPr>
      </w:pPr>
    </w:p>
    <w:p w14:paraId="490F4827">
      <w:pPr>
        <w:pStyle w:val="7"/>
        <w:keepNext w:val="0"/>
        <w:keepLines w:val="0"/>
        <w:pageBreakBefore w:val="0"/>
        <w:widowControl w:val="0"/>
        <w:kinsoku/>
        <w:wordWrap/>
        <w:overflowPunct/>
        <w:topLinePunct w:val="0"/>
        <w:autoSpaceDE/>
        <w:autoSpaceDN/>
        <w:bidi w:val="0"/>
        <w:adjustRightInd/>
        <w:snapToGrid w:val="0"/>
        <w:spacing w:before="50" w:after="50"/>
        <w:ind w:firstLine="0" w:firstLineChars="0"/>
        <w:textAlignment w:val="auto"/>
        <w:rPr>
          <w:rFonts w:ascii="宋体" w:hAnsi="宋体"/>
          <w:bCs/>
          <w:color w:val="auto"/>
          <w:sz w:val="24"/>
          <w:szCs w:val="24"/>
          <w:highlight w:val="none"/>
        </w:rPr>
      </w:pPr>
      <w:r>
        <w:rPr>
          <w:rFonts w:hint="eastAsia" w:ascii="宋体" w:hAnsi="宋体"/>
          <w:bCs/>
          <w:color w:val="auto"/>
          <w:sz w:val="24"/>
          <w:szCs w:val="24"/>
          <w:highlight w:val="none"/>
        </w:rPr>
        <w:t>投标人地址：</w:t>
      </w:r>
    </w:p>
    <w:p w14:paraId="4846BD87">
      <w:pPr>
        <w:pStyle w:val="7"/>
        <w:keepNext w:val="0"/>
        <w:keepLines w:val="0"/>
        <w:pageBreakBefore w:val="0"/>
        <w:widowControl w:val="0"/>
        <w:kinsoku/>
        <w:wordWrap/>
        <w:overflowPunct/>
        <w:topLinePunct w:val="0"/>
        <w:autoSpaceDE/>
        <w:autoSpaceDN/>
        <w:bidi w:val="0"/>
        <w:adjustRightInd/>
        <w:snapToGrid w:val="0"/>
        <w:spacing w:before="50" w:after="50"/>
        <w:ind w:firstLine="0" w:firstLineChars="0"/>
        <w:textAlignment w:val="auto"/>
        <w:rPr>
          <w:rFonts w:ascii="宋体" w:hAnsi="宋体"/>
          <w:bCs/>
          <w:color w:val="auto"/>
          <w:sz w:val="24"/>
          <w:szCs w:val="24"/>
          <w:highlight w:val="none"/>
        </w:rPr>
      </w:pPr>
    </w:p>
    <w:p w14:paraId="785BBD7D">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color w:val="auto"/>
          <w:sz w:val="24"/>
          <w:highlight w:val="none"/>
        </w:rPr>
      </w:pPr>
      <w:r>
        <w:rPr>
          <w:rFonts w:hint="eastAsia" w:ascii="宋体" w:hAnsi="宋体"/>
          <w:color w:val="auto"/>
          <w:sz w:val="24"/>
          <w:highlight w:val="none"/>
        </w:rPr>
        <w:t xml:space="preserve">                        年  月  日</w:t>
      </w:r>
    </w:p>
    <w:p w14:paraId="567A2F68">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textAlignment w:val="auto"/>
        <w:rPr>
          <w:rFonts w:ascii="宋体" w:hAnsi="宋体"/>
          <w:color w:val="auto"/>
          <w:sz w:val="24"/>
          <w:szCs w:val="20"/>
          <w:highlight w:val="none"/>
        </w:rPr>
      </w:pPr>
      <w:r>
        <w:rPr>
          <w:rFonts w:ascii="宋体" w:hAnsi="宋体"/>
          <w:color w:val="auto"/>
          <w:sz w:val="24"/>
          <w:szCs w:val="20"/>
          <w:highlight w:val="none"/>
        </w:rPr>
        <w:t xml:space="preserve"> </w:t>
      </w:r>
    </w:p>
    <w:p w14:paraId="66EA097A">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2.商务及技术文件目录</w:t>
      </w:r>
    </w:p>
    <w:p w14:paraId="33387E4B">
      <w:pPr>
        <w:keepNext w:val="0"/>
        <w:keepLines w:val="0"/>
        <w:pageBreakBefore w:val="0"/>
        <w:widowControl w:val="0"/>
        <w:kinsoku/>
        <w:wordWrap/>
        <w:overflowPunct/>
        <w:topLinePunct w:val="0"/>
        <w:autoSpaceDE/>
        <w:autoSpaceDN/>
        <w:bidi w:val="0"/>
        <w:adjustRightInd/>
        <w:snapToGrid w:val="0"/>
        <w:spacing w:before="50" w:after="120" w:afterLines="50" w:line="360" w:lineRule="auto"/>
        <w:ind w:firstLine="0" w:firstLineChars="0"/>
        <w:jc w:val="left"/>
        <w:textAlignment w:val="auto"/>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2632DCA7">
      <w:pPr>
        <w:snapToGrid w:val="0"/>
        <w:spacing w:before="50" w:after="120" w:afterLines="50"/>
        <w:jc w:val="left"/>
        <w:rPr>
          <w:rFonts w:ascii="宋体" w:hAnsi="宋体"/>
          <w:color w:val="auto"/>
          <w:highlight w:val="none"/>
        </w:rPr>
      </w:pPr>
    </w:p>
    <w:p w14:paraId="0CE0C935">
      <w:pPr>
        <w:keepNext w:val="0"/>
        <w:keepLines w:val="0"/>
        <w:pageBreakBefore w:val="0"/>
        <w:widowControl w:val="0"/>
        <w:kinsoku/>
        <w:wordWrap/>
        <w:overflowPunct/>
        <w:topLinePunct w:val="0"/>
        <w:autoSpaceDE/>
        <w:autoSpaceDN/>
        <w:bidi w:val="0"/>
        <w:adjustRightInd/>
        <w:snapToGrid w:val="0"/>
        <w:spacing w:before="120" w:beforeLines="50" w:after="50"/>
        <w:ind w:firstLine="0"/>
        <w:jc w:val="left"/>
        <w:textAlignment w:val="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049635E0">
      <w:pPr>
        <w:keepNext w:val="0"/>
        <w:keepLines w:val="0"/>
        <w:pageBreakBefore w:val="0"/>
        <w:widowControl w:val="0"/>
        <w:kinsoku/>
        <w:wordWrap/>
        <w:overflowPunct/>
        <w:topLinePunct w:val="0"/>
        <w:autoSpaceDE/>
        <w:autoSpaceDN/>
        <w:bidi w:val="0"/>
        <w:adjustRightInd/>
        <w:snapToGrid w:val="0"/>
        <w:spacing w:before="120" w:beforeLines="50" w:after="50"/>
        <w:ind w:firstLine="0"/>
        <w:jc w:val="left"/>
        <w:textAlignment w:val="auto"/>
        <w:rPr>
          <w:rFonts w:ascii="宋体" w:hAnsi="宋体"/>
          <w:b/>
          <w:color w:val="auto"/>
          <w:sz w:val="24"/>
          <w:highlight w:val="none"/>
        </w:rPr>
      </w:pPr>
    </w:p>
    <w:p w14:paraId="717C2301">
      <w:pPr>
        <w:keepNext w:val="0"/>
        <w:keepLines w:val="0"/>
        <w:pageBreakBefore w:val="0"/>
        <w:widowControl w:val="0"/>
        <w:kinsoku/>
        <w:wordWrap/>
        <w:overflowPunct/>
        <w:topLinePunct w:val="0"/>
        <w:autoSpaceDE/>
        <w:autoSpaceDN/>
        <w:bidi w:val="0"/>
        <w:adjustRightInd/>
        <w:snapToGrid w:val="0"/>
        <w:spacing w:before="120" w:beforeLines="50" w:after="50"/>
        <w:ind w:left="420" w:firstLine="0"/>
        <w:jc w:val="center"/>
        <w:textAlignment w:val="auto"/>
        <w:rPr>
          <w:rFonts w:ascii="宋体" w:hAnsi="宋体"/>
          <w:b/>
          <w:color w:val="auto"/>
          <w:spacing w:val="-17"/>
          <w:sz w:val="32"/>
          <w:szCs w:val="32"/>
          <w:highlight w:val="none"/>
        </w:rPr>
      </w:pPr>
      <w:r>
        <w:rPr>
          <w:rFonts w:hint="eastAsia" w:ascii="宋体" w:hAnsi="宋体" w:cs="宋体"/>
          <w:bCs/>
          <w:color w:val="auto"/>
          <w:spacing w:val="-17"/>
          <w:sz w:val="44"/>
          <w:szCs w:val="44"/>
          <w:highlight w:val="none"/>
        </w:rPr>
        <w:t>投标人参加本项目无围标串标行为的承诺函</w:t>
      </w:r>
    </w:p>
    <w:p w14:paraId="307F45A2">
      <w:pPr>
        <w:snapToGrid w:val="0"/>
        <w:spacing w:before="120" w:beforeLines="50" w:after="50" w:line="360" w:lineRule="exact"/>
        <w:ind w:firstLine="482"/>
        <w:rPr>
          <w:rFonts w:ascii="宋体" w:hAnsi="宋体"/>
          <w:b/>
          <w:color w:val="auto"/>
          <w:sz w:val="24"/>
          <w:highlight w:val="none"/>
        </w:rPr>
      </w:pPr>
    </w:p>
    <w:p w14:paraId="71EA4CE1">
      <w:pPr>
        <w:spacing w:line="360" w:lineRule="exact"/>
        <w:ind w:firstLine="482"/>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43E2B5D6">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 xml:space="preserve">1.不同投标人的投标文件由同一单位或者个人编制，或不同投标人报名的IP地址一致的；或不同投标人投标设备信息（包括但不限于：IP地址、MAC地址、硬盘号、CPU号、主板号）一致的； </w:t>
      </w:r>
    </w:p>
    <w:p w14:paraId="3E8A8AD7">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52712ED8">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02DD5392">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45B0F04A">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07B6C96C">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52C98166">
      <w:pPr>
        <w:spacing w:line="360" w:lineRule="exact"/>
        <w:ind w:firstLine="482"/>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02EBE556">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477677DA">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36ABE48E">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4A694D4F">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5099C07A">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306B601">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0476E66B">
      <w:pPr>
        <w:spacing w:line="36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B4A0C77">
      <w:pPr>
        <w:spacing w:line="36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07E00156">
      <w:pPr>
        <w:spacing w:line="360" w:lineRule="exact"/>
        <w:ind w:firstLine="472" w:firstLineChars="196"/>
        <w:contextualSpacing/>
        <w:jc w:val="left"/>
        <w:rPr>
          <w:rFonts w:ascii="宋体" w:hAnsi="宋体"/>
          <w:b/>
          <w:color w:val="auto"/>
          <w:sz w:val="24"/>
          <w:highlight w:val="none"/>
        </w:rPr>
      </w:pPr>
    </w:p>
    <w:p w14:paraId="7457140F">
      <w:pPr>
        <w:pStyle w:val="23"/>
        <w:spacing w:line="360" w:lineRule="exact"/>
        <w:ind w:firstLine="960" w:firstLineChars="400"/>
        <w:rPr>
          <w:rFonts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1BF2BDC3">
      <w:pPr>
        <w:pStyle w:val="23"/>
        <w:spacing w:line="360" w:lineRule="exact"/>
        <w:ind w:firstLine="480"/>
        <w:contextualSpacing/>
        <w:jc w:val="center"/>
        <w:rPr>
          <w:rFonts w:hint="eastAsia" w:hAnsi="宋体"/>
          <w:color w:val="auto"/>
          <w:sz w:val="24"/>
          <w:highlight w:val="none"/>
          <w:u w:val="singl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r>
        <w:rPr>
          <w:rFonts w:hint="eastAsia" w:hAnsi="宋体"/>
          <w:color w:val="auto"/>
          <w:sz w:val="24"/>
          <w:szCs w:val="24"/>
          <w:highlight w:val="none"/>
          <w:lang w:eastAsia="zh-CN"/>
        </w:rPr>
        <w:t>：</w:t>
      </w:r>
      <w:r>
        <w:rPr>
          <w:rFonts w:hint="eastAsia" w:hAnsi="宋体"/>
          <w:color w:val="auto"/>
          <w:sz w:val="24"/>
          <w:szCs w:val="24"/>
          <w:highlight w:val="none"/>
          <w:u w:val="single"/>
          <w:lang w:val="en-US" w:eastAsia="zh-CN"/>
        </w:rPr>
        <w:t xml:space="preserve">          </w:t>
      </w:r>
      <w:r>
        <w:rPr>
          <w:rFonts w:hint="eastAsia" w:hAnsi="宋体"/>
          <w:color w:val="auto"/>
          <w:sz w:val="24"/>
          <w:highlight w:val="none"/>
          <w:u w:val="single"/>
        </w:rPr>
        <w:t xml:space="preserve">  </w:t>
      </w:r>
    </w:p>
    <w:p w14:paraId="77BF6281">
      <w:pPr>
        <w:pStyle w:val="23"/>
        <w:spacing w:line="360" w:lineRule="exact"/>
        <w:ind w:firstLine="480"/>
        <w:contextualSpacing/>
        <w:jc w:val="center"/>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70F3C4EB">
      <w:pPr>
        <w:pStyle w:val="23"/>
        <w:spacing w:line="400" w:lineRule="exact"/>
        <w:ind w:firstLine="480"/>
        <w:contextualSpacing/>
        <w:rPr>
          <w:rFonts w:hAnsi="宋体"/>
          <w:color w:val="auto"/>
          <w:sz w:val="24"/>
          <w:highlight w:val="none"/>
        </w:rPr>
      </w:pPr>
    </w:p>
    <w:p w14:paraId="2556855A">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left"/>
        <w:textAlignment w:val="auto"/>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22E84FBB">
      <w:pPr>
        <w:keepNext w:val="0"/>
        <w:keepLines w:val="0"/>
        <w:pageBreakBefore w:val="0"/>
        <w:widowControl w:val="0"/>
        <w:kinsoku/>
        <w:wordWrap/>
        <w:overflowPunct/>
        <w:topLinePunct w:val="0"/>
        <w:autoSpaceDE/>
        <w:autoSpaceDN/>
        <w:bidi w:val="0"/>
        <w:adjustRightInd/>
        <w:spacing w:before="240" w:beforeLines="100" w:after="120" w:afterLines="50"/>
        <w:ind w:left="540" w:firstLine="0" w:firstLineChars="0"/>
        <w:jc w:val="center"/>
        <w:textAlignment w:val="auto"/>
        <w:rPr>
          <w:rFonts w:ascii="宋体" w:hAnsi="Courier New"/>
          <w:b/>
          <w:color w:val="auto"/>
          <w:sz w:val="32"/>
          <w:szCs w:val="32"/>
          <w:highlight w:val="none"/>
        </w:rPr>
      </w:pPr>
    </w:p>
    <w:p w14:paraId="016C59D8">
      <w:pPr>
        <w:keepNext w:val="0"/>
        <w:keepLines w:val="0"/>
        <w:pageBreakBefore w:val="0"/>
        <w:widowControl w:val="0"/>
        <w:kinsoku/>
        <w:wordWrap/>
        <w:overflowPunct/>
        <w:topLinePunct w:val="0"/>
        <w:autoSpaceDE/>
        <w:autoSpaceDN/>
        <w:bidi w:val="0"/>
        <w:adjustRightInd/>
        <w:spacing w:before="240" w:beforeLines="100" w:after="120" w:afterLines="50"/>
        <w:ind w:left="540" w:firstLine="0" w:firstLineChars="0"/>
        <w:jc w:val="center"/>
        <w:textAlignment w:val="auto"/>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58302615">
      <w:pPr>
        <w:keepNext w:val="0"/>
        <w:keepLines w:val="0"/>
        <w:pageBreakBefore w:val="0"/>
        <w:widowControl w:val="0"/>
        <w:kinsoku/>
        <w:wordWrap/>
        <w:overflowPunct/>
        <w:topLinePunct w:val="0"/>
        <w:autoSpaceDE/>
        <w:autoSpaceDN/>
        <w:bidi w:val="0"/>
        <w:adjustRightInd/>
        <w:spacing w:line="500" w:lineRule="exact"/>
        <w:ind w:left="540" w:firstLine="0" w:firstLineChars="0"/>
        <w:textAlignment w:val="auto"/>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67B4A038">
      <w:pPr>
        <w:keepNext w:val="0"/>
        <w:keepLines w:val="0"/>
        <w:pageBreakBefore w:val="0"/>
        <w:widowControl w:val="0"/>
        <w:kinsoku/>
        <w:wordWrap/>
        <w:overflowPunct/>
        <w:topLinePunct w:val="0"/>
        <w:autoSpaceDE/>
        <w:autoSpaceDN/>
        <w:bidi w:val="0"/>
        <w:adjustRightInd/>
        <w:spacing w:line="500" w:lineRule="exact"/>
        <w:ind w:left="540" w:firstLine="0" w:firstLineChars="0"/>
        <w:textAlignment w:val="auto"/>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2FAAAA5E">
      <w:pPr>
        <w:keepNext w:val="0"/>
        <w:keepLines w:val="0"/>
        <w:pageBreakBefore w:val="0"/>
        <w:widowControl w:val="0"/>
        <w:kinsoku/>
        <w:wordWrap/>
        <w:overflowPunct/>
        <w:topLinePunct w:val="0"/>
        <w:autoSpaceDE/>
        <w:autoSpaceDN/>
        <w:bidi w:val="0"/>
        <w:adjustRightInd/>
        <w:spacing w:line="500" w:lineRule="exact"/>
        <w:ind w:left="540" w:firstLine="0" w:firstLineChars="0"/>
        <w:textAlignment w:val="auto"/>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1FC088F9">
      <w:pPr>
        <w:keepNext w:val="0"/>
        <w:keepLines w:val="0"/>
        <w:pageBreakBefore w:val="0"/>
        <w:widowControl w:val="0"/>
        <w:kinsoku/>
        <w:wordWrap/>
        <w:overflowPunct/>
        <w:topLinePunct w:val="0"/>
        <w:autoSpaceDE/>
        <w:autoSpaceDN/>
        <w:bidi w:val="0"/>
        <w:adjustRightInd/>
        <w:spacing w:line="500" w:lineRule="exact"/>
        <w:ind w:left="540" w:firstLine="0" w:firstLineChars="0"/>
        <w:textAlignment w:val="auto"/>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49C928EC">
      <w:pPr>
        <w:keepNext w:val="0"/>
        <w:keepLines w:val="0"/>
        <w:pageBreakBefore w:val="0"/>
        <w:widowControl w:val="0"/>
        <w:kinsoku/>
        <w:wordWrap/>
        <w:overflowPunct/>
        <w:topLinePunct w:val="0"/>
        <w:autoSpaceDE/>
        <w:autoSpaceDN/>
        <w:bidi w:val="0"/>
        <w:adjustRightInd/>
        <w:spacing w:line="500" w:lineRule="exact"/>
        <w:ind w:left="540" w:firstLine="0" w:firstLineChars="0"/>
        <w:textAlignment w:val="auto"/>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59238371">
      <w:pPr>
        <w:keepNext w:val="0"/>
        <w:keepLines w:val="0"/>
        <w:pageBreakBefore w:val="0"/>
        <w:widowControl w:val="0"/>
        <w:kinsoku/>
        <w:wordWrap/>
        <w:overflowPunct/>
        <w:topLinePunct w:val="0"/>
        <w:autoSpaceDE/>
        <w:autoSpaceDN/>
        <w:bidi w:val="0"/>
        <w:adjustRightInd/>
        <w:spacing w:line="500" w:lineRule="exact"/>
        <w:ind w:left="540" w:firstLine="0" w:firstLineChars="0"/>
        <w:textAlignment w:val="auto"/>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092E801E">
      <w:pPr>
        <w:keepNext w:val="0"/>
        <w:keepLines w:val="0"/>
        <w:pageBreakBefore w:val="0"/>
        <w:widowControl w:val="0"/>
        <w:kinsoku/>
        <w:wordWrap/>
        <w:overflowPunct/>
        <w:topLinePunct w:val="0"/>
        <w:autoSpaceDE/>
        <w:autoSpaceDN/>
        <w:bidi w:val="0"/>
        <w:adjustRightInd/>
        <w:spacing w:line="500" w:lineRule="exact"/>
        <w:ind w:left="540" w:firstLine="0" w:firstLineChars="0"/>
        <w:textAlignment w:val="auto"/>
        <w:rPr>
          <w:rFonts w:ascii="宋体" w:hAnsi="宋体"/>
          <w:color w:val="auto"/>
          <w:sz w:val="24"/>
          <w:highlight w:val="none"/>
        </w:rPr>
      </w:pPr>
      <w:r>
        <w:rPr>
          <w:rFonts w:hint="eastAsia" w:ascii="宋体" w:hAnsi="宋体"/>
          <w:color w:val="auto"/>
          <w:sz w:val="24"/>
          <w:highlight w:val="none"/>
        </w:rPr>
        <w:t>特此证明。</w:t>
      </w:r>
    </w:p>
    <w:p w14:paraId="6D080E9B">
      <w:pPr>
        <w:keepNext w:val="0"/>
        <w:keepLines w:val="0"/>
        <w:pageBreakBefore w:val="0"/>
        <w:widowControl w:val="0"/>
        <w:kinsoku/>
        <w:wordWrap/>
        <w:overflowPunct/>
        <w:topLinePunct w:val="0"/>
        <w:autoSpaceDE/>
        <w:autoSpaceDN/>
        <w:bidi w:val="0"/>
        <w:adjustRightInd/>
        <w:spacing w:line="500" w:lineRule="exact"/>
        <w:ind w:left="540" w:firstLine="0" w:firstLineChars="0"/>
        <w:textAlignment w:val="auto"/>
        <w:rPr>
          <w:rFonts w:ascii="宋体" w:hAnsi="宋体"/>
          <w:color w:val="auto"/>
          <w:sz w:val="24"/>
          <w:highlight w:val="none"/>
        </w:rPr>
      </w:pPr>
    </w:p>
    <w:p w14:paraId="59B8642C">
      <w:pPr>
        <w:keepNext w:val="0"/>
        <w:keepLines w:val="0"/>
        <w:pageBreakBefore w:val="0"/>
        <w:widowControl w:val="0"/>
        <w:kinsoku/>
        <w:wordWrap/>
        <w:overflowPunct/>
        <w:topLinePunct w:val="0"/>
        <w:autoSpaceDE/>
        <w:autoSpaceDN/>
        <w:bidi w:val="0"/>
        <w:adjustRightInd/>
        <w:spacing w:line="500" w:lineRule="exact"/>
        <w:ind w:left="540" w:firstLine="0" w:firstLineChars="0"/>
        <w:textAlignment w:val="auto"/>
        <w:rPr>
          <w:rFonts w:ascii="宋体" w:hAnsi="宋体"/>
          <w:color w:val="auto"/>
          <w:sz w:val="24"/>
          <w:highlight w:val="none"/>
        </w:rPr>
      </w:pPr>
    </w:p>
    <w:p w14:paraId="23ABBD00">
      <w:pPr>
        <w:keepNext w:val="0"/>
        <w:keepLines w:val="0"/>
        <w:pageBreakBefore w:val="0"/>
        <w:widowControl w:val="0"/>
        <w:kinsoku/>
        <w:wordWrap/>
        <w:overflowPunct/>
        <w:topLinePunct w:val="0"/>
        <w:autoSpaceDE/>
        <w:autoSpaceDN/>
        <w:bidi w:val="0"/>
        <w:adjustRightInd/>
        <w:spacing w:line="500" w:lineRule="exact"/>
        <w:ind w:left="540" w:firstLine="0" w:firstLineChars="0"/>
        <w:textAlignment w:val="auto"/>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274C0B3E">
      <w:pPr>
        <w:keepNext w:val="0"/>
        <w:keepLines w:val="0"/>
        <w:pageBreakBefore w:val="0"/>
        <w:widowControl w:val="0"/>
        <w:kinsoku/>
        <w:wordWrap/>
        <w:overflowPunct/>
        <w:topLinePunct w:val="0"/>
        <w:autoSpaceDE/>
        <w:autoSpaceDN/>
        <w:bidi w:val="0"/>
        <w:adjustRightInd/>
        <w:spacing w:line="500" w:lineRule="exact"/>
        <w:ind w:left="540" w:firstLine="0" w:firstLineChars="0"/>
        <w:textAlignment w:val="auto"/>
        <w:rPr>
          <w:rFonts w:ascii="宋体" w:hAnsi="宋体"/>
          <w:color w:val="auto"/>
          <w:sz w:val="24"/>
          <w:highlight w:val="none"/>
        </w:rPr>
      </w:pPr>
    </w:p>
    <w:p w14:paraId="2BA59934">
      <w:pPr>
        <w:keepNext w:val="0"/>
        <w:keepLines w:val="0"/>
        <w:pageBreakBefore w:val="0"/>
        <w:widowControl w:val="0"/>
        <w:kinsoku/>
        <w:wordWrap w:val="0"/>
        <w:overflowPunct/>
        <w:topLinePunct w:val="0"/>
        <w:autoSpaceDE/>
        <w:autoSpaceDN/>
        <w:bidi w:val="0"/>
        <w:adjustRightInd/>
        <w:spacing w:line="500" w:lineRule="exact"/>
        <w:ind w:left="540" w:firstLine="0" w:firstLineChars="0"/>
        <w:jc w:val="right"/>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投标人名称（电子签章）</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p>
    <w:p w14:paraId="75132653">
      <w:pPr>
        <w:keepNext w:val="0"/>
        <w:keepLines w:val="0"/>
        <w:pageBreakBefore w:val="0"/>
        <w:widowControl w:val="0"/>
        <w:kinsoku/>
        <w:wordWrap/>
        <w:overflowPunct/>
        <w:topLinePunct w:val="0"/>
        <w:autoSpaceDE/>
        <w:autoSpaceDN/>
        <w:bidi w:val="0"/>
        <w:adjustRightInd/>
        <w:snapToGrid w:val="0"/>
        <w:spacing w:before="120" w:beforeLines="50" w:after="50"/>
        <w:ind w:left="540" w:firstLine="0" w:firstLineChars="0"/>
        <w:jc w:val="right"/>
        <w:textAlignment w:val="auto"/>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34CF0FF">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b/>
          <w:color w:val="auto"/>
          <w:sz w:val="24"/>
          <w:highlight w:val="none"/>
        </w:rPr>
      </w:pPr>
    </w:p>
    <w:p w14:paraId="1FA90312">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0" w:firstLineChars="0"/>
        <w:jc w:val="left"/>
        <w:textAlignment w:val="auto"/>
        <w:rPr>
          <w:rFonts w:ascii="宋体" w:hAnsi="宋体"/>
          <w:b/>
          <w:color w:val="auto"/>
          <w:sz w:val="24"/>
          <w:szCs w:val="20"/>
          <w:highlight w:val="none"/>
        </w:rPr>
      </w:pPr>
      <w:r>
        <w:rPr>
          <w:rFonts w:hint="eastAsia" w:ascii="宋体" w:hAnsi="宋体"/>
          <w:color w:val="auto"/>
          <w:sz w:val="24"/>
          <w:highlight w:val="none"/>
        </w:rPr>
        <w:t>注：1.自然人投标的无需提供</w:t>
      </w:r>
    </w:p>
    <w:p w14:paraId="363CDDC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ascii="宋体" w:hAnsi="宋体"/>
          <w:color w:val="auto"/>
          <w:sz w:val="24"/>
          <w:highlight w:val="none"/>
        </w:rPr>
      </w:pPr>
      <w:r>
        <w:rPr>
          <w:rFonts w:hint="eastAsia"/>
          <w:color w:val="auto"/>
          <w:highlight w:val="none"/>
        </w:rPr>
        <w:t xml:space="preserve"> </w:t>
      </w:r>
      <w:r>
        <w:rPr>
          <w:rFonts w:hint="eastAsia" w:ascii="宋体" w:hAnsi="宋体"/>
          <w:color w:val="auto"/>
          <w:sz w:val="24"/>
          <w:highlight w:val="none"/>
        </w:rPr>
        <w:t>2.如为联合体投标，提供联合体牵头人</w:t>
      </w:r>
      <w:r>
        <w:rPr>
          <w:rFonts w:ascii="宋体" w:hAnsi="宋体"/>
          <w:color w:val="auto"/>
          <w:sz w:val="24"/>
          <w:highlight w:val="none"/>
        </w:rPr>
        <w:t>的</w:t>
      </w:r>
      <w:r>
        <w:rPr>
          <w:rFonts w:hint="eastAsia" w:ascii="宋体" w:hAnsi="宋体"/>
          <w:color w:val="auto"/>
          <w:sz w:val="24"/>
          <w:highlight w:val="none"/>
        </w:rPr>
        <w:t>法定代表人身份证明，</w:t>
      </w:r>
      <w:r>
        <w:rPr>
          <w:rFonts w:hint="eastAsia" w:ascii="宋体" w:hAnsi="宋体"/>
          <w:b/>
          <w:bCs/>
          <w:color w:val="auto"/>
          <w:sz w:val="24"/>
          <w:highlight w:val="none"/>
        </w:rPr>
        <w:t>否则其投标作无效标处理</w:t>
      </w:r>
      <w:r>
        <w:rPr>
          <w:rFonts w:hint="eastAsia" w:ascii="宋体" w:hAnsi="宋体"/>
          <w:color w:val="auto"/>
          <w:sz w:val="24"/>
          <w:highlight w:val="none"/>
        </w:rPr>
        <w:t>。</w:t>
      </w:r>
    </w:p>
    <w:p w14:paraId="4A6B70C7">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left"/>
        <w:textAlignment w:val="auto"/>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18D288F1">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b/>
          <w:color w:val="auto"/>
          <w:sz w:val="44"/>
          <w:szCs w:val="44"/>
          <w:highlight w:val="none"/>
        </w:rPr>
      </w:pPr>
    </w:p>
    <w:p w14:paraId="7C2EDCD0">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3FB3C582">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b/>
          <w:color w:val="auto"/>
          <w:sz w:val="32"/>
          <w:szCs w:val="32"/>
          <w:highlight w:val="none"/>
        </w:rPr>
      </w:pPr>
      <w:r>
        <w:rPr>
          <w:rFonts w:hint="eastAsia" w:ascii="宋体" w:hAnsi="宋体"/>
          <w:b/>
          <w:color w:val="auto"/>
          <w:sz w:val="32"/>
          <w:szCs w:val="32"/>
          <w:highlight w:val="none"/>
        </w:rPr>
        <w:t>（非联合体投标格式）</w:t>
      </w:r>
    </w:p>
    <w:p w14:paraId="2856AC82">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b/>
          <w:color w:val="auto"/>
          <w:sz w:val="24"/>
          <w:highlight w:val="none"/>
        </w:rPr>
      </w:pPr>
      <w:r>
        <w:rPr>
          <w:rFonts w:hint="eastAsia" w:ascii="宋体" w:hAnsi="宋体"/>
          <w:b/>
          <w:color w:val="auto"/>
          <w:sz w:val="32"/>
          <w:szCs w:val="32"/>
          <w:highlight w:val="none"/>
        </w:rPr>
        <w:t>（如有委托时）</w:t>
      </w:r>
    </w:p>
    <w:p w14:paraId="5996B71A">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b/>
          <w:color w:val="auto"/>
          <w:sz w:val="24"/>
          <w:highlight w:val="none"/>
        </w:rPr>
      </w:pPr>
    </w:p>
    <w:p w14:paraId="1334D30F">
      <w:pPr>
        <w:keepNext w:val="0"/>
        <w:keepLines w:val="0"/>
        <w:pageBreakBefore w:val="0"/>
        <w:widowControl w:val="0"/>
        <w:kinsoku/>
        <w:wordWrap/>
        <w:overflowPunct/>
        <w:topLinePunct w:val="0"/>
        <w:autoSpaceDE/>
        <w:autoSpaceDN/>
        <w:bidi w:val="0"/>
        <w:adjustRightInd/>
        <w:spacing w:line="360" w:lineRule="auto"/>
        <w:ind w:firstLine="0" w:firstLineChars="0"/>
        <w:contextualSpacing/>
        <w:textAlignment w:val="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2EA21D82">
      <w:pPr>
        <w:keepNext w:val="0"/>
        <w:keepLines w:val="0"/>
        <w:pageBreakBefore w:val="0"/>
        <w:widowControl w:val="0"/>
        <w:kinsoku/>
        <w:wordWrap/>
        <w:overflowPunct/>
        <w:topLinePunct w:val="0"/>
        <w:autoSpaceDE/>
        <w:autoSpaceDN/>
        <w:bidi w:val="0"/>
        <w:adjustRightInd/>
        <w:spacing w:line="360" w:lineRule="auto"/>
        <w:ind w:firstLine="0" w:firstLineChars="0"/>
        <w:contextualSpacing/>
        <w:textAlignment w:val="auto"/>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8269AA7">
      <w:pPr>
        <w:keepNext w:val="0"/>
        <w:keepLines w:val="0"/>
        <w:pageBreakBefore w:val="0"/>
        <w:widowControl w:val="0"/>
        <w:kinsoku/>
        <w:wordWrap/>
        <w:overflowPunct/>
        <w:topLinePunct w:val="0"/>
        <w:autoSpaceDE/>
        <w:autoSpaceDN/>
        <w:bidi w:val="0"/>
        <w:adjustRightInd/>
        <w:spacing w:line="360" w:lineRule="auto"/>
        <w:ind w:firstLine="0" w:firstLineChars="0"/>
        <w:contextualSpacing/>
        <w:textAlignment w:val="auto"/>
        <w:rPr>
          <w:rFonts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3AE896B2">
      <w:pPr>
        <w:keepNext w:val="0"/>
        <w:keepLines w:val="0"/>
        <w:pageBreakBefore w:val="0"/>
        <w:widowControl w:val="0"/>
        <w:kinsoku/>
        <w:wordWrap/>
        <w:overflowPunct/>
        <w:topLinePunct w:val="0"/>
        <w:autoSpaceDE/>
        <w:autoSpaceDN/>
        <w:bidi w:val="0"/>
        <w:adjustRightInd/>
        <w:spacing w:line="360" w:lineRule="auto"/>
        <w:ind w:firstLine="0" w:firstLineChars="0"/>
        <w:contextualSpacing/>
        <w:textAlignment w:val="auto"/>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37E59B49">
      <w:pPr>
        <w:keepNext w:val="0"/>
        <w:keepLines w:val="0"/>
        <w:pageBreakBefore w:val="0"/>
        <w:widowControl w:val="0"/>
        <w:kinsoku/>
        <w:wordWrap/>
        <w:overflowPunct/>
        <w:topLinePunct w:val="0"/>
        <w:autoSpaceDE/>
        <w:autoSpaceDN/>
        <w:bidi w:val="0"/>
        <w:adjustRightInd/>
        <w:spacing w:line="360" w:lineRule="auto"/>
        <w:ind w:firstLine="0" w:firstLineChars="0"/>
        <w:contextualSpacing/>
        <w:textAlignment w:val="auto"/>
        <w:rPr>
          <w:rFonts w:ascii="宋体" w:hAnsi="宋体"/>
          <w:color w:val="auto"/>
          <w:sz w:val="24"/>
          <w:highlight w:val="none"/>
        </w:rPr>
      </w:pPr>
      <w:r>
        <w:rPr>
          <w:rFonts w:hint="eastAsia" w:ascii="宋体" w:hAnsi="宋体"/>
          <w:color w:val="auto"/>
          <w:sz w:val="24"/>
          <w:highlight w:val="none"/>
        </w:rPr>
        <w:t>委托代理人无转委托权，特此委托。</w:t>
      </w:r>
    </w:p>
    <w:p w14:paraId="58FC4612">
      <w:pPr>
        <w:keepNext w:val="0"/>
        <w:keepLines w:val="0"/>
        <w:pageBreakBefore w:val="0"/>
        <w:widowControl w:val="0"/>
        <w:kinsoku/>
        <w:wordWrap/>
        <w:overflowPunct/>
        <w:topLinePunct w:val="0"/>
        <w:autoSpaceDE/>
        <w:autoSpaceDN/>
        <w:bidi w:val="0"/>
        <w:adjustRightInd/>
        <w:spacing w:line="360" w:lineRule="auto"/>
        <w:ind w:firstLine="0" w:firstLineChars="0"/>
        <w:contextualSpacing/>
        <w:textAlignment w:val="auto"/>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5C227285">
      <w:pPr>
        <w:keepNext w:val="0"/>
        <w:keepLines w:val="0"/>
        <w:pageBreakBefore w:val="0"/>
        <w:widowControl w:val="0"/>
        <w:kinsoku/>
        <w:wordWrap/>
        <w:overflowPunct/>
        <w:topLinePunct w:val="0"/>
        <w:autoSpaceDE/>
        <w:autoSpaceDN/>
        <w:bidi w:val="0"/>
        <w:adjustRightInd/>
        <w:spacing w:line="360" w:lineRule="auto"/>
        <w:ind w:firstLine="0" w:firstLineChars="0"/>
        <w:contextualSpacing/>
        <w:textAlignment w:val="auto"/>
        <w:rPr>
          <w:rFonts w:ascii="宋体" w:hAnsi="宋体"/>
          <w:color w:val="auto"/>
          <w:sz w:val="24"/>
          <w:highlight w:val="none"/>
        </w:rPr>
      </w:pPr>
    </w:p>
    <w:p w14:paraId="74CC3250">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DBDF8B9">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613D67FA">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27A4A2B2">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olor w:val="auto"/>
          <w:sz w:val="24"/>
          <w:highlight w:val="none"/>
        </w:rPr>
      </w:pPr>
      <w:r>
        <w:rPr>
          <w:rFonts w:hint="eastAsia" w:ascii="宋体" w:hAnsi="宋体"/>
          <w:color w:val="auto"/>
          <w:sz w:val="24"/>
          <w:highlight w:val="none"/>
        </w:rPr>
        <w:t xml:space="preserve"> </w:t>
      </w:r>
    </w:p>
    <w:p w14:paraId="3B503D82">
      <w:pPr>
        <w:keepNext w:val="0"/>
        <w:keepLines w:val="0"/>
        <w:pageBreakBefore w:val="0"/>
        <w:widowControl w:val="0"/>
        <w:kinsoku/>
        <w:wordWrap/>
        <w:overflowPunct/>
        <w:topLinePunct w:val="0"/>
        <w:autoSpaceDE/>
        <w:autoSpaceDN/>
        <w:bidi w:val="0"/>
        <w:adjustRightInd/>
        <w:spacing w:line="440" w:lineRule="exact"/>
        <w:ind w:firstLine="0" w:firstLineChars="0"/>
        <w:contextualSpacing/>
        <w:jc w:val="center"/>
        <w:textAlignment w:val="auto"/>
        <w:rPr>
          <w:rFonts w:hint="eastAsia" w:ascii="宋体" w:hAnsi="宋体"/>
          <w:color w:val="auto"/>
          <w:sz w:val="24"/>
          <w:highlight w:val="none"/>
          <w:u w:val="singl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311C02A0">
      <w:pPr>
        <w:keepNext w:val="0"/>
        <w:keepLines w:val="0"/>
        <w:pageBreakBefore w:val="0"/>
        <w:widowControl w:val="0"/>
        <w:kinsoku/>
        <w:wordWrap/>
        <w:overflowPunct/>
        <w:topLinePunct w:val="0"/>
        <w:autoSpaceDE/>
        <w:autoSpaceDN/>
        <w:bidi w:val="0"/>
        <w:adjustRightInd/>
        <w:spacing w:line="440" w:lineRule="exact"/>
        <w:ind w:firstLine="0" w:firstLineChars="0"/>
        <w:contextualSpacing/>
        <w:jc w:val="right"/>
        <w:textAlignment w:val="auto"/>
        <w:rPr>
          <w:rFonts w:ascii="宋体" w:hAnsi="宋体"/>
          <w:color w:val="auto"/>
          <w:sz w:val="24"/>
          <w:highlight w:val="none"/>
        </w:rPr>
      </w:pPr>
      <w:r>
        <w:rPr>
          <w:rFonts w:hint="eastAsia" w:ascii="宋体" w:hAnsi="宋体"/>
          <w:color w:val="auto"/>
          <w:sz w:val="24"/>
          <w:highlight w:val="none"/>
        </w:rPr>
        <w:t xml:space="preserve"> 年    月    日</w:t>
      </w:r>
    </w:p>
    <w:p w14:paraId="003802DE">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s="仿宋_GB2312"/>
          <w:color w:val="auto"/>
          <w:sz w:val="24"/>
          <w:highlight w:val="none"/>
        </w:rPr>
      </w:pPr>
      <w:r>
        <w:rPr>
          <w:rFonts w:hint="eastAsia" w:ascii="宋体" w:hAnsi="宋体" w:cs="仿宋_GB2312"/>
          <w:color w:val="auto"/>
          <w:sz w:val="24"/>
          <w:highlight w:val="none"/>
        </w:rPr>
        <w:t>注：1.</w:t>
      </w:r>
      <w:bookmarkStart w:id="145" w:name="_Hlk65851555"/>
      <w:bookmarkStart w:id="146"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45"/>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46"/>
    </w:p>
    <w:p w14:paraId="253D6A2B">
      <w:pPr>
        <w:keepNext w:val="0"/>
        <w:keepLines w:val="0"/>
        <w:pageBreakBefore w:val="0"/>
        <w:widowControl w:val="0"/>
        <w:kinsoku/>
        <w:wordWrap/>
        <w:overflowPunct/>
        <w:topLinePunct w:val="0"/>
        <w:autoSpaceDE/>
        <w:autoSpaceDN/>
        <w:bidi w:val="0"/>
        <w:adjustRightInd/>
        <w:spacing w:line="440" w:lineRule="exact"/>
        <w:ind w:firstLine="0" w:firstLineChars="0"/>
        <w:contextualSpacing/>
        <w:jc w:val="left"/>
        <w:textAlignment w:val="auto"/>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2B4C0DD4">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03306D29">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b/>
          <w:bCs/>
          <w:color w:val="auto"/>
          <w:sz w:val="32"/>
          <w:szCs w:val="32"/>
          <w:highlight w:val="none"/>
        </w:rPr>
      </w:pPr>
      <w:r>
        <w:rPr>
          <w:rFonts w:hint="eastAsia" w:ascii="宋体" w:hAnsi="宋体"/>
          <w:b/>
          <w:bCs/>
          <w:color w:val="auto"/>
          <w:sz w:val="32"/>
          <w:szCs w:val="32"/>
          <w:highlight w:val="none"/>
        </w:rPr>
        <w:t>（联合体投标格式）</w:t>
      </w:r>
    </w:p>
    <w:p w14:paraId="317B2748">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color w:val="auto"/>
          <w:sz w:val="24"/>
          <w:highlight w:val="none"/>
        </w:rPr>
      </w:pPr>
      <w:r>
        <w:rPr>
          <w:rFonts w:hint="eastAsia" w:ascii="宋体" w:hAnsi="宋体"/>
          <w:b/>
          <w:bCs/>
          <w:color w:val="auto"/>
          <w:sz w:val="32"/>
          <w:szCs w:val="32"/>
          <w:highlight w:val="none"/>
        </w:rPr>
        <w:t>（如有委托时）</w:t>
      </w:r>
    </w:p>
    <w:p w14:paraId="142BD9D1">
      <w:pPr>
        <w:keepNext w:val="0"/>
        <w:keepLines w:val="0"/>
        <w:pageBreakBefore w:val="0"/>
        <w:widowControl w:val="0"/>
        <w:kinsoku/>
        <w:wordWrap/>
        <w:overflowPunct/>
        <w:topLinePunct w:val="0"/>
        <w:autoSpaceDE/>
        <w:autoSpaceDN/>
        <w:bidi w:val="0"/>
        <w:adjustRightInd/>
        <w:spacing w:line="360" w:lineRule="auto"/>
        <w:ind w:firstLine="0" w:firstLineChars="0"/>
        <w:contextualSpacing/>
        <w:jc w:val="left"/>
        <w:textAlignment w:val="auto"/>
        <w:rPr>
          <w:rFonts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0A44CF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2424CED0">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7FEFA7EC">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51A9E705">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olor w:val="auto"/>
          <w:sz w:val="24"/>
          <w:highlight w:val="none"/>
        </w:rPr>
      </w:pPr>
      <w:r>
        <w:rPr>
          <w:rFonts w:hint="eastAsia" w:ascii="宋体" w:hAnsi="宋体"/>
          <w:color w:val="auto"/>
          <w:sz w:val="24"/>
          <w:highlight w:val="none"/>
        </w:rPr>
        <w:t>委托代理人无转委托权，特此委托。</w:t>
      </w:r>
    </w:p>
    <w:p w14:paraId="4F221CE5">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318DA98B">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olor w:val="auto"/>
          <w:sz w:val="24"/>
          <w:highlight w:val="none"/>
        </w:rPr>
      </w:pPr>
    </w:p>
    <w:p w14:paraId="6A235025">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olor w:val="auto"/>
          <w:sz w:val="24"/>
          <w:highlight w:val="none"/>
        </w:rPr>
      </w:pPr>
      <w:r>
        <w:rPr>
          <w:rFonts w:hint="eastAsia" w:ascii="宋体" w:hAnsi="宋体"/>
          <w:color w:val="auto"/>
          <w:sz w:val="24"/>
          <w:highlight w:val="none"/>
        </w:rPr>
        <w:t>牵头人法定代表人（签字或者盖章或者电子签名）：</w:t>
      </w:r>
    </w:p>
    <w:p w14:paraId="7FF2B881">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olor w:val="auto"/>
          <w:sz w:val="24"/>
          <w:highlight w:val="none"/>
        </w:rPr>
      </w:pPr>
      <w:r>
        <w:rPr>
          <w:rFonts w:hint="eastAsia" w:ascii="宋体" w:hAnsi="宋体"/>
          <w:color w:val="auto"/>
          <w:sz w:val="24"/>
          <w:highlight w:val="none"/>
        </w:rPr>
        <w:t>牵头人（电子签章）：</w:t>
      </w:r>
    </w:p>
    <w:p w14:paraId="028D68E5">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olor w:val="auto"/>
          <w:sz w:val="24"/>
          <w:highlight w:val="none"/>
        </w:rPr>
      </w:pPr>
      <w:r>
        <w:rPr>
          <w:rFonts w:hint="eastAsia" w:ascii="宋体" w:hAnsi="宋体"/>
          <w:color w:val="auto"/>
          <w:sz w:val="24"/>
          <w:highlight w:val="none"/>
        </w:rPr>
        <w:t>日期：    年   月   日</w:t>
      </w:r>
    </w:p>
    <w:p w14:paraId="62F03783">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olor w:val="auto"/>
          <w:sz w:val="24"/>
          <w:highlight w:val="none"/>
        </w:rPr>
      </w:pPr>
    </w:p>
    <w:p w14:paraId="58C39567">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olor w:val="auto"/>
          <w:sz w:val="24"/>
          <w:highlight w:val="none"/>
        </w:rPr>
      </w:pPr>
      <w:r>
        <w:rPr>
          <w:rFonts w:hint="eastAsia" w:ascii="宋体" w:hAnsi="宋体"/>
          <w:color w:val="auto"/>
          <w:sz w:val="24"/>
          <w:highlight w:val="none"/>
        </w:rPr>
        <w:t>被授权人（签字或者电子签名）：</w:t>
      </w:r>
    </w:p>
    <w:p w14:paraId="4710E4A9">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s="仿宋_GB2312"/>
          <w:color w:val="auto"/>
          <w:sz w:val="32"/>
          <w:szCs w:val="32"/>
          <w:highlight w:val="none"/>
        </w:rPr>
      </w:pPr>
      <w:r>
        <w:rPr>
          <w:rFonts w:hint="eastAsia" w:ascii="宋体" w:hAnsi="宋体"/>
          <w:color w:val="auto"/>
          <w:sz w:val="24"/>
          <w:highlight w:val="none"/>
        </w:rPr>
        <w:t>日期：    年   月   日</w:t>
      </w:r>
    </w:p>
    <w:p w14:paraId="1ADC9AB4">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hint="eastAsia" w:ascii="宋体" w:hAnsi="宋体" w:cs="仿宋_GB2312"/>
          <w:color w:val="auto"/>
          <w:sz w:val="24"/>
          <w:highlight w:val="none"/>
        </w:rPr>
      </w:pPr>
    </w:p>
    <w:p w14:paraId="64B3591A">
      <w:pPr>
        <w:keepNext w:val="0"/>
        <w:keepLines w:val="0"/>
        <w:pageBreakBefore w:val="0"/>
        <w:widowControl w:val="0"/>
        <w:kinsoku/>
        <w:wordWrap/>
        <w:overflowPunct/>
        <w:topLinePunct w:val="0"/>
        <w:autoSpaceDE/>
        <w:autoSpaceDN/>
        <w:bidi w:val="0"/>
        <w:adjustRightInd/>
        <w:spacing w:line="440" w:lineRule="exact"/>
        <w:ind w:firstLine="0" w:firstLineChars="0"/>
        <w:contextualSpacing/>
        <w:textAlignment w:val="auto"/>
        <w:rPr>
          <w:rFonts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42BCBB41">
      <w:pPr>
        <w:keepNext w:val="0"/>
        <w:keepLines w:val="0"/>
        <w:pageBreakBefore w:val="0"/>
        <w:widowControl w:val="0"/>
        <w:kinsoku/>
        <w:wordWrap/>
        <w:overflowPunct/>
        <w:topLinePunct w:val="0"/>
        <w:autoSpaceDE/>
        <w:autoSpaceDN/>
        <w:bidi w:val="0"/>
        <w:adjustRightInd/>
        <w:spacing w:line="440" w:lineRule="exact"/>
        <w:ind w:firstLine="0" w:firstLineChars="0"/>
        <w:contextualSpacing/>
        <w:jc w:val="left"/>
        <w:textAlignment w:val="auto"/>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308586D1">
      <w:pPr>
        <w:keepNext w:val="0"/>
        <w:keepLines w:val="0"/>
        <w:pageBreakBefore w:val="0"/>
        <w:widowControl w:val="0"/>
        <w:kinsoku/>
        <w:wordWrap/>
        <w:overflowPunct/>
        <w:topLinePunct w:val="0"/>
        <w:autoSpaceDE/>
        <w:autoSpaceDN/>
        <w:bidi w:val="0"/>
        <w:adjustRightInd/>
        <w:ind w:firstLine="0" w:firstLineChars="0"/>
        <w:textAlignment w:val="auto"/>
        <w:rPr>
          <w:rFonts w:ascii="宋体" w:hAnsi="宋体"/>
          <w:b/>
          <w:color w:val="auto"/>
          <w:sz w:val="24"/>
          <w:highlight w:val="none"/>
        </w:rPr>
      </w:pPr>
      <w:r>
        <w:rPr>
          <w:rFonts w:hint="eastAsia" w:ascii="宋体" w:hAnsi="宋体"/>
          <w:b/>
          <w:color w:val="auto"/>
          <w:sz w:val="24"/>
          <w:highlight w:val="none"/>
        </w:rPr>
        <w:br w:type="page"/>
      </w:r>
    </w:p>
    <w:p w14:paraId="39C87AFE">
      <w:pPr>
        <w:keepNext w:val="0"/>
        <w:keepLines w:val="0"/>
        <w:pageBreakBefore w:val="0"/>
        <w:widowControl w:val="0"/>
        <w:kinsoku/>
        <w:wordWrap/>
        <w:overflowPunct/>
        <w:topLinePunct w:val="0"/>
        <w:autoSpaceDE/>
        <w:autoSpaceDN/>
        <w:bidi w:val="0"/>
        <w:adjustRightInd/>
        <w:ind w:firstLine="0" w:firstLineChars="0"/>
        <w:textAlignment w:val="auto"/>
        <w:rPr>
          <w:rFonts w:ascii="宋体" w:hAnsi="宋体"/>
          <w:b/>
          <w:color w:val="auto"/>
          <w:sz w:val="24"/>
          <w:szCs w:val="20"/>
          <w:highlight w:val="none"/>
        </w:rPr>
      </w:pPr>
      <w:r>
        <w:rPr>
          <w:rFonts w:hint="eastAsia" w:ascii="宋体" w:hAnsi="宋体"/>
          <w:b/>
          <w:color w:val="auto"/>
          <w:sz w:val="24"/>
          <w:highlight w:val="none"/>
        </w:rPr>
        <w:t>6.商务要求偏离表格式</w:t>
      </w:r>
    </w:p>
    <w:p w14:paraId="428A4A2F">
      <w:pPr>
        <w:keepNext w:val="0"/>
        <w:keepLines w:val="0"/>
        <w:pageBreakBefore w:val="0"/>
        <w:widowControl w:val="0"/>
        <w:kinsoku/>
        <w:wordWrap/>
        <w:overflowPunct/>
        <w:topLinePunct w:val="0"/>
        <w:autoSpaceDE/>
        <w:autoSpaceDN/>
        <w:bidi w:val="0"/>
        <w:adjustRightInd/>
        <w:snapToGrid w:val="0"/>
        <w:spacing w:before="50"/>
        <w:ind w:firstLine="0" w:firstLineChars="0"/>
        <w:jc w:val="left"/>
        <w:textAlignment w:val="auto"/>
        <w:rPr>
          <w:rFonts w:ascii="宋体" w:hAnsi="宋体"/>
          <w:color w:val="auto"/>
          <w:sz w:val="24"/>
          <w:highlight w:val="none"/>
        </w:rPr>
      </w:pPr>
    </w:p>
    <w:p w14:paraId="5043EE66">
      <w:pPr>
        <w:pStyle w:val="23"/>
        <w:keepNext w:val="0"/>
        <w:keepLines w:val="0"/>
        <w:pageBreakBefore w:val="0"/>
        <w:widowControl w:val="0"/>
        <w:kinsoku/>
        <w:wordWrap/>
        <w:overflowPunct/>
        <w:topLinePunct w:val="0"/>
        <w:autoSpaceDE/>
        <w:autoSpaceDN/>
        <w:bidi w:val="0"/>
        <w:adjustRightInd/>
        <w:ind w:firstLine="0" w:firstLineChars="0"/>
        <w:textAlignment w:val="auto"/>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3435C0D6">
      <w:pPr>
        <w:keepNext w:val="0"/>
        <w:keepLines w:val="0"/>
        <w:pageBreakBefore w:val="0"/>
        <w:widowControl w:val="0"/>
        <w:kinsoku/>
        <w:wordWrap/>
        <w:overflowPunct/>
        <w:topLinePunct w:val="0"/>
        <w:autoSpaceDE/>
        <w:autoSpaceDN/>
        <w:bidi w:val="0"/>
        <w:adjustRightInd/>
        <w:snapToGrid w:val="0"/>
        <w:spacing w:before="50"/>
        <w:ind w:firstLine="0" w:firstLineChars="0"/>
        <w:jc w:val="left"/>
        <w:textAlignment w:val="auto"/>
        <w:rPr>
          <w:rFonts w:ascii="宋体" w:hAnsi="宋体"/>
          <w:color w:val="auto"/>
          <w:sz w:val="24"/>
          <w:highlight w:val="none"/>
          <w:u w:val="single"/>
        </w:rPr>
      </w:pPr>
    </w:p>
    <w:tbl>
      <w:tblPr>
        <w:tblStyle w:val="4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2"/>
        <w:gridCol w:w="2694"/>
        <w:gridCol w:w="1760"/>
        <w:gridCol w:w="2035"/>
      </w:tblGrid>
      <w:tr w14:paraId="1C50B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52" w:type="dxa"/>
            <w:tcBorders>
              <w:top w:val="single" w:color="auto" w:sz="4" w:space="0"/>
              <w:left w:val="single" w:color="auto" w:sz="4" w:space="0"/>
              <w:bottom w:val="single" w:color="auto" w:sz="4" w:space="0"/>
              <w:right w:val="single" w:color="auto" w:sz="4" w:space="0"/>
            </w:tcBorders>
          </w:tcPr>
          <w:p w14:paraId="66B44AE0">
            <w:pPr>
              <w:keepNext w:val="0"/>
              <w:keepLines w:val="0"/>
              <w:pageBreakBefore w:val="0"/>
              <w:widowControl w:val="0"/>
              <w:kinsoku/>
              <w:wordWrap/>
              <w:overflowPunct/>
              <w:topLinePunct w:val="0"/>
              <w:autoSpaceDE/>
              <w:autoSpaceDN/>
              <w:bidi w:val="0"/>
              <w:adjustRightInd/>
              <w:snapToGrid w:val="0"/>
              <w:spacing w:before="120" w:beforeLines="50"/>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项目</w:t>
            </w:r>
          </w:p>
        </w:tc>
        <w:tc>
          <w:tcPr>
            <w:tcW w:w="2694" w:type="dxa"/>
            <w:tcBorders>
              <w:top w:val="single" w:color="auto" w:sz="4" w:space="0"/>
              <w:left w:val="single" w:color="auto" w:sz="4" w:space="0"/>
              <w:bottom w:val="single" w:color="auto" w:sz="4" w:space="0"/>
              <w:right w:val="single" w:color="auto" w:sz="4" w:space="0"/>
            </w:tcBorders>
          </w:tcPr>
          <w:p w14:paraId="5435ACE9">
            <w:pPr>
              <w:keepNext w:val="0"/>
              <w:keepLines w:val="0"/>
              <w:pageBreakBefore w:val="0"/>
              <w:widowControl w:val="0"/>
              <w:kinsoku/>
              <w:wordWrap/>
              <w:overflowPunct/>
              <w:topLinePunct w:val="0"/>
              <w:autoSpaceDE/>
              <w:autoSpaceDN/>
              <w:bidi w:val="0"/>
              <w:adjustRightInd/>
              <w:snapToGrid w:val="0"/>
              <w:spacing w:before="120" w:beforeLines="50"/>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555525A9">
            <w:pPr>
              <w:keepNext w:val="0"/>
              <w:keepLines w:val="0"/>
              <w:pageBreakBefore w:val="0"/>
              <w:widowControl w:val="0"/>
              <w:kinsoku/>
              <w:wordWrap/>
              <w:overflowPunct/>
              <w:topLinePunct w:val="0"/>
              <w:autoSpaceDE/>
              <w:autoSpaceDN/>
              <w:bidi w:val="0"/>
              <w:adjustRightInd/>
              <w:snapToGrid w:val="0"/>
              <w:spacing w:before="120" w:beforeLines="50"/>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BD955FD">
            <w:pPr>
              <w:keepNext w:val="0"/>
              <w:keepLines w:val="0"/>
              <w:pageBreakBefore w:val="0"/>
              <w:widowControl w:val="0"/>
              <w:kinsoku/>
              <w:wordWrap/>
              <w:overflowPunct/>
              <w:topLinePunct w:val="0"/>
              <w:autoSpaceDE/>
              <w:autoSpaceDN/>
              <w:bidi w:val="0"/>
              <w:adjustRightInd/>
              <w:snapToGrid w:val="0"/>
              <w:spacing w:before="120" w:beforeLines="50"/>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偏离说明</w:t>
            </w:r>
          </w:p>
        </w:tc>
      </w:tr>
      <w:tr w14:paraId="2A9A6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52" w:type="dxa"/>
            <w:tcBorders>
              <w:top w:val="single" w:color="auto" w:sz="4" w:space="0"/>
              <w:left w:val="single" w:color="auto" w:sz="4" w:space="0"/>
              <w:bottom w:val="single" w:color="auto" w:sz="4" w:space="0"/>
              <w:right w:val="single" w:color="auto" w:sz="4" w:space="0"/>
            </w:tcBorders>
            <w:vAlign w:val="center"/>
          </w:tcPr>
          <w:p w14:paraId="2F6B0523">
            <w:pPr>
              <w:keepNext w:val="0"/>
              <w:keepLines w:val="0"/>
              <w:pageBreakBefore w:val="0"/>
              <w:widowControl w:val="0"/>
              <w:kinsoku/>
              <w:wordWrap/>
              <w:overflowPunct/>
              <w:topLinePunct w:val="0"/>
              <w:autoSpaceDE/>
              <w:autoSpaceDN/>
              <w:bidi w:val="0"/>
              <w:adjustRightInd/>
              <w:ind w:firstLine="0" w:firstLineChars="0"/>
              <w:jc w:val="center"/>
              <w:textAlignment w:val="auto"/>
              <w:rPr>
                <w:rFonts w:ascii="宋体" w:hAnsi="宋体"/>
                <w:color w:val="auto"/>
                <w:sz w:val="24"/>
                <w:highlight w:val="none"/>
              </w:rPr>
            </w:pPr>
          </w:p>
        </w:tc>
        <w:tc>
          <w:tcPr>
            <w:tcW w:w="2694" w:type="dxa"/>
            <w:tcBorders>
              <w:top w:val="single" w:color="auto" w:sz="4" w:space="0"/>
              <w:left w:val="single" w:color="auto" w:sz="4" w:space="0"/>
              <w:bottom w:val="single" w:color="auto" w:sz="4" w:space="0"/>
              <w:right w:val="single" w:color="auto" w:sz="4" w:space="0"/>
            </w:tcBorders>
            <w:vAlign w:val="center"/>
          </w:tcPr>
          <w:p w14:paraId="4F8E4076">
            <w:pPr>
              <w:keepNext w:val="0"/>
              <w:keepLines w:val="0"/>
              <w:pageBreakBefore w:val="0"/>
              <w:widowControl w:val="0"/>
              <w:kinsoku/>
              <w:wordWrap/>
              <w:overflowPunct/>
              <w:topLinePunct w:val="0"/>
              <w:autoSpaceDE/>
              <w:autoSpaceDN/>
              <w:bidi w:val="0"/>
              <w:adjustRightInd/>
              <w:ind w:firstLine="0" w:firstLineChars="0"/>
              <w:jc w:val="left"/>
              <w:textAlignment w:val="auto"/>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70B6E4C5">
            <w:pPr>
              <w:keepNext w:val="0"/>
              <w:keepLines w:val="0"/>
              <w:pageBreakBefore w:val="0"/>
              <w:widowControl w:val="0"/>
              <w:kinsoku/>
              <w:wordWrap/>
              <w:overflowPunct/>
              <w:topLinePunct w:val="0"/>
              <w:autoSpaceDE/>
              <w:autoSpaceDN/>
              <w:bidi w:val="0"/>
              <w:adjustRightInd/>
              <w:snapToGrid w:val="0"/>
              <w:spacing w:before="120" w:beforeLines="50"/>
              <w:ind w:firstLine="0" w:firstLineChars="0"/>
              <w:jc w:val="center"/>
              <w:textAlignment w:val="auto"/>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DF4CD55">
            <w:pPr>
              <w:keepNext w:val="0"/>
              <w:keepLines w:val="0"/>
              <w:pageBreakBefore w:val="0"/>
              <w:widowControl w:val="0"/>
              <w:kinsoku/>
              <w:wordWrap/>
              <w:overflowPunct/>
              <w:topLinePunct w:val="0"/>
              <w:autoSpaceDE/>
              <w:autoSpaceDN/>
              <w:bidi w:val="0"/>
              <w:adjustRightInd/>
              <w:snapToGrid w:val="0"/>
              <w:spacing w:before="120" w:beforeLines="50"/>
              <w:ind w:firstLine="0" w:firstLineChars="0"/>
              <w:jc w:val="center"/>
              <w:textAlignment w:val="auto"/>
              <w:rPr>
                <w:rFonts w:ascii="宋体" w:hAnsi="宋体"/>
                <w:color w:val="auto"/>
                <w:sz w:val="24"/>
                <w:highlight w:val="none"/>
              </w:rPr>
            </w:pPr>
          </w:p>
        </w:tc>
      </w:tr>
      <w:tr w14:paraId="697F2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3F0C334E">
            <w:pPr>
              <w:keepNext w:val="0"/>
              <w:keepLines w:val="0"/>
              <w:pageBreakBefore w:val="0"/>
              <w:widowControl w:val="0"/>
              <w:kinsoku/>
              <w:wordWrap/>
              <w:overflowPunct/>
              <w:topLinePunct w:val="0"/>
              <w:autoSpaceDE/>
              <w:autoSpaceDN/>
              <w:bidi w:val="0"/>
              <w:adjustRightInd/>
              <w:ind w:firstLine="0" w:firstLineChars="0"/>
              <w:jc w:val="center"/>
              <w:textAlignment w:val="auto"/>
              <w:rPr>
                <w:rFonts w:ascii="宋体" w:hAnsi="宋体"/>
                <w:color w:val="auto"/>
                <w:sz w:val="24"/>
                <w:highlight w:val="none"/>
              </w:rPr>
            </w:pPr>
          </w:p>
        </w:tc>
        <w:tc>
          <w:tcPr>
            <w:tcW w:w="2694" w:type="dxa"/>
            <w:tcBorders>
              <w:top w:val="single" w:color="auto" w:sz="4" w:space="0"/>
              <w:left w:val="single" w:color="auto" w:sz="4" w:space="0"/>
              <w:bottom w:val="single" w:color="auto" w:sz="4" w:space="0"/>
              <w:right w:val="single" w:color="auto" w:sz="4" w:space="0"/>
            </w:tcBorders>
            <w:vAlign w:val="center"/>
          </w:tcPr>
          <w:p w14:paraId="1107327B">
            <w:pPr>
              <w:keepNext w:val="0"/>
              <w:keepLines w:val="0"/>
              <w:pageBreakBefore w:val="0"/>
              <w:widowControl w:val="0"/>
              <w:kinsoku/>
              <w:wordWrap/>
              <w:overflowPunct/>
              <w:topLinePunct w:val="0"/>
              <w:autoSpaceDE/>
              <w:autoSpaceDN/>
              <w:bidi w:val="0"/>
              <w:adjustRightInd/>
              <w:ind w:firstLine="0" w:firstLineChars="0"/>
              <w:jc w:val="left"/>
              <w:textAlignment w:val="auto"/>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1ECF3EA">
            <w:pPr>
              <w:keepNext w:val="0"/>
              <w:keepLines w:val="0"/>
              <w:pageBreakBefore w:val="0"/>
              <w:widowControl w:val="0"/>
              <w:kinsoku/>
              <w:wordWrap/>
              <w:overflowPunct/>
              <w:topLinePunct w:val="0"/>
              <w:autoSpaceDE/>
              <w:autoSpaceDN/>
              <w:bidi w:val="0"/>
              <w:adjustRightInd/>
              <w:snapToGrid w:val="0"/>
              <w:spacing w:before="120" w:beforeLines="50"/>
              <w:ind w:left="43" w:firstLine="0" w:firstLineChars="0"/>
              <w:jc w:val="center"/>
              <w:textAlignment w:val="auto"/>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4130CE2">
            <w:pPr>
              <w:keepNext w:val="0"/>
              <w:keepLines w:val="0"/>
              <w:pageBreakBefore w:val="0"/>
              <w:widowControl w:val="0"/>
              <w:kinsoku/>
              <w:wordWrap/>
              <w:overflowPunct/>
              <w:topLinePunct w:val="0"/>
              <w:autoSpaceDE/>
              <w:autoSpaceDN/>
              <w:bidi w:val="0"/>
              <w:adjustRightInd/>
              <w:snapToGrid w:val="0"/>
              <w:spacing w:before="120" w:beforeLines="50"/>
              <w:ind w:left="43" w:firstLine="0" w:firstLineChars="0"/>
              <w:jc w:val="center"/>
              <w:textAlignment w:val="auto"/>
              <w:rPr>
                <w:rFonts w:ascii="宋体" w:hAnsi="宋体"/>
                <w:color w:val="auto"/>
                <w:sz w:val="24"/>
                <w:highlight w:val="none"/>
              </w:rPr>
            </w:pPr>
          </w:p>
        </w:tc>
      </w:tr>
      <w:tr w14:paraId="0DF3C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639FE581">
            <w:pPr>
              <w:keepNext w:val="0"/>
              <w:keepLines w:val="0"/>
              <w:pageBreakBefore w:val="0"/>
              <w:widowControl w:val="0"/>
              <w:kinsoku/>
              <w:wordWrap/>
              <w:overflowPunct/>
              <w:topLinePunct w:val="0"/>
              <w:autoSpaceDE/>
              <w:autoSpaceDN/>
              <w:bidi w:val="0"/>
              <w:adjustRightInd/>
              <w:ind w:firstLine="0" w:firstLineChars="0"/>
              <w:jc w:val="center"/>
              <w:textAlignment w:val="auto"/>
              <w:rPr>
                <w:rFonts w:ascii="宋体" w:hAnsi="宋体"/>
                <w:color w:val="auto"/>
                <w:sz w:val="24"/>
                <w:highlight w:val="none"/>
              </w:rPr>
            </w:pPr>
          </w:p>
        </w:tc>
        <w:tc>
          <w:tcPr>
            <w:tcW w:w="2694" w:type="dxa"/>
            <w:tcBorders>
              <w:top w:val="single" w:color="auto" w:sz="4" w:space="0"/>
              <w:left w:val="single" w:color="auto" w:sz="4" w:space="0"/>
              <w:bottom w:val="single" w:color="auto" w:sz="4" w:space="0"/>
              <w:right w:val="single" w:color="auto" w:sz="4" w:space="0"/>
            </w:tcBorders>
            <w:vAlign w:val="center"/>
          </w:tcPr>
          <w:p w14:paraId="0D99DE87">
            <w:pPr>
              <w:keepNext w:val="0"/>
              <w:keepLines w:val="0"/>
              <w:pageBreakBefore w:val="0"/>
              <w:widowControl w:val="0"/>
              <w:kinsoku/>
              <w:wordWrap/>
              <w:overflowPunct/>
              <w:topLinePunct w:val="0"/>
              <w:autoSpaceDE/>
              <w:autoSpaceDN/>
              <w:bidi w:val="0"/>
              <w:adjustRightInd/>
              <w:ind w:firstLine="0" w:firstLineChars="0"/>
              <w:jc w:val="left"/>
              <w:textAlignment w:val="auto"/>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3FC407C">
            <w:pPr>
              <w:keepNext w:val="0"/>
              <w:keepLines w:val="0"/>
              <w:pageBreakBefore w:val="0"/>
              <w:widowControl w:val="0"/>
              <w:kinsoku/>
              <w:wordWrap/>
              <w:overflowPunct/>
              <w:topLinePunct w:val="0"/>
              <w:autoSpaceDE/>
              <w:autoSpaceDN/>
              <w:bidi w:val="0"/>
              <w:adjustRightInd/>
              <w:snapToGrid w:val="0"/>
              <w:spacing w:before="120" w:beforeLines="50"/>
              <w:ind w:left="43" w:firstLine="0" w:firstLineChars="0"/>
              <w:jc w:val="center"/>
              <w:textAlignment w:val="auto"/>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B3FD4FB">
            <w:pPr>
              <w:keepNext w:val="0"/>
              <w:keepLines w:val="0"/>
              <w:pageBreakBefore w:val="0"/>
              <w:widowControl w:val="0"/>
              <w:kinsoku/>
              <w:wordWrap/>
              <w:overflowPunct/>
              <w:topLinePunct w:val="0"/>
              <w:autoSpaceDE/>
              <w:autoSpaceDN/>
              <w:bidi w:val="0"/>
              <w:adjustRightInd/>
              <w:snapToGrid w:val="0"/>
              <w:spacing w:before="120" w:beforeLines="50"/>
              <w:ind w:left="43" w:firstLine="0" w:firstLineChars="0"/>
              <w:jc w:val="center"/>
              <w:textAlignment w:val="auto"/>
              <w:rPr>
                <w:rFonts w:ascii="宋体" w:hAnsi="宋体"/>
                <w:color w:val="auto"/>
                <w:sz w:val="24"/>
                <w:highlight w:val="none"/>
              </w:rPr>
            </w:pPr>
          </w:p>
        </w:tc>
      </w:tr>
      <w:tr w14:paraId="1E6B2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390F3026">
            <w:pPr>
              <w:keepNext w:val="0"/>
              <w:keepLines w:val="0"/>
              <w:pageBreakBefore w:val="0"/>
              <w:widowControl w:val="0"/>
              <w:kinsoku/>
              <w:wordWrap/>
              <w:overflowPunct/>
              <w:topLinePunct w:val="0"/>
              <w:autoSpaceDE/>
              <w:autoSpaceDN/>
              <w:bidi w:val="0"/>
              <w:adjustRightInd/>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w:t>
            </w:r>
          </w:p>
        </w:tc>
        <w:tc>
          <w:tcPr>
            <w:tcW w:w="2694" w:type="dxa"/>
            <w:tcBorders>
              <w:top w:val="single" w:color="auto" w:sz="4" w:space="0"/>
              <w:left w:val="single" w:color="auto" w:sz="4" w:space="0"/>
              <w:bottom w:val="single" w:color="auto" w:sz="4" w:space="0"/>
              <w:right w:val="single" w:color="auto" w:sz="4" w:space="0"/>
            </w:tcBorders>
            <w:vAlign w:val="center"/>
          </w:tcPr>
          <w:p w14:paraId="1AFD76FB">
            <w:pPr>
              <w:keepNext w:val="0"/>
              <w:keepLines w:val="0"/>
              <w:pageBreakBefore w:val="0"/>
              <w:widowControl w:val="0"/>
              <w:kinsoku/>
              <w:wordWrap/>
              <w:overflowPunct/>
              <w:topLinePunct w:val="0"/>
              <w:autoSpaceDE/>
              <w:autoSpaceDN/>
              <w:bidi w:val="0"/>
              <w:adjustRightInd/>
              <w:ind w:firstLine="0" w:firstLineChars="0"/>
              <w:jc w:val="left"/>
              <w:textAlignment w:val="auto"/>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9A13FA3">
            <w:pPr>
              <w:keepNext w:val="0"/>
              <w:keepLines w:val="0"/>
              <w:pageBreakBefore w:val="0"/>
              <w:widowControl w:val="0"/>
              <w:kinsoku/>
              <w:wordWrap/>
              <w:overflowPunct/>
              <w:topLinePunct w:val="0"/>
              <w:autoSpaceDE/>
              <w:autoSpaceDN/>
              <w:bidi w:val="0"/>
              <w:adjustRightInd/>
              <w:snapToGrid w:val="0"/>
              <w:spacing w:before="120" w:beforeLines="50"/>
              <w:ind w:left="43" w:firstLine="0" w:firstLineChars="0"/>
              <w:jc w:val="center"/>
              <w:textAlignment w:val="auto"/>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5173055">
            <w:pPr>
              <w:keepNext w:val="0"/>
              <w:keepLines w:val="0"/>
              <w:pageBreakBefore w:val="0"/>
              <w:widowControl w:val="0"/>
              <w:kinsoku/>
              <w:wordWrap/>
              <w:overflowPunct/>
              <w:topLinePunct w:val="0"/>
              <w:autoSpaceDE/>
              <w:autoSpaceDN/>
              <w:bidi w:val="0"/>
              <w:adjustRightInd/>
              <w:snapToGrid w:val="0"/>
              <w:spacing w:before="120" w:beforeLines="50"/>
              <w:ind w:left="43" w:firstLine="0" w:firstLineChars="0"/>
              <w:jc w:val="center"/>
              <w:textAlignment w:val="auto"/>
              <w:rPr>
                <w:rFonts w:ascii="宋体" w:hAnsi="宋体"/>
                <w:color w:val="auto"/>
                <w:sz w:val="24"/>
                <w:highlight w:val="none"/>
              </w:rPr>
            </w:pPr>
          </w:p>
        </w:tc>
      </w:tr>
    </w:tbl>
    <w:p w14:paraId="655E4339">
      <w:pPr>
        <w:pStyle w:val="16"/>
        <w:keepNext w:val="0"/>
        <w:keepLines w:val="0"/>
        <w:pageBreakBefore w:val="0"/>
        <w:widowControl w:val="0"/>
        <w:kinsoku/>
        <w:wordWrap/>
        <w:overflowPunct/>
        <w:topLinePunct w:val="0"/>
        <w:autoSpaceDE/>
        <w:autoSpaceDN/>
        <w:bidi w:val="0"/>
        <w:adjustRightInd/>
        <w:ind w:firstLine="0" w:firstLineChars="0"/>
        <w:textAlignment w:val="auto"/>
        <w:rPr>
          <w:rFonts w:ascii="宋体" w:hAnsi="宋体"/>
          <w:color w:val="auto"/>
          <w:highlight w:val="none"/>
        </w:rPr>
      </w:pPr>
      <w:r>
        <w:rPr>
          <w:rFonts w:hint="eastAsia" w:ascii="宋体" w:hAnsi="宋体"/>
          <w:color w:val="auto"/>
          <w:highlight w:val="none"/>
        </w:rPr>
        <w:t>注：</w:t>
      </w:r>
    </w:p>
    <w:p w14:paraId="68053894">
      <w:pPr>
        <w:pStyle w:val="18"/>
        <w:keepNext w:val="0"/>
        <w:keepLines w:val="0"/>
        <w:pageBreakBefore w:val="0"/>
        <w:widowControl w:val="0"/>
        <w:kinsoku/>
        <w:wordWrap/>
        <w:overflowPunct/>
        <w:topLinePunct w:val="0"/>
        <w:autoSpaceDE/>
        <w:autoSpaceDN/>
        <w:bidi w:val="0"/>
        <w:adjustRightInd/>
        <w:spacing w:line="520" w:lineRule="exact"/>
        <w:ind w:firstLine="0" w:firstLineChars="0"/>
        <w:textAlignment w:val="auto"/>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6F7661F7">
      <w:pPr>
        <w:pStyle w:val="16"/>
        <w:keepNext w:val="0"/>
        <w:keepLines w:val="0"/>
        <w:pageBreakBefore w:val="0"/>
        <w:widowControl w:val="0"/>
        <w:kinsoku/>
        <w:wordWrap/>
        <w:overflowPunct/>
        <w:topLinePunct w:val="0"/>
        <w:autoSpaceDE/>
        <w:autoSpaceDN/>
        <w:bidi w:val="0"/>
        <w:adjustRightInd/>
        <w:ind w:firstLine="0" w:firstLineChars="0"/>
        <w:textAlignment w:val="auto"/>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066A9328">
      <w:pPr>
        <w:keepNext w:val="0"/>
        <w:keepLines w:val="0"/>
        <w:pageBreakBefore w:val="0"/>
        <w:widowControl w:val="0"/>
        <w:kinsoku/>
        <w:wordWrap/>
        <w:overflowPunct/>
        <w:topLinePunct w:val="0"/>
        <w:autoSpaceDE/>
        <w:autoSpaceDN/>
        <w:bidi w:val="0"/>
        <w:adjustRightInd/>
        <w:snapToGrid w:val="0"/>
        <w:spacing w:before="50" w:after="50"/>
        <w:ind w:firstLine="0" w:firstLineChars="0"/>
        <w:textAlignment w:val="auto"/>
        <w:rPr>
          <w:rFonts w:ascii="宋体" w:hAnsi="宋体"/>
          <w:color w:val="auto"/>
          <w:sz w:val="24"/>
          <w:highlight w:val="none"/>
        </w:rPr>
      </w:pPr>
    </w:p>
    <w:p w14:paraId="451F6CB5">
      <w:pPr>
        <w:keepNext w:val="0"/>
        <w:keepLines w:val="0"/>
        <w:pageBreakBefore w:val="0"/>
        <w:widowControl w:val="0"/>
        <w:kinsoku/>
        <w:wordWrap/>
        <w:overflowPunct/>
        <w:topLinePunct w:val="0"/>
        <w:autoSpaceDE/>
        <w:autoSpaceDN/>
        <w:bidi w:val="0"/>
        <w:adjustRightInd/>
        <w:snapToGrid w:val="0"/>
        <w:spacing w:before="50" w:after="50"/>
        <w:ind w:firstLine="0" w:firstLineChars="0"/>
        <w:textAlignment w:val="auto"/>
        <w:rPr>
          <w:rFonts w:ascii="宋体" w:hAnsi="宋体"/>
          <w:color w:val="auto"/>
          <w:sz w:val="24"/>
          <w:highlight w:val="none"/>
        </w:rPr>
      </w:pPr>
    </w:p>
    <w:p w14:paraId="47178710">
      <w:pPr>
        <w:keepNext w:val="0"/>
        <w:keepLines w:val="0"/>
        <w:pageBreakBefore w:val="0"/>
        <w:widowControl w:val="0"/>
        <w:kinsoku/>
        <w:wordWrap/>
        <w:overflowPunct/>
        <w:topLinePunct w:val="0"/>
        <w:autoSpaceDE/>
        <w:autoSpaceDN/>
        <w:bidi w:val="0"/>
        <w:adjustRightInd/>
        <w:snapToGrid w:val="0"/>
        <w:spacing w:before="50" w:after="50"/>
        <w:ind w:firstLine="0" w:firstLineChars="0"/>
        <w:textAlignment w:val="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44506CB">
      <w:pPr>
        <w:keepNext w:val="0"/>
        <w:keepLines w:val="0"/>
        <w:pageBreakBefore w:val="0"/>
        <w:widowControl w:val="0"/>
        <w:kinsoku/>
        <w:wordWrap/>
        <w:overflowPunct/>
        <w:topLinePunct w:val="0"/>
        <w:autoSpaceDE/>
        <w:autoSpaceDN/>
        <w:bidi w:val="0"/>
        <w:adjustRightInd/>
        <w:snapToGrid w:val="0"/>
        <w:spacing w:before="120" w:beforeLines="50"/>
        <w:ind w:firstLine="0" w:firstLineChars="0"/>
        <w:textAlignment w:val="auto"/>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DE8C8A7">
      <w:pPr>
        <w:keepNext w:val="0"/>
        <w:keepLines w:val="0"/>
        <w:pageBreakBefore w:val="0"/>
        <w:widowControl w:val="0"/>
        <w:kinsoku/>
        <w:wordWrap/>
        <w:overflowPunct/>
        <w:topLinePunct w:val="0"/>
        <w:autoSpaceDE/>
        <w:autoSpaceDN/>
        <w:bidi w:val="0"/>
        <w:adjustRightInd/>
        <w:snapToGrid w:val="0"/>
        <w:spacing w:before="120" w:beforeLines="50"/>
        <w:ind w:firstLine="0" w:firstLineChars="0"/>
        <w:textAlignment w:val="auto"/>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67F89069">
      <w:pPr>
        <w:snapToGrid w:val="0"/>
        <w:spacing w:before="120" w:beforeLines="50"/>
        <w:ind w:firstLine="480"/>
        <w:rPr>
          <w:rFonts w:ascii="宋体" w:hAnsi="宋体"/>
          <w:color w:val="auto"/>
          <w:sz w:val="24"/>
          <w:szCs w:val="20"/>
          <w:highlight w:val="none"/>
        </w:rPr>
      </w:pPr>
    </w:p>
    <w:p w14:paraId="3A36C6D4">
      <w:pPr>
        <w:ind w:firstLine="482"/>
        <w:rPr>
          <w:rFonts w:ascii="宋体" w:hAnsi="宋体"/>
          <w:b/>
          <w:color w:val="auto"/>
          <w:sz w:val="24"/>
          <w:highlight w:val="none"/>
        </w:rPr>
      </w:pPr>
      <w:r>
        <w:rPr>
          <w:rFonts w:hint="eastAsia" w:ascii="宋体" w:hAnsi="宋体"/>
          <w:b/>
          <w:color w:val="auto"/>
          <w:sz w:val="24"/>
          <w:highlight w:val="none"/>
        </w:rPr>
        <w:br w:type="page"/>
      </w:r>
    </w:p>
    <w:p w14:paraId="25A2C89A">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left"/>
        <w:textAlignment w:val="auto"/>
        <w:rPr>
          <w:rFonts w:ascii="宋体" w:hAnsi="宋体"/>
          <w:b/>
          <w:color w:val="auto"/>
          <w:sz w:val="24"/>
          <w:highlight w:val="none"/>
        </w:rPr>
      </w:pPr>
      <w:r>
        <w:rPr>
          <w:rFonts w:hint="eastAsia" w:ascii="宋体" w:hAnsi="宋体"/>
          <w:b/>
          <w:color w:val="auto"/>
          <w:sz w:val="24"/>
          <w:highlight w:val="none"/>
        </w:rPr>
        <w:t>7.投标人业绩证明材料</w:t>
      </w:r>
    </w:p>
    <w:p w14:paraId="34C4142C">
      <w:pPr>
        <w:pStyle w:val="33"/>
        <w:keepNext w:val="0"/>
        <w:keepLines w:val="0"/>
        <w:pageBreakBefore w:val="0"/>
        <w:widowControl w:val="0"/>
        <w:kinsoku/>
        <w:wordWrap/>
        <w:overflowPunct/>
        <w:topLinePunct w:val="0"/>
        <w:autoSpaceDE/>
        <w:autoSpaceDN/>
        <w:bidi w:val="0"/>
        <w:adjustRightInd/>
        <w:snapToGrid w:val="0"/>
        <w:ind w:left="480" w:firstLine="0" w:firstLineChars="0"/>
        <w:textAlignment w:val="auto"/>
        <w:rPr>
          <w:rFonts w:ascii="宋体" w:hAnsi="宋体"/>
          <w:color w:val="auto"/>
          <w:sz w:val="24"/>
          <w:highlight w:val="none"/>
        </w:rPr>
      </w:pPr>
    </w:p>
    <w:p w14:paraId="46AADD48">
      <w:pPr>
        <w:pStyle w:val="33"/>
        <w:keepNext w:val="0"/>
        <w:keepLines w:val="0"/>
        <w:pageBreakBefore w:val="0"/>
        <w:widowControl w:val="0"/>
        <w:kinsoku/>
        <w:wordWrap/>
        <w:overflowPunct/>
        <w:topLinePunct w:val="0"/>
        <w:autoSpaceDE/>
        <w:autoSpaceDN/>
        <w:bidi w:val="0"/>
        <w:adjustRightInd/>
        <w:snapToGrid w:val="0"/>
        <w:ind w:left="480" w:firstLine="0" w:firstLineChars="0"/>
        <w:textAlignment w:val="auto"/>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0"/>
        <w:gridCol w:w="1769"/>
        <w:gridCol w:w="1769"/>
        <w:gridCol w:w="2853"/>
      </w:tblGrid>
      <w:tr w14:paraId="2D3CC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063B03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1823D7C2">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2D52F804">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合同金额</w:t>
            </w:r>
          </w:p>
          <w:p w14:paraId="68D821A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550CC488">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采购人联系人及</w:t>
            </w:r>
          </w:p>
          <w:p w14:paraId="26FC14D0">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center"/>
              <w:textAlignment w:val="auto"/>
              <w:rPr>
                <w:rFonts w:ascii="宋体" w:hAnsi="宋体"/>
                <w:color w:val="auto"/>
                <w:sz w:val="24"/>
                <w:highlight w:val="none"/>
              </w:rPr>
            </w:pPr>
            <w:r>
              <w:rPr>
                <w:rFonts w:hint="eastAsia" w:ascii="宋体" w:hAnsi="宋体"/>
                <w:color w:val="auto"/>
                <w:sz w:val="24"/>
                <w:highlight w:val="none"/>
              </w:rPr>
              <w:t>联系电话</w:t>
            </w:r>
          </w:p>
        </w:tc>
      </w:tr>
      <w:tr w14:paraId="3E2D9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305C9A0F">
            <w:pPr>
              <w:keepNext w:val="0"/>
              <w:keepLines w:val="0"/>
              <w:pageBreakBefore w:val="0"/>
              <w:widowControl w:val="0"/>
              <w:kinsoku/>
              <w:wordWrap/>
              <w:overflowPunct/>
              <w:topLinePunct w:val="0"/>
              <w:autoSpaceDE/>
              <w:autoSpaceDN/>
              <w:bidi w:val="0"/>
              <w:adjustRightInd/>
              <w:ind w:firstLine="0" w:firstLineChars="0"/>
              <w:jc w:val="left"/>
              <w:textAlignment w:val="auto"/>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2D455FB">
            <w:pPr>
              <w:keepNext w:val="0"/>
              <w:keepLines w:val="0"/>
              <w:pageBreakBefore w:val="0"/>
              <w:widowControl w:val="0"/>
              <w:kinsoku/>
              <w:wordWrap/>
              <w:overflowPunct/>
              <w:topLinePunct w:val="0"/>
              <w:autoSpaceDE/>
              <w:autoSpaceDN/>
              <w:bidi w:val="0"/>
              <w:adjustRightInd/>
              <w:ind w:firstLine="0" w:firstLineChars="0"/>
              <w:jc w:val="left"/>
              <w:textAlignment w:val="auto"/>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7C7EDAA">
            <w:pPr>
              <w:keepNext w:val="0"/>
              <w:keepLines w:val="0"/>
              <w:pageBreakBefore w:val="0"/>
              <w:widowControl w:val="0"/>
              <w:kinsoku/>
              <w:wordWrap/>
              <w:overflowPunct/>
              <w:topLinePunct w:val="0"/>
              <w:autoSpaceDE/>
              <w:autoSpaceDN/>
              <w:bidi w:val="0"/>
              <w:adjustRightInd/>
              <w:ind w:firstLine="0" w:firstLineChars="0"/>
              <w:jc w:val="left"/>
              <w:textAlignment w:val="auto"/>
              <w:rPr>
                <w:rFonts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27D3BEAD">
            <w:pPr>
              <w:keepNext w:val="0"/>
              <w:keepLines w:val="0"/>
              <w:pageBreakBefore w:val="0"/>
              <w:widowControl w:val="0"/>
              <w:kinsoku/>
              <w:wordWrap/>
              <w:overflowPunct/>
              <w:topLinePunct w:val="0"/>
              <w:autoSpaceDE/>
              <w:autoSpaceDN/>
              <w:bidi w:val="0"/>
              <w:adjustRightInd/>
              <w:ind w:firstLine="0" w:firstLineChars="0"/>
              <w:jc w:val="left"/>
              <w:textAlignment w:val="auto"/>
              <w:rPr>
                <w:rFonts w:ascii="宋体" w:hAnsi="宋体"/>
                <w:color w:val="auto"/>
                <w:sz w:val="24"/>
                <w:highlight w:val="none"/>
              </w:rPr>
            </w:pPr>
          </w:p>
        </w:tc>
      </w:tr>
      <w:tr w14:paraId="585B5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3DF7899A">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FC1185E">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7291B09">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4264671">
            <w:pPr>
              <w:keepNext w:val="0"/>
              <w:keepLines w:val="0"/>
              <w:pageBreakBefore w:val="0"/>
              <w:widowControl w:val="0"/>
              <w:kinsoku/>
              <w:wordWrap/>
              <w:overflowPunct/>
              <w:topLinePunct w:val="0"/>
              <w:autoSpaceDE/>
              <w:autoSpaceDN/>
              <w:bidi w:val="0"/>
              <w:adjustRightInd/>
              <w:snapToGrid w:val="0"/>
              <w:spacing w:line="240" w:lineRule="exact"/>
              <w:ind w:firstLine="0" w:firstLineChars="0"/>
              <w:jc w:val="left"/>
              <w:textAlignment w:val="auto"/>
              <w:rPr>
                <w:rFonts w:ascii="宋体" w:hAnsi="宋体"/>
                <w:color w:val="auto"/>
                <w:sz w:val="24"/>
                <w:highlight w:val="none"/>
              </w:rPr>
            </w:pPr>
          </w:p>
        </w:tc>
      </w:tr>
      <w:tr w14:paraId="71D1F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1C373AF">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2F4B078">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B710A1B">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E28E18F">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r>
      <w:tr w14:paraId="4C89A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66176C05">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9F88745">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25E4E0B">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0F337E2">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r>
      <w:tr w14:paraId="45030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42B452B5">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31DBA02">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08970C0">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24078F8">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r>
      <w:tr w14:paraId="4C3CC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A00264D">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A37DC2B">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8024DF4">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116E573E">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0" w:firstLineChars="0"/>
              <w:jc w:val="left"/>
              <w:textAlignment w:val="auto"/>
              <w:rPr>
                <w:rFonts w:ascii="宋体" w:hAnsi="宋体"/>
                <w:color w:val="auto"/>
                <w:sz w:val="24"/>
                <w:highlight w:val="none"/>
              </w:rPr>
            </w:pPr>
          </w:p>
        </w:tc>
      </w:tr>
    </w:tbl>
    <w:p w14:paraId="44D13BC5">
      <w:pPr>
        <w:pStyle w:val="14"/>
        <w:keepNext w:val="0"/>
        <w:keepLines w:val="0"/>
        <w:pageBreakBefore w:val="0"/>
        <w:widowControl w:val="0"/>
        <w:kinsoku/>
        <w:wordWrap/>
        <w:overflowPunct/>
        <w:topLinePunct w:val="0"/>
        <w:autoSpaceDE/>
        <w:autoSpaceDN/>
        <w:bidi w:val="0"/>
        <w:adjustRightInd/>
        <w:spacing w:before="0" w:after="0" w:line="360" w:lineRule="auto"/>
        <w:ind w:firstLine="0" w:firstLineChars="0"/>
        <w:contextualSpacing/>
        <w:textAlignment w:val="auto"/>
        <w:rPr>
          <w:rFonts w:ascii="宋体" w:hAnsi="宋体" w:eastAsia="宋体"/>
          <w:color w:val="auto"/>
          <w:sz w:val="24"/>
          <w:szCs w:val="24"/>
          <w:highlight w:val="none"/>
        </w:rPr>
      </w:pPr>
    </w:p>
    <w:p w14:paraId="1BD1DBDD">
      <w:pPr>
        <w:pStyle w:val="14"/>
        <w:keepNext w:val="0"/>
        <w:keepLines w:val="0"/>
        <w:pageBreakBefore w:val="0"/>
        <w:widowControl w:val="0"/>
        <w:kinsoku/>
        <w:wordWrap/>
        <w:overflowPunct/>
        <w:topLinePunct w:val="0"/>
        <w:autoSpaceDE/>
        <w:autoSpaceDN/>
        <w:bidi w:val="0"/>
        <w:adjustRightInd/>
        <w:spacing w:before="0" w:after="0" w:line="360" w:lineRule="auto"/>
        <w:ind w:firstLine="0" w:firstLineChars="0"/>
        <w:contextualSpacing/>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4856E46A">
      <w:pPr>
        <w:pStyle w:val="14"/>
        <w:keepNext w:val="0"/>
        <w:keepLines w:val="0"/>
        <w:pageBreakBefore w:val="0"/>
        <w:widowControl w:val="0"/>
        <w:kinsoku/>
        <w:wordWrap/>
        <w:overflowPunct/>
        <w:topLinePunct w:val="0"/>
        <w:autoSpaceDE/>
        <w:autoSpaceDN/>
        <w:bidi w:val="0"/>
        <w:adjustRightInd/>
        <w:spacing w:before="0" w:after="0" w:line="360" w:lineRule="auto"/>
        <w:ind w:firstLine="0" w:firstLineChars="0"/>
        <w:contextualSpacing/>
        <w:jc w:val="left"/>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6888B413">
      <w:pPr>
        <w:keepNext w:val="0"/>
        <w:keepLines w:val="0"/>
        <w:pageBreakBefore w:val="0"/>
        <w:widowControl w:val="0"/>
        <w:kinsoku/>
        <w:wordWrap/>
        <w:overflowPunct/>
        <w:topLinePunct w:val="0"/>
        <w:autoSpaceDE/>
        <w:autoSpaceDN/>
        <w:bidi w:val="0"/>
        <w:adjustRightInd/>
        <w:spacing w:line="360" w:lineRule="auto"/>
        <w:ind w:right="480" w:firstLine="0" w:firstLineChars="0"/>
        <w:contextualSpacing/>
        <w:jc w:val="left"/>
        <w:textAlignment w:val="auto"/>
        <w:rPr>
          <w:rFonts w:hint="eastAsia" w:ascii="宋体" w:hAnsi="宋体"/>
          <w:color w:val="auto"/>
          <w:sz w:val="24"/>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2B9FC1E">
      <w:pPr>
        <w:keepNext w:val="0"/>
        <w:keepLines w:val="0"/>
        <w:pageBreakBefore w:val="0"/>
        <w:widowControl w:val="0"/>
        <w:kinsoku/>
        <w:wordWrap/>
        <w:overflowPunct/>
        <w:topLinePunct w:val="0"/>
        <w:autoSpaceDE/>
        <w:autoSpaceDN/>
        <w:bidi w:val="0"/>
        <w:adjustRightInd/>
        <w:spacing w:line="360" w:lineRule="auto"/>
        <w:ind w:right="480" w:firstLine="0" w:firstLineChars="0"/>
        <w:contextualSpacing/>
        <w:jc w:val="left"/>
        <w:textAlignment w:val="auto"/>
        <w:rPr>
          <w:rFonts w:ascii="宋体" w:hAnsi="宋体"/>
          <w:color w:val="auto"/>
          <w:sz w:val="24"/>
          <w:szCs w:val="20"/>
          <w:highlight w:val="none"/>
        </w:rPr>
      </w:pPr>
      <w:r>
        <w:rPr>
          <w:rFonts w:hint="eastAsia" w:ascii="宋体" w:hAnsi="宋体"/>
          <w:color w:val="auto"/>
          <w:sz w:val="24"/>
          <w:highlight w:val="none"/>
        </w:rPr>
        <w:t>年    月    日</w:t>
      </w:r>
    </w:p>
    <w:p w14:paraId="341C9478">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left"/>
        <w:textAlignment w:val="auto"/>
        <w:rPr>
          <w:rFonts w:ascii="方正小标宋简体" w:hAnsi="方正小标宋简体" w:eastAsia="方正小标宋简体" w:cs="方正小标宋简体"/>
          <w:bCs/>
          <w:color w:val="auto"/>
          <w:szCs w:val="21"/>
          <w:highlight w:val="none"/>
        </w:rPr>
      </w:pPr>
      <w:r>
        <w:rPr>
          <w:rFonts w:ascii="宋体" w:hAnsi="宋体"/>
          <w:color w:val="auto"/>
          <w:sz w:val="24"/>
          <w:highlight w:val="none"/>
        </w:rPr>
        <w:br w:type="page"/>
      </w:r>
      <w:r>
        <w:rPr>
          <w:rFonts w:hint="eastAsia" w:ascii="宋体" w:hAnsi="宋体"/>
          <w:b/>
          <w:color w:val="auto"/>
          <w:sz w:val="24"/>
          <w:highlight w:val="none"/>
        </w:rPr>
        <w:t>8. 代理服务费承诺书</w:t>
      </w:r>
    </w:p>
    <w:p w14:paraId="0AB99598">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left"/>
        <w:textAlignment w:val="auto"/>
        <w:rPr>
          <w:rFonts w:ascii="方正小标宋简体" w:hAnsi="方正小标宋简体" w:eastAsia="方正小标宋简体" w:cs="方正小标宋简体"/>
          <w:bCs/>
          <w:color w:val="auto"/>
          <w:szCs w:val="21"/>
          <w:highlight w:val="none"/>
        </w:rPr>
      </w:pPr>
    </w:p>
    <w:p w14:paraId="4028A284">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方正小标宋简体" w:hAnsi="方正小标宋简体" w:eastAsia="方正小标宋简体" w:cs="方正小标宋简体"/>
          <w:bCs/>
          <w:color w:val="auto"/>
          <w:sz w:val="44"/>
          <w:szCs w:val="44"/>
          <w:highlight w:val="none"/>
        </w:rPr>
      </w:pPr>
      <w:r>
        <w:rPr>
          <w:rFonts w:hint="eastAsia" w:ascii="宋体" w:hAnsi="宋体" w:cs="宋体"/>
          <w:bCs/>
          <w:color w:val="auto"/>
          <w:sz w:val="44"/>
          <w:szCs w:val="44"/>
          <w:highlight w:val="none"/>
        </w:rPr>
        <w:t>代理服务费承诺书</w:t>
      </w:r>
    </w:p>
    <w:p w14:paraId="39DE7BD4">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center"/>
        <w:textAlignment w:val="auto"/>
        <w:rPr>
          <w:rFonts w:ascii="宋体" w:hAnsi="宋体"/>
          <w:b/>
          <w:color w:val="auto"/>
          <w:sz w:val="24"/>
          <w:highlight w:val="none"/>
        </w:rPr>
      </w:pPr>
    </w:p>
    <w:p w14:paraId="49904C9B">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56B595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790671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1.我方承诺，若本单位中标，保证在发出中标通知书之后，按本项目招标文件的规定标准向贵单位一次性足额支付代理服务费</w:t>
      </w:r>
      <w:r>
        <w:rPr>
          <w:rFonts w:hint="eastAsia" w:ascii="宋体" w:hAnsi="宋体"/>
          <w:color w:val="auto"/>
          <w:sz w:val="24"/>
          <w:highlight w:val="none"/>
          <w:lang w:eastAsia="zh-CN"/>
        </w:rPr>
        <w:t>，</w:t>
      </w:r>
      <w:r>
        <w:rPr>
          <w:rFonts w:hint="eastAsia" w:ascii="宋体" w:hAnsi="宋体"/>
          <w:color w:val="auto"/>
          <w:sz w:val="24"/>
          <w:highlight w:val="none"/>
        </w:rPr>
        <w:t>在领取中标通知书后，由于被质疑、投诉或者其他原因而导致中标结果改变，我方将放弃对已缴纳的中标服务费追还的一切权利。</w:t>
      </w:r>
    </w:p>
    <w:p w14:paraId="3DAE32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664770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75A98E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E36D2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BE698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7E1A35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FD3A0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53D82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eastAsia="zh-CN"/>
        </w:rPr>
        <w:t>国家税务局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44E2A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eastAsia="zh-CN"/>
        </w:rPr>
        <w:t>国家税务局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903AC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AF065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2D790D5">
      <w:pPr>
        <w:keepNext w:val="0"/>
        <w:keepLines w:val="0"/>
        <w:pageBreakBefore w:val="0"/>
        <w:widowControl w:val="0"/>
        <w:kinsoku/>
        <w:wordWrap/>
        <w:overflowPunct/>
        <w:topLinePunct w:val="0"/>
        <w:autoSpaceDE/>
        <w:autoSpaceDN/>
        <w:bidi w:val="0"/>
        <w:adjustRightInd/>
        <w:spacing w:line="440" w:lineRule="exact"/>
        <w:ind w:firstLine="0" w:firstLineChars="0"/>
        <w:textAlignment w:val="auto"/>
        <w:rPr>
          <w:rFonts w:ascii="宋体" w:hAnsi="宋体"/>
          <w:color w:val="auto"/>
          <w:sz w:val="24"/>
          <w:highlight w:val="none"/>
        </w:rPr>
      </w:pPr>
    </w:p>
    <w:p w14:paraId="0BCCFFF1">
      <w:pPr>
        <w:keepNext w:val="0"/>
        <w:keepLines w:val="0"/>
        <w:pageBreakBefore w:val="0"/>
        <w:widowControl w:val="0"/>
        <w:kinsoku/>
        <w:wordWrap/>
        <w:overflowPunct/>
        <w:topLinePunct w:val="0"/>
        <w:autoSpaceDE/>
        <w:autoSpaceDN/>
        <w:bidi w:val="0"/>
        <w:adjustRightInd/>
        <w:spacing w:line="440" w:lineRule="exact"/>
        <w:ind w:firstLine="0" w:firstLineChars="0"/>
        <w:textAlignment w:val="auto"/>
        <w:rPr>
          <w:rFonts w:ascii="宋体" w:hAnsi="宋体"/>
          <w:color w:val="auto"/>
          <w:sz w:val="24"/>
          <w:highlight w:val="none"/>
        </w:rPr>
      </w:pPr>
    </w:p>
    <w:p w14:paraId="1B27010B">
      <w:pPr>
        <w:keepNext w:val="0"/>
        <w:keepLines w:val="0"/>
        <w:pageBreakBefore w:val="0"/>
        <w:widowControl w:val="0"/>
        <w:kinsoku/>
        <w:wordWrap/>
        <w:overflowPunct/>
        <w:topLinePunct w:val="0"/>
        <w:autoSpaceDE/>
        <w:autoSpaceDN/>
        <w:bidi w:val="0"/>
        <w:adjustRightInd/>
        <w:spacing w:line="440" w:lineRule="exact"/>
        <w:ind w:firstLine="0" w:firstLineChars="0"/>
        <w:textAlignment w:val="auto"/>
        <w:rPr>
          <w:rFonts w:ascii="宋体" w:hAnsi="宋体"/>
          <w:color w:val="auto"/>
          <w:sz w:val="24"/>
          <w:highlight w:val="none"/>
        </w:rPr>
      </w:pPr>
    </w:p>
    <w:p w14:paraId="454650D9">
      <w:pPr>
        <w:keepNext w:val="0"/>
        <w:keepLines w:val="0"/>
        <w:pageBreakBefore w:val="0"/>
        <w:widowControl w:val="0"/>
        <w:kinsoku/>
        <w:wordWrap/>
        <w:overflowPunct/>
        <w:topLinePunct w:val="0"/>
        <w:autoSpaceDE/>
        <w:autoSpaceDN/>
        <w:bidi w:val="0"/>
        <w:adjustRightInd/>
        <w:snapToGrid w:val="0"/>
        <w:spacing w:line="360" w:lineRule="auto"/>
        <w:ind w:left="-2" w:leftChars="-1" w:right="-817" w:rightChars="-389" w:firstLine="0" w:firstLineChars="0"/>
        <w:textAlignment w:val="auto"/>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p>
    <w:p w14:paraId="73D66717">
      <w:pPr>
        <w:keepNext w:val="0"/>
        <w:keepLines w:val="0"/>
        <w:pageBreakBefore w:val="0"/>
        <w:widowControl w:val="0"/>
        <w:kinsoku/>
        <w:wordWrap/>
        <w:overflowPunct/>
        <w:topLinePunct w:val="0"/>
        <w:autoSpaceDE/>
        <w:autoSpaceDN/>
        <w:bidi w:val="0"/>
        <w:adjustRightInd/>
        <w:snapToGrid w:val="0"/>
        <w:spacing w:line="360" w:lineRule="auto"/>
        <w:ind w:left="-31" w:leftChars="-15" w:right="-817" w:rightChars="-389" w:firstLine="0" w:firstLineChars="0"/>
        <w:textAlignment w:val="auto"/>
        <w:rPr>
          <w:rFonts w:ascii="宋体" w:hAnsi="宋体"/>
          <w:color w:val="auto"/>
          <w:sz w:val="24"/>
          <w:highlight w:val="none"/>
          <w:u w:val="singl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588A89B9">
      <w:pPr>
        <w:keepNext w:val="0"/>
        <w:keepLines w:val="0"/>
        <w:pageBreakBefore w:val="0"/>
        <w:widowControl w:val="0"/>
        <w:kinsoku/>
        <w:wordWrap/>
        <w:overflowPunct/>
        <w:topLinePunct w:val="0"/>
        <w:autoSpaceDE/>
        <w:autoSpaceDN/>
        <w:bidi w:val="0"/>
        <w:adjustRightInd/>
        <w:snapToGrid w:val="0"/>
        <w:spacing w:line="360" w:lineRule="auto"/>
        <w:ind w:right="480" w:firstLine="0" w:firstLineChars="0"/>
        <w:jc w:val="left"/>
        <w:textAlignment w:val="auto"/>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12F1E24">
      <w:pPr>
        <w:snapToGrid w:val="0"/>
        <w:spacing w:line="360" w:lineRule="auto"/>
        <w:ind w:right="480" w:firstLine="240" w:firstLineChars="100"/>
        <w:jc w:val="left"/>
        <w:rPr>
          <w:rFonts w:ascii="宋体" w:hAnsi="宋体"/>
          <w:color w:val="auto"/>
          <w:sz w:val="24"/>
          <w:highlight w:val="none"/>
        </w:rPr>
      </w:pPr>
    </w:p>
    <w:p w14:paraId="632C44EA">
      <w:pPr>
        <w:snapToGrid w:val="0"/>
        <w:spacing w:before="120" w:beforeLines="50"/>
        <w:ind w:firstLine="480"/>
        <w:rPr>
          <w:rFonts w:ascii="宋体" w:hAnsi="宋体"/>
          <w:color w:val="auto"/>
          <w:sz w:val="24"/>
          <w:szCs w:val="20"/>
          <w:highlight w:val="none"/>
        </w:rPr>
        <w:sectPr>
          <w:pgSz w:w="11911" w:h="16838"/>
          <w:pgMar w:top="1440" w:right="1803" w:bottom="1440" w:left="1803" w:header="720" w:footer="720" w:gutter="0"/>
          <w:pgNumType w:fmt="decimal"/>
          <w:cols w:space="0" w:num="1"/>
          <w:titlePg/>
          <w:rtlGutter w:val="0"/>
          <w:docGrid w:linePitch="312" w:charSpace="0"/>
        </w:sectPr>
      </w:pPr>
    </w:p>
    <w:p w14:paraId="0B9176E3">
      <w:pPr>
        <w:keepNext w:val="0"/>
        <w:keepLines w:val="0"/>
        <w:pageBreakBefore w:val="0"/>
        <w:widowControl w:val="0"/>
        <w:kinsoku/>
        <w:wordWrap/>
        <w:overflowPunct/>
        <w:topLinePunct w:val="0"/>
        <w:autoSpaceDE/>
        <w:autoSpaceDN/>
        <w:bidi w:val="0"/>
        <w:adjustRightInd/>
        <w:snapToGrid w:val="0"/>
        <w:spacing w:before="120" w:beforeLines="50" w:after="50"/>
        <w:ind w:firstLine="0"/>
        <w:jc w:val="left"/>
        <w:textAlignment w:val="auto"/>
        <w:rPr>
          <w:rFonts w:ascii="宋体" w:hAnsi="宋体"/>
          <w:b/>
          <w:color w:val="auto"/>
          <w:sz w:val="24"/>
          <w:highlight w:val="none"/>
        </w:rPr>
      </w:pPr>
      <w:r>
        <w:rPr>
          <w:rFonts w:hint="eastAsia" w:ascii="宋体" w:hAnsi="宋体"/>
          <w:b/>
          <w:color w:val="auto"/>
          <w:sz w:val="24"/>
          <w:highlight w:val="none"/>
        </w:rPr>
        <w:t>9.技术要求偏离表格式</w:t>
      </w:r>
    </w:p>
    <w:p w14:paraId="6B54D4F6">
      <w:pPr>
        <w:keepNext w:val="0"/>
        <w:keepLines w:val="0"/>
        <w:pageBreakBefore w:val="0"/>
        <w:widowControl w:val="0"/>
        <w:kinsoku/>
        <w:wordWrap/>
        <w:overflowPunct/>
        <w:topLinePunct w:val="0"/>
        <w:autoSpaceDE/>
        <w:autoSpaceDN/>
        <w:bidi w:val="0"/>
        <w:adjustRightInd/>
        <w:snapToGrid w:val="0"/>
        <w:spacing w:before="120" w:beforeLines="50" w:after="50"/>
        <w:ind w:left="142" w:firstLine="0"/>
        <w:jc w:val="left"/>
        <w:textAlignment w:val="auto"/>
        <w:rPr>
          <w:rFonts w:ascii="宋体" w:hAnsi="宋体"/>
          <w:b/>
          <w:color w:val="auto"/>
          <w:sz w:val="24"/>
          <w:highlight w:val="none"/>
        </w:rPr>
      </w:pPr>
    </w:p>
    <w:p w14:paraId="4DBEA824">
      <w:pPr>
        <w:keepNext w:val="0"/>
        <w:keepLines w:val="0"/>
        <w:pageBreakBefore w:val="0"/>
        <w:widowControl w:val="0"/>
        <w:kinsoku/>
        <w:wordWrap/>
        <w:overflowPunct/>
        <w:topLinePunct w:val="0"/>
        <w:autoSpaceDE/>
        <w:autoSpaceDN/>
        <w:bidi w:val="0"/>
        <w:adjustRightInd/>
        <w:snapToGrid w:val="0"/>
        <w:spacing w:before="120" w:beforeLines="50" w:after="50"/>
        <w:ind w:left="142" w:firstLine="0"/>
        <w:jc w:val="center"/>
        <w:textAlignment w:val="auto"/>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4A23D3CF">
      <w:pPr>
        <w:pStyle w:val="23"/>
        <w:keepNext w:val="0"/>
        <w:keepLines w:val="0"/>
        <w:pageBreakBefore w:val="0"/>
        <w:widowControl w:val="0"/>
        <w:kinsoku/>
        <w:wordWrap/>
        <w:overflowPunct/>
        <w:topLinePunct w:val="0"/>
        <w:autoSpaceDE/>
        <w:autoSpaceDN/>
        <w:bidi w:val="0"/>
        <w:adjustRightInd/>
        <w:ind w:firstLine="0"/>
        <w:textAlignment w:val="auto"/>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DF2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2ABE79FF">
            <w:pPr>
              <w:pStyle w:val="23"/>
              <w:keepNext w:val="0"/>
              <w:keepLines w:val="0"/>
              <w:pageBreakBefore w:val="0"/>
              <w:widowControl w:val="0"/>
              <w:kinsoku/>
              <w:wordWrap/>
              <w:overflowPunct/>
              <w:topLinePunct w:val="0"/>
              <w:autoSpaceDE/>
              <w:autoSpaceDN/>
              <w:bidi w:val="0"/>
              <w:adjustRightInd/>
              <w:spacing w:line="400" w:lineRule="exact"/>
              <w:ind w:firstLine="0"/>
              <w:jc w:val="center"/>
              <w:textAlignment w:val="auto"/>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5F90D8C1">
            <w:pPr>
              <w:pStyle w:val="23"/>
              <w:keepNext w:val="0"/>
              <w:keepLines w:val="0"/>
              <w:pageBreakBefore w:val="0"/>
              <w:widowControl w:val="0"/>
              <w:kinsoku/>
              <w:wordWrap/>
              <w:overflowPunct/>
              <w:topLinePunct w:val="0"/>
              <w:autoSpaceDE/>
              <w:autoSpaceDN/>
              <w:bidi w:val="0"/>
              <w:adjustRightInd/>
              <w:spacing w:line="400" w:lineRule="exact"/>
              <w:ind w:firstLine="0"/>
              <w:jc w:val="center"/>
              <w:textAlignment w:val="auto"/>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2A118590">
            <w:pPr>
              <w:pStyle w:val="23"/>
              <w:keepNext w:val="0"/>
              <w:keepLines w:val="0"/>
              <w:pageBreakBefore w:val="0"/>
              <w:widowControl w:val="0"/>
              <w:kinsoku/>
              <w:wordWrap/>
              <w:overflowPunct/>
              <w:topLinePunct w:val="0"/>
              <w:autoSpaceDE/>
              <w:autoSpaceDN/>
              <w:bidi w:val="0"/>
              <w:adjustRightInd/>
              <w:spacing w:line="400" w:lineRule="exact"/>
              <w:ind w:firstLine="0"/>
              <w:jc w:val="center"/>
              <w:textAlignment w:val="auto"/>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22D29C58">
            <w:pPr>
              <w:pStyle w:val="23"/>
              <w:keepNext w:val="0"/>
              <w:keepLines w:val="0"/>
              <w:pageBreakBefore w:val="0"/>
              <w:widowControl w:val="0"/>
              <w:kinsoku/>
              <w:wordWrap/>
              <w:overflowPunct/>
              <w:topLinePunct w:val="0"/>
              <w:autoSpaceDE/>
              <w:autoSpaceDN/>
              <w:bidi w:val="0"/>
              <w:adjustRightInd/>
              <w:spacing w:line="400" w:lineRule="exact"/>
              <w:ind w:firstLine="0"/>
              <w:jc w:val="center"/>
              <w:textAlignment w:val="auto"/>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66548BCC">
            <w:pPr>
              <w:pStyle w:val="23"/>
              <w:keepNext w:val="0"/>
              <w:keepLines w:val="0"/>
              <w:pageBreakBefore w:val="0"/>
              <w:widowControl w:val="0"/>
              <w:kinsoku/>
              <w:wordWrap/>
              <w:overflowPunct/>
              <w:topLinePunct w:val="0"/>
              <w:autoSpaceDE/>
              <w:autoSpaceDN/>
              <w:bidi w:val="0"/>
              <w:adjustRightInd/>
              <w:spacing w:line="400" w:lineRule="exact"/>
              <w:ind w:firstLine="0"/>
              <w:jc w:val="center"/>
              <w:textAlignment w:val="auto"/>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5DA0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9BC5E61">
            <w:pPr>
              <w:pStyle w:val="23"/>
              <w:keepNext w:val="0"/>
              <w:keepLines w:val="0"/>
              <w:pageBreakBefore w:val="0"/>
              <w:widowControl w:val="0"/>
              <w:kinsoku/>
              <w:wordWrap/>
              <w:overflowPunct/>
              <w:topLinePunct w:val="0"/>
              <w:autoSpaceDE/>
              <w:autoSpaceDN/>
              <w:bidi w:val="0"/>
              <w:adjustRightInd/>
              <w:spacing w:line="600" w:lineRule="exact"/>
              <w:ind w:firstLine="0"/>
              <w:jc w:val="center"/>
              <w:textAlignment w:val="auto"/>
              <w:rPr>
                <w:rFonts w:hAnsi="宋体" w:cs="Courier New"/>
                <w:color w:val="auto"/>
                <w:kern w:val="2"/>
                <w:sz w:val="24"/>
                <w:szCs w:val="24"/>
                <w:highlight w:val="none"/>
              </w:rPr>
            </w:pPr>
          </w:p>
        </w:tc>
        <w:tc>
          <w:tcPr>
            <w:tcW w:w="2143" w:type="dxa"/>
            <w:vAlign w:val="center"/>
          </w:tcPr>
          <w:p w14:paraId="19EF1ED6">
            <w:pPr>
              <w:pStyle w:val="23"/>
              <w:keepNext w:val="0"/>
              <w:keepLines w:val="0"/>
              <w:pageBreakBefore w:val="0"/>
              <w:widowControl w:val="0"/>
              <w:kinsoku/>
              <w:wordWrap/>
              <w:overflowPunct/>
              <w:topLinePunct w:val="0"/>
              <w:autoSpaceDE/>
              <w:autoSpaceDN/>
              <w:bidi w:val="0"/>
              <w:adjustRightInd/>
              <w:spacing w:line="600" w:lineRule="exact"/>
              <w:ind w:firstLine="0"/>
              <w:jc w:val="center"/>
              <w:textAlignment w:val="auto"/>
              <w:rPr>
                <w:rFonts w:hAnsi="宋体" w:cs="Courier New"/>
                <w:color w:val="auto"/>
                <w:kern w:val="2"/>
                <w:sz w:val="24"/>
                <w:szCs w:val="24"/>
                <w:highlight w:val="none"/>
              </w:rPr>
            </w:pPr>
          </w:p>
        </w:tc>
        <w:tc>
          <w:tcPr>
            <w:tcW w:w="1834" w:type="dxa"/>
            <w:vAlign w:val="center"/>
          </w:tcPr>
          <w:p w14:paraId="149DBE63">
            <w:pPr>
              <w:pStyle w:val="23"/>
              <w:keepNext w:val="0"/>
              <w:keepLines w:val="0"/>
              <w:pageBreakBefore w:val="0"/>
              <w:widowControl w:val="0"/>
              <w:kinsoku/>
              <w:wordWrap/>
              <w:overflowPunct/>
              <w:topLinePunct w:val="0"/>
              <w:autoSpaceDE/>
              <w:autoSpaceDN/>
              <w:bidi w:val="0"/>
              <w:adjustRightInd/>
              <w:spacing w:line="600" w:lineRule="exact"/>
              <w:ind w:firstLine="0"/>
              <w:jc w:val="center"/>
              <w:textAlignment w:val="auto"/>
              <w:rPr>
                <w:rFonts w:hAnsi="宋体" w:cs="Courier New"/>
                <w:color w:val="auto"/>
                <w:kern w:val="2"/>
                <w:sz w:val="24"/>
                <w:szCs w:val="24"/>
                <w:highlight w:val="none"/>
              </w:rPr>
            </w:pPr>
          </w:p>
        </w:tc>
        <w:tc>
          <w:tcPr>
            <w:tcW w:w="2181" w:type="dxa"/>
            <w:vAlign w:val="center"/>
          </w:tcPr>
          <w:p w14:paraId="71A5E83E">
            <w:pPr>
              <w:pStyle w:val="23"/>
              <w:keepNext w:val="0"/>
              <w:keepLines w:val="0"/>
              <w:pageBreakBefore w:val="0"/>
              <w:widowControl w:val="0"/>
              <w:kinsoku/>
              <w:wordWrap/>
              <w:overflowPunct/>
              <w:topLinePunct w:val="0"/>
              <w:autoSpaceDE/>
              <w:autoSpaceDN/>
              <w:bidi w:val="0"/>
              <w:adjustRightInd/>
              <w:spacing w:line="600" w:lineRule="exact"/>
              <w:ind w:firstLine="0"/>
              <w:jc w:val="center"/>
              <w:textAlignment w:val="auto"/>
              <w:rPr>
                <w:rFonts w:hAnsi="宋体" w:cs="Courier New"/>
                <w:color w:val="auto"/>
                <w:kern w:val="2"/>
                <w:sz w:val="24"/>
                <w:szCs w:val="24"/>
                <w:highlight w:val="none"/>
              </w:rPr>
            </w:pPr>
          </w:p>
        </w:tc>
        <w:tc>
          <w:tcPr>
            <w:tcW w:w="1934" w:type="dxa"/>
            <w:vAlign w:val="center"/>
          </w:tcPr>
          <w:p w14:paraId="33CA59F8">
            <w:pPr>
              <w:pStyle w:val="23"/>
              <w:keepNext w:val="0"/>
              <w:keepLines w:val="0"/>
              <w:pageBreakBefore w:val="0"/>
              <w:widowControl w:val="0"/>
              <w:kinsoku/>
              <w:wordWrap/>
              <w:overflowPunct/>
              <w:topLinePunct w:val="0"/>
              <w:autoSpaceDE/>
              <w:autoSpaceDN/>
              <w:bidi w:val="0"/>
              <w:adjustRightInd/>
              <w:spacing w:line="600" w:lineRule="exact"/>
              <w:ind w:firstLine="0"/>
              <w:jc w:val="center"/>
              <w:textAlignment w:val="auto"/>
              <w:rPr>
                <w:rFonts w:hAnsi="宋体" w:cs="Courier New"/>
                <w:color w:val="auto"/>
                <w:kern w:val="2"/>
                <w:sz w:val="24"/>
                <w:szCs w:val="24"/>
                <w:highlight w:val="none"/>
              </w:rPr>
            </w:pPr>
          </w:p>
        </w:tc>
      </w:tr>
      <w:tr w14:paraId="0AE9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B1D8092">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2143" w:type="dxa"/>
          </w:tcPr>
          <w:p w14:paraId="01C350AF">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1834" w:type="dxa"/>
          </w:tcPr>
          <w:p w14:paraId="274A17F9">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2181" w:type="dxa"/>
          </w:tcPr>
          <w:p w14:paraId="42D89A79">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1934" w:type="dxa"/>
          </w:tcPr>
          <w:p w14:paraId="604D57A0">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r>
      <w:tr w14:paraId="53D3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DDAEE07">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2143" w:type="dxa"/>
          </w:tcPr>
          <w:p w14:paraId="3D449B56">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1834" w:type="dxa"/>
          </w:tcPr>
          <w:p w14:paraId="2967942F">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2181" w:type="dxa"/>
          </w:tcPr>
          <w:p w14:paraId="5D2EF47A">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1934" w:type="dxa"/>
          </w:tcPr>
          <w:p w14:paraId="30FCDF1E">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r>
      <w:tr w14:paraId="0557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7283C3D">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2143" w:type="dxa"/>
          </w:tcPr>
          <w:p w14:paraId="3B28ADA1">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1834" w:type="dxa"/>
          </w:tcPr>
          <w:p w14:paraId="38BC5445">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2181" w:type="dxa"/>
          </w:tcPr>
          <w:p w14:paraId="5F2DA84E">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1934" w:type="dxa"/>
          </w:tcPr>
          <w:p w14:paraId="32ACDA98">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r>
      <w:tr w14:paraId="623C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70DCFC6">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2143" w:type="dxa"/>
          </w:tcPr>
          <w:p w14:paraId="152D8E91">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1834" w:type="dxa"/>
          </w:tcPr>
          <w:p w14:paraId="236D53A4">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2181" w:type="dxa"/>
          </w:tcPr>
          <w:p w14:paraId="42F15242">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1934" w:type="dxa"/>
          </w:tcPr>
          <w:p w14:paraId="330D3D50">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r>
      <w:tr w14:paraId="7071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E4757E3">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2143" w:type="dxa"/>
          </w:tcPr>
          <w:p w14:paraId="41BD032C">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1834" w:type="dxa"/>
          </w:tcPr>
          <w:p w14:paraId="3E27640F">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2181" w:type="dxa"/>
          </w:tcPr>
          <w:p w14:paraId="372F60DC">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1934" w:type="dxa"/>
          </w:tcPr>
          <w:p w14:paraId="61F6056B">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r>
      <w:tr w14:paraId="6EA2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A9ECEB8">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2143" w:type="dxa"/>
          </w:tcPr>
          <w:p w14:paraId="1C3F0567">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1834" w:type="dxa"/>
          </w:tcPr>
          <w:p w14:paraId="0C9D0AAD">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2181" w:type="dxa"/>
          </w:tcPr>
          <w:p w14:paraId="4B28394C">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c>
          <w:tcPr>
            <w:tcW w:w="1934" w:type="dxa"/>
          </w:tcPr>
          <w:p w14:paraId="2D921D87">
            <w:pPr>
              <w:pStyle w:val="23"/>
              <w:keepNext w:val="0"/>
              <w:keepLines w:val="0"/>
              <w:pageBreakBefore w:val="0"/>
              <w:widowControl w:val="0"/>
              <w:kinsoku/>
              <w:wordWrap/>
              <w:overflowPunct/>
              <w:topLinePunct w:val="0"/>
              <w:autoSpaceDE/>
              <w:autoSpaceDN/>
              <w:bidi w:val="0"/>
              <w:adjustRightInd/>
              <w:spacing w:line="600" w:lineRule="exact"/>
              <w:ind w:firstLine="0"/>
              <w:textAlignment w:val="auto"/>
              <w:rPr>
                <w:rFonts w:hAnsi="宋体" w:cs="Courier New"/>
                <w:color w:val="auto"/>
                <w:kern w:val="2"/>
                <w:sz w:val="24"/>
                <w:szCs w:val="24"/>
                <w:highlight w:val="none"/>
              </w:rPr>
            </w:pPr>
          </w:p>
        </w:tc>
      </w:tr>
    </w:tbl>
    <w:p w14:paraId="3B08D32C">
      <w:pPr>
        <w:pStyle w:val="16"/>
        <w:keepNext w:val="0"/>
        <w:keepLines w:val="0"/>
        <w:pageBreakBefore w:val="0"/>
        <w:widowControl w:val="0"/>
        <w:kinsoku/>
        <w:wordWrap/>
        <w:overflowPunct/>
        <w:topLinePunct w:val="0"/>
        <w:autoSpaceDE/>
        <w:autoSpaceDN/>
        <w:bidi w:val="0"/>
        <w:adjustRightInd/>
        <w:spacing w:line="360" w:lineRule="auto"/>
        <w:ind w:firstLine="0"/>
        <w:contextualSpacing/>
        <w:textAlignment w:val="auto"/>
        <w:rPr>
          <w:rFonts w:ascii="宋体" w:hAnsi="宋体"/>
          <w:color w:val="auto"/>
          <w:highlight w:val="none"/>
        </w:rPr>
      </w:pPr>
      <w:r>
        <w:rPr>
          <w:rFonts w:hint="eastAsia" w:ascii="宋体" w:hAnsi="宋体"/>
          <w:color w:val="auto"/>
          <w:highlight w:val="none"/>
        </w:rPr>
        <w:t>注：</w:t>
      </w:r>
    </w:p>
    <w:p w14:paraId="1503C1E8">
      <w:pPr>
        <w:pStyle w:val="18"/>
        <w:keepNext w:val="0"/>
        <w:keepLines w:val="0"/>
        <w:pageBreakBefore w:val="0"/>
        <w:widowControl w:val="0"/>
        <w:kinsoku/>
        <w:wordWrap/>
        <w:overflowPunct/>
        <w:topLinePunct w:val="0"/>
        <w:autoSpaceDE/>
        <w:autoSpaceDN/>
        <w:bidi w:val="0"/>
        <w:adjustRightInd/>
        <w:spacing w:line="360" w:lineRule="auto"/>
        <w:ind w:firstLine="0" w:firstLineChars="0"/>
        <w:contextualSpacing/>
        <w:textAlignment w:val="auto"/>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04EB2997">
      <w:pPr>
        <w:pStyle w:val="16"/>
        <w:keepNext w:val="0"/>
        <w:keepLines w:val="0"/>
        <w:pageBreakBefore w:val="0"/>
        <w:widowControl w:val="0"/>
        <w:kinsoku/>
        <w:wordWrap/>
        <w:overflowPunct/>
        <w:topLinePunct w:val="0"/>
        <w:autoSpaceDE/>
        <w:autoSpaceDN/>
        <w:bidi w:val="0"/>
        <w:adjustRightInd/>
        <w:spacing w:line="360" w:lineRule="auto"/>
        <w:ind w:firstLine="0"/>
        <w:contextualSpacing/>
        <w:textAlignment w:val="auto"/>
        <w:rPr>
          <w:rFonts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0E93D65">
      <w:pPr>
        <w:pStyle w:val="16"/>
        <w:keepNext w:val="0"/>
        <w:keepLines w:val="0"/>
        <w:pageBreakBefore w:val="0"/>
        <w:widowControl w:val="0"/>
        <w:kinsoku/>
        <w:wordWrap/>
        <w:overflowPunct/>
        <w:topLinePunct w:val="0"/>
        <w:autoSpaceDE/>
        <w:autoSpaceDN/>
        <w:bidi w:val="0"/>
        <w:adjustRightInd/>
        <w:spacing w:line="360" w:lineRule="auto"/>
        <w:ind w:firstLine="0"/>
        <w:contextualSpacing/>
        <w:textAlignment w:val="auto"/>
        <w:rPr>
          <w:rFonts w:ascii="宋体" w:hAnsi="宋体"/>
          <w:color w:val="auto"/>
          <w:spacing w:val="20"/>
          <w:highlight w:val="none"/>
        </w:rPr>
      </w:pPr>
    </w:p>
    <w:p w14:paraId="4140E65E">
      <w:pPr>
        <w:keepNext w:val="0"/>
        <w:keepLines w:val="0"/>
        <w:pageBreakBefore w:val="0"/>
        <w:widowControl w:val="0"/>
        <w:kinsoku/>
        <w:wordWrap/>
        <w:overflowPunct/>
        <w:topLinePunct w:val="0"/>
        <w:autoSpaceDE/>
        <w:autoSpaceDN/>
        <w:bidi w:val="0"/>
        <w:adjustRightInd/>
        <w:spacing w:line="360" w:lineRule="auto"/>
        <w:ind w:firstLine="0"/>
        <w:contextualSpacing/>
        <w:textAlignment w:val="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34DCC75">
      <w:pPr>
        <w:keepNext w:val="0"/>
        <w:keepLines w:val="0"/>
        <w:pageBreakBefore w:val="0"/>
        <w:widowControl w:val="0"/>
        <w:kinsoku/>
        <w:wordWrap/>
        <w:overflowPunct/>
        <w:topLinePunct w:val="0"/>
        <w:autoSpaceDE/>
        <w:autoSpaceDN/>
        <w:bidi w:val="0"/>
        <w:adjustRightInd/>
        <w:spacing w:line="360" w:lineRule="auto"/>
        <w:ind w:firstLine="0"/>
        <w:contextualSpacing/>
        <w:textAlignment w:val="auto"/>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222E0DA">
      <w:pPr>
        <w:keepNext w:val="0"/>
        <w:keepLines w:val="0"/>
        <w:pageBreakBefore w:val="0"/>
        <w:widowControl w:val="0"/>
        <w:kinsoku/>
        <w:wordWrap/>
        <w:overflowPunct/>
        <w:topLinePunct w:val="0"/>
        <w:autoSpaceDE/>
        <w:autoSpaceDN/>
        <w:bidi w:val="0"/>
        <w:adjustRightInd/>
        <w:spacing w:line="360" w:lineRule="auto"/>
        <w:ind w:firstLine="0"/>
        <w:contextualSpacing/>
        <w:textAlignment w:val="auto"/>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4429D24">
      <w:pPr>
        <w:spacing w:line="360" w:lineRule="auto"/>
        <w:ind w:firstLine="560"/>
        <w:contextualSpacing/>
        <w:rPr>
          <w:rFonts w:ascii="宋体" w:hAnsi="宋体"/>
          <w:color w:val="auto"/>
          <w:spacing w:val="20"/>
          <w:sz w:val="24"/>
          <w:highlight w:val="none"/>
          <w:u w:val="single"/>
        </w:rPr>
      </w:pPr>
    </w:p>
    <w:p w14:paraId="2B3DF797">
      <w:pPr>
        <w:keepNext w:val="0"/>
        <w:keepLines w:val="0"/>
        <w:pageBreakBefore w:val="0"/>
        <w:widowControl w:val="0"/>
        <w:kinsoku/>
        <w:wordWrap/>
        <w:overflowPunct/>
        <w:topLinePunct w:val="0"/>
        <w:autoSpaceDE/>
        <w:autoSpaceDN/>
        <w:bidi w:val="0"/>
        <w:adjustRightInd/>
        <w:snapToGrid w:val="0"/>
        <w:spacing w:before="120" w:beforeLines="50" w:after="50"/>
        <w:ind w:left="142" w:firstLine="0"/>
        <w:jc w:val="left"/>
        <w:textAlignment w:val="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10.项目实施人员一览表格式</w:t>
      </w:r>
    </w:p>
    <w:p w14:paraId="5006C744">
      <w:pPr>
        <w:keepNext w:val="0"/>
        <w:keepLines w:val="0"/>
        <w:pageBreakBefore w:val="0"/>
        <w:widowControl w:val="0"/>
        <w:kinsoku/>
        <w:wordWrap/>
        <w:overflowPunct/>
        <w:topLinePunct w:val="0"/>
        <w:autoSpaceDE/>
        <w:autoSpaceDN/>
        <w:bidi w:val="0"/>
        <w:adjustRightInd/>
        <w:snapToGrid w:val="0"/>
        <w:spacing w:before="120" w:beforeLines="50" w:after="50"/>
        <w:ind w:left="142" w:firstLine="0"/>
        <w:jc w:val="left"/>
        <w:textAlignment w:val="auto"/>
        <w:rPr>
          <w:rFonts w:ascii="宋体" w:hAnsi="宋体"/>
          <w:b/>
          <w:color w:val="auto"/>
          <w:sz w:val="24"/>
          <w:highlight w:val="none"/>
        </w:rPr>
      </w:pPr>
    </w:p>
    <w:p w14:paraId="76672558">
      <w:pPr>
        <w:keepNext w:val="0"/>
        <w:keepLines w:val="0"/>
        <w:pageBreakBefore w:val="0"/>
        <w:widowControl w:val="0"/>
        <w:kinsoku/>
        <w:wordWrap/>
        <w:overflowPunct/>
        <w:topLinePunct w:val="0"/>
        <w:autoSpaceDE/>
        <w:autoSpaceDN/>
        <w:bidi w:val="0"/>
        <w:adjustRightInd/>
        <w:snapToGrid w:val="0"/>
        <w:spacing w:before="120" w:beforeLines="50" w:after="50"/>
        <w:ind w:left="142" w:firstLine="0"/>
        <w:jc w:val="center"/>
        <w:textAlignment w:val="auto"/>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745D3F96">
      <w:pPr>
        <w:pStyle w:val="23"/>
        <w:keepNext w:val="0"/>
        <w:keepLines w:val="0"/>
        <w:pageBreakBefore w:val="0"/>
        <w:widowControl w:val="0"/>
        <w:kinsoku/>
        <w:wordWrap/>
        <w:overflowPunct/>
        <w:topLinePunct w:val="0"/>
        <w:autoSpaceDE/>
        <w:autoSpaceDN/>
        <w:bidi w:val="0"/>
        <w:adjustRightInd/>
        <w:ind w:firstLine="0"/>
        <w:textAlignment w:val="auto"/>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FB8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233189">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2EF5FFA2">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78B361A6">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07AE005E">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0D7412C9">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r>
              <w:rPr>
                <w:rFonts w:hint="eastAsia" w:ascii="宋体" w:hAnsi="宋体"/>
                <w:color w:val="auto"/>
                <w:sz w:val="24"/>
                <w:szCs w:val="20"/>
                <w:highlight w:val="none"/>
              </w:rPr>
              <w:t>参加本单位</w:t>
            </w:r>
          </w:p>
          <w:p w14:paraId="25F4D758">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68EA030C">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2CD8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B671964">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709" w:type="dxa"/>
            <w:vAlign w:val="center"/>
          </w:tcPr>
          <w:p w14:paraId="3B964BE6">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1701" w:type="dxa"/>
            <w:vAlign w:val="center"/>
          </w:tcPr>
          <w:p w14:paraId="1CDC5BF5">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1420" w:type="dxa"/>
            <w:vAlign w:val="center"/>
          </w:tcPr>
          <w:p w14:paraId="7DBA8B6F">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1698" w:type="dxa"/>
            <w:vAlign w:val="center"/>
          </w:tcPr>
          <w:p w14:paraId="2FB124D8">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1843" w:type="dxa"/>
            <w:vAlign w:val="center"/>
          </w:tcPr>
          <w:p w14:paraId="1973A691">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r>
      <w:tr w14:paraId="4C36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B0FD9CD">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709" w:type="dxa"/>
            <w:vAlign w:val="center"/>
          </w:tcPr>
          <w:p w14:paraId="45910190">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1701" w:type="dxa"/>
            <w:vAlign w:val="center"/>
          </w:tcPr>
          <w:p w14:paraId="5E81F68D">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1420" w:type="dxa"/>
            <w:vAlign w:val="center"/>
          </w:tcPr>
          <w:p w14:paraId="2D41B97E">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1698" w:type="dxa"/>
            <w:vAlign w:val="center"/>
          </w:tcPr>
          <w:p w14:paraId="3D3736F1">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1843" w:type="dxa"/>
            <w:vAlign w:val="center"/>
          </w:tcPr>
          <w:p w14:paraId="32F75F51">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r>
      <w:tr w14:paraId="05B8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1E2B07">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709" w:type="dxa"/>
            <w:vAlign w:val="center"/>
          </w:tcPr>
          <w:p w14:paraId="766DA569">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1701" w:type="dxa"/>
            <w:vAlign w:val="center"/>
          </w:tcPr>
          <w:p w14:paraId="7203EC74">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1420" w:type="dxa"/>
            <w:vAlign w:val="center"/>
          </w:tcPr>
          <w:p w14:paraId="1AE91470">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1698" w:type="dxa"/>
            <w:vAlign w:val="center"/>
          </w:tcPr>
          <w:p w14:paraId="1F0E6734">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c>
          <w:tcPr>
            <w:tcW w:w="1843" w:type="dxa"/>
            <w:vAlign w:val="center"/>
          </w:tcPr>
          <w:p w14:paraId="7BBB099C">
            <w:pPr>
              <w:keepNext w:val="0"/>
              <w:keepLines w:val="0"/>
              <w:pageBreakBefore w:val="0"/>
              <w:widowControl w:val="0"/>
              <w:kinsoku/>
              <w:wordWrap/>
              <w:overflowPunct/>
              <w:topLinePunct w:val="0"/>
              <w:autoSpaceDE/>
              <w:autoSpaceDN/>
              <w:bidi w:val="0"/>
              <w:adjustRightInd/>
              <w:snapToGrid w:val="0"/>
              <w:spacing w:before="50" w:after="120" w:afterLines="50"/>
              <w:ind w:firstLine="0"/>
              <w:jc w:val="center"/>
              <w:textAlignment w:val="auto"/>
              <w:rPr>
                <w:rFonts w:ascii="宋体" w:hAnsi="宋体"/>
                <w:color w:val="auto"/>
                <w:sz w:val="24"/>
                <w:szCs w:val="20"/>
                <w:highlight w:val="none"/>
              </w:rPr>
            </w:pPr>
          </w:p>
        </w:tc>
      </w:tr>
    </w:tbl>
    <w:p w14:paraId="646E007D">
      <w:pPr>
        <w:keepNext w:val="0"/>
        <w:keepLines w:val="0"/>
        <w:pageBreakBefore w:val="0"/>
        <w:widowControl w:val="0"/>
        <w:kinsoku/>
        <w:wordWrap/>
        <w:overflowPunct/>
        <w:topLinePunct w:val="0"/>
        <w:autoSpaceDE/>
        <w:autoSpaceDN/>
        <w:bidi w:val="0"/>
        <w:adjustRightInd/>
        <w:snapToGrid w:val="0"/>
        <w:spacing w:before="50" w:after="120" w:afterLines="50"/>
        <w:ind w:firstLine="0"/>
        <w:jc w:val="left"/>
        <w:textAlignment w:val="auto"/>
        <w:rPr>
          <w:rFonts w:ascii="宋体" w:hAnsi="宋体"/>
          <w:color w:val="auto"/>
          <w:sz w:val="24"/>
          <w:szCs w:val="20"/>
          <w:highlight w:val="none"/>
        </w:rPr>
      </w:pPr>
    </w:p>
    <w:p w14:paraId="72B49907">
      <w:pPr>
        <w:keepNext w:val="0"/>
        <w:keepLines w:val="0"/>
        <w:pageBreakBefore w:val="0"/>
        <w:widowControl w:val="0"/>
        <w:kinsoku/>
        <w:wordWrap/>
        <w:overflowPunct/>
        <w:topLinePunct w:val="0"/>
        <w:autoSpaceDE/>
        <w:autoSpaceDN/>
        <w:bidi w:val="0"/>
        <w:adjustRightInd/>
        <w:spacing w:line="360" w:lineRule="auto"/>
        <w:ind w:firstLine="0"/>
        <w:contextualSpacing/>
        <w:jc w:val="left"/>
        <w:textAlignment w:val="auto"/>
        <w:rPr>
          <w:rFonts w:ascii="宋体" w:hAnsi="宋体"/>
          <w:color w:val="auto"/>
          <w:sz w:val="24"/>
          <w:szCs w:val="20"/>
          <w:highlight w:val="none"/>
        </w:rPr>
      </w:pPr>
      <w:r>
        <w:rPr>
          <w:rFonts w:hint="eastAsia" w:ascii="宋体" w:hAnsi="宋体"/>
          <w:color w:val="auto"/>
          <w:sz w:val="24"/>
          <w:szCs w:val="20"/>
          <w:highlight w:val="none"/>
        </w:rPr>
        <w:t>注：</w:t>
      </w:r>
    </w:p>
    <w:p w14:paraId="03D632E3">
      <w:pPr>
        <w:keepNext w:val="0"/>
        <w:keepLines w:val="0"/>
        <w:pageBreakBefore w:val="0"/>
        <w:widowControl w:val="0"/>
        <w:kinsoku/>
        <w:wordWrap/>
        <w:overflowPunct/>
        <w:topLinePunct w:val="0"/>
        <w:autoSpaceDE/>
        <w:autoSpaceDN/>
        <w:bidi w:val="0"/>
        <w:adjustRightInd/>
        <w:spacing w:line="360" w:lineRule="auto"/>
        <w:ind w:firstLine="0"/>
        <w:contextualSpacing/>
        <w:jc w:val="left"/>
        <w:textAlignment w:val="auto"/>
        <w:rPr>
          <w:rFonts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2991302F">
      <w:pPr>
        <w:keepNext w:val="0"/>
        <w:keepLines w:val="0"/>
        <w:pageBreakBefore w:val="0"/>
        <w:widowControl w:val="0"/>
        <w:kinsoku/>
        <w:wordWrap/>
        <w:overflowPunct/>
        <w:topLinePunct w:val="0"/>
        <w:autoSpaceDE/>
        <w:autoSpaceDN/>
        <w:bidi w:val="0"/>
        <w:adjustRightInd/>
        <w:spacing w:line="360" w:lineRule="auto"/>
        <w:ind w:firstLine="0"/>
        <w:contextualSpacing/>
        <w:jc w:val="left"/>
        <w:textAlignment w:val="auto"/>
        <w:rPr>
          <w:rFonts w:ascii="宋体" w:hAnsi="宋体"/>
          <w:color w:val="auto"/>
          <w:sz w:val="24"/>
          <w:szCs w:val="20"/>
          <w:highlight w:val="none"/>
        </w:rPr>
      </w:pPr>
      <w:r>
        <w:rPr>
          <w:rFonts w:hint="eastAsia" w:ascii="宋体" w:hAnsi="宋体"/>
          <w:color w:val="auto"/>
          <w:sz w:val="24"/>
          <w:szCs w:val="20"/>
          <w:highlight w:val="none"/>
        </w:rPr>
        <w:t>2.投标人应当附本表所列证书的复印件并加盖投标人电子签章。</w:t>
      </w:r>
    </w:p>
    <w:p w14:paraId="15A9EE1B">
      <w:pPr>
        <w:keepNext w:val="0"/>
        <w:keepLines w:val="0"/>
        <w:pageBreakBefore w:val="0"/>
        <w:widowControl w:val="0"/>
        <w:kinsoku/>
        <w:wordWrap/>
        <w:overflowPunct/>
        <w:topLinePunct w:val="0"/>
        <w:autoSpaceDE/>
        <w:autoSpaceDN/>
        <w:bidi w:val="0"/>
        <w:adjustRightInd/>
        <w:spacing w:line="360" w:lineRule="auto"/>
        <w:ind w:firstLine="0"/>
        <w:contextualSpacing/>
        <w:jc w:val="left"/>
        <w:textAlignment w:val="auto"/>
        <w:rPr>
          <w:rFonts w:ascii="宋体" w:hAnsi="宋体"/>
          <w:color w:val="auto"/>
          <w:sz w:val="24"/>
          <w:szCs w:val="20"/>
          <w:highlight w:val="none"/>
        </w:rPr>
      </w:pPr>
    </w:p>
    <w:p w14:paraId="1AAF3F53">
      <w:pPr>
        <w:keepNext w:val="0"/>
        <w:keepLines w:val="0"/>
        <w:pageBreakBefore w:val="0"/>
        <w:widowControl w:val="0"/>
        <w:kinsoku/>
        <w:wordWrap/>
        <w:overflowPunct/>
        <w:topLinePunct w:val="0"/>
        <w:autoSpaceDE/>
        <w:autoSpaceDN/>
        <w:bidi w:val="0"/>
        <w:adjustRightInd/>
        <w:spacing w:line="360" w:lineRule="auto"/>
        <w:ind w:firstLine="0"/>
        <w:contextualSpacing/>
        <w:textAlignment w:val="auto"/>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p>
    <w:p w14:paraId="1FA7586D">
      <w:pPr>
        <w:keepNext w:val="0"/>
        <w:keepLines w:val="0"/>
        <w:pageBreakBefore w:val="0"/>
        <w:widowControl w:val="0"/>
        <w:kinsoku/>
        <w:wordWrap/>
        <w:overflowPunct/>
        <w:topLinePunct w:val="0"/>
        <w:autoSpaceDE/>
        <w:autoSpaceDN/>
        <w:bidi w:val="0"/>
        <w:adjustRightInd/>
        <w:spacing w:line="360" w:lineRule="auto"/>
        <w:ind w:firstLine="0"/>
        <w:contextualSpacing/>
        <w:jc w:val="left"/>
        <w:textAlignment w:val="auto"/>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158848B">
      <w:pPr>
        <w:keepNext w:val="0"/>
        <w:keepLines w:val="0"/>
        <w:pageBreakBefore w:val="0"/>
        <w:widowControl w:val="0"/>
        <w:kinsoku/>
        <w:wordWrap/>
        <w:overflowPunct/>
        <w:topLinePunct w:val="0"/>
        <w:autoSpaceDE/>
        <w:autoSpaceDN/>
        <w:bidi w:val="0"/>
        <w:adjustRightInd/>
        <w:spacing w:line="360" w:lineRule="auto"/>
        <w:ind w:firstLine="0"/>
        <w:contextualSpacing/>
        <w:jc w:val="left"/>
        <w:textAlignment w:val="auto"/>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r>
        <w:rPr>
          <w:rFonts w:ascii="宋体" w:hAnsi="宋体"/>
          <w:color w:val="auto"/>
          <w:spacing w:val="20"/>
          <w:sz w:val="24"/>
          <w:highlight w:val="none"/>
          <w:u w:val="single"/>
        </w:rPr>
        <w:t xml:space="preserve">  </w:t>
      </w:r>
      <w:r>
        <w:rPr>
          <w:rFonts w:hint="eastAsia" w:ascii="宋体" w:hAnsi="宋体"/>
          <w:color w:val="auto"/>
          <w:spacing w:val="20"/>
          <w:sz w:val="24"/>
          <w:highlight w:val="none"/>
          <w:u w:val="single"/>
        </w:rPr>
        <w:t xml:space="preserve">    </w:t>
      </w:r>
    </w:p>
    <w:p w14:paraId="2E7A92F0">
      <w:pPr>
        <w:keepNext w:val="0"/>
        <w:keepLines w:val="0"/>
        <w:pageBreakBefore w:val="0"/>
        <w:widowControl w:val="0"/>
        <w:kinsoku/>
        <w:wordWrap/>
        <w:topLinePunct w:val="0"/>
        <w:autoSpaceDE/>
        <w:autoSpaceDN/>
        <w:bidi w:val="0"/>
        <w:adjustRightInd/>
        <w:ind w:firstLine="0" w:firstLineChars="0"/>
        <w:textAlignment w:val="auto"/>
        <w:rPr>
          <w:b/>
          <w:color w:val="auto"/>
          <w:sz w:val="28"/>
          <w:szCs w:val="28"/>
          <w:highlight w:val="none"/>
        </w:rPr>
      </w:pPr>
      <w:r>
        <w:rPr>
          <w:rFonts w:ascii="宋体" w:hAnsi="宋体"/>
          <w:b/>
          <w:bCs/>
          <w:color w:val="auto"/>
          <w:sz w:val="24"/>
          <w:highlight w:val="none"/>
        </w:rPr>
        <w:br w:type="page"/>
      </w:r>
      <w:bookmarkStart w:id="147" w:name="_Toc19686840"/>
      <w:r>
        <w:rPr>
          <w:rFonts w:hint="eastAsia"/>
          <w:b/>
          <w:color w:val="auto"/>
          <w:sz w:val="28"/>
          <w:szCs w:val="28"/>
          <w:highlight w:val="none"/>
        </w:rPr>
        <w:t>四、其他文书、文件格式</w:t>
      </w:r>
      <w:bookmarkEnd w:id="147"/>
    </w:p>
    <w:p w14:paraId="3A07DA4E">
      <w:pPr>
        <w:keepNext w:val="0"/>
        <w:keepLines w:val="0"/>
        <w:pageBreakBefore w:val="0"/>
        <w:widowControl w:val="0"/>
        <w:kinsoku/>
        <w:wordWrap/>
        <w:topLinePunct w:val="0"/>
        <w:autoSpaceDE/>
        <w:autoSpaceDN/>
        <w:bidi w:val="0"/>
        <w:adjustRightInd/>
        <w:snapToGrid w:val="0"/>
        <w:spacing w:before="120" w:beforeLines="50" w:after="50"/>
        <w:ind w:left="142" w:firstLine="0" w:firstLineChars="0"/>
        <w:jc w:val="left"/>
        <w:textAlignment w:val="auto"/>
        <w:rPr>
          <w:rFonts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594599EF">
      <w:pPr>
        <w:pStyle w:val="7"/>
        <w:keepNext w:val="0"/>
        <w:keepLines w:val="0"/>
        <w:pageBreakBefore w:val="0"/>
        <w:widowControl w:val="0"/>
        <w:kinsoku/>
        <w:wordWrap/>
        <w:overflowPunct w:val="0"/>
        <w:topLinePunct w:val="0"/>
        <w:autoSpaceDE/>
        <w:autoSpaceDN/>
        <w:bidi w:val="0"/>
        <w:adjustRightInd/>
        <w:ind w:firstLine="0" w:firstLineChars="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联合体协议书</w:t>
      </w:r>
    </w:p>
    <w:p w14:paraId="3F6C5080">
      <w:pPr>
        <w:pStyle w:val="7"/>
        <w:keepNext w:val="0"/>
        <w:keepLines w:val="0"/>
        <w:pageBreakBefore w:val="0"/>
        <w:widowControl w:val="0"/>
        <w:kinsoku/>
        <w:wordWrap/>
        <w:overflowPunct w:val="0"/>
        <w:topLinePunct w:val="0"/>
        <w:autoSpaceDE/>
        <w:autoSpaceDN/>
        <w:bidi w:val="0"/>
        <w:adjustRightInd/>
        <w:spacing w:line="360" w:lineRule="auto"/>
        <w:ind w:firstLine="0" w:firstLineChars="0"/>
        <w:contextualSpacing/>
        <w:textAlignment w:val="auto"/>
        <w:rPr>
          <w:rFonts w:ascii="宋体" w:hAnsi="宋体"/>
          <w:color w:val="auto"/>
          <w:sz w:val="24"/>
          <w:highlight w:val="none"/>
        </w:rPr>
      </w:pPr>
    </w:p>
    <w:p w14:paraId="77810D65">
      <w:pPr>
        <w:pStyle w:val="7"/>
        <w:keepNext w:val="0"/>
        <w:keepLines w:val="0"/>
        <w:pageBreakBefore w:val="0"/>
        <w:widowControl w:val="0"/>
        <w:kinsoku/>
        <w:wordWrap/>
        <w:overflowPunct w:val="0"/>
        <w:topLinePunct w:val="0"/>
        <w:autoSpaceDE/>
        <w:autoSpaceDN/>
        <w:bidi w:val="0"/>
        <w:adjustRightInd/>
        <w:snapToGrid/>
        <w:spacing w:line="360" w:lineRule="auto"/>
        <w:ind w:firstLine="480" w:firstLineChars="200"/>
        <w:contextualSpacing/>
        <w:textAlignment w:val="auto"/>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03008885">
      <w:pPr>
        <w:pStyle w:val="7"/>
        <w:keepNext w:val="0"/>
        <w:keepLines w:val="0"/>
        <w:pageBreakBefore w:val="0"/>
        <w:widowControl w:val="0"/>
        <w:kinsoku/>
        <w:wordWrap/>
        <w:overflowPunct w:val="0"/>
        <w:topLinePunct w:val="0"/>
        <w:autoSpaceDE/>
        <w:autoSpaceDN/>
        <w:bidi w:val="0"/>
        <w:adjustRightInd/>
        <w:snapToGrid/>
        <w:spacing w:line="360" w:lineRule="auto"/>
        <w:ind w:firstLine="480" w:firstLineChars="200"/>
        <w:contextualSpacing/>
        <w:textAlignment w:val="auto"/>
        <w:rPr>
          <w:rFonts w:ascii="宋体" w:hAnsi="宋体"/>
          <w:color w:val="auto"/>
          <w:sz w:val="24"/>
          <w:highlight w:val="none"/>
        </w:rPr>
      </w:pPr>
    </w:p>
    <w:p w14:paraId="648EE070">
      <w:pPr>
        <w:pStyle w:val="7"/>
        <w:keepNext w:val="0"/>
        <w:keepLines w:val="0"/>
        <w:pageBreakBefore w:val="0"/>
        <w:widowControl w:val="0"/>
        <w:kinsoku/>
        <w:wordWrap/>
        <w:overflowPunct w:val="0"/>
        <w:topLinePunct w:val="0"/>
        <w:autoSpaceDE/>
        <w:autoSpaceDN/>
        <w:bidi w:val="0"/>
        <w:adjustRightInd/>
        <w:snapToGrid/>
        <w:spacing w:line="360" w:lineRule="auto"/>
        <w:ind w:firstLine="480" w:firstLineChars="200"/>
        <w:contextualSpacing/>
        <w:textAlignment w:val="auto"/>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2D1FFFEA">
      <w:pPr>
        <w:pStyle w:val="7"/>
        <w:keepNext w:val="0"/>
        <w:keepLines w:val="0"/>
        <w:pageBreakBefore w:val="0"/>
        <w:widowControl w:val="0"/>
        <w:kinsoku/>
        <w:wordWrap/>
        <w:overflowPunct w:val="0"/>
        <w:topLinePunct w:val="0"/>
        <w:autoSpaceDE/>
        <w:autoSpaceDN/>
        <w:bidi w:val="0"/>
        <w:adjustRightInd/>
        <w:snapToGrid/>
        <w:spacing w:line="360" w:lineRule="auto"/>
        <w:ind w:firstLine="480" w:firstLineChars="200"/>
        <w:contextualSpacing/>
        <w:textAlignment w:val="auto"/>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010A6E38">
      <w:pPr>
        <w:pStyle w:val="7"/>
        <w:keepNext w:val="0"/>
        <w:keepLines w:val="0"/>
        <w:pageBreakBefore w:val="0"/>
        <w:widowControl w:val="0"/>
        <w:kinsoku/>
        <w:wordWrap/>
        <w:overflowPunct w:val="0"/>
        <w:topLinePunct w:val="0"/>
        <w:autoSpaceDE/>
        <w:autoSpaceDN/>
        <w:bidi w:val="0"/>
        <w:adjustRightInd/>
        <w:snapToGrid/>
        <w:spacing w:line="360" w:lineRule="auto"/>
        <w:ind w:firstLine="480" w:firstLineChars="200"/>
        <w:contextualSpacing/>
        <w:textAlignment w:val="auto"/>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21FDF5F4">
      <w:pPr>
        <w:pStyle w:val="7"/>
        <w:keepNext w:val="0"/>
        <w:keepLines w:val="0"/>
        <w:pageBreakBefore w:val="0"/>
        <w:widowControl w:val="0"/>
        <w:kinsoku/>
        <w:wordWrap/>
        <w:overflowPunct w:val="0"/>
        <w:topLinePunct w:val="0"/>
        <w:autoSpaceDE/>
        <w:autoSpaceDN/>
        <w:bidi w:val="0"/>
        <w:adjustRightInd/>
        <w:snapToGrid/>
        <w:spacing w:line="360" w:lineRule="auto"/>
        <w:ind w:firstLine="480" w:firstLineChars="200"/>
        <w:contextualSpacing/>
        <w:textAlignment w:val="auto"/>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447F4571">
      <w:pPr>
        <w:pStyle w:val="7"/>
        <w:keepNext w:val="0"/>
        <w:keepLines w:val="0"/>
        <w:pageBreakBefore w:val="0"/>
        <w:widowControl w:val="0"/>
        <w:kinsoku/>
        <w:wordWrap/>
        <w:overflowPunct w:val="0"/>
        <w:topLinePunct w:val="0"/>
        <w:autoSpaceDE/>
        <w:autoSpaceDN/>
        <w:bidi w:val="0"/>
        <w:adjustRightInd/>
        <w:snapToGrid/>
        <w:spacing w:line="360" w:lineRule="auto"/>
        <w:ind w:firstLine="480" w:firstLineChars="200"/>
        <w:contextualSpacing/>
        <w:textAlignment w:val="auto"/>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本协议书自所有成员单位法定代表人或者其委托代理人签字（或者电子签名）或者盖公章之日起生效，合同履行完毕后自动失效。</w:t>
      </w:r>
    </w:p>
    <w:p w14:paraId="6B0BCE98">
      <w:pPr>
        <w:pStyle w:val="7"/>
        <w:keepNext w:val="0"/>
        <w:keepLines w:val="0"/>
        <w:pageBreakBefore w:val="0"/>
        <w:widowControl w:val="0"/>
        <w:kinsoku/>
        <w:wordWrap/>
        <w:overflowPunct w:val="0"/>
        <w:topLinePunct w:val="0"/>
        <w:autoSpaceDE/>
        <w:autoSpaceDN/>
        <w:bidi w:val="0"/>
        <w:adjustRightInd/>
        <w:snapToGrid/>
        <w:spacing w:line="360" w:lineRule="auto"/>
        <w:ind w:firstLine="480" w:firstLineChars="200"/>
        <w:contextualSpacing/>
        <w:textAlignment w:val="auto"/>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75ABC35C">
      <w:pPr>
        <w:pStyle w:val="7"/>
        <w:keepNext w:val="0"/>
        <w:keepLines w:val="0"/>
        <w:pageBreakBefore w:val="0"/>
        <w:widowControl w:val="0"/>
        <w:kinsoku/>
        <w:wordWrap/>
        <w:overflowPunct w:val="0"/>
        <w:topLinePunct w:val="0"/>
        <w:autoSpaceDE/>
        <w:autoSpaceDN/>
        <w:bidi w:val="0"/>
        <w:adjustRightInd/>
        <w:snapToGrid/>
        <w:spacing w:line="360" w:lineRule="auto"/>
        <w:ind w:firstLine="480" w:firstLineChars="200"/>
        <w:contextualSpacing/>
        <w:textAlignment w:val="auto"/>
        <w:rPr>
          <w:rFonts w:ascii="宋体" w:hAnsi="宋体"/>
          <w:color w:val="auto"/>
          <w:sz w:val="24"/>
          <w:highlight w:val="none"/>
        </w:rPr>
      </w:pPr>
      <w:r>
        <w:rPr>
          <w:rFonts w:hint="eastAsia" w:ascii="宋体" w:hAnsi="宋体"/>
          <w:color w:val="auto"/>
          <w:sz w:val="24"/>
          <w:highlight w:val="none"/>
        </w:rPr>
        <w:t>注：本协议书应附法定代表人身份证明；有委托代理的，应附授权委托书</w:t>
      </w:r>
      <w:r>
        <w:rPr>
          <w:rFonts w:hint="eastAsia" w:ascii="宋体" w:hAnsi="宋体" w:cs="仿宋_GB2312"/>
          <w:color w:val="auto"/>
          <w:sz w:val="24"/>
          <w:highlight w:val="none"/>
        </w:rPr>
        <w:t>（格式自拟）</w:t>
      </w:r>
      <w:r>
        <w:rPr>
          <w:rFonts w:hint="eastAsia" w:ascii="宋体" w:hAnsi="宋体"/>
          <w:color w:val="auto"/>
          <w:sz w:val="24"/>
          <w:highlight w:val="none"/>
        </w:rPr>
        <w:t>。</w:t>
      </w:r>
    </w:p>
    <w:p w14:paraId="6D765C78">
      <w:pPr>
        <w:pStyle w:val="7"/>
        <w:keepNext w:val="0"/>
        <w:keepLines w:val="0"/>
        <w:pageBreakBefore w:val="0"/>
        <w:widowControl w:val="0"/>
        <w:kinsoku/>
        <w:wordWrap/>
        <w:overflowPunct w:val="0"/>
        <w:topLinePunct w:val="0"/>
        <w:autoSpaceDE/>
        <w:autoSpaceDN/>
        <w:bidi w:val="0"/>
        <w:adjustRightInd/>
        <w:spacing w:line="360" w:lineRule="auto"/>
        <w:ind w:firstLine="0" w:firstLineChars="0"/>
        <w:contextualSpacing/>
        <w:textAlignment w:val="auto"/>
        <w:rPr>
          <w:rFonts w:ascii="宋体" w:hAnsi="宋体"/>
          <w:color w:val="auto"/>
          <w:sz w:val="24"/>
          <w:highlight w:val="none"/>
        </w:rPr>
      </w:pPr>
    </w:p>
    <w:p w14:paraId="74D13129">
      <w:pPr>
        <w:pStyle w:val="7"/>
        <w:keepNext w:val="0"/>
        <w:keepLines w:val="0"/>
        <w:pageBreakBefore w:val="0"/>
        <w:widowControl w:val="0"/>
        <w:kinsoku/>
        <w:wordWrap/>
        <w:overflowPunct w:val="0"/>
        <w:topLinePunct w:val="0"/>
        <w:autoSpaceDE/>
        <w:autoSpaceDN/>
        <w:bidi w:val="0"/>
        <w:adjustRightInd/>
        <w:spacing w:line="360" w:lineRule="auto"/>
        <w:ind w:firstLine="0" w:firstLineChars="0"/>
        <w:contextualSpacing/>
        <w:textAlignment w:val="auto"/>
        <w:rPr>
          <w:rFonts w:ascii="宋体" w:hAnsi="宋体"/>
          <w:color w:val="auto"/>
          <w:sz w:val="24"/>
          <w:highlight w:val="none"/>
        </w:rPr>
      </w:pPr>
      <w:r>
        <w:rPr>
          <w:rFonts w:hint="eastAsia" w:ascii="宋体" w:hAnsi="宋体"/>
          <w:color w:val="auto"/>
          <w:sz w:val="24"/>
          <w:highlight w:val="none"/>
        </w:rPr>
        <w:t>联合体牵头人名称（电子签章）：</w:t>
      </w:r>
    </w:p>
    <w:p w14:paraId="67956E3F">
      <w:pPr>
        <w:pStyle w:val="7"/>
        <w:keepNext w:val="0"/>
        <w:keepLines w:val="0"/>
        <w:pageBreakBefore w:val="0"/>
        <w:widowControl w:val="0"/>
        <w:kinsoku/>
        <w:wordWrap/>
        <w:overflowPunct w:val="0"/>
        <w:topLinePunct w:val="0"/>
        <w:autoSpaceDE/>
        <w:autoSpaceDN/>
        <w:bidi w:val="0"/>
        <w:adjustRightInd/>
        <w:spacing w:line="360" w:lineRule="auto"/>
        <w:ind w:firstLine="0" w:firstLineChars="0"/>
        <w:contextualSpacing/>
        <w:textAlignment w:val="auto"/>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1486C6E7">
      <w:pPr>
        <w:pStyle w:val="7"/>
        <w:keepNext w:val="0"/>
        <w:keepLines w:val="0"/>
        <w:pageBreakBefore w:val="0"/>
        <w:widowControl w:val="0"/>
        <w:kinsoku/>
        <w:wordWrap/>
        <w:overflowPunct w:val="0"/>
        <w:topLinePunct w:val="0"/>
        <w:autoSpaceDE/>
        <w:autoSpaceDN/>
        <w:bidi w:val="0"/>
        <w:adjustRightInd/>
        <w:spacing w:line="360" w:lineRule="auto"/>
        <w:ind w:firstLine="0" w:firstLineChars="0"/>
        <w:contextualSpacing/>
        <w:textAlignment w:val="auto"/>
        <w:rPr>
          <w:rFonts w:ascii="宋体" w:hAnsi="宋体"/>
          <w:color w:val="auto"/>
          <w:sz w:val="24"/>
          <w:highlight w:val="none"/>
        </w:rPr>
      </w:pPr>
    </w:p>
    <w:p w14:paraId="680F5E78">
      <w:pPr>
        <w:pStyle w:val="7"/>
        <w:keepNext w:val="0"/>
        <w:keepLines w:val="0"/>
        <w:pageBreakBefore w:val="0"/>
        <w:widowControl w:val="0"/>
        <w:kinsoku/>
        <w:wordWrap/>
        <w:overflowPunct w:val="0"/>
        <w:topLinePunct w:val="0"/>
        <w:autoSpaceDE/>
        <w:autoSpaceDN/>
        <w:bidi w:val="0"/>
        <w:adjustRightInd/>
        <w:spacing w:line="360" w:lineRule="auto"/>
        <w:ind w:firstLine="0" w:firstLineChars="0"/>
        <w:contextualSpacing/>
        <w:textAlignment w:val="auto"/>
        <w:rPr>
          <w:rFonts w:ascii="宋体" w:hAnsi="宋体"/>
          <w:color w:val="auto"/>
          <w:sz w:val="24"/>
          <w:highlight w:val="none"/>
        </w:rPr>
      </w:pPr>
      <w:r>
        <w:rPr>
          <w:rFonts w:hint="eastAsia" w:ascii="宋体" w:hAnsi="宋体"/>
          <w:color w:val="auto"/>
          <w:sz w:val="24"/>
          <w:highlight w:val="none"/>
        </w:rPr>
        <w:t>联合体成员名称（</w:t>
      </w:r>
      <w:r>
        <w:rPr>
          <w:rFonts w:hint="eastAsia" w:ascii="宋体" w:hAnsi="宋体" w:cs="仿宋_GB2312"/>
          <w:color w:val="auto"/>
          <w:sz w:val="24"/>
          <w:highlight w:val="none"/>
        </w:rPr>
        <w:t>盖公章或者电子签章</w:t>
      </w:r>
      <w:r>
        <w:rPr>
          <w:rFonts w:hint="eastAsia" w:ascii="宋体" w:hAnsi="宋体"/>
          <w:color w:val="auto"/>
          <w:sz w:val="24"/>
          <w:highlight w:val="none"/>
        </w:rPr>
        <w:t>）：</w:t>
      </w:r>
    </w:p>
    <w:p w14:paraId="3DD1585A">
      <w:pPr>
        <w:pStyle w:val="7"/>
        <w:keepNext w:val="0"/>
        <w:keepLines w:val="0"/>
        <w:pageBreakBefore w:val="0"/>
        <w:widowControl w:val="0"/>
        <w:kinsoku/>
        <w:wordWrap/>
        <w:overflowPunct w:val="0"/>
        <w:topLinePunct w:val="0"/>
        <w:autoSpaceDE/>
        <w:autoSpaceDN/>
        <w:bidi w:val="0"/>
        <w:adjustRightInd/>
        <w:spacing w:line="360" w:lineRule="auto"/>
        <w:ind w:firstLine="0" w:firstLineChars="0"/>
        <w:contextualSpacing/>
        <w:textAlignment w:val="auto"/>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239D49B7">
      <w:pPr>
        <w:pStyle w:val="7"/>
        <w:keepNext w:val="0"/>
        <w:keepLines w:val="0"/>
        <w:pageBreakBefore w:val="0"/>
        <w:widowControl w:val="0"/>
        <w:kinsoku/>
        <w:wordWrap/>
        <w:overflowPunct w:val="0"/>
        <w:topLinePunct w:val="0"/>
        <w:autoSpaceDE/>
        <w:autoSpaceDN/>
        <w:bidi w:val="0"/>
        <w:adjustRightInd/>
        <w:spacing w:line="360" w:lineRule="auto"/>
        <w:ind w:firstLine="0" w:firstLineChars="0"/>
        <w:contextualSpacing/>
        <w:textAlignment w:val="auto"/>
        <w:rPr>
          <w:rFonts w:ascii="宋体" w:hAnsi="宋体"/>
          <w:color w:val="auto"/>
          <w:sz w:val="24"/>
          <w:highlight w:val="none"/>
        </w:rPr>
      </w:pPr>
      <w:r>
        <w:rPr>
          <w:rFonts w:ascii="宋体" w:hAnsi="宋体"/>
          <w:color w:val="auto"/>
          <w:sz w:val="24"/>
          <w:highlight w:val="none"/>
        </w:rPr>
        <w:t>……</w:t>
      </w:r>
    </w:p>
    <w:p w14:paraId="438577C0">
      <w:pPr>
        <w:pStyle w:val="7"/>
        <w:keepNext w:val="0"/>
        <w:keepLines w:val="0"/>
        <w:pageBreakBefore w:val="0"/>
        <w:widowControl w:val="0"/>
        <w:kinsoku/>
        <w:wordWrap/>
        <w:overflowPunct w:val="0"/>
        <w:topLinePunct w:val="0"/>
        <w:autoSpaceDE/>
        <w:autoSpaceDN/>
        <w:bidi w:val="0"/>
        <w:adjustRightInd/>
        <w:spacing w:line="360" w:lineRule="auto"/>
        <w:ind w:firstLine="0" w:firstLineChars="0"/>
        <w:contextualSpacing/>
        <w:jc w:val="right"/>
        <w:textAlignment w:val="auto"/>
        <w:rPr>
          <w:rFonts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0A9D379F">
      <w:pPr>
        <w:snapToGrid w:val="0"/>
        <w:spacing w:before="120" w:beforeLines="50" w:after="50"/>
        <w:ind w:firstLine="482"/>
        <w:jc w:val="left"/>
        <w:rPr>
          <w:rFonts w:ascii="宋体" w:hAnsi="宋体"/>
          <w:b/>
          <w:color w:val="auto"/>
          <w:sz w:val="24"/>
          <w:highlight w:val="none"/>
        </w:rPr>
      </w:pPr>
      <w:r>
        <w:rPr>
          <w:rFonts w:hint="eastAsia" w:ascii="宋体" w:hAnsi="宋体"/>
          <w:b/>
          <w:color w:val="auto"/>
          <w:sz w:val="24"/>
          <w:highlight w:val="none"/>
        </w:rPr>
        <w:t xml:space="preserve"> </w:t>
      </w:r>
    </w:p>
    <w:p w14:paraId="500AB21A">
      <w:pPr>
        <w:ind w:firstLine="482"/>
        <w:rPr>
          <w:rFonts w:ascii="宋体" w:hAnsi="宋体"/>
          <w:b/>
          <w:color w:val="auto"/>
          <w:sz w:val="24"/>
          <w:highlight w:val="none"/>
        </w:rPr>
      </w:pPr>
      <w:r>
        <w:rPr>
          <w:rFonts w:hint="eastAsia" w:ascii="宋体" w:hAnsi="宋体"/>
          <w:b/>
          <w:color w:val="auto"/>
          <w:sz w:val="24"/>
          <w:highlight w:val="none"/>
        </w:rPr>
        <w:br w:type="page"/>
      </w:r>
    </w:p>
    <w:p w14:paraId="04E55D42">
      <w:pPr>
        <w:keepNext w:val="0"/>
        <w:keepLines w:val="0"/>
        <w:pageBreakBefore w:val="0"/>
        <w:widowControl w:val="0"/>
        <w:kinsoku/>
        <w:wordWrap/>
        <w:overflowPunct/>
        <w:topLinePunct w:val="0"/>
        <w:autoSpaceDE/>
        <w:autoSpaceDN/>
        <w:bidi w:val="0"/>
        <w:adjustRightInd/>
        <w:snapToGrid w:val="0"/>
        <w:spacing w:before="120" w:beforeLines="50" w:after="50"/>
        <w:ind w:firstLine="0" w:firstLineChars="0"/>
        <w:jc w:val="left"/>
        <w:textAlignment w:val="auto"/>
        <w:rPr>
          <w:color w:val="auto"/>
          <w:highlight w:val="none"/>
        </w:rPr>
      </w:pPr>
      <w:r>
        <w:rPr>
          <w:rFonts w:hint="eastAsia" w:ascii="宋体" w:hAnsi="宋体"/>
          <w:b/>
          <w:color w:val="auto"/>
          <w:sz w:val="24"/>
          <w:highlight w:val="none"/>
        </w:rPr>
        <w:t>2.中小企业声明函格式</w:t>
      </w:r>
    </w:p>
    <w:p w14:paraId="54FD9D40">
      <w:pPr>
        <w:keepNext w:val="0"/>
        <w:keepLines w:val="0"/>
        <w:pageBreakBefore w:val="0"/>
        <w:widowControl w:val="0"/>
        <w:kinsoku/>
        <w:wordWrap/>
        <w:overflowPunct/>
        <w:topLinePunct w:val="0"/>
        <w:autoSpaceDE/>
        <w:autoSpaceDN/>
        <w:bidi w:val="0"/>
        <w:adjustRightInd/>
        <w:ind w:firstLine="0" w:firstLineChars="0"/>
        <w:textAlignment w:val="auto"/>
        <w:rPr>
          <w:color w:val="auto"/>
          <w:highlight w:val="none"/>
        </w:rPr>
      </w:pPr>
    </w:p>
    <w:p w14:paraId="21326999">
      <w:pPr>
        <w:keepNext w:val="0"/>
        <w:keepLines w:val="0"/>
        <w:pageBreakBefore w:val="0"/>
        <w:widowControl w:val="0"/>
        <w:kinsoku/>
        <w:wordWrap/>
        <w:overflowPunct/>
        <w:topLinePunct w:val="0"/>
        <w:autoSpaceDE/>
        <w:autoSpaceDN/>
        <w:bidi w:val="0"/>
        <w:adjustRightInd/>
        <w:ind w:firstLine="0" w:firstLineChars="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6FC0B743">
      <w:pPr>
        <w:keepNext w:val="0"/>
        <w:keepLines w:val="0"/>
        <w:pageBreakBefore w:val="0"/>
        <w:widowControl w:val="0"/>
        <w:kinsoku/>
        <w:wordWrap/>
        <w:overflowPunct/>
        <w:topLinePunct w:val="0"/>
        <w:autoSpaceDE/>
        <w:autoSpaceDN/>
        <w:bidi w:val="0"/>
        <w:adjustRightInd/>
        <w:spacing w:before="2" w:line="500" w:lineRule="exact"/>
        <w:ind w:firstLine="0" w:firstLineChars="0"/>
        <w:textAlignment w:val="auto"/>
        <w:rPr>
          <w:rFonts w:ascii="宋体" w:hAnsi="宋体" w:cs="宋体"/>
          <w:b/>
          <w:bCs/>
          <w:color w:val="auto"/>
          <w:sz w:val="24"/>
          <w:highlight w:val="none"/>
        </w:rPr>
      </w:pPr>
    </w:p>
    <w:p w14:paraId="34096083">
      <w:pPr>
        <w:pStyle w:val="17"/>
        <w:keepNext w:val="0"/>
        <w:keepLines w:val="0"/>
        <w:pageBreakBefore w:val="0"/>
        <w:widowControl w:val="0"/>
        <w:kinsoku/>
        <w:wordWrap/>
        <w:overflowPunct/>
        <w:topLinePunct w:val="0"/>
        <w:autoSpaceDE/>
        <w:autoSpaceDN/>
        <w:bidi w:val="0"/>
        <w:adjustRightInd/>
        <w:snapToGrid/>
        <w:spacing w:line="500" w:lineRule="exact"/>
        <w:ind w:right="142" w:firstLine="480" w:firstLineChars="200"/>
        <w:textAlignment w:val="auto"/>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6C4EBB11">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500" w:lineRule="exact"/>
        <w:ind w:right="142" w:firstLine="480" w:firstLineChars="200"/>
        <w:textAlignment w:val="auto"/>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294F3C7">
      <w:pPr>
        <w:pStyle w:val="17"/>
        <w:keepNext w:val="0"/>
        <w:keepLines w:val="0"/>
        <w:pageBreakBefore w:val="0"/>
        <w:widowControl w:val="0"/>
        <w:kinsoku/>
        <w:wordWrap/>
        <w:overflowPunct/>
        <w:topLinePunct w:val="0"/>
        <w:autoSpaceDE/>
        <w:autoSpaceDN/>
        <w:bidi w:val="0"/>
        <w:adjustRightInd/>
        <w:snapToGrid/>
        <w:spacing w:before="34" w:line="500" w:lineRule="exact"/>
        <w:ind w:right="142" w:firstLine="480" w:firstLineChars="200"/>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u w:val="single"/>
        </w:rPr>
        <w:t>（标的名称）</w:t>
      </w:r>
      <w:r>
        <w:rPr>
          <w:rFonts w:hint="eastAsia" w:ascii="宋体" w:hAnsi="宋体"/>
          <w:color w:val="auto"/>
          <w:highlight w:val="none"/>
        </w:rPr>
        <w:t>，属于</w:t>
      </w:r>
      <w:r>
        <w:rPr>
          <w:rFonts w:hint="eastAsia" w:ascii="宋体" w:hAnsi="宋体"/>
          <w:color w:val="auto"/>
          <w:highlight w:val="none"/>
          <w:u w:val="single"/>
        </w:rPr>
        <w:t>（采购文件中明确的所属行业）</w:t>
      </w:r>
      <w:r>
        <w:rPr>
          <w:rFonts w:hint="eastAsia" w:ascii="宋体" w:hAnsi="宋体"/>
          <w:color w:val="auto"/>
          <w:highlight w:val="none"/>
        </w:rPr>
        <w:t>；承接企业为</w:t>
      </w:r>
      <w:r>
        <w:rPr>
          <w:rFonts w:hint="eastAsia" w:ascii="宋体" w:hAnsi="宋体"/>
          <w:color w:val="auto"/>
          <w:highlight w:val="none"/>
          <w:u w:val="single"/>
        </w:rPr>
        <w:t>（企业名称）</w:t>
      </w:r>
      <w:r>
        <w:rPr>
          <w:rFonts w:hint="eastAsia" w:ascii="宋体" w:hAnsi="宋体"/>
          <w:color w:val="auto"/>
          <w:highlight w:val="none"/>
        </w:rPr>
        <w:t>，从业人员</w:t>
      </w:r>
      <w:r>
        <w:rPr>
          <w:rFonts w:hint="eastAsia" w:ascii="宋体" w:hAnsi="宋体"/>
          <w:color w:val="auto"/>
          <w:highlight w:val="none"/>
          <w:u w:val="single"/>
        </w:rPr>
        <w:t xml:space="preserve">      </w:t>
      </w:r>
      <w:r>
        <w:rPr>
          <w:rFonts w:hint="eastAsia" w:ascii="宋体" w:hAnsi="宋体"/>
          <w:color w:val="auto"/>
          <w:highlight w:val="none"/>
        </w:rPr>
        <w:t>人，营业收入为</w:t>
      </w:r>
      <w:r>
        <w:rPr>
          <w:rFonts w:hint="eastAsia" w:ascii="宋体" w:hAnsi="宋体"/>
          <w:color w:val="auto"/>
          <w:highlight w:val="none"/>
          <w:u w:val="single"/>
        </w:rPr>
        <w:t xml:space="preserve">      </w:t>
      </w:r>
      <w:r>
        <w:rPr>
          <w:rFonts w:hint="eastAsia" w:ascii="宋体" w:hAnsi="宋体"/>
          <w:color w:val="auto"/>
          <w:highlight w:val="none"/>
        </w:rPr>
        <w:t>万元，资产总额为</w:t>
      </w:r>
      <w:r>
        <w:rPr>
          <w:rFonts w:hint="eastAsia" w:ascii="宋体" w:hAnsi="宋体"/>
          <w:color w:val="auto"/>
          <w:highlight w:val="none"/>
          <w:u w:val="single"/>
        </w:rPr>
        <w:t xml:space="preserve">      </w:t>
      </w:r>
      <w:r>
        <w:rPr>
          <w:rFonts w:hint="eastAsia" w:ascii="宋体" w:hAnsi="宋体"/>
          <w:color w:val="auto"/>
          <w:highlight w:val="none"/>
        </w:rPr>
        <w:t>万元，属于</w:t>
      </w:r>
      <w:r>
        <w:rPr>
          <w:rFonts w:hint="eastAsia" w:ascii="宋体" w:hAnsi="宋体"/>
          <w:color w:val="auto"/>
          <w:highlight w:val="none"/>
          <w:u w:val="single"/>
        </w:rPr>
        <w:t>（中型企业、小型企业、微型企业）</w:t>
      </w:r>
      <w:r>
        <w:rPr>
          <w:rFonts w:hint="eastAsia" w:ascii="宋体" w:hAnsi="宋体"/>
          <w:color w:val="auto"/>
          <w:highlight w:val="none"/>
        </w:rPr>
        <w:t>；</w:t>
      </w:r>
    </w:p>
    <w:p w14:paraId="1A144895">
      <w:pPr>
        <w:pStyle w:val="17"/>
        <w:keepNext w:val="0"/>
        <w:keepLines w:val="0"/>
        <w:pageBreakBefore w:val="0"/>
        <w:widowControl w:val="0"/>
        <w:kinsoku/>
        <w:wordWrap/>
        <w:overflowPunct/>
        <w:topLinePunct w:val="0"/>
        <w:autoSpaceDE/>
        <w:autoSpaceDN/>
        <w:bidi w:val="0"/>
        <w:adjustRightInd/>
        <w:snapToGrid/>
        <w:spacing w:before="34" w:line="500" w:lineRule="exact"/>
        <w:ind w:right="142" w:firstLine="480" w:firstLineChars="200"/>
        <w:textAlignment w:val="auto"/>
        <w:rPr>
          <w:rFonts w:hint="eastAsia" w:ascii="宋体" w:hAnsi="宋体"/>
          <w:color w:val="auto"/>
          <w:highlight w:val="none"/>
        </w:rPr>
      </w:pPr>
      <w:r>
        <w:rPr>
          <w:rFonts w:hint="eastAsia" w:ascii="宋体" w:hAnsi="宋体"/>
          <w:color w:val="auto"/>
          <w:highlight w:val="none"/>
        </w:rPr>
        <w:t xml:space="preserve">…… </w:t>
      </w:r>
    </w:p>
    <w:p w14:paraId="6B88DCD8">
      <w:pPr>
        <w:pStyle w:val="17"/>
        <w:keepNext w:val="0"/>
        <w:keepLines w:val="0"/>
        <w:pageBreakBefore w:val="0"/>
        <w:widowControl w:val="0"/>
        <w:kinsoku/>
        <w:wordWrap/>
        <w:overflowPunct/>
        <w:topLinePunct w:val="0"/>
        <w:autoSpaceDE/>
        <w:autoSpaceDN/>
        <w:bidi w:val="0"/>
        <w:adjustRightInd/>
        <w:snapToGrid/>
        <w:spacing w:before="34" w:line="500" w:lineRule="exact"/>
        <w:ind w:right="142" w:firstLine="480" w:firstLineChars="200"/>
        <w:textAlignment w:val="auto"/>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6A5F1A8B">
      <w:pPr>
        <w:pStyle w:val="17"/>
        <w:keepNext w:val="0"/>
        <w:keepLines w:val="0"/>
        <w:pageBreakBefore w:val="0"/>
        <w:widowControl w:val="0"/>
        <w:kinsoku/>
        <w:wordWrap/>
        <w:overflowPunct/>
        <w:topLinePunct w:val="0"/>
        <w:autoSpaceDE/>
        <w:autoSpaceDN/>
        <w:bidi w:val="0"/>
        <w:adjustRightInd/>
        <w:snapToGrid/>
        <w:spacing w:before="34" w:line="500" w:lineRule="exact"/>
        <w:ind w:right="142" w:firstLine="480" w:firstLineChars="200"/>
        <w:textAlignment w:val="auto"/>
        <w:rPr>
          <w:rFonts w:ascii="宋体" w:hAnsi="宋体"/>
          <w:color w:val="auto"/>
          <w:highlight w:val="none"/>
        </w:rPr>
      </w:pPr>
      <w:r>
        <w:rPr>
          <w:rFonts w:ascii="宋体" w:hAnsi="宋体"/>
          <w:color w:val="auto"/>
          <w:highlight w:val="none"/>
        </w:rPr>
        <w:t>本企业对上述声明内容的真实性负责。如有虚假，将依法承担相应责任。</w:t>
      </w:r>
    </w:p>
    <w:p w14:paraId="359928EB">
      <w:pPr>
        <w:pStyle w:val="17"/>
        <w:keepNext w:val="0"/>
        <w:keepLines w:val="0"/>
        <w:pageBreakBefore w:val="0"/>
        <w:widowControl w:val="0"/>
        <w:kinsoku/>
        <w:wordWrap/>
        <w:overflowPunct/>
        <w:topLinePunct w:val="0"/>
        <w:autoSpaceDE/>
        <w:autoSpaceDN/>
        <w:bidi w:val="0"/>
        <w:adjustRightInd/>
        <w:spacing w:before="56" w:line="500" w:lineRule="exact"/>
        <w:ind w:left="3960" w:right="1808" w:firstLine="0" w:firstLineChars="0"/>
        <w:textAlignment w:val="auto"/>
        <w:rPr>
          <w:rFonts w:ascii="宋体" w:hAnsi="宋体"/>
          <w:color w:val="auto"/>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w:t>
      </w:r>
      <w:r>
        <w:rPr>
          <w:rFonts w:ascii="宋体" w:hAnsi="宋体"/>
          <w:color w:val="auto"/>
          <w:highlight w:val="none"/>
        </w:rPr>
        <w:t xml:space="preserve"> </w:t>
      </w:r>
    </w:p>
    <w:p w14:paraId="5005ADDD">
      <w:pPr>
        <w:pStyle w:val="17"/>
        <w:keepNext w:val="0"/>
        <w:keepLines w:val="0"/>
        <w:pageBreakBefore w:val="0"/>
        <w:widowControl w:val="0"/>
        <w:kinsoku/>
        <w:wordWrap/>
        <w:overflowPunct/>
        <w:topLinePunct w:val="0"/>
        <w:autoSpaceDE/>
        <w:autoSpaceDN/>
        <w:bidi w:val="0"/>
        <w:adjustRightInd/>
        <w:spacing w:before="56" w:line="500" w:lineRule="exact"/>
        <w:ind w:left="3960" w:right="1808" w:firstLine="0" w:firstLineChars="0"/>
        <w:textAlignment w:val="auto"/>
        <w:rPr>
          <w:rFonts w:ascii="宋体" w:hAnsi="宋体"/>
          <w:color w:val="auto"/>
          <w:highlight w:val="none"/>
        </w:rPr>
      </w:pPr>
      <w:r>
        <w:rPr>
          <w:rFonts w:ascii="宋体" w:hAnsi="宋体"/>
          <w:color w:val="auto"/>
          <w:highlight w:val="none"/>
        </w:rPr>
        <w:t>日 期：</w:t>
      </w:r>
    </w:p>
    <w:p w14:paraId="01761E9A">
      <w:pPr>
        <w:keepNext w:val="0"/>
        <w:keepLines w:val="0"/>
        <w:pageBreakBefore w:val="0"/>
        <w:widowControl w:val="0"/>
        <w:kinsoku/>
        <w:wordWrap/>
        <w:overflowPunct/>
        <w:topLinePunct w:val="0"/>
        <w:autoSpaceDE/>
        <w:autoSpaceDN/>
        <w:bidi w:val="0"/>
        <w:adjustRightInd/>
        <w:ind w:firstLine="0" w:firstLineChars="0"/>
        <w:textAlignment w:val="auto"/>
        <w:rPr>
          <w:rFonts w:ascii="宋体" w:hAnsi="宋体"/>
          <w:color w:val="auto"/>
          <w:sz w:val="24"/>
          <w:highlight w:val="none"/>
        </w:rPr>
      </w:pPr>
      <w:r>
        <w:rPr>
          <w:rFonts w:hint="eastAsia" w:ascii="宋体" w:hAnsi="宋体"/>
          <w:color w:val="auto"/>
          <w:spacing w:val="6"/>
          <w:sz w:val="24"/>
          <w:highlight w:val="none"/>
        </w:rPr>
        <w:t xml:space="preserve"> </w:t>
      </w:r>
    </w:p>
    <w:p w14:paraId="6D3540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A416E3F">
      <w:pPr>
        <w:ind w:firstLine="480" w:firstLineChars="200"/>
        <w:rPr>
          <w:rFonts w:ascii="宋体" w:hAnsi="宋体"/>
          <w:color w:val="auto"/>
          <w:kern w:val="0"/>
          <w:sz w:val="24"/>
          <w:highlight w:val="none"/>
        </w:rPr>
      </w:pPr>
    </w:p>
    <w:p w14:paraId="394DBD5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b/>
          <w:color w:val="auto"/>
          <w:sz w:val="24"/>
          <w:highlight w:val="none"/>
        </w:rPr>
      </w:pPr>
      <w:r>
        <w:rPr>
          <w:color w:val="auto"/>
          <w:highlight w:val="none"/>
        </w:rPr>
        <w:br w:type="page"/>
      </w:r>
      <w:r>
        <w:rPr>
          <w:rFonts w:hint="eastAsia" w:ascii="宋体" w:hAnsi="宋体"/>
          <w:b/>
          <w:color w:val="auto"/>
          <w:sz w:val="24"/>
          <w:highlight w:val="none"/>
        </w:rPr>
        <w:t>3.残疾人福利性单位声明函格式</w:t>
      </w:r>
    </w:p>
    <w:p w14:paraId="6FD5AF08">
      <w:pPr>
        <w:keepNext w:val="0"/>
        <w:keepLines w:val="0"/>
        <w:pageBreakBefore w:val="0"/>
        <w:widowControl w:val="0"/>
        <w:kinsoku/>
        <w:wordWrap/>
        <w:overflowPunct/>
        <w:topLinePunct w:val="0"/>
        <w:autoSpaceDE/>
        <w:autoSpaceDN/>
        <w:bidi w:val="0"/>
        <w:adjustRightInd/>
        <w:snapToGrid/>
        <w:spacing w:line="588" w:lineRule="exact"/>
        <w:ind w:firstLine="0" w:firstLineChars="0"/>
        <w:jc w:val="center"/>
        <w:textAlignment w:val="auto"/>
        <w:rPr>
          <w:rFonts w:ascii="仿宋_GB2312" w:eastAsia="仿宋_GB2312"/>
          <w:b/>
          <w:color w:val="auto"/>
          <w:spacing w:val="6"/>
          <w:sz w:val="32"/>
          <w:szCs w:val="32"/>
          <w:highlight w:val="none"/>
        </w:rPr>
      </w:pPr>
      <w:bookmarkStart w:id="148" w:name="OLE_LINK14"/>
      <w:bookmarkStart w:id="149" w:name="OLE_LINK13"/>
    </w:p>
    <w:p w14:paraId="2648D51B">
      <w:pPr>
        <w:keepNext w:val="0"/>
        <w:keepLines w:val="0"/>
        <w:pageBreakBefore w:val="0"/>
        <w:widowControl w:val="0"/>
        <w:kinsoku/>
        <w:wordWrap/>
        <w:overflowPunct/>
        <w:topLinePunct w:val="0"/>
        <w:autoSpaceDE/>
        <w:autoSpaceDN/>
        <w:bidi w:val="0"/>
        <w:adjustRightInd/>
        <w:snapToGrid/>
        <w:spacing w:line="588" w:lineRule="exact"/>
        <w:ind w:firstLine="0" w:firstLineChars="0"/>
        <w:jc w:val="center"/>
        <w:textAlignment w:val="auto"/>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bookmarkEnd w:id="148"/>
    <w:bookmarkEnd w:id="149"/>
    <w:p w14:paraId="4AC336A7">
      <w:pPr>
        <w:spacing w:line="588" w:lineRule="exact"/>
        <w:ind w:firstLine="626"/>
        <w:rPr>
          <w:rFonts w:ascii="仿宋_GB2312" w:eastAsia="仿宋_GB2312"/>
          <w:b/>
          <w:color w:val="auto"/>
          <w:spacing w:val="6"/>
          <w:sz w:val="30"/>
          <w:szCs w:val="30"/>
          <w:highlight w:val="none"/>
        </w:rPr>
      </w:pPr>
    </w:p>
    <w:p w14:paraId="039B1FD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679E0B0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09BB0A7C">
      <w:pPr>
        <w:spacing w:line="360" w:lineRule="auto"/>
        <w:ind w:firstLine="504" w:firstLineChars="200"/>
        <w:contextualSpacing/>
        <w:rPr>
          <w:rFonts w:ascii="宋体" w:hAnsi="宋体"/>
          <w:color w:val="auto"/>
          <w:spacing w:val="6"/>
          <w:sz w:val="24"/>
          <w:highlight w:val="none"/>
        </w:rPr>
      </w:pPr>
    </w:p>
    <w:p w14:paraId="2384694A">
      <w:pPr>
        <w:spacing w:line="360" w:lineRule="auto"/>
        <w:ind w:firstLine="504" w:firstLineChars="200"/>
        <w:contextualSpacing/>
        <w:rPr>
          <w:rFonts w:ascii="宋体" w:hAnsi="宋体"/>
          <w:color w:val="auto"/>
          <w:spacing w:val="6"/>
          <w:sz w:val="24"/>
          <w:highlight w:val="none"/>
        </w:rPr>
      </w:pPr>
    </w:p>
    <w:p w14:paraId="5539DBCF">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038133A0">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0B86E4D3">
      <w:pPr>
        <w:spacing w:line="360" w:lineRule="auto"/>
        <w:ind w:firstLine="480"/>
        <w:contextualSpacing/>
        <w:rPr>
          <w:rFonts w:ascii="宋体" w:hAnsi="宋体"/>
          <w:color w:val="auto"/>
          <w:sz w:val="24"/>
          <w:highlight w:val="none"/>
        </w:rPr>
      </w:pPr>
    </w:p>
    <w:p w14:paraId="67D29E07">
      <w:pPr>
        <w:spacing w:line="360" w:lineRule="auto"/>
        <w:ind w:firstLine="480"/>
        <w:contextualSpacing/>
        <w:rPr>
          <w:rFonts w:ascii="宋体" w:hAnsi="宋体"/>
          <w:color w:val="auto"/>
          <w:sz w:val="24"/>
          <w:highlight w:val="none"/>
        </w:rPr>
      </w:pPr>
    </w:p>
    <w:p w14:paraId="022E9C94">
      <w:pPr>
        <w:spacing w:line="360" w:lineRule="auto"/>
        <w:ind w:firstLine="480"/>
        <w:contextualSpacing/>
        <w:rPr>
          <w:rFonts w:ascii="宋体" w:hAnsi="宋体"/>
          <w:color w:val="auto"/>
          <w:sz w:val="24"/>
          <w:highlight w:val="none"/>
        </w:rPr>
      </w:pPr>
    </w:p>
    <w:p w14:paraId="22E98A80">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6194EAE">
      <w:pPr>
        <w:pStyle w:val="17"/>
        <w:rPr>
          <w:rFonts w:ascii="宋体" w:hAnsi="宋体" w:eastAsia="宋体" w:cs="Times New Roman"/>
          <w:b/>
          <w:color w:val="auto"/>
          <w:highlight w:val="none"/>
        </w:rPr>
      </w:pPr>
      <w:r>
        <w:rPr>
          <w:rFonts w:ascii="宋体" w:hAnsi="宋体"/>
          <w:color w:val="auto"/>
          <w:sz w:val="24"/>
          <w:highlight w:val="none"/>
        </w:rPr>
        <w:br w:type="page"/>
      </w:r>
      <w:r>
        <w:rPr>
          <w:rFonts w:hint="eastAsia" w:ascii="宋体" w:hAnsi="宋体"/>
          <w:b/>
          <w:color w:val="auto"/>
          <w:sz w:val="24"/>
          <w:highlight w:val="none"/>
        </w:rPr>
        <w:t>4.</w:t>
      </w:r>
      <w:r>
        <w:rPr>
          <w:rFonts w:hint="eastAsia" w:ascii="宋体" w:hAnsi="宋体" w:eastAsia="宋体" w:cs="Times New Roman"/>
          <w:b/>
          <w:color w:val="auto"/>
          <w:highlight w:val="none"/>
        </w:rPr>
        <w:t>关于符合本国产品标准的声明函格式</w:t>
      </w:r>
    </w:p>
    <w:p w14:paraId="1B910D11">
      <w:pPr>
        <w:widowControl w:val="0"/>
        <w:spacing w:line="380" w:lineRule="exact"/>
        <w:jc w:val="both"/>
        <w:rPr>
          <w:rFonts w:ascii="Times New Roman" w:hAnsi="Times New Roman" w:eastAsia="宋体" w:cs="Times New Roman"/>
          <w:color w:val="auto"/>
          <w:kern w:val="0"/>
          <w:sz w:val="24"/>
          <w:szCs w:val="24"/>
          <w:highlight w:val="none"/>
          <w:lang w:val="en-US" w:eastAsia="zh-CN" w:bidi="ar-SA"/>
        </w:rPr>
      </w:pPr>
    </w:p>
    <w:p w14:paraId="2910D7C8">
      <w:pPr>
        <w:widowControl/>
        <w:shd w:val="clear" w:color="auto" w:fill="FFFFFF"/>
        <w:jc w:val="center"/>
        <w:rPr>
          <w:rFonts w:ascii="宋体" w:hAnsi="宋体" w:eastAsia="宋体" w:cs="宋体"/>
          <w:color w:val="auto"/>
          <w:kern w:val="0"/>
          <w:sz w:val="36"/>
          <w:szCs w:val="36"/>
          <w:highlight w:val="none"/>
        </w:rPr>
      </w:pPr>
      <w:r>
        <w:rPr>
          <w:rFonts w:hint="eastAsia" w:ascii="宋体" w:hAnsi="宋体" w:eastAsia="宋体" w:cs="宋体"/>
          <w:b/>
          <w:bCs/>
          <w:color w:val="auto"/>
          <w:kern w:val="0"/>
          <w:sz w:val="36"/>
          <w:szCs w:val="36"/>
          <w:highlight w:val="none"/>
        </w:rPr>
        <w:t>关于符合本国产品标准的声明函</w:t>
      </w:r>
    </w:p>
    <w:p w14:paraId="283698BC">
      <w:pPr>
        <w:widowControl/>
        <w:shd w:val="clear" w:color="auto" w:fill="FFFFFF"/>
        <w:spacing w:before="30" w:after="30"/>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4EE1A912">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1E55ACF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i/>
          <w:iCs/>
          <w:color w:val="auto"/>
          <w:kern w:val="0"/>
          <w:sz w:val="24"/>
          <w:highlight w:val="none"/>
          <w:u w:val="single"/>
        </w:rPr>
        <w:t>（产品名称1）</w:t>
      </w:r>
      <w:r>
        <w:rPr>
          <w:rFonts w:hint="eastAsia" w:ascii="宋体" w:hAnsi="宋体" w:eastAsia="宋体" w:cs="宋体"/>
          <w:i/>
          <w:iCs/>
          <w:color w:val="auto"/>
          <w:kern w:val="0"/>
          <w:sz w:val="18"/>
          <w:szCs w:val="18"/>
          <w:highlight w:val="none"/>
          <w:u w:val="single"/>
          <w:vertAlign w:val="superscript"/>
        </w:rPr>
        <w:t>1</w:t>
      </w:r>
      <w:r>
        <w:rPr>
          <w:rFonts w:hint="eastAsia" w:ascii="宋体" w:hAnsi="宋体" w:eastAsia="宋体" w:cs="宋体"/>
          <w:color w:val="auto"/>
          <w:kern w:val="0"/>
          <w:sz w:val="24"/>
          <w:highlight w:val="none"/>
        </w:rPr>
        <w:t>，生产厂为</w:t>
      </w:r>
      <w:r>
        <w:rPr>
          <w:rFonts w:hint="eastAsia" w:ascii="宋体" w:hAnsi="宋体" w:eastAsia="宋体" w:cs="宋体"/>
          <w:i/>
          <w:iCs/>
          <w:color w:val="auto"/>
          <w:kern w:val="0"/>
          <w:sz w:val="24"/>
          <w:highlight w:val="none"/>
          <w:u w:val="single"/>
        </w:rPr>
        <w:t>（厂名）</w:t>
      </w:r>
      <w:r>
        <w:rPr>
          <w:rFonts w:hint="eastAsia" w:ascii="宋体" w:hAnsi="宋体" w:eastAsia="宋体" w:cs="宋体"/>
          <w:i/>
          <w:iCs/>
          <w:color w:val="auto"/>
          <w:kern w:val="0"/>
          <w:sz w:val="18"/>
          <w:szCs w:val="18"/>
          <w:highlight w:val="none"/>
          <w:u w:val="single"/>
          <w:vertAlign w:val="superscript"/>
        </w:rPr>
        <w:t>2</w:t>
      </w:r>
      <w:r>
        <w:rPr>
          <w:rFonts w:hint="eastAsia" w:ascii="宋体" w:hAnsi="宋体" w:eastAsia="宋体" w:cs="宋体"/>
          <w:color w:val="auto"/>
          <w:kern w:val="0"/>
          <w:sz w:val="24"/>
          <w:highlight w:val="none"/>
        </w:rPr>
        <w:t>，厂址为</w:t>
      </w:r>
      <w:r>
        <w:rPr>
          <w:rFonts w:hint="eastAsia" w:ascii="宋体" w:hAnsi="宋体" w:eastAsia="宋体" w:cs="宋体"/>
          <w:i/>
          <w:iCs/>
          <w:color w:val="auto"/>
          <w:kern w:val="0"/>
          <w:sz w:val="24"/>
          <w:highlight w:val="none"/>
          <w:u w:val="single"/>
        </w:rPr>
        <w:t>（生产厂址）</w:t>
      </w:r>
      <w:r>
        <w:rPr>
          <w:rFonts w:hint="eastAsia" w:ascii="宋体" w:hAnsi="宋体" w:eastAsia="宋体" w:cs="宋体"/>
          <w:color w:val="auto"/>
          <w:kern w:val="0"/>
          <w:sz w:val="24"/>
          <w:highlight w:val="none"/>
        </w:rPr>
        <w:t>。</w:t>
      </w:r>
      <w:r>
        <w:rPr>
          <w:rFonts w:hint="eastAsia" w:ascii="宋体" w:hAnsi="宋体" w:eastAsia="宋体" w:cs="宋体"/>
          <w:i/>
          <w:iCs/>
          <w:color w:val="auto"/>
          <w:kern w:val="0"/>
          <w:sz w:val="24"/>
          <w:highlight w:val="none"/>
          <w:u w:val="single"/>
        </w:rPr>
        <w:t>（产品名称1）</w:t>
      </w:r>
      <w:r>
        <w:rPr>
          <w:rFonts w:hint="eastAsia" w:ascii="宋体" w:hAnsi="宋体" w:eastAsia="宋体" w:cs="宋体"/>
          <w:color w:val="auto"/>
          <w:kern w:val="0"/>
          <w:sz w:val="24"/>
          <w:highlight w:val="none"/>
        </w:rPr>
        <w:t>的中国境内生产的组件成本占比≥</w:t>
      </w:r>
      <w:r>
        <w:rPr>
          <w:rFonts w:hint="eastAsia" w:ascii="宋体" w:hAnsi="宋体" w:eastAsia="宋体" w:cs="宋体"/>
          <w:i/>
          <w:iCs/>
          <w:color w:val="auto"/>
          <w:kern w:val="0"/>
          <w:sz w:val="24"/>
          <w:highlight w:val="none"/>
          <w:u w:val="single"/>
        </w:rPr>
        <w:t>（规定比例）</w:t>
      </w:r>
      <w:r>
        <w:rPr>
          <w:rFonts w:hint="eastAsia" w:ascii="宋体" w:hAnsi="宋体" w:eastAsia="宋体" w:cs="宋体"/>
          <w:i/>
          <w:iCs/>
          <w:color w:val="auto"/>
          <w:kern w:val="0"/>
          <w:sz w:val="18"/>
          <w:szCs w:val="18"/>
          <w:highlight w:val="none"/>
          <w:vertAlign w:val="superscript"/>
        </w:rPr>
        <w:t>3</w:t>
      </w:r>
      <w:r>
        <w:rPr>
          <w:rFonts w:hint="eastAsia" w:ascii="宋体" w:hAnsi="宋体" w:eastAsia="宋体" w:cs="宋体"/>
          <w:color w:val="auto"/>
          <w:kern w:val="0"/>
          <w:sz w:val="24"/>
          <w:highlight w:val="none"/>
        </w:rPr>
        <w:t>。</w:t>
      </w:r>
      <w:r>
        <w:rPr>
          <w:rFonts w:hint="eastAsia" w:ascii="宋体" w:hAnsi="宋体" w:eastAsia="宋体" w:cs="宋体"/>
          <w:i/>
          <w:iCs/>
          <w:color w:val="auto"/>
          <w:kern w:val="0"/>
          <w:sz w:val="24"/>
          <w:highlight w:val="none"/>
          <w:u w:val="single"/>
        </w:rPr>
        <w:t>（产品名称1）</w:t>
      </w:r>
      <w:r>
        <w:rPr>
          <w:rFonts w:hint="eastAsia" w:ascii="宋体" w:hAnsi="宋体" w:eastAsia="宋体" w:cs="宋体"/>
          <w:color w:val="auto"/>
          <w:kern w:val="0"/>
          <w:sz w:val="24"/>
          <w:highlight w:val="none"/>
        </w:rPr>
        <w:t>的</w:t>
      </w:r>
      <w:r>
        <w:rPr>
          <w:rFonts w:hint="eastAsia" w:ascii="宋体" w:hAnsi="宋体" w:eastAsia="宋体" w:cs="宋体"/>
          <w:i/>
          <w:iCs/>
          <w:color w:val="auto"/>
          <w:kern w:val="0"/>
          <w:sz w:val="24"/>
          <w:highlight w:val="none"/>
          <w:u w:val="single"/>
        </w:rPr>
        <w:t>（关键组件）</w:t>
      </w:r>
      <w:r>
        <w:rPr>
          <w:rFonts w:hint="eastAsia" w:ascii="宋体" w:hAnsi="宋体" w:eastAsia="宋体" w:cs="宋体"/>
          <w:i/>
          <w:iCs/>
          <w:color w:val="auto"/>
          <w:kern w:val="0"/>
          <w:sz w:val="18"/>
          <w:szCs w:val="18"/>
          <w:highlight w:val="none"/>
          <w:u w:val="single"/>
          <w:vertAlign w:val="superscript"/>
        </w:rPr>
        <w:t>4</w:t>
      </w:r>
      <w:r>
        <w:rPr>
          <w:rFonts w:hint="eastAsia" w:ascii="宋体" w:hAnsi="宋体" w:eastAsia="宋体" w:cs="宋体"/>
          <w:color w:val="auto"/>
          <w:kern w:val="0"/>
          <w:sz w:val="24"/>
          <w:highlight w:val="none"/>
        </w:rPr>
        <w:t>在中国境内生产。</w:t>
      </w:r>
      <w:r>
        <w:rPr>
          <w:rFonts w:hint="eastAsia" w:ascii="宋体" w:hAnsi="宋体" w:eastAsia="宋体" w:cs="宋体"/>
          <w:i/>
          <w:iCs/>
          <w:color w:val="auto"/>
          <w:kern w:val="0"/>
          <w:sz w:val="24"/>
          <w:highlight w:val="none"/>
          <w:u w:val="single"/>
        </w:rPr>
        <w:t>（产品名称1）</w:t>
      </w:r>
      <w:r>
        <w:rPr>
          <w:rFonts w:hint="eastAsia" w:ascii="宋体" w:hAnsi="宋体" w:eastAsia="宋体" w:cs="宋体"/>
          <w:color w:val="auto"/>
          <w:kern w:val="0"/>
          <w:sz w:val="24"/>
          <w:highlight w:val="none"/>
        </w:rPr>
        <w:t>的</w:t>
      </w:r>
      <w:r>
        <w:rPr>
          <w:rFonts w:hint="eastAsia" w:ascii="宋体" w:hAnsi="宋体" w:eastAsia="宋体" w:cs="宋体"/>
          <w:i/>
          <w:iCs/>
          <w:color w:val="auto"/>
          <w:kern w:val="0"/>
          <w:sz w:val="24"/>
          <w:highlight w:val="none"/>
          <w:u w:val="single"/>
        </w:rPr>
        <w:t>（关键工序）</w:t>
      </w:r>
      <w:r>
        <w:rPr>
          <w:rFonts w:hint="eastAsia" w:ascii="宋体" w:hAnsi="宋体" w:eastAsia="宋体" w:cs="宋体"/>
          <w:i/>
          <w:iCs/>
          <w:color w:val="auto"/>
          <w:kern w:val="0"/>
          <w:sz w:val="18"/>
          <w:szCs w:val="18"/>
          <w:highlight w:val="none"/>
          <w:u w:val="single"/>
          <w:vertAlign w:val="superscript"/>
        </w:rPr>
        <w:t>5</w:t>
      </w:r>
      <w:r>
        <w:rPr>
          <w:rFonts w:hint="eastAsia" w:ascii="宋体" w:hAnsi="宋体" w:eastAsia="宋体" w:cs="宋体"/>
          <w:color w:val="auto"/>
          <w:kern w:val="0"/>
          <w:sz w:val="24"/>
          <w:highlight w:val="none"/>
        </w:rPr>
        <w:t>在中国境内完成。</w:t>
      </w:r>
    </w:p>
    <w:p w14:paraId="110FB19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i/>
          <w:iCs/>
          <w:color w:val="auto"/>
          <w:kern w:val="0"/>
          <w:sz w:val="24"/>
          <w:highlight w:val="none"/>
          <w:u w:val="single"/>
        </w:rPr>
        <w:t>（产品名称2）</w:t>
      </w:r>
      <w:r>
        <w:rPr>
          <w:rFonts w:hint="eastAsia" w:ascii="宋体" w:hAnsi="宋体" w:eastAsia="宋体" w:cs="宋体"/>
          <w:color w:val="auto"/>
          <w:kern w:val="0"/>
          <w:sz w:val="24"/>
          <w:highlight w:val="none"/>
        </w:rPr>
        <w:t>，生产厂为</w:t>
      </w:r>
      <w:r>
        <w:rPr>
          <w:rFonts w:hint="eastAsia" w:ascii="宋体" w:hAnsi="宋体" w:eastAsia="宋体" w:cs="宋体"/>
          <w:i/>
          <w:iCs/>
          <w:color w:val="auto"/>
          <w:kern w:val="0"/>
          <w:sz w:val="24"/>
          <w:highlight w:val="none"/>
          <w:u w:val="single"/>
        </w:rPr>
        <w:t>（厂名）</w:t>
      </w:r>
      <w:r>
        <w:rPr>
          <w:rFonts w:hint="eastAsia" w:ascii="宋体" w:hAnsi="宋体" w:eastAsia="宋体" w:cs="宋体"/>
          <w:color w:val="auto"/>
          <w:kern w:val="0"/>
          <w:sz w:val="24"/>
          <w:highlight w:val="none"/>
        </w:rPr>
        <w:t>，厂址为</w:t>
      </w:r>
      <w:r>
        <w:rPr>
          <w:rFonts w:hint="eastAsia" w:ascii="宋体" w:hAnsi="宋体" w:eastAsia="宋体" w:cs="宋体"/>
          <w:i/>
          <w:iCs/>
          <w:color w:val="auto"/>
          <w:kern w:val="0"/>
          <w:sz w:val="24"/>
          <w:highlight w:val="none"/>
          <w:u w:val="single"/>
        </w:rPr>
        <w:t>（生产厂址）</w:t>
      </w:r>
      <w:r>
        <w:rPr>
          <w:rFonts w:hint="eastAsia" w:ascii="宋体" w:hAnsi="宋体" w:eastAsia="宋体" w:cs="宋体"/>
          <w:color w:val="auto"/>
          <w:kern w:val="0"/>
          <w:sz w:val="24"/>
          <w:highlight w:val="none"/>
        </w:rPr>
        <w:t>。</w:t>
      </w:r>
      <w:r>
        <w:rPr>
          <w:rFonts w:hint="eastAsia" w:ascii="宋体" w:hAnsi="宋体" w:eastAsia="宋体" w:cs="宋体"/>
          <w:i/>
          <w:iCs/>
          <w:color w:val="auto"/>
          <w:kern w:val="0"/>
          <w:sz w:val="24"/>
          <w:highlight w:val="none"/>
          <w:u w:val="single"/>
        </w:rPr>
        <w:t>（产品名称2）</w:t>
      </w:r>
      <w:r>
        <w:rPr>
          <w:rFonts w:hint="eastAsia" w:ascii="宋体" w:hAnsi="宋体" w:eastAsia="宋体" w:cs="宋体"/>
          <w:color w:val="auto"/>
          <w:kern w:val="0"/>
          <w:sz w:val="24"/>
          <w:highlight w:val="none"/>
        </w:rPr>
        <w:t>的中国境内生产的组件成本占比≥</w:t>
      </w:r>
      <w:r>
        <w:rPr>
          <w:rFonts w:hint="eastAsia" w:ascii="宋体" w:hAnsi="宋体" w:eastAsia="宋体" w:cs="宋体"/>
          <w:i/>
          <w:iCs/>
          <w:color w:val="auto"/>
          <w:kern w:val="0"/>
          <w:sz w:val="24"/>
          <w:highlight w:val="none"/>
          <w:u w:val="single"/>
        </w:rPr>
        <w:t>（规定比例）</w:t>
      </w:r>
      <w:r>
        <w:rPr>
          <w:rFonts w:hint="eastAsia" w:ascii="宋体" w:hAnsi="宋体" w:eastAsia="宋体" w:cs="宋体"/>
          <w:color w:val="auto"/>
          <w:kern w:val="0"/>
          <w:sz w:val="24"/>
          <w:highlight w:val="none"/>
        </w:rPr>
        <w:t>。</w:t>
      </w:r>
      <w:r>
        <w:rPr>
          <w:rFonts w:hint="eastAsia" w:ascii="宋体" w:hAnsi="宋体" w:eastAsia="宋体" w:cs="宋体"/>
          <w:i/>
          <w:iCs/>
          <w:color w:val="auto"/>
          <w:kern w:val="0"/>
          <w:sz w:val="24"/>
          <w:highlight w:val="none"/>
          <w:u w:val="single"/>
        </w:rPr>
        <w:t>（产品名称2）</w:t>
      </w:r>
      <w:r>
        <w:rPr>
          <w:rFonts w:hint="eastAsia" w:ascii="宋体" w:hAnsi="宋体" w:eastAsia="宋体" w:cs="宋体"/>
          <w:color w:val="auto"/>
          <w:kern w:val="0"/>
          <w:sz w:val="24"/>
          <w:highlight w:val="none"/>
        </w:rPr>
        <w:t>的</w:t>
      </w:r>
      <w:r>
        <w:rPr>
          <w:rFonts w:hint="eastAsia" w:ascii="宋体" w:hAnsi="宋体" w:eastAsia="宋体" w:cs="宋体"/>
          <w:i/>
          <w:iCs/>
          <w:color w:val="auto"/>
          <w:kern w:val="0"/>
          <w:sz w:val="24"/>
          <w:highlight w:val="none"/>
          <w:u w:val="single"/>
        </w:rPr>
        <w:t>（关键组件）</w:t>
      </w:r>
      <w:r>
        <w:rPr>
          <w:rFonts w:hint="eastAsia" w:ascii="宋体" w:hAnsi="宋体" w:eastAsia="宋体" w:cs="宋体"/>
          <w:color w:val="auto"/>
          <w:kern w:val="0"/>
          <w:sz w:val="24"/>
          <w:highlight w:val="none"/>
        </w:rPr>
        <w:t>在中国境内生产。</w:t>
      </w:r>
      <w:r>
        <w:rPr>
          <w:rFonts w:hint="eastAsia" w:ascii="宋体" w:hAnsi="宋体" w:eastAsia="宋体" w:cs="宋体"/>
          <w:i/>
          <w:iCs/>
          <w:color w:val="auto"/>
          <w:kern w:val="0"/>
          <w:sz w:val="24"/>
          <w:highlight w:val="none"/>
        </w:rPr>
        <w:t>（</w:t>
      </w:r>
      <w:r>
        <w:rPr>
          <w:rFonts w:hint="eastAsia" w:ascii="宋体" w:hAnsi="宋体" w:eastAsia="宋体" w:cs="宋体"/>
          <w:i/>
          <w:iCs/>
          <w:color w:val="auto"/>
          <w:kern w:val="0"/>
          <w:sz w:val="24"/>
          <w:highlight w:val="none"/>
          <w:u w:val="single"/>
        </w:rPr>
        <w:t>产品名称2）</w:t>
      </w:r>
      <w:r>
        <w:rPr>
          <w:rFonts w:hint="eastAsia" w:ascii="宋体" w:hAnsi="宋体" w:eastAsia="宋体" w:cs="宋体"/>
          <w:color w:val="auto"/>
          <w:kern w:val="0"/>
          <w:sz w:val="24"/>
          <w:highlight w:val="none"/>
        </w:rPr>
        <w:t>的</w:t>
      </w:r>
      <w:r>
        <w:rPr>
          <w:rFonts w:hint="eastAsia" w:ascii="宋体" w:hAnsi="宋体" w:eastAsia="宋体" w:cs="宋体"/>
          <w:i/>
          <w:iCs/>
          <w:color w:val="auto"/>
          <w:kern w:val="0"/>
          <w:sz w:val="24"/>
          <w:highlight w:val="none"/>
          <w:u w:val="single"/>
        </w:rPr>
        <w:t>（关键工序）</w:t>
      </w:r>
      <w:r>
        <w:rPr>
          <w:rFonts w:hint="eastAsia" w:ascii="宋体" w:hAnsi="宋体" w:eastAsia="宋体" w:cs="宋体"/>
          <w:color w:val="auto"/>
          <w:kern w:val="0"/>
          <w:sz w:val="24"/>
          <w:highlight w:val="none"/>
        </w:rPr>
        <w:t>在中国境内完成。</w:t>
      </w:r>
    </w:p>
    <w:p w14:paraId="65F1BE1A">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20C7308B">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本公司（单位）对上述声明内容的真实性负责。如有虚假，愿承担相应法律责任。</w:t>
      </w:r>
    </w:p>
    <w:p w14:paraId="279CA79D">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41414BD7">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jc w:val="righ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公司（单位）名称（盖章）：　        </w:t>
      </w:r>
    </w:p>
    <w:p w14:paraId="0DBF3629">
      <w:pPr>
        <w:keepNext w:val="0"/>
        <w:keepLines w:val="0"/>
        <w:pageBreakBefore w:val="0"/>
        <w:widowControl/>
        <w:shd w:val="clear" w:color="auto" w:fill="FFFFFF"/>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　     年　  月　  日         </w:t>
      </w:r>
    </w:p>
    <w:p w14:paraId="4200D4CE">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__________________</w:t>
      </w:r>
    </w:p>
    <w:p w14:paraId="7C0FAD8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1.产品如有型号，请在“产品名称”栏一并填写。</w:t>
      </w:r>
    </w:p>
    <w:p w14:paraId="31F3BB8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2.生产厂名与厂址应与生产厂营业执照载明的相关信息保持一致。</w:t>
      </w:r>
    </w:p>
    <w:p w14:paraId="26D2E1F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3.该产品的中国境内生产的组件成本占比相关要求实施前，“规定比例”栏可不填，下同。</w:t>
      </w:r>
    </w:p>
    <w:p w14:paraId="614D100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4.该产品的关键组件要求实施前，“关键组件”栏可不填，下同。</w:t>
      </w:r>
    </w:p>
    <w:p w14:paraId="67FF9A8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5.该产品的关键工序要求实施前，“关键工序”栏可不填，下同。</w:t>
      </w:r>
    </w:p>
    <w:p w14:paraId="3106CEE5">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b/>
          <w:color w:val="auto"/>
          <w:sz w:val="24"/>
          <w:highlight w:val="none"/>
        </w:rPr>
      </w:pPr>
    </w:p>
    <w:p w14:paraId="37586FD6">
      <w:pPr>
        <w:rPr>
          <w:rFonts w:hint="eastAsia" w:ascii="宋体" w:hAnsi="宋体"/>
          <w:b/>
          <w:color w:val="auto"/>
          <w:sz w:val="24"/>
          <w:highlight w:val="none"/>
        </w:rPr>
      </w:pPr>
      <w:r>
        <w:rPr>
          <w:rFonts w:hint="eastAsia" w:ascii="宋体" w:hAnsi="宋体"/>
          <w:b/>
          <w:color w:val="auto"/>
          <w:sz w:val="24"/>
          <w:highlight w:val="none"/>
        </w:rPr>
        <w:br w:type="page"/>
      </w:r>
    </w:p>
    <w:p w14:paraId="2395B646">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ascii="宋体" w:hAnsi="宋体"/>
          <w:b/>
          <w:bCs/>
          <w:color w:val="auto"/>
          <w:sz w:val="32"/>
          <w:szCs w:val="32"/>
          <w:highlight w:val="none"/>
        </w:rPr>
      </w:pPr>
      <w:r>
        <w:rPr>
          <w:rFonts w:hint="eastAsia" w:ascii="宋体" w:hAnsi="宋体"/>
          <w:b/>
          <w:color w:val="auto"/>
          <w:sz w:val="24"/>
          <w:highlight w:val="none"/>
          <w:lang w:val="en-US" w:eastAsia="zh-CN"/>
        </w:rPr>
        <w:t>5.</w:t>
      </w:r>
      <w:r>
        <w:rPr>
          <w:rFonts w:hint="eastAsia" w:ascii="宋体" w:hAnsi="宋体"/>
          <w:b/>
          <w:color w:val="auto"/>
          <w:sz w:val="24"/>
          <w:highlight w:val="none"/>
        </w:rPr>
        <w:t>质疑函（格式）</w:t>
      </w:r>
    </w:p>
    <w:p w14:paraId="715C31B1">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质疑函（格式）</w:t>
      </w:r>
    </w:p>
    <w:p w14:paraId="507BA8A1">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Ansi="宋体"/>
          <w:b/>
          <w:bCs/>
          <w:color w:val="auto"/>
          <w:sz w:val="24"/>
          <w:szCs w:val="24"/>
          <w:highlight w:val="none"/>
        </w:rPr>
      </w:pPr>
      <w:r>
        <w:rPr>
          <w:rFonts w:hint="eastAsia" w:hAnsi="宋体"/>
          <w:b/>
          <w:bCs/>
          <w:color w:val="auto"/>
          <w:sz w:val="24"/>
          <w:szCs w:val="24"/>
          <w:highlight w:val="none"/>
        </w:rPr>
        <w:t>一、质疑供应商基本信息：</w:t>
      </w:r>
    </w:p>
    <w:p w14:paraId="12BF28E6">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416804C">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47CE454">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4B6A402">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80B9FEF">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2CCE48A">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32F35E1">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Ansi="宋体"/>
          <w:b/>
          <w:bCs/>
          <w:color w:val="auto"/>
          <w:sz w:val="24"/>
          <w:szCs w:val="24"/>
          <w:highlight w:val="none"/>
        </w:rPr>
      </w:pPr>
      <w:r>
        <w:rPr>
          <w:rFonts w:hint="eastAsia" w:hAnsi="宋体"/>
          <w:b/>
          <w:bCs/>
          <w:color w:val="auto"/>
          <w:sz w:val="24"/>
          <w:szCs w:val="24"/>
          <w:highlight w:val="none"/>
        </w:rPr>
        <w:t>二、质疑项目基本情况：</w:t>
      </w:r>
    </w:p>
    <w:p w14:paraId="6AC9706E">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E01406F">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B42845F">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817BF8F">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质疑事项：</w:t>
      </w:r>
    </w:p>
    <w:p w14:paraId="3A56C893">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50DEC60C">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 xml:space="preserve">□招标过程   </w:t>
      </w:r>
    </w:p>
    <w:p w14:paraId="396329CA">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Cs/>
          <w:color w:val="auto"/>
          <w:sz w:val="24"/>
          <w:szCs w:val="24"/>
          <w:highlight w:val="none"/>
          <w:u w:val="single"/>
        </w:rPr>
      </w:pPr>
      <w:r>
        <w:rPr>
          <w:rFonts w:hint="eastAsia" w:hAnsi="宋体"/>
          <w:color w:val="auto"/>
          <w:sz w:val="24"/>
          <w:szCs w:val="24"/>
          <w:highlight w:val="none"/>
        </w:rPr>
        <w:t xml:space="preserve">□招标结果   </w:t>
      </w:r>
    </w:p>
    <w:p w14:paraId="0D03DAA2">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
          <w:color w:val="auto"/>
          <w:sz w:val="24"/>
          <w:szCs w:val="24"/>
          <w:highlight w:val="none"/>
        </w:rPr>
      </w:pPr>
      <w:r>
        <w:rPr>
          <w:rFonts w:hint="eastAsia" w:hAnsi="宋体"/>
          <w:b/>
          <w:color w:val="auto"/>
          <w:sz w:val="24"/>
          <w:szCs w:val="24"/>
          <w:highlight w:val="none"/>
        </w:rPr>
        <w:t>三、质疑事项具体内容</w:t>
      </w:r>
    </w:p>
    <w:p w14:paraId="44C10AEB">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3FB3856D">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1AA2B7A">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5BC695F4">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质疑事项2</w:t>
      </w:r>
    </w:p>
    <w:p w14:paraId="58BF53EB">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Ansi="宋体"/>
          <w:color w:val="auto"/>
          <w:sz w:val="24"/>
          <w:szCs w:val="24"/>
          <w:highlight w:val="none"/>
        </w:rPr>
        <w:t>……</w:t>
      </w:r>
    </w:p>
    <w:p w14:paraId="5B5BACE4">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四、与质疑事项相关的质疑请求：</w:t>
      </w:r>
    </w:p>
    <w:p w14:paraId="7E1E155B">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2ECF5EA">
      <w:pPr>
        <w:pStyle w:val="23"/>
        <w:spacing w:line="360" w:lineRule="auto"/>
        <w:ind w:left="25" w:leftChars="12" w:firstLine="352" w:firstLineChars="147"/>
        <w:rPr>
          <w:rFonts w:hAnsi="宋体"/>
          <w:color w:val="auto"/>
          <w:sz w:val="24"/>
          <w:szCs w:val="24"/>
          <w:highlight w:val="none"/>
        </w:rPr>
      </w:pPr>
    </w:p>
    <w:p w14:paraId="7A748ED7">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Ansi="宋体"/>
          <w:color w:val="auto"/>
          <w:sz w:val="24"/>
          <w:szCs w:val="24"/>
          <w:highlight w:val="none"/>
        </w:rPr>
      </w:pPr>
      <w:r>
        <w:rPr>
          <w:rFonts w:hint="eastAsia" w:hAnsi="宋体"/>
          <w:color w:val="auto"/>
          <w:sz w:val="24"/>
          <w:szCs w:val="24"/>
          <w:highlight w:val="none"/>
        </w:rPr>
        <w:t>签字（签章）：                                       公章：</w:t>
      </w:r>
    </w:p>
    <w:p w14:paraId="2E573E08">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Ansi="宋体"/>
          <w:color w:val="auto"/>
          <w:sz w:val="24"/>
          <w:szCs w:val="24"/>
          <w:highlight w:val="none"/>
        </w:rPr>
      </w:pPr>
    </w:p>
    <w:p w14:paraId="263C3D5A">
      <w:pPr>
        <w:pStyle w:val="2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Ansi="宋体"/>
          <w:color w:val="auto"/>
          <w:sz w:val="24"/>
          <w:szCs w:val="24"/>
          <w:highlight w:val="none"/>
        </w:rPr>
      </w:pPr>
      <w:r>
        <w:rPr>
          <w:rFonts w:hint="eastAsia" w:hAnsi="宋体"/>
          <w:color w:val="auto"/>
          <w:sz w:val="24"/>
          <w:szCs w:val="24"/>
          <w:highlight w:val="none"/>
        </w:rPr>
        <w:t>日期：</w:t>
      </w:r>
    </w:p>
    <w:p w14:paraId="076C36C8">
      <w:pPr>
        <w:pStyle w:val="23"/>
        <w:snapToGrid w:val="0"/>
        <w:spacing w:line="360" w:lineRule="auto"/>
        <w:ind w:firstLine="482"/>
        <w:rPr>
          <w:rFonts w:hAnsi="宋体"/>
          <w:b/>
          <w:color w:val="auto"/>
          <w:sz w:val="24"/>
          <w:szCs w:val="24"/>
          <w:highlight w:val="none"/>
        </w:rPr>
      </w:pPr>
    </w:p>
    <w:p w14:paraId="4F4F67E8">
      <w:pPr>
        <w:pStyle w:val="23"/>
        <w:snapToGrid w:val="0"/>
        <w:spacing w:line="360" w:lineRule="auto"/>
        <w:ind w:firstLine="482"/>
        <w:rPr>
          <w:rFonts w:hAnsi="宋体"/>
          <w:b/>
          <w:color w:val="auto"/>
          <w:sz w:val="24"/>
          <w:szCs w:val="24"/>
          <w:highlight w:val="none"/>
        </w:rPr>
      </w:pPr>
      <w:r>
        <w:rPr>
          <w:rFonts w:hint="eastAsia" w:hAnsi="宋体"/>
          <w:b/>
          <w:color w:val="auto"/>
          <w:sz w:val="24"/>
          <w:szCs w:val="24"/>
          <w:highlight w:val="none"/>
        </w:rPr>
        <w:t>说明：</w:t>
      </w:r>
    </w:p>
    <w:p w14:paraId="5E881F37">
      <w:pPr>
        <w:pStyle w:val="23"/>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9E89DCF">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6AE0836">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13BE739F">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6639149B">
      <w:pPr>
        <w:pStyle w:val="23"/>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9B5B8E9">
      <w:pPr>
        <w:spacing w:line="460" w:lineRule="exact"/>
        <w:ind w:firstLine="880"/>
        <w:rPr>
          <w:rFonts w:eastAsia="隶书"/>
          <w:color w:val="auto"/>
          <w:sz w:val="44"/>
          <w:highlight w:val="none"/>
        </w:rPr>
      </w:pPr>
    </w:p>
    <w:p w14:paraId="4FD15D68">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lang w:val="en-US" w:eastAsia="zh-CN"/>
        </w:rPr>
        <w:t>6</w:t>
      </w:r>
      <w:r>
        <w:rPr>
          <w:rFonts w:hint="eastAsia" w:ascii="宋体" w:hAnsi="宋体"/>
          <w:b/>
          <w:color w:val="auto"/>
          <w:sz w:val="24"/>
          <w:highlight w:val="none"/>
        </w:rPr>
        <w:t>.投诉书（格式）</w:t>
      </w:r>
    </w:p>
    <w:p w14:paraId="50C2A7E5">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投诉书（格式）</w:t>
      </w:r>
    </w:p>
    <w:p w14:paraId="5E9C5CA6">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Ansi="宋体"/>
          <w:b/>
          <w:bCs/>
          <w:color w:val="auto"/>
          <w:sz w:val="24"/>
          <w:szCs w:val="24"/>
          <w:highlight w:val="none"/>
        </w:rPr>
      </w:pPr>
      <w:r>
        <w:rPr>
          <w:rFonts w:hint="eastAsia" w:hAnsi="宋体"/>
          <w:b/>
          <w:bCs/>
          <w:color w:val="auto"/>
          <w:sz w:val="24"/>
          <w:szCs w:val="24"/>
          <w:highlight w:val="none"/>
        </w:rPr>
        <w:t>一、投诉相关主体基本情况：</w:t>
      </w:r>
    </w:p>
    <w:p w14:paraId="46C13CC7">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057D299">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D0803A5">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C25050A">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102455F">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E8F3F97">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B8CACB8">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5959876">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rPr>
      </w:pPr>
      <w:r>
        <w:rPr>
          <w:rFonts w:hint="eastAsia" w:hAnsi="宋体"/>
          <w:bCs/>
          <w:color w:val="auto"/>
          <w:sz w:val="24"/>
          <w:szCs w:val="24"/>
          <w:highlight w:val="none"/>
        </w:rPr>
        <w:t>被投诉人1：</w:t>
      </w:r>
    </w:p>
    <w:p w14:paraId="2029CB56">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1EB6F69">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EADAC1E">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2DE2112">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rPr>
      </w:pPr>
      <w:r>
        <w:rPr>
          <w:rFonts w:hint="eastAsia" w:hAnsi="宋体"/>
          <w:bCs/>
          <w:color w:val="auto"/>
          <w:sz w:val="24"/>
          <w:szCs w:val="24"/>
          <w:highlight w:val="none"/>
        </w:rPr>
        <w:t>被投诉人2：</w:t>
      </w:r>
    </w:p>
    <w:p w14:paraId="2223297B">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rPr>
      </w:pPr>
      <w:r>
        <w:rPr>
          <w:rFonts w:hAnsi="宋体"/>
          <w:bCs/>
          <w:color w:val="auto"/>
          <w:sz w:val="24"/>
          <w:szCs w:val="24"/>
          <w:highlight w:val="none"/>
        </w:rPr>
        <w:t>……</w:t>
      </w:r>
    </w:p>
    <w:p w14:paraId="7CAB219C">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9093D5E">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2444BFE">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B96260">
      <w:pPr>
        <w:pStyle w:val="23"/>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Ansi="宋体"/>
          <w:b/>
          <w:bCs/>
          <w:color w:val="auto"/>
          <w:sz w:val="24"/>
          <w:szCs w:val="24"/>
          <w:highlight w:val="none"/>
        </w:rPr>
      </w:pPr>
      <w:r>
        <w:rPr>
          <w:rFonts w:hint="eastAsia" w:hAnsi="宋体"/>
          <w:b/>
          <w:bCs/>
          <w:color w:val="auto"/>
          <w:sz w:val="24"/>
          <w:szCs w:val="24"/>
          <w:highlight w:val="none"/>
        </w:rPr>
        <w:t>二、投诉项目基本情况：</w:t>
      </w:r>
    </w:p>
    <w:p w14:paraId="45FEBFDF">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1AC39C62">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17A75A8E">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631201B">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6751989">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C48F1BD">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23987D49">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
          <w:color w:val="auto"/>
          <w:sz w:val="24"/>
          <w:szCs w:val="24"/>
          <w:highlight w:val="none"/>
        </w:rPr>
      </w:pPr>
      <w:r>
        <w:rPr>
          <w:rFonts w:hint="eastAsia" w:hAnsi="宋体"/>
          <w:b/>
          <w:color w:val="auto"/>
          <w:sz w:val="24"/>
          <w:szCs w:val="24"/>
          <w:highlight w:val="none"/>
        </w:rPr>
        <w:t>三、质疑基本情况</w:t>
      </w:r>
    </w:p>
    <w:p w14:paraId="6A15368B">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1BC8DBFB">
      <w:pPr>
        <w:pStyle w:val="23"/>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CB83520">
      <w:pPr>
        <w:pStyle w:val="23"/>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185399F">
      <w:pPr>
        <w:pStyle w:val="23"/>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49DDBC07">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
          <w:color w:val="auto"/>
          <w:sz w:val="24"/>
          <w:szCs w:val="24"/>
          <w:highlight w:val="none"/>
        </w:rPr>
      </w:pPr>
      <w:r>
        <w:rPr>
          <w:rFonts w:hint="eastAsia" w:hAnsi="宋体"/>
          <w:b/>
          <w:color w:val="auto"/>
          <w:sz w:val="24"/>
          <w:szCs w:val="24"/>
          <w:highlight w:val="none"/>
        </w:rPr>
        <w:t>四、投诉事项具体内容</w:t>
      </w:r>
    </w:p>
    <w:p w14:paraId="7B9A55F4">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220226C1">
      <w:pPr>
        <w:pStyle w:val="23"/>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1C27DF2">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bCs/>
          <w:color w:val="auto"/>
          <w:sz w:val="24"/>
          <w:szCs w:val="24"/>
          <w:highlight w:val="none"/>
          <w:u w:val="single"/>
        </w:rPr>
        <w:t xml:space="preserve">                                                                                        </w:t>
      </w:r>
    </w:p>
    <w:p w14:paraId="3A03690E">
      <w:pPr>
        <w:pStyle w:val="23"/>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3AD1F54">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F630A5C">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6DDAE8F5">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Cs/>
          <w:color w:val="auto"/>
          <w:sz w:val="24"/>
          <w:szCs w:val="24"/>
          <w:highlight w:val="none"/>
        </w:rPr>
      </w:pPr>
      <w:r>
        <w:rPr>
          <w:rFonts w:hAnsi="宋体"/>
          <w:bCs/>
          <w:color w:val="auto"/>
          <w:sz w:val="24"/>
          <w:szCs w:val="24"/>
          <w:highlight w:val="none"/>
        </w:rPr>
        <w:t>……</w:t>
      </w:r>
    </w:p>
    <w:p w14:paraId="40C9B5F8">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b/>
          <w:color w:val="auto"/>
          <w:sz w:val="24"/>
          <w:szCs w:val="24"/>
          <w:highlight w:val="none"/>
        </w:rPr>
      </w:pPr>
      <w:r>
        <w:rPr>
          <w:rFonts w:hint="eastAsia" w:hAnsi="宋体"/>
          <w:b/>
          <w:color w:val="auto"/>
          <w:sz w:val="24"/>
          <w:szCs w:val="24"/>
          <w:highlight w:val="none"/>
        </w:rPr>
        <w:t>五、与投诉事项相关的投诉请求：</w:t>
      </w:r>
    </w:p>
    <w:p w14:paraId="7BEC7B15">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050978A">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p>
    <w:p w14:paraId="6AAAFBBE">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签字（签章）：                                       公章：</w:t>
      </w:r>
    </w:p>
    <w:p w14:paraId="7ACDA9F7">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p>
    <w:p w14:paraId="4B97D34C">
      <w:pPr>
        <w:pStyle w:val="23"/>
        <w:keepNext w:val="0"/>
        <w:keepLines w:val="0"/>
        <w:pageBreakBefore w:val="0"/>
        <w:widowControl w:val="0"/>
        <w:kinsoku/>
        <w:wordWrap/>
        <w:overflowPunct/>
        <w:topLinePunct w:val="0"/>
        <w:autoSpaceDE/>
        <w:autoSpaceDN/>
        <w:bidi w:val="0"/>
        <w:adjustRightInd/>
        <w:spacing w:line="360" w:lineRule="auto"/>
        <w:ind w:left="25" w:leftChars="12" w:firstLine="0" w:firstLineChars="0"/>
        <w:textAlignment w:val="auto"/>
        <w:rPr>
          <w:rFonts w:hAnsi="宋体"/>
          <w:color w:val="auto"/>
          <w:sz w:val="24"/>
          <w:szCs w:val="24"/>
          <w:highlight w:val="none"/>
        </w:rPr>
      </w:pPr>
      <w:r>
        <w:rPr>
          <w:rFonts w:hint="eastAsia" w:hAnsi="宋体"/>
          <w:color w:val="auto"/>
          <w:sz w:val="24"/>
          <w:szCs w:val="24"/>
          <w:highlight w:val="none"/>
        </w:rPr>
        <w:t>日期：</w:t>
      </w:r>
    </w:p>
    <w:p w14:paraId="6E14B476">
      <w:pPr>
        <w:pStyle w:val="23"/>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04216E7B">
      <w:pPr>
        <w:pStyle w:val="23"/>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1DB0A645">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388E2FE">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994AC7A">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25E3C31">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34EBE5CA">
      <w:pPr>
        <w:pStyle w:val="23"/>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8" w:type="first"/>
      <w:headerReference r:id="rId15" w:type="default"/>
      <w:footerReference r:id="rId16" w:type="default"/>
      <w:footerReference r:id="rId17" w:type="even"/>
      <w:pgSz w:w="11911" w:h="16838"/>
      <w:pgMar w:top="1440" w:right="1803" w:bottom="1440" w:left="1803" w:header="720" w:footer="72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237DA5D-3790-4DC0-91FF-C531A8542326}"/>
  </w:font>
  <w:font w:name="黑体">
    <w:panose1 w:val="02010609060101010101"/>
    <w:charset w:val="86"/>
    <w:family w:val="auto"/>
    <w:pitch w:val="default"/>
    <w:sig w:usb0="800002BF" w:usb1="38CF7CFA" w:usb2="00000016" w:usb3="00000000" w:csb0="00040001" w:csb1="00000000"/>
    <w:embedRegular r:id="rId2" w:fontKey="{17648FB8-4465-4022-9F20-67369018E9FB}"/>
  </w:font>
  <w:font w:name="Courier New">
    <w:panose1 w:val="02070309020205020404"/>
    <w:charset w:val="01"/>
    <w:family w:val="modern"/>
    <w:pitch w:val="default"/>
    <w:sig w:usb0="E0002EFF" w:usb1="C0007843" w:usb2="00000009" w:usb3="00000000" w:csb0="400001FF" w:csb1="FFFF0000"/>
    <w:embedRegular r:id="rId3" w:fontKey="{2945F2DE-7D22-4ECD-861C-3FE2DEFB81E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0B893BC0-97E8-4821-B58F-ED652DDA233B}"/>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embedRegular r:id="rId5" w:fontKey="{08F43249-5F4F-4EB0-9CA7-947D2C4860BD}"/>
  </w:font>
  <w:font w:name="华文新魏">
    <w:panose1 w:val="02010800040101010101"/>
    <w:charset w:val="86"/>
    <w:family w:val="auto"/>
    <w:pitch w:val="default"/>
    <w:sig w:usb0="00000001" w:usb1="080F0000" w:usb2="00000000" w:usb3="00000000" w:csb0="00040000" w:csb1="00000000"/>
    <w:embedRegular r:id="rId6" w:fontKey="{CCAF91F8-1B6E-4933-8263-89CB551C7604}"/>
  </w:font>
  <w:font w:name="Segoe UI Symbol">
    <w:panose1 w:val="020B0502040204020203"/>
    <w:charset w:val="00"/>
    <w:family w:val="swiss"/>
    <w:pitch w:val="default"/>
    <w:sig w:usb0="800001E3" w:usb1="1200FFEF" w:usb2="00040000" w:usb3="04000000" w:csb0="00000001" w:csb1="40000000"/>
    <w:embedRegular r:id="rId7" w:fontKey="{EBB75C45-DF25-453A-BF76-C55C9271C16A}"/>
  </w:font>
  <w:font w:name="楷体">
    <w:panose1 w:val="02010609060101010101"/>
    <w:charset w:val="86"/>
    <w:family w:val="modern"/>
    <w:pitch w:val="default"/>
    <w:sig w:usb0="800002BF" w:usb1="38CF7CFA" w:usb2="00000016" w:usb3="00000000" w:csb0="00040001" w:csb1="00000000"/>
    <w:embedRegular r:id="rId8" w:fontKey="{B45E6FA1-5916-4ED2-8626-6129759373FE}"/>
  </w:font>
  <w:font w:name="微软雅黑">
    <w:panose1 w:val="020B0503020204020204"/>
    <w:charset w:val="86"/>
    <w:family w:val="swiss"/>
    <w:pitch w:val="default"/>
    <w:sig w:usb0="80000287" w:usb1="2ACF3C50" w:usb2="00000016" w:usb3="00000000" w:csb0="0004001F" w:csb1="00000000"/>
    <w:embedRegular r:id="rId9" w:fontKey="{D1B20119-ABBD-4959-8609-13EC36291185}"/>
  </w:font>
  <w:font w:name="隶书">
    <w:panose1 w:val="02010509060101010101"/>
    <w:charset w:val="86"/>
    <w:family w:val="modern"/>
    <w:pitch w:val="default"/>
    <w:sig w:usb0="00000001" w:usb1="080E0000" w:usb2="00000000" w:usb3="00000000" w:csb0="00040000" w:csb1="00000000"/>
    <w:embedRegular r:id="rId10" w:fontKey="{E8D291CD-7949-4724-AC94-C195AD8BAB63}"/>
  </w:font>
  <w:font w:name="WPSEMBED5">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0BDE">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144FC">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36144FC">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499AC65F">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9265E">
    <w:pPr>
      <w:pStyle w:val="29"/>
      <w:ind w:right="360"/>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F1371">
                          <w:pPr>
                            <w:pStyle w:val="29"/>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06F1371">
                    <w:pPr>
                      <w:pStyle w:val="29"/>
                    </w:pPr>
                    <w:r>
                      <w:fldChar w:fldCharType="begin"/>
                    </w:r>
                    <w:r>
                      <w:instrText xml:space="preserve"> PAGE  \* MERGEFORMAT </w:instrText>
                    </w:r>
                    <w:r>
                      <w:fldChar w:fldCharType="separate"/>
                    </w:r>
                    <w:r>
                      <w:t>127</w:t>
                    </w:r>
                    <w:r>
                      <w:fldChar w:fldCharType="end"/>
                    </w:r>
                  </w:p>
                </w:txbxContent>
              </v:textbox>
            </v:shape>
          </w:pict>
        </mc:Fallback>
      </mc:AlternateContent>
    </w: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B4A6">
    <w:pPr>
      <w:pStyle w:val="29"/>
      <w:ind w:firstLine="36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62B10">
                          <w:pPr>
                            <w:pStyle w:val="29"/>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C062B10">
                    <w:pPr>
                      <w:pStyle w:val="29"/>
                    </w:pPr>
                    <w:r>
                      <w:fldChar w:fldCharType="begin"/>
                    </w:r>
                    <w:r>
                      <w:instrText xml:space="preserve"> PAGE  \* MERGEFORMAT </w:instrText>
                    </w:r>
                    <w:r>
                      <w:fldChar w:fldCharType="separate"/>
                    </w:r>
                    <w:r>
                      <w:t>159</w:t>
                    </w:r>
                    <w:r>
                      <w:fldChar w:fldCharType="end"/>
                    </w:r>
                  </w:p>
                </w:txbxContent>
              </v:textbox>
            </v:shape>
          </w:pict>
        </mc:Fallback>
      </mc:AlternateContent>
    </w:r>
  </w:p>
  <w:p w14:paraId="79A832E9">
    <w:pPr>
      <w:pStyle w:val="29"/>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7AB2">
    <w:pPr>
      <w:pStyle w:val="29"/>
      <w:framePr w:wrap="around" w:vAnchor="text" w:hAnchor="margin" w:xAlign="center" w:y="1"/>
      <w:ind w:firstLine="360"/>
      <w:rPr>
        <w:rStyle w:val="50"/>
      </w:rPr>
    </w:pPr>
    <w:r>
      <w:fldChar w:fldCharType="begin"/>
    </w:r>
    <w:r>
      <w:rPr>
        <w:rStyle w:val="50"/>
      </w:rPr>
      <w:instrText xml:space="preserve">PAGE  </w:instrText>
    </w:r>
    <w:r>
      <w:fldChar w:fldCharType="end"/>
    </w:r>
  </w:p>
  <w:p w14:paraId="5F28A09A">
    <w:pPr>
      <w:pStyle w:val="29"/>
      <w:ind w:firstLine="360"/>
    </w:pPr>
  </w:p>
  <w:p w14:paraId="26958AE7"/>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D1C1">
    <w:pPr>
      <w:pStyle w:val="29"/>
      <w:ind w:right="360" w:firstLine="360"/>
      <w:jc w:val="both"/>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3B2BD">
                          <w:pPr>
                            <w:pStyle w:val="29"/>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BE3B2BD">
                    <w:pPr>
                      <w:pStyle w:val="29"/>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E95D">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19E0B">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8119E0B">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5112DDC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4409A">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66AA6">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4E66AA6">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26F54AD4">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DAEB">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28A17">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9128A17">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15A8839">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535D">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937058">
                          <w:pPr>
                            <w:pStyle w:val="29"/>
                          </w:pPr>
                          <w:r>
                            <w:fldChar w:fldCharType="begin"/>
                          </w:r>
                          <w:r>
                            <w:instrText xml:space="preserve"> PAGE  \* MERGEFORMAT </w:instrText>
                          </w:r>
                          <w:r>
                            <w:fldChar w:fldCharType="separate"/>
                          </w:r>
                          <w:r>
                            <w:t>48</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UBZcQBAACQAwAADgAAAGRycy9lMm9Eb2MueG1srVPNjtMwEL4j8Q6W&#10;79RppUV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Wt1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PUBZcQBAACQAwAADgAAAAAAAAABACAAAAAeAQAAZHJzL2Uyb0RvYy54bWxQ&#10;SwUGAAAAAAYABgBZAQAAVAUAAAAA&#10;">
              <v:fill on="f" focussize="0,0"/>
              <v:stroke on="f"/>
              <v:imagedata o:title=""/>
              <o:lock v:ext="edit" aspectratio="f"/>
              <v:textbox inset="0mm,0mm,0mm,0mm" style="mso-fit-shape-to-text:t;">
                <w:txbxContent>
                  <w:p w14:paraId="3C937058">
                    <w:pPr>
                      <w:pStyle w:val="29"/>
                    </w:pPr>
                    <w:r>
                      <w:fldChar w:fldCharType="begin"/>
                    </w:r>
                    <w:r>
                      <w:instrText xml:space="preserve"> PAGE  \* MERGEFORMAT </w:instrText>
                    </w:r>
                    <w:r>
                      <w:fldChar w:fldCharType="separate"/>
                    </w:r>
                    <w:r>
                      <w:t>48</w:t>
                    </w:r>
                    <w:r>
                      <w:fldChar w:fldCharType="end"/>
                    </w:r>
                  </w:p>
                </w:txbxContent>
              </v:textbox>
            </v:shape>
          </w:pict>
        </mc:Fallback>
      </mc:AlternateContent>
    </w:r>
  </w:p>
  <w:p w14:paraId="2DC870A4">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055E">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E3479">
                          <w:pPr>
                            <w:pStyle w:val="2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42E3479">
                    <w:pPr>
                      <w:pStyle w:val="29"/>
                    </w:pPr>
                    <w:r>
                      <w:fldChar w:fldCharType="begin"/>
                    </w:r>
                    <w:r>
                      <w:instrText xml:space="preserve"> PAGE  \* MERGEFORMAT </w:instrText>
                    </w:r>
                    <w:r>
                      <w:fldChar w:fldCharType="separate"/>
                    </w:r>
                    <w:r>
                      <w:t>46</w:t>
                    </w:r>
                    <w:r>
                      <w:fldChar w:fldCharType="end"/>
                    </w:r>
                  </w:p>
                </w:txbxContent>
              </v:textbox>
            </v:shape>
          </w:pict>
        </mc:Fallback>
      </mc:AlternateContent>
    </w:r>
  </w:p>
  <w:p w14:paraId="3B262B00">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33371">
    <w:pPr>
      <w:kinsoku w:val="0"/>
      <w:autoSpaceDE w:val="0"/>
      <w:autoSpaceDN w:val="0"/>
      <w:adjustRightInd w:val="0"/>
      <w:snapToGrid w:val="0"/>
      <w:spacing w:line="203" w:lineRule="auto"/>
      <w:ind w:left="238"/>
      <w:textAlignment w:val="baseline"/>
      <w:rPr>
        <w:rFonts w:ascii="Arial" w:hAnsi="Arial" w:eastAsia="Arial" w:cs="Arial"/>
        <w:snapToGrid w:val="0"/>
        <w:color w:val="000000"/>
        <w:sz w:val="16"/>
        <w:szCs w:val="16"/>
        <w:lang w:eastAsia="en-US"/>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10287">
                          <w:pPr>
                            <w:pStyle w:val="2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3E10287">
                    <w:pPr>
                      <w:pStyle w:val="2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0D9C2">
    <w:pPr>
      <w:pStyle w:val="2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C0ACB">
                          <w:pPr>
                            <w:pStyle w:val="2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E6C0ACB">
                    <w:pPr>
                      <w:pStyle w:val="29"/>
                    </w:pPr>
                    <w:r>
                      <w:fldChar w:fldCharType="begin"/>
                    </w:r>
                    <w:r>
                      <w:instrText xml:space="preserve"> PAGE  \* MERGEFORMAT </w:instrText>
                    </w:r>
                    <w:r>
                      <w:fldChar w:fldCharType="separate"/>
                    </w:r>
                    <w:r>
                      <w:t>67</w:t>
                    </w:r>
                    <w:r>
                      <w:fldChar w:fldCharType="end"/>
                    </w:r>
                  </w:p>
                </w:txbxContent>
              </v:textbox>
            </v:shape>
          </w:pict>
        </mc:Fallback>
      </mc:AlternateContent>
    </w:r>
  </w:p>
  <w:p w14:paraId="38BD9E56">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E7022">
    <w:pPr>
      <w:pStyle w:val="2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4F193">
                          <w:pPr>
                            <w:pStyle w:val="29"/>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CC4F193">
                    <w:pPr>
                      <w:pStyle w:val="29"/>
                    </w:pPr>
                    <w:r>
                      <w:fldChar w:fldCharType="begin"/>
                    </w:r>
                    <w:r>
                      <w:instrText xml:space="preserve"> PAGE  \* MERGEFORMAT </w:instrText>
                    </w:r>
                    <w:r>
                      <w:fldChar w:fldCharType="separate"/>
                    </w:r>
                    <w:r>
                      <w:t>128</w:t>
                    </w:r>
                    <w:r>
                      <w:fldChar w:fldCharType="end"/>
                    </w:r>
                  </w:p>
                </w:txbxContent>
              </v:textbox>
            </v:shape>
          </w:pict>
        </mc:Fallback>
      </mc:AlternateContent>
    </w:r>
  </w:p>
  <w:p w14:paraId="490DDFA4">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3D74F">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C5E9">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B31BB">
    <w:pPr>
      <w:pStyle w:val="30"/>
      <w:pBdr>
        <w:bottom w:val="none" w:color="auto" w:sz="0" w:space="0"/>
      </w:pBdr>
      <w:ind w:firstLine="360"/>
    </w:pPr>
  </w:p>
  <w:p w14:paraId="5D6F95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D49F1"/>
    <w:multiLevelType w:val="singleLevel"/>
    <w:tmpl w:val="AD3D49F1"/>
    <w:lvl w:ilvl="0" w:tentative="0">
      <w:start w:val="1"/>
      <w:numFmt w:val="decimal"/>
      <w:suff w:val="nothing"/>
      <w:lvlText w:val="（%1）"/>
      <w:lvlJc w:val="left"/>
    </w:lvl>
  </w:abstractNum>
  <w:abstractNum w:abstractNumId="1">
    <w:nsid w:val="B80EBFF9"/>
    <w:multiLevelType w:val="singleLevel"/>
    <w:tmpl w:val="B80EBFF9"/>
    <w:lvl w:ilvl="0" w:tentative="0">
      <w:start w:val="1"/>
      <w:numFmt w:val="chineseCounting"/>
      <w:suff w:val="nothing"/>
      <w:lvlText w:val="%1、"/>
      <w:lvlJc w:val="left"/>
      <w:rPr>
        <w:rFonts w:hint="eastAsia"/>
      </w:rPr>
    </w:lvl>
  </w:abstractNum>
  <w:abstractNum w:abstractNumId="2">
    <w:nsid w:val="C2DE4A9B"/>
    <w:multiLevelType w:val="singleLevel"/>
    <w:tmpl w:val="C2DE4A9B"/>
    <w:lvl w:ilvl="0" w:tentative="0">
      <w:start w:val="1"/>
      <w:numFmt w:val="decimal"/>
      <w:suff w:val="nothing"/>
      <w:lvlText w:val="（%1）"/>
      <w:lvlJc w:val="left"/>
      <w:rPr>
        <w:rFonts w:hint="default"/>
        <w:b/>
        <w:bCs/>
      </w:rPr>
    </w:lvl>
  </w:abstractNum>
  <w:abstractNum w:abstractNumId="3">
    <w:nsid w:val="E918E880"/>
    <w:multiLevelType w:val="singleLevel"/>
    <w:tmpl w:val="E918E880"/>
    <w:lvl w:ilvl="0" w:tentative="0">
      <w:start w:val="1"/>
      <w:numFmt w:val="decimal"/>
      <w:suff w:val="nothing"/>
      <w:lvlText w:val="（%1）"/>
      <w:lvlJc w:val="left"/>
    </w:lvl>
  </w:abstractNum>
  <w:abstractNum w:abstractNumId="4">
    <w:nsid w:val="EF6AEE91"/>
    <w:multiLevelType w:val="singleLevel"/>
    <w:tmpl w:val="EF6AEE91"/>
    <w:lvl w:ilvl="0" w:tentative="0">
      <w:start w:val="1"/>
      <w:numFmt w:val="decimal"/>
      <w:suff w:val="nothing"/>
      <w:lvlText w:val="（%1）"/>
      <w:lvlJc w:val="left"/>
      <w:rPr>
        <w:rFonts w:hint="default"/>
        <w:color w:val="auto"/>
      </w:rPr>
    </w:lvl>
  </w:abstractNum>
  <w:abstractNum w:abstractNumId="5">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7">
    <w:nsid w:val="43F8C6F4"/>
    <w:multiLevelType w:val="singleLevel"/>
    <w:tmpl w:val="43F8C6F4"/>
    <w:lvl w:ilvl="0" w:tentative="0">
      <w:start w:val="1"/>
      <w:numFmt w:val="decimal"/>
      <w:suff w:val="nothing"/>
      <w:lvlText w:val="%1）"/>
      <w:lvlJc w:val="left"/>
    </w:lvl>
  </w:abstractNum>
  <w:abstractNum w:abstractNumId="8">
    <w:nsid w:val="4C601917"/>
    <w:multiLevelType w:val="singleLevel"/>
    <w:tmpl w:val="4C601917"/>
    <w:lvl w:ilvl="0" w:tentative="0">
      <w:start w:val="1"/>
      <w:numFmt w:val="decimal"/>
      <w:suff w:val="nothing"/>
      <w:lvlText w:val="（%1）"/>
      <w:lvlJc w:val="left"/>
    </w:lvl>
  </w:abstractNum>
  <w:abstractNum w:abstractNumId="9">
    <w:nsid w:val="5FABD14B"/>
    <w:multiLevelType w:val="singleLevel"/>
    <w:tmpl w:val="5FABD14B"/>
    <w:lvl w:ilvl="0" w:tentative="0">
      <w:start w:val="1"/>
      <w:numFmt w:val="decimal"/>
      <w:suff w:val="nothing"/>
      <w:lvlText w:val="（%1）"/>
      <w:lvlJc w:val="left"/>
    </w:lvl>
  </w:abstractNum>
  <w:abstractNum w:abstractNumId="10">
    <w:nsid w:val="6D62AE64"/>
    <w:multiLevelType w:val="singleLevel"/>
    <w:tmpl w:val="6D62AE64"/>
    <w:lvl w:ilvl="0" w:tentative="0">
      <w:start w:val="1"/>
      <w:numFmt w:val="decimal"/>
      <w:suff w:val="nothing"/>
      <w:lvlText w:val="（%1）"/>
      <w:lvlJc w:val="left"/>
      <w:rPr>
        <w:rFonts w:hint="default"/>
        <w:color w:val="auto"/>
      </w:rPr>
    </w:lvl>
  </w:abstractNum>
  <w:num w:numId="1">
    <w:abstractNumId w:val="6"/>
  </w:num>
  <w:num w:numId="2">
    <w:abstractNumId w:val="5"/>
  </w:num>
  <w:num w:numId="3">
    <w:abstractNumId w:val="1"/>
  </w:num>
  <w:num w:numId="4">
    <w:abstractNumId w:val="4"/>
  </w:num>
  <w:num w:numId="5">
    <w:abstractNumId w:val="2"/>
  </w:num>
  <w:num w:numId="6">
    <w:abstractNumId w:val="10"/>
  </w:num>
  <w:num w:numId="7">
    <w:abstractNumId w:val="7"/>
  </w:num>
  <w:num w:numId="8">
    <w:abstractNumId w:val="0"/>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wODgzNjJkNjNmYzUzYzg0ZTg5ODJmM2IxY2M4YWMifQ=="/>
  </w:docVars>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30242"/>
    <w:rsid w:val="00030B06"/>
    <w:rsid w:val="0003169D"/>
    <w:rsid w:val="0003183A"/>
    <w:rsid w:val="00031CDC"/>
    <w:rsid w:val="00031DC8"/>
    <w:rsid w:val="0003263B"/>
    <w:rsid w:val="0003282C"/>
    <w:rsid w:val="0003304A"/>
    <w:rsid w:val="0003317E"/>
    <w:rsid w:val="00033413"/>
    <w:rsid w:val="000337F3"/>
    <w:rsid w:val="00034C27"/>
    <w:rsid w:val="00034E2A"/>
    <w:rsid w:val="0003577F"/>
    <w:rsid w:val="00036191"/>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3F3"/>
    <w:rsid w:val="00052287"/>
    <w:rsid w:val="000522E0"/>
    <w:rsid w:val="00052609"/>
    <w:rsid w:val="000532F4"/>
    <w:rsid w:val="000536AE"/>
    <w:rsid w:val="00054CD5"/>
    <w:rsid w:val="00054D03"/>
    <w:rsid w:val="000550AC"/>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88F"/>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5D9"/>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2ADC"/>
    <w:rsid w:val="00293146"/>
    <w:rsid w:val="0029361E"/>
    <w:rsid w:val="00293D68"/>
    <w:rsid w:val="0029431E"/>
    <w:rsid w:val="00294352"/>
    <w:rsid w:val="002944A0"/>
    <w:rsid w:val="002946E4"/>
    <w:rsid w:val="0029495C"/>
    <w:rsid w:val="00294CEE"/>
    <w:rsid w:val="002957D9"/>
    <w:rsid w:val="00295B52"/>
    <w:rsid w:val="00296024"/>
    <w:rsid w:val="00296293"/>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739"/>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7E1"/>
    <w:rsid w:val="002C0714"/>
    <w:rsid w:val="002C0A96"/>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380"/>
    <w:rsid w:val="00301E89"/>
    <w:rsid w:val="00302052"/>
    <w:rsid w:val="00302142"/>
    <w:rsid w:val="00302169"/>
    <w:rsid w:val="00302612"/>
    <w:rsid w:val="00303254"/>
    <w:rsid w:val="00303B08"/>
    <w:rsid w:val="0030408D"/>
    <w:rsid w:val="00304409"/>
    <w:rsid w:val="003044D9"/>
    <w:rsid w:val="00304D8A"/>
    <w:rsid w:val="00305216"/>
    <w:rsid w:val="0030555B"/>
    <w:rsid w:val="00305BFD"/>
    <w:rsid w:val="003061F5"/>
    <w:rsid w:val="00306D27"/>
    <w:rsid w:val="0030739C"/>
    <w:rsid w:val="003106DA"/>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AF"/>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79AE"/>
    <w:rsid w:val="003A7CA3"/>
    <w:rsid w:val="003B00B6"/>
    <w:rsid w:val="003B01C4"/>
    <w:rsid w:val="003B0BB0"/>
    <w:rsid w:val="003B11EE"/>
    <w:rsid w:val="003B1332"/>
    <w:rsid w:val="003B15F8"/>
    <w:rsid w:val="003B18EB"/>
    <w:rsid w:val="003B230B"/>
    <w:rsid w:val="003B23BC"/>
    <w:rsid w:val="003B2DB5"/>
    <w:rsid w:val="003B2F05"/>
    <w:rsid w:val="003B3966"/>
    <w:rsid w:val="003B39B7"/>
    <w:rsid w:val="003B4EB0"/>
    <w:rsid w:val="003B5F6A"/>
    <w:rsid w:val="003B6B7F"/>
    <w:rsid w:val="003B7820"/>
    <w:rsid w:val="003C01A4"/>
    <w:rsid w:val="003C0219"/>
    <w:rsid w:val="003C07FE"/>
    <w:rsid w:val="003C0C12"/>
    <w:rsid w:val="003C16EE"/>
    <w:rsid w:val="003C1C87"/>
    <w:rsid w:val="003C2C85"/>
    <w:rsid w:val="003C2F61"/>
    <w:rsid w:val="003C345E"/>
    <w:rsid w:val="003C4409"/>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97D"/>
    <w:rsid w:val="003F0C9F"/>
    <w:rsid w:val="003F144A"/>
    <w:rsid w:val="003F1B02"/>
    <w:rsid w:val="003F1EFE"/>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1EBC"/>
    <w:rsid w:val="0043227C"/>
    <w:rsid w:val="004335C0"/>
    <w:rsid w:val="00433AFC"/>
    <w:rsid w:val="00434193"/>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3216"/>
    <w:rsid w:val="0046334D"/>
    <w:rsid w:val="00463848"/>
    <w:rsid w:val="00463BBF"/>
    <w:rsid w:val="00463C95"/>
    <w:rsid w:val="00463E1C"/>
    <w:rsid w:val="00464052"/>
    <w:rsid w:val="00464C9C"/>
    <w:rsid w:val="00465153"/>
    <w:rsid w:val="00465602"/>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4A1"/>
    <w:rsid w:val="004A29A5"/>
    <w:rsid w:val="004A3225"/>
    <w:rsid w:val="004A374A"/>
    <w:rsid w:val="004A395B"/>
    <w:rsid w:val="004A39D9"/>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A78"/>
    <w:rsid w:val="004E551E"/>
    <w:rsid w:val="004E58F6"/>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464E"/>
    <w:rsid w:val="005346C8"/>
    <w:rsid w:val="005352C8"/>
    <w:rsid w:val="005354C1"/>
    <w:rsid w:val="00535F99"/>
    <w:rsid w:val="00536356"/>
    <w:rsid w:val="00536CBB"/>
    <w:rsid w:val="00536DDD"/>
    <w:rsid w:val="00537033"/>
    <w:rsid w:val="00537085"/>
    <w:rsid w:val="00540A37"/>
    <w:rsid w:val="00540B49"/>
    <w:rsid w:val="005418DB"/>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DE6"/>
    <w:rsid w:val="00555EB3"/>
    <w:rsid w:val="005567F6"/>
    <w:rsid w:val="00556E29"/>
    <w:rsid w:val="00557474"/>
    <w:rsid w:val="005575C9"/>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0A0F"/>
    <w:rsid w:val="005712E6"/>
    <w:rsid w:val="00572942"/>
    <w:rsid w:val="005730DB"/>
    <w:rsid w:val="00573251"/>
    <w:rsid w:val="005733A8"/>
    <w:rsid w:val="00573B5B"/>
    <w:rsid w:val="00573C29"/>
    <w:rsid w:val="00573F55"/>
    <w:rsid w:val="0057540E"/>
    <w:rsid w:val="005757B6"/>
    <w:rsid w:val="00576EB8"/>
    <w:rsid w:val="0058000F"/>
    <w:rsid w:val="00580557"/>
    <w:rsid w:val="0058074F"/>
    <w:rsid w:val="005808F3"/>
    <w:rsid w:val="00580A76"/>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FAD"/>
    <w:rsid w:val="006370E1"/>
    <w:rsid w:val="006375B2"/>
    <w:rsid w:val="006375BB"/>
    <w:rsid w:val="006379DE"/>
    <w:rsid w:val="006407FE"/>
    <w:rsid w:val="006409EE"/>
    <w:rsid w:val="00640BF7"/>
    <w:rsid w:val="00640C7D"/>
    <w:rsid w:val="00640E7E"/>
    <w:rsid w:val="00640FFF"/>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6F2"/>
    <w:rsid w:val="00707E0F"/>
    <w:rsid w:val="007100F9"/>
    <w:rsid w:val="0071068A"/>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DD6"/>
    <w:rsid w:val="00754A4A"/>
    <w:rsid w:val="007567A8"/>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4D2"/>
    <w:rsid w:val="00794B19"/>
    <w:rsid w:val="00795B8D"/>
    <w:rsid w:val="00795EB9"/>
    <w:rsid w:val="00795F0E"/>
    <w:rsid w:val="007960A9"/>
    <w:rsid w:val="00797D8F"/>
    <w:rsid w:val="007A0C00"/>
    <w:rsid w:val="007A0E15"/>
    <w:rsid w:val="007A176E"/>
    <w:rsid w:val="007A19BF"/>
    <w:rsid w:val="007A2A69"/>
    <w:rsid w:val="007A2CF1"/>
    <w:rsid w:val="007A41B5"/>
    <w:rsid w:val="007A4486"/>
    <w:rsid w:val="007A4682"/>
    <w:rsid w:val="007A5879"/>
    <w:rsid w:val="007A58A8"/>
    <w:rsid w:val="007A5BDC"/>
    <w:rsid w:val="007A629D"/>
    <w:rsid w:val="007A637A"/>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7AB"/>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102"/>
    <w:rsid w:val="00812373"/>
    <w:rsid w:val="00813F3A"/>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3CA"/>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02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84F"/>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4CF1"/>
    <w:rsid w:val="008C5B51"/>
    <w:rsid w:val="008C5F0A"/>
    <w:rsid w:val="008C6105"/>
    <w:rsid w:val="008C6124"/>
    <w:rsid w:val="008C6334"/>
    <w:rsid w:val="008C66BD"/>
    <w:rsid w:val="008C6968"/>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A1E"/>
    <w:rsid w:val="00935B7C"/>
    <w:rsid w:val="00935E3A"/>
    <w:rsid w:val="00936005"/>
    <w:rsid w:val="0093607C"/>
    <w:rsid w:val="00937A83"/>
    <w:rsid w:val="00937B51"/>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D91"/>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02A"/>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6A91"/>
    <w:rsid w:val="009F71A6"/>
    <w:rsid w:val="009F71AA"/>
    <w:rsid w:val="009F7326"/>
    <w:rsid w:val="009F754A"/>
    <w:rsid w:val="009F791F"/>
    <w:rsid w:val="009F7F86"/>
    <w:rsid w:val="00A0034D"/>
    <w:rsid w:val="00A00BFB"/>
    <w:rsid w:val="00A00DCF"/>
    <w:rsid w:val="00A01171"/>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44B7"/>
    <w:rsid w:val="00A149B4"/>
    <w:rsid w:val="00A15F4F"/>
    <w:rsid w:val="00A160AB"/>
    <w:rsid w:val="00A160F0"/>
    <w:rsid w:val="00A16745"/>
    <w:rsid w:val="00A16747"/>
    <w:rsid w:val="00A17C1D"/>
    <w:rsid w:val="00A20013"/>
    <w:rsid w:val="00A20582"/>
    <w:rsid w:val="00A20C65"/>
    <w:rsid w:val="00A214B2"/>
    <w:rsid w:val="00A21767"/>
    <w:rsid w:val="00A21FD5"/>
    <w:rsid w:val="00A22751"/>
    <w:rsid w:val="00A22940"/>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1044"/>
    <w:rsid w:val="00AA10B1"/>
    <w:rsid w:val="00AA239B"/>
    <w:rsid w:val="00AA2803"/>
    <w:rsid w:val="00AA297E"/>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384"/>
    <w:rsid w:val="00B04540"/>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402"/>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474"/>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821"/>
    <w:rsid w:val="00B44AD3"/>
    <w:rsid w:val="00B44BDC"/>
    <w:rsid w:val="00B45152"/>
    <w:rsid w:val="00B45E54"/>
    <w:rsid w:val="00B461E5"/>
    <w:rsid w:val="00B46325"/>
    <w:rsid w:val="00B464E4"/>
    <w:rsid w:val="00B4689A"/>
    <w:rsid w:val="00B46D5F"/>
    <w:rsid w:val="00B46E7B"/>
    <w:rsid w:val="00B47DC5"/>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006"/>
    <w:rsid w:val="00B65728"/>
    <w:rsid w:val="00B65EE2"/>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B0D"/>
    <w:rsid w:val="00BB524C"/>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639"/>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60B"/>
    <w:rsid w:val="00BE6AFE"/>
    <w:rsid w:val="00BE6BBE"/>
    <w:rsid w:val="00BE6FDA"/>
    <w:rsid w:val="00BE7021"/>
    <w:rsid w:val="00BE7300"/>
    <w:rsid w:val="00BE784F"/>
    <w:rsid w:val="00BE78CE"/>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3E0"/>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59"/>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44"/>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CE"/>
    <w:rsid w:val="00C74785"/>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0E5"/>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20D1"/>
    <w:rsid w:val="00E0250C"/>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DC"/>
    <w:rsid w:val="00E906E0"/>
    <w:rsid w:val="00E90B33"/>
    <w:rsid w:val="00E911E0"/>
    <w:rsid w:val="00E93407"/>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D04FE"/>
    <w:rsid w:val="00ED0DD0"/>
    <w:rsid w:val="00ED1989"/>
    <w:rsid w:val="00ED28F2"/>
    <w:rsid w:val="00ED3145"/>
    <w:rsid w:val="00ED3309"/>
    <w:rsid w:val="00ED356E"/>
    <w:rsid w:val="00ED3BDA"/>
    <w:rsid w:val="00ED3DA4"/>
    <w:rsid w:val="00ED4B67"/>
    <w:rsid w:val="00ED4B69"/>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3BAC"/>
    <w:rsid w:val="00F44542"/>
    <w:rsid w:val="00F448DD"/>
    <w:rsid w:val="00F44C5F"/>
    <w:rsid w:val="00F44DB8"/>
    <w:rsid w:val="00F45760"/>
    <w:rsid w:val="00F45925"/>
    <w:rsid w:val="00F4600A"/>
    <w:rsid w:val="00F46BA6"/>
    <w:rsid w:val="00F46C97"/>
    <w:rsid w:val="00F4703E"/>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073"/>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301450"/>
    <w:rsid w:val="01420B2A"/>
    <w:rsid w:val="014820D6"/>
    <w:rsid w:val="01687EA6"/>
    <w:rsid w:val="01AA2C10"/>
    <w:rsid w:val="0201343C"/>
    <w:rsid w:val="022E73B7"/>
    <w:rsid w:val="02CB76A6"/>
    <w:rsid w:val="02D7201B"/>
    <w:rsid w:val="0339608B"/>
    <w:rsid w:val="03504CF9"/>
    <w:rsid w:val="037738D8"/>
    <w:rsid w:val="03D814FB"/>
    <w:rsid w:val="03EE579D"/>
    <w:rsid w:val="03F671C2"/>
    <w:rsid w:val="04375745"/>
    <w:rsid w:val="057B1BBD"/>
    <w:rsid w:val="059E3096"/>
    <w:rsid w:val="05A96137"/>
    <w:rsid w:val="05B53FF0"/>
    <w:rsid w:val="05B747B5"/>
    <w:rsid w:val="05FE23E4"/>
    <w:rsid w:val="06187632"/>
    <w:rsid w:val="068A0291"/>
    <w:rsid w:val="06A4215D"/>
    <w:rsid w:val="06BD3CC0"/>
    <w:rsid w:val="071D3CB8"/>
    <w:rsid w:val="074E4872"/>
    <w:rsid w:val="075F0692"/>
    <w:rsid w:val="07692465"/>
    <w:rsid w:val="08854373"/>
    <w:rsid w:val="0889068B"/>
    <w:rsid w:val="089F1CE5"/>
    <w:rsid w:val="08E16B89"/>
    <w:rsid w:val="08F53B23"/>
    <w:rsid w:val="0933799F"/>
    <w:rsid w:val="095D36EE"/>
    <w:rsid w:val="0A070656"/>
    <w:rsid w:val="0A1445F3"/>
    <w:rsid w:val="0A264C1C"/>
    <w:rsid w:val="0A7F0E46"/>
    <w:rsid w:val="0A913ED8"/>
    <w:rsid w:val="0AF14EB0"/>
    <w:rsid w:val="0B24171E"/>
    <w:rsid w:val="0BB33687"/>
    <w:rsid w:val="0BF169FF"/>
    <w:rsid w:val="0C486809"/>
    <w:rsid w:val="0C5865E4"/>
    <w:rsid w:val="0CDF04F6"/>
    <w:rsid w:val="0D081F34"/>
    <w:rsid w:val="0D584403"/>
    <w:rsid w:val="0D753342"/>
    <w:rsid w:val="0DDA523F"/>
    <w:rsid w:val="0DDE4BDD"/>
    <w:rsid w:val="0E686A3B"/>
    <w:rsid w:val="0EAB6A89"/>
    <w:rsid w:val="0EE04D7C"/>
    <w:rsid w:val="0F333B7C"/>
    <w:rsid w:val="0F632E3F"/>
    <w:rsid w:val="0FBE3C07"/>
    <w:rsid w:val="101C0A97"/>
    <w:rsid w:val="10503315"/>
    <w:rsid w:val="10DC52F6"/>
    <w:rsid w:val="10F67974"/>
    <w:rsid w:val="10FE5C02"/>
    <w:rsid w:val="11383CCE"/>
    <w:rsid w:val="116353E3"/>
    <w:rsid w:val="117C7228"/>
    <w:rsid w:val="119406CD"/>
    <w:rsid w:val="121A50EB"/>
    <w:rsid w:val="122D30E1"/>
    <w:rsid w:val="1291787D"/>
    <w:rsid w:val="12AF1E87"/>
    <w:rsid w:val="12D6790A"/>
    <w:rsid w:val="12F438A7"/>
    <w:rsid w:val="133A44C3"/>
    <w:rsid w:val="13592E88"/>
    <w:rsid w:val="13977E74"/>
    <w:rsid w:val="13DC2025"/>
    <w:rsid w:val="1409183C"/>
    <w:rsid w:val="141B7F51"/>
    <w:rsid w:val="146F2C7A"/>
    <w:rsid w:val="149C4D8A"/>
    <w:rsid w:val="149E4992"/>
    <w:rsid w:val="14B412C1"/>
    <w:rsid w:val="14D40EDF"/>
    <w:rsid w:val="14EB72AF"/>
    <w:rsid w:val="158A7F0F"/>
    <w:rsid w:val="159B0AFE"/>
    <w:rsid w:val="159E0259"/>
    <w:rsid w:val="15A217AD"/>
    <w:rsid w:val="15C026F1"/>
    <w:rsid w:val="17064457"/>
    <w:rsid w:val="18002A22"/>
    <w:rsid w:val="181102EB"/>
    <w:rsid w:val="18215FDC"/>
    <w:rsid w:val="183B4DEC"/>
    <w:rsid w:val="18636CAE"/>
    <w:rsid w:val="189439F5"/>
    <w:rsid w:val="18C643E3"/>
    <w:rsid w:val="18E32CC7"/>
    <w:rsid w:val="193569C8"/>
    <w:rsid w:val="1A3B6DE3"/>
    <w:rsid w:val="1A442DE9"/>
    <w:rsid w:val="1AA027BB"/>
    <w:rsid w:val="1BD96DDB"/>
    <w:rsid w:val="1D321E13"/>
    <w:rsid w:val="1D84721B"/>
    <w:rsid w:val="1E084A5D"/>
    <w:rsid w:val="1F1C3BAF"/>
    <w:rsid w:val="1F462152"/>
    <w:rsid w:val="1F643592"/>
    <w:rsid w:val="1F6B6784"/>
    <w:rsid w:val="1F6B68E4"/>
    <w:rsid w:val="1FB11C0E"/>
    <w:rsid w:val="20780ECB"/>
    <w:rsid w:val="208704B8"/>
    <w:rsid w:val="21455F84"/>
    <w:rsid w:val="22350C70"/>
    <w:rsid w:val="223D4018"/>
    <w:rsid w:val="224176AA"/>
    <w:rsid w:val="2265761B"/>
    <w:rsid w:val="228C1199"/>
    <w:rsid w:val="229870CA"/>
    <w:rsid w:val="23307092"/>
    <w:rsid w:val="23490CEA"/>
    <w:rsid w:val="234A31ED"/>
    <w:rsid w:val="235634BB"/>
    <w:rsid w:val="237619D2"/>
    <w:rsid w:val="237E3B0E"/>
    <w:rsid w:val="23C807C0"/>
    <w:rsid w:val="23CE221A"/>
    <w:rsid w:val="242D24F6"/>
    <w:rsid w:val="243A5492"/>
    <w:rsid w:val="24470342"/>
    <w:rsid w:val="24801EBF"/>
    <w:rsid w:val="2496315D"/>
    <w:rsid w:val="24977600"/>
    <w:rsid w:val="24C15E8D"/>
    <w:rsid w:val="256B0202"/>
    <w:rsid w:val="25DF507D"/>
    <w:rsid w:val="25E95111"/>
    <w:rsid w:val="264F5ADE"/>
    <w:rsid w:val="26AA0F6E"/>
    <w:rsid w:val="270077EF"/>
    <w:rsid w:val="272F1A96"/>
    <w:rsid w:val="27AC0841"/>
    <w:rsid w:val="27B6199A"/>
    <w:rsid w:val="28260244"/>
    <w:rsid w:val="2848646B"/>
    <w:rsid w:val="286909E6"/>
    <w:rsid w:val="28B9598C"/>
    <w:rsid w:val="2902261B"/>
    <w:rsid w:val="29226091"/>
    <w:rsid w:val="29517E17"/>
    <w:rsid w:val="2952197F"/>
    <w:rsid w:val="29522E64"/>
    <w:rsid w:val="297B0CF7"/>
    <w:rsid w:val="2A51423E"/>
    <w:rsid w:val="2A564F1C"/>
    <w:rsid w:val="2A842ABF"/>
    <w:rsid w:val="2AF0459A"/>
    <w:rsid w:val="2AF32708"/>
    <w:rsid w:val="2B1E0D76"/>
    <w:rsid w:val="2B4029D3"/>
    <w:rsid w:val="2B5C5632"/>
    <w:rsid w:val="2B657D33"/>
    <w:rsid w:val="2B7357F6"/>
    <w:rsid w:val="2B761DD2"/>
    <w:rsid w:val="2BFF06BC"/>
    <w:rsid w:val="2C5367BE"/>
    <w:rsid w:val="2C6922ED"/>
    <w:rsid w:val="2CB00693"/>
    <w:rsid w:val="2CF3064F"/>
    <w:rsid w:val="2DA336ED"/>
    <w:rsid w:val="2DAF39BC"/>
    <w:rsid w:val="2DD15DE8"/>
    <w:rsid w:val="2DD67674"/>
    <w:rsid w:val="2DF767B4"/>
    <w:rsid w:val="2E590736"/>
    <w:rsid w:val="2E8822E7"/>
    <w:rsid w:val="2EDD2DD9"/>
    <w:rsid w:val="2EEF2748"/>
    <w:rsid w:val="2EFA61AC"/>
    <w:rsid w:val="2F061922"/>
    <w:rsid w:val="2F723467"/>
    <w:rsid w:val="2F7B4DA0"/>
    <w:rsid w:val="2FF16992"/>
    <w:rsid w:val="308E5EB9"/>
    <w:rsid w:val="30A76502"/>
    <w:rsid w:val="30FE0500"/>
    <w:rsid w:val="310C4204"/>
    <w:rsid w:val="315B16AB"/>
    <w:rsid w:val="3174484B"/>
    <w:rsid w:val="31937CAF"/>
    <w:rsid w:val="31DF2FD3"/>
    <w:rsid w:val="32256095"/>
    <w:rsid w:val="32A02B99"/>
    <w:rsid w:val="32D16A1D"/>
    <w:rsid w:val="333470B7"/>
    <w:rsid w:val="33813797"/>
    <w:rsid w:val="33A9017A"/>
    <w:rsid w:val="33D414D0"/>
    <w:rsid w:val="33E365F1"/>
    <w:rsid w:val="34423DD8"/>
    <w:rsid w:val="346F2A3D"/>
    <w:rsid w:val="34C76E8F"/>
    <w:rsid w:val="352E5CC6"/>
    <w:rsid w:val="357C7EED"/>
    <w:rsid w:val="3594514D"/>
    <w:rsid w:val="35BC7646"/>
    <w:rsid w:val="35C67F79"/>
    <w:rsid w:val="35CD358A"/>
    <w:rsid w:val="362A09EF"/>
    <w:rsid w:val="36394649"/>
    <w:rsid w:val="36512FD4"/>
    <w:rsid w:val="369C1105"/>
    <w:rsid w:val="36BB0EBE"/>
    <w:rsid w:val="36C9523E"/>
    <w:rsid w:val="37467D39"/>
    <w:rsid w:val="37B36793"/>
    <w:rsid w:val="38380B13"/>
    <w:rsid w:val="385F359C"/>
    <w:rsid w:val="387243E8"/>
    <w:rsid w:val="389F7439"/>
    <w:rsid w:val="38D339D8"/>
    <w:rsid w:val="38D36962"/>
    <w:rsid w:val="38F1412C"/>
    <w:rsid w:val="39195259"/>
    <w:rsid w:val="3AF11C2B"/>
    <w:rsid w:val="3AFD61EB"/>
    <w:rsid w:val="3B8A5777"/>
    <w:rsid w:val="3BA80B19"/>
    <w:rsid w:val="3BBF7944"/>
    <w:rsid w:val="3C08753D"/>
    <w:rsid w:val="3C186701"/>
    <w:rsid w:val="3C4240EC"/>
    <w:rsid w:val="3C691761"/>
    <w:rsid w:val="3C814531"/>
    <w:rsid w:val="3D080631"/>
    <w:rsid w:val="3D670293"/>
    <w:rsid w:val="3DAE1A1E"/>
    <w:rsid w:val="3E997760"/>
    <w:rsid w:val="3F3A1FEB"/>
    <w:rsid w:val="3F52606E"/>
    <w:rsid w:val="40251411"/>
    <w:rsid w:val="405F6B9A"/>
    <w:rsid w:val="405F73C0"/>
    <w:rsid w:val="40805350"/>
    <w:rsid w:val="40885740"/>
    <w:rsid w:val="41067DC3"/>
    <w:rsid w:val="41A30F5A"/>
    <w:rsid w:val="41CB5019"/>
    <w:rsid w:val="41E11BCA"/>
    <w:rsid w:val="42253D73"/>
    <w:rsid w:val="424D27A0"/>
    <w:rsid w:val="426F534C"/>
    <w:rsid w:val="42A73BD4"/>
    <w:rsid w:val="42DC0426"/>
    <w:rsid w:val="430A1DED"/>
    <w:rsid w:val="43AF32DF"/>
    <w:rsid w:val="43BF32E9"/>
    <w:rsid w:val="43C76649"/>
    <w:rsid w:val="443A2CAB"/>
    <w:rsid w:val="444B06B6"/>
    <w:rsid w:val="44B91A5D"/>
    <w:rsid w:val="452F03D4"/>
    <w:rsid w:val="458669EC"/>
    <w:rsid w:val="459A3BBF"/>
    <w:rsid w:val="45DE19D9"/>
    <w:rsid w:val="45FA3D9C"/>
    <w:rsid w:val="46295027"/>
    <w:rsid w:val="4696384A"/>
    <w:rsid w:val="46A320E6"/>
    <w:rsid w:val="46C858EB"/>
    <w:rsid w:val="47320C3E"/>
    <w:rsid w:val="4770243A"/>
    <w:rsid w:val="4784291E"/>
    <w:rsid w:val="47843179"/>
    <w:rsid w:val="47A8679C"/>
    <w:rsid w:val="47B71E17"/>
    <w:rsid w:val="47B91627"/>
    <w:rsid w:val="486F2BBE"/>
    <w:rsid w:val="4878027E"/>
    <w:rsid w:val="48BE76F1"/>
    <w:rsid w:val="48C37541"/>
    <w:rsid w:val="49673F41"/>
    <w:rsid w:val="49ED4347"/>
    <w:rsid w:val="4A3D6146"/>
    <w:rsid w:val="4ACD6C82"/>
    <w:rsid w:val="4AF875FC"/>
    <w:rsid w:val="4B143684"/>
    <w:rsid w:val="4B386E92"/>
    <w:rsid w:val="4B861669"/>
    <w:rsid w:val="4BF85273"/>
    <w:rsid w:val="4C12586E"/>
    <w:rsid w:val="4C20790E"/>
    <w:rsid w:val="4CB95BF0"/>
    <w:rsid w:val="4D403F41"/>
    <w:rsid w:val="4D584965"/>
    <w:rsid w:val="4D9D33EF"/>
    <w:rsid w:val="4DB83B49"/>
    <w:rsid w:val="4DE730E2"/>
    <w:rsid w:val="4E41166E"/>
    <w:rsid w:val="4E51443B"/>
    <w:rsid w:val="4E6268C7"/>
    <w:rsid w:val="4EAC5711"/>
    <w:rsid w:val="4EC6232D"/>
    <w:rsid w:val="4EDA0D8F"/>
    <w:rsid w:val="4FEA3BF4"/>
    <w:rsid w:val="50534BE9"/>
    <w:rsid w:val="505C7478"/>
    <w:rsid w:val="50664D08"/>
    <w:rsid w:val="509C7EDA"/>
    <w:rsid w:val="50D37C1D"/>
    <w:rsid w:val="50D71FF2"/>
    <w:rsid w:val="5100188A"/>
    <w:rsid w:val="5189627F"/>
    <w:rsid w:val="51A9307B"/>
    <w:rsid w:val="51A950CD"/>
    <w:rsid w:val="51B16C2D"/>
    <w:rsid w:val="51B2004B"/>
    <w:rsid w:val="527C2D46"/>
    <w:rsid w:val="52AF3FE4"/>
    <w:rsid w:val="52CA2422"/>
    <w:rsid w:val="532C4DA1"/>
    <w:rsid w:val="53C47D96"/>
    <w:rsid w:val="543A3BB4"/>
    <w:rsid w:val="547B0D29"/>
    <w:rsid w:val="554B78A1"/>
    <w:rsid w:val="55622629"/>
    <w:rsid w:val="557701D2"/>
    <w:rsid w:val="55B91357"/>
    <w:rsid w:val="56214EC6"/>
    <w:rsid w:val="56C80551"/>
    <w:rsid w:val="57817D1D"/>
    <w:rsid w:val="58171515"/>
    <w:rsid w:val="581E2406"/>
    <w:rsid w:val="582F2864"/>
    <w:rsid w:val="59350FDF"/>
    <w:rsid w:val="5A3A2DDD"/>
    <w:rsid w:val="5A417A01"/>
    <w:rsid w:val="5A5F082D"/>
    <w:rsid w:val="5AE63E16"/>
    <w:rsid w:val="5AF820A2"/>
    <w:rsid w:val="5B601027"/>
    <w:rsid w:val="5B6257D4"/>
    <w:rsid w:val="5B751975"/>
    <w:rsid w:val="5BF22480"/>
    <w:rsid w:val="5BF84A80"/>
    <w:rsid w:val="5C24176C"/>
    <w:rsid w:val="5C4C447D"/>
    <w:rsid w:val="5CAD11D1"/>
    <w:rsid w:val="5CC06186"/>
    <w:rsid w:val="5CCB2446"/>
    <w:rsid w:val="5D201747"/>
    <w:rsid w:val="5D840EAC"/>
    <w:rsid w:val="5DA31D4F"/>
    <w:rsid w:val="5DA54957"/>
    <w:rsid w:val="5DF76D59"/>
    <w:rsid w:val="5E016FD2"/>
    <w:rsid w:val="5E5F2676"/>
    <w:rsid w:val="5EDA6979"/>
    <w:rsid w:val="5F1A1803"/>
    <w:rsid w:val="5F5F6BC4"/>
    <w:rsid w:val="5FC44532"/>
    <w:rsid w:val="60447752"/>
    <w:rsid w:val="6053398B"/>
    <w:rsid w:val="60855860"/>
    <w:rsid w:val="60FB691F"/>
    <w:rsid w:val="61501C31"/>
    <w:rsid w:val="61C13B66"/>
    <w:rsid w:val="61D97598"/>
    <w:rsid w:val="61DE2022"/>
    <w:rsid w:val="6214419C"/>
    <w:rsid w:val="625247BE"/>
    <w:rsid w:val="62991FE0"/>
    <w:rsid w:val="63A14D89"/>
    <w:rsid w:val="63A757DB"/>
    <w:rsid w:val="63FF1893"/>
    <w:rsid w:val="64311BE5"/>
    <w:rsid w:val="64441196"/>
    <w:rsid w:val="646978EA"/>
    <w:rsid w:val="64767603"/>
    <w:rsid w:val="64810A22"/>
    <w:rsid w:val="64FB6555"/>
    <w:rsid w:val="650B7AC7"/>
    <w:rsid w:val="657D479F"/>
    <w:rsid w:val="66494133"/>
    <w:rsid w:val="667769F2"/>
    <w:rsid w:val="66C659C6"/>
    <w:rsid w:val="66E423AF"/>
    <w:rsid w:val="66FB3E37"/>
    <w:rsid w:val="672056DD"/>
    <w:rsid w:val="672266F2"/>
    <w:rsid w:val="6805665A"/>
    <w:rsid w:val="68057BC1"/>
    <w:rsid w:val="683B7D96"/>
    <w:rsid w:val="68B910F3"/>
    <w:rsid w:val="68C70FC8"/>
    <w:rsid w:val="68DB610A"/>
    <w:rsid w:val="69076E4A"/>
    <w:rsid w:val="6A1E456B"/>
    <w:rsid w:val="6A374D30"/>
    <w:rsid w:val="6A6652AB"/>
    <w:rsid w:val="6AFD0FB5"/>
    <w:rsid w:val="6B241A17"/>
    <w:rsid w:val="6B28556D"/>
    <w:rsid w:val="6B7A2359"/>
    <w:rsid w:val="6BE44F34"/>
    <w:rsid w:val="6BFF6693"/>
    <w:rsid w:val="6C1F3182"/>
    <w:rsid w:val="6CB069AD"/>
    <w:rsid w:val="6CE01528"/>
    <w:rsid w:val="6CFF17A4"/>
    <w:rsid w:val="6DBC7EBB"/>
    <w:rsid w:val="6DBE6099"/>
    <w:rsid w:val="6DD24736"/>
    <w:rsid w:val="6E704406"/>
    <w:rsid w:val="6E9C0F6F"/>
    <w:rsid w:val="6EB474F5"/>
    <w:rsid w:val="6EDF575B"/>
    <w:rsid w:val="6F1A2CB7"/>
    <w:rsid w:val="6F782D3D"/>
    <w:rsid w:val="6F7F37A1"/>
    <w:rsid w:val="6F983C7A"/>
    <w:rsid w:val="6FC13B19"/>
    <w:rsid w:val="6FD902CD"/>
    <w:rsid w:val="703A21BF"/>
    <w:rsid w:val="70795E23"/>
    <w:rsid w:val="70BC3E77"/>
    <w:rsid w:val="7103031A"/>
    <w:rsid w:val="71121F70"/>
    <w:rsid w:val="719941B8"/>
    <w:rsid w:val="71A304C1"/>
    <w:rsid w:val="71AD7318"/>
    <w:rsid w:val="71C36968"/>
    <w:rsid w:val="71DF7820"/>
    <w:rsid w:val="71E25BEA"/>
    <w:rsid w:val="722F17E6"/>
    <w:rsid w:val="72365F57"/>
    <w:rsid w:val="726D70E7"/>
    <w:rsid w:val="728C5ACB"/>
    <w:rsid w:val="733E4629"/>
    <w:rsid w:val="73ED62E6"/>
    <w:rsid w:val="740C0C71"/>
    <w:rsid w:val="74402983"/>
    <w:rsid w:val="744D5EC9"/>
    <w:rsid w:val="75D00F7C"/>
    <w:rsid w:val="76275962"/>
    <w:rsid w:val="764746B2"/>
    <w:rsid w:val="76712940"/>
    <w:rsid w:val="768F4DA6"/>
    <w:rsid w:val="77C10136"/>
    <w:rsid w:val="77CC74DE"/>
    <w:rsid w:val="78D81A29"/>
    <w:rsid w:val="790E092A"/>
    <w:rsid w:val="792D6F6A"/>
    <w:rsid w:val="794252D9"/>
    <w:rsid w:val="7975232C"/>
    <w:rsid w:val="79E65A52"/>
    <w:rsid w:val="7A013D0B"/>
    <w:rsid w:val="7A0D09CC"/>
    <w:rsid w:val="7A3538A9"/>
    <w:rsid w:val="7A7C4102"/>
    <w:rsid w:val="7A7E402A"/>
    <w:rsid w:val="7A8B6668"/>
    <w:rsid w:val="7AE2589C"/>
    <w:rsid w:val="7B1403CC"/>
    <w:rsid w:val="7B160627"/>
    <w:rsid w:val="7B2745E3"/>
    <w:rsid w:val="7B6C5070"/>
    <w:rsid w:val="7BF614AB"/>
    <w:rsid w:val="7C471C37"/>
    <w:rsid w:val="7C67035B"/>
    <w:rsid w:val="7C744EE5"/>
    <w:rsid w:val="7C9C4E59"/>
    <w:rsid w:val="7D3B4132"/>
    <w:rsid w:val="7D3D3C30"/>
    <w:rsid w:val="7E1700E3"/>
    <w:rsid w:val="7E477448"/>
    <w:rsid w:val="7E951478"/>
    <w:rsid w:val="7EAC416D"/>
    <w:rsid w:val="7ED2669B"/>
    <w:rsid w:val="7F393102"/>
    <w:rsid w:val="7F8E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1"/>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2"/>
    <w:autoRedefine/>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3"/>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4"/>
    <w:autoRedefine/>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5"/>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6"/>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annotation text"/>
    <w:basedOn w:val="1"/>
    <w:link w:val="67"/>
    <w:autoRedefine/>
    <w:unhideWhenUsed/>
    <w:qFormat/>
    <w:uiPriority w:val="0"/>
    <w:pPr>
      <w:jc w:val="left"/>
    </w:pPr>
  </w:style>
  <w:style w:type="paragraph" w:styleId="16">
    <w:name w:val="Body Text 3"/>
    <w:basedOn w:val="1"/>
    <w:link w:val="68"/>
    <w:autoRedefine/>
    <w:qFormat/>
    <w:uiPriority w:val="0"/>
    <w:pPr>
      <w:spacing w:line="500" w:lineRule="exact"/>
    </w:pPr>
    <w:rPr>
      <w:b/>
      <w:bCs/>
      <w:kern w:val="0"/>
      <w:sz w:val="24"/>
    </w:rPr>
  </w:style>
  <w:style w:type="paragraph" w:styleId="17">
    <w:name w:val="Body Text"/>
    <w:basedOn w:val="1"/>
    <w:link w:val="59"/>
    <w:autoRedefine/>
    <w:qFormat/>
    <w:uiPriority w:val="99"/>
    <w:pPr>
      <w:spacing w:line="380" w:lineRule="exact"/>
    </w:pPr>
    <w:rPr>
      <w:kern w:val="0"/>
      <w:sz w:val="24"/>
    </w:rPr>
  </w:style>
  <w:style w:type="paragraph" w:styleId="18">
    <w:name w:val="Body Text Indent"/>
    <w:basedOn w:val="1"/>
    <w:link w:val="69"/>
    <w:autoRedefine/>
    <w:qFormat/>
    <w:uiPriority w:val="0"/>
    <w:pPr>
      <w:ind w:firstLine="830" w:firstLineChars="352"/>
    </w:pPr>
    <w:rPr>
      <w:rFonts w:ascii="仿宋_GB2312" w:eastAsia="仿宋_GB2312"/>
      <w:kern w:val="0"/>
      <w:sz w:val="32"/>
      <w:szCs w:val="20"/>
    </w:rPr>
  </w:style>
  <w:style w:type="paragraph" w:styleId="19">
    <w:name w:val="List Number 3"/>
    <w:basedOn w:val="1"/>
    <w:autoRedefine/>
    <w:qFormat/>
    <w:uiPriority w:val="0"/>
    <w:pPr>
      <w:numPr>
        <w:ilvl w:val="0"/>
        <w:numId w:val="2"/>
      </w:numPr>
    </w:pPr>
  </w:style>
  <w:style w:type="paragraph" w:styleId="20">
    <w:name w:val="List 2"/>
    <w:basedOn w:val="1"/>
    <w:autoRedefine/>
    <w:qFormat/>
    <w:uiPriority w:val="0"/>
    <w:pPr>
      <w:ind w:left="100" w:leftChars="200" w:hanging="200" w:hangingChars="200"/>
    </w:pPr>
    <w:rPr>
      <w:sz w:val="28"/>
    </w:r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toc 3"/>
    <w:basedOn w:val="1"/>
    <w:next w:val="1"/>
    <w:autoRedefine/>
    <w:unhideWhenUsed/>
    <w:qFormat/>
    <w:uiPriority w:val="39"/>
    <w:pPr>
      <w:ind w:left="840" w:leftChars="400"/>
    </w:pPr>
    <w:rPr>
      <w:rFonts w:ascii="Calibri" w:hAnsi="Calibri"/>
      <w:szCs w:val="22"/>
    </w:rPr>
  </w:style>
  <w:style w:type="paragraph" w:styleId="23">
    <w:name w:val="Plain Text"/>
    <w:basedOn w:val="1"/>
    <w:link w:val="70"/>
    <w:autoRedefine/>
    <w:qFormat/>
    <w:uiPriority w:val="0"/>
    <w:rPr>
      <w:rFonts w:ascii="宋体" w:hAnsi="Courier New"/>
      <w:kern w:val="0"/>
      <w:sz w:val="20"/>
      <w:szCs w:val="21"/>
    </w:rPr>
  </w:style>
  <w:style w:type="paragraph" w:styleId="24">
    <w:name w:val="toc 8"/>
    <w:basedOn w:val="1"/>
    <w:next w:val="1"/>
    <w:autoRedefine/>
    <w:unhideWhenUsed/>
    <w:qFormat/>
    <w:uiPriority w:val="39"/>
    <w:pPr>
      <w:ind w:left="2940" w:leftChars="1400"/>
    </w:pPr>
    <w:rPr>
      <w:rFonts w:ascii="Calibri" w:hAnsi="Calibri"/>
      <w:szCs w:val="22"/>
    </w:rPr>
  </w:style>
  <w:style w:type="paragraph" w:styleId="25">
    <w:name w:val="Date"/>
    <w:basedOn w:val="1"/>
    <w:next w:val="1"/>
    <w:link w:val="71"/>
    <w:autoRedefine/>
    <w:qFormat/>
    <w:uiPriority w:val="0"/>
    <w:pPr>
      <w:ind w:left="100" w:leftChars="2500"/>
    </w:pPr>
    <w:rPr>
      <w:rFonts w:ascii="宋体" w:hAnsi="Courier New"/>
      <w:kern w:val="0"/>
      <w:sz w:val="20"/>
      <w:szCs w:val="21"/>
    </w:rPr>
  </w:style>
  <w:style w:type="paragraph" w:styleId="26">
    <w:name w:val="Body Text Indent 2"/>
    <w:basedOn w:val="1"/>
    <w:link w:val="72"/>
    <w:autoRedefine/>
    <w:qFormat/>
    <w:uiPriority w:val="0"/>
    <w:pPr>
      <w:ind w:firstLine="630"/>
    </w:pPr>
    <w:rPr>
      <w:kern w:val="0"/>
      <w:sz w:val="32"/>
      <w:szCs w:val="20"/>
    </w:rPr>
  </w:style>
  <w:style w:type="paragraph" w:styleId="27">
    <w:name w:val="endnote text"/>
    <w:basedOn w:val="1"/>
    <w:link w:val="73"/>
    <w:autoRedefine/>
    <w:unhideWhenUsed/>
    <w:qFormat/>
    <w:uiPriority w:val="99"/>
    <w:pPr>
      <w:snapToGrid w:val="0"/>
      <w:jc w:val="left"/>
    </w:pPr>
  </w:style>
  <w:style w:type="paragraph" w:styleId="28">
    <w:name w:val="Balloon Text"/>
    <w:basedOn w:val="1"/>
    <w:link w:val="74"/>
    <w:autoRedefine/>
    <w:semiHidden/>
    <w:qFormat/>
    <w:uiPriority w:val="0"/>
    <w:rPr>
      <w:kern w:val="0"/>
      <w:sz w:val="18"/>
      <w:szCs w:val="18"/>
    </w:rPr>
  </w:style>
  <w:style w:type="paragraph" w:styleId="29">
    <w:name w:val="footer"/>
    <w:basedOn w:val="1"/>
    <w:link w:val="75"/>
    <w:autoRedefine/>
    <w:unhideWhenUsed/>
    <w:qFormat/>
    <w:uiPriority w:val="99"/>
    <w:pPr>
      <w:tabs>
        <w:tab w:val="center" w:pos="4153"/>
        <w:tab w:val="right" w:pos="8306"/>
      </w:tabs>
      <w:snapToGrid w:val="0"/>
      <w:jc w:val="left"/>
    </w:pPr>
    <w:rPr>
      <w:kern w:val="0"/>
      <w:sz w:val="18"/>
      <w:szCs w:val="18"/>
    </w:rPr>
  </w:style>
  <w:style w:type="paragraph" w:styleId="30">
    <w:name w:val="header"/>
    <w:basedOn w:val="1"/>
    <w:link w:val="76"/>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31">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toc 4"/>
    <w:basedOn w:val="1"/>
    <w:next w:val="1"/>
    <w:autoRedefine/>
    <w:unhideWhenUsed/>
    <w:qFormat/>
    <w:uiPriority w:val="39"/>
    <w:pPr>
      <w:ind w:left="1260" w:leftChars="600"/>
    </w:pPr>
    <w:rPr>
      <w:rFonts w:ascii="Calibri" w:hAnsi="Calibri"/>
      <w:szCs w:val="22"/>
    </w:rPr>
  </w:style>
  <w:style w:type="paragraph" w:styleId="33">
    <w:name w:val="List"/>
    <w:basedOn w:val="1"/>
    <w:autoRedefine/>
    <w:qFormat/>
    <w:uiPriority w:val="0"/>
    <w:pPr>
      <w:ind w:left="200" w:hanging="200" w:hangingChars="200"/>
    </w:pPr>
    <w:rPr>
      <w:sz w:val="28"/>
    </w:rPr>
  </w:style>
  <w:style w:type="paragraph" w:styleId="34">
    <w:name w:val="footnote text"/>
    <w:basedOn w:val="1"/>
    <w:link w:val="77"/>
    <w:autoRedefine/>
    <w:unhideWhenUsed/>
    <w:qFormat/>
    <w:uiPriority w:val="99"/>
    <w:pPr>
      <w:snapToGrid w:val="0"/>
      <w:jc w:val="left"/>
    </w:pPr>
    <w:rPr>
      <w:sz w:val="18"/>
      <w:szCs w:val="18"/>
    </w:rPr>
  </w:style>
  <w:style w:type="paragraph" w:styleId="35">
    <w:name w:val="toc 6"/>
    <w:basedOn w:val="1"/>
    <w:next w:val="1"/>
    <w:autoRedefine/>
    <w:unhideWhenUsed/>
    <w:qFormat/>
    <w:uiPriority w:val="39"/>
    <w:pPr>
      <w:ind w:left="2100" w:leftChars="1000"/>
    </w:pPr>
    <w:rPr>
      <w:rFonts w:ascii="Calibri" w:hAnsi="Calibri"/>
      <w:szCs w:val="22"/>
    </w:rPr>
  </w:style>
  <w:style w:type="paragraph" w:styleId="36">
    <w:name w:val="Body Text Indent 3"/>
    <w:basedOn w:val="1"/>
    <w:link w:val="78"/>
    <w:autoRedefine/>
    <w:qFormat/>
    <w:uiPriority w:val="0"/>
    <w:pPr>
      <w:spacing w:after="120"/>
      <w:ind w:left="420" w:leftChars="200"/>
    </w:pPr>
    <w:rPr>
      <w:kern w:val="0"/>
      <w:sz w:val="16"/>
      <w:szCs w:val="16"/>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unhideWhenUsed/>
    <w:qFormat/>
    <w:uiPriority w:val="39"/>
    <w:pPr>
      <w:ind w:left="3360" w:leftChars="1600"/>
    </w:pPr>
    <w:rPr>
      <w:rFonts w:ascii="Calibri" w:hAnsi="Calibri"/>
      <w:szCs w:val="22"/>
    </w:rPr>
  </w:style>
  <w:style w:type="paragraph" w:styleId="39">
    <w:name w:val="Body Text 2"/>
    <w:basedOn w:val="1"/>
    <w:link w:val="79"/>
    <w:autoRedefine/>
    <w:qFormat/>
    <w:uiPriority w:val="0"/>
    <w:pPr>
      <w:spacing w:after="120" w:line="480" w:lineRule="auto"/>
    </w:pPr>
    <w:rPr>
      <w:kern w:val="0"/>
      <w:sz w:val="20"/>
    </w:rPr>
  </w:style>
  <w:style w:type="paragraph" w:styleId="40">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42">
    <w:name w:val="Title"/>
    <w:basedOn w:val="1"/>
    <w:next w:val="1"/>
    <w:link w:val="80"/>
    <w:autoRedefine/>
    <w:qFormat/>
    <w:uiPriority w:val="10"/>
    <w:pPr>
      <w:spacing w:before="240" w:after="60"/>
      <w:jc w:val="center"/>
      <w:outlineLvl w:val="0"/>
    </w:pPr>
    <w:rPr>
      <w:rFonts w:ascii="Cambria" w:hAnsi="Cambria"/>
      <w:b/>
      <w:bCs/>
      <w:sz w:val="32"/>
      <w:szCs w:val="32"/>
    </w:rPr>
  </w:style>
  <w:style w:type="paragraph" w:styleId="43">
    <w:name w:val="annotation subject"/>
    <w:basedOn w:val="15"/>
    <w:next w:val="15"/>
    <w:link w:val="81"/>
    <w:autoRedefine/>
    <w:unhideWhenUsed/>
    <w:qFormat/>
    <w:uiPriority w:val="99"/>
    <w:rPr>
      <w:b/>
      <w:bCs/>
    </w:rPr>
  </w:style>
  <w:style w:type="paragraph" w:styleId="44">
    <w:name w:val="Body Text First Indent"/>
    <w:basedOn w:val="17"/>
    <w:autoRedefine/>
    <w:qFormat/>
    <w:uiPriority w:val="0"/>
    <w:pPr>
      <w:spacing w:line="600" w:lineRule="exact"/>
      <w:ind w:firstLine="602"/>
      <w:jc w:val="left"/>
    </w:p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rPr>
  </w:style>
  <w:style w:type="character" w:styleId="49">
    <w:name w:val="endnote reference"/>
    <w:autoRedefine/>
    <w:unhideWhenUsed/>
    <w:qFormat/>
    <w:uiPriority w:val="99"/>
    <w:rPr>
      <w:vertAlign w:val="superscript"/>
    </w:rPr>
  </w:style>
  <w:style w:type="character" w:styleId="50">
    <w:name w:val="page number"/>
    <w:autoRedefine/>
    <w:qFormat/>
    <w:uiPriority w:val="0"/>
  </w:style>
  <w:style w:type="character" w:styleId="51">
    <w:name w:val="FollowedHyperlink"/>
    <w:autoRedefine/>
    <w:qFormat/>
    <w:uiPriority w:val="0"/>
    <w:rPr>
      <w:color w:val="800080"/>
      <w:u w:val="single"/>
    </w:rPr>
  </w:style>
  <w:style w:type="character" w:styleId="52">
    <w:name w:val="Emphasis"/>
    <w:basedOn w:val="47"/>
    <w:autoRedefine/>
    <w:qFormat/>
    <w:uiPriority w:val="20"/>
    <w:rPr>
      <w:i/>
    </w:rPr>
  </w:style>
  <w:style w:type="character" w:styleId="53">
    <w:name w:val="Hyperlink"/>
    <w:autoRedefine/>
    <w:qFormat/>
    <w:uiPriority w:val="99"/>
    <w:rPr>
      <w:color w:val="0000FF"/>
      <w:u w:val="single"/>
    </w:rPr>
  </w:style>
  <w:style w:type="character" w:styleId="54">
    <w:name w:val="annotation reference"/>
    <w:autoRedefine/>
    <w:unhideWhenUsed/>
    <w:qFormat/>
    <w:uiPriority w:val="99"/>
    <w:rPr>
      <w:sz w:val="21"/>
      <w:szCs w:val="21"/>
    </w:rPr>
  </w:style>
  <w:style w:type="character" w:styleId="55">
    <w:name w:val="footnote reference"/>
    <w:autoRedefine/>
    <w:unhideWhenUsed/>
    <w:qFormat/>
    <w:uiPriority w:val="99"/>
    <w:rPr>
      <w:vertAlign w:val="superscript"/>
    </w:rPr>
  </w:style>
  <w:style w:type="paragraph" w:customStyle="1" w:styleId="56">
    <w:name w:val="首行缩进"/>
    <w:basedOn w:val="1"/>
    <w:qFormat/>
    <w:uiPriority w:val="0"/>
    <w:pPr>
      <w:spacing w:before="100" w:beforeAutospacing="1"/>
      <w:ind w:firstLine="480" w:firstLineChars="200"/>
    </w:pPr>
    <w:rPr>
      <w:szCs w:val="21"/>
    </w:rPr>
  </w:style>
  <w:style w:type="character" w:customStyle="1" w:styleId="57">
    <w:name w:val="标题 1 字符"/>
    <w:autoRedefine/>
    <w:qFormat/>
    <w:uiPriority w:val="9"/>
    <w:rPr>
      <w:rFonts w:ascii="Times New Roman" w:hAnsi="Times New Roman" w:eastAsia="宋体" w:cs="Times New Roman"/>
      <w:b/>
      <w:bCs/>
      <w:kern w:val="44"/>
      <w:sz w:val="44"/>
      <w:szCs w:val="44"/>
    </w:rPr>
  </w:style>
  <w:style w:type="character" w:customStyle="1" w:styleId="58">
    <w:name w:val="标题 2 字符"/>
    <w:link w:val="3"/>
    <w:autoRedefine/>
    <w:qFormat/>
    <w:uiPriority w:val="0"/>
    <w:rPr>
      <w:rFonts w:ascii="Arial" w:hAnsi="Arial" w:eastAsia="黑体" w:cs="Times New Roman"/>
      <w:b/>
      <w:bCs/>
      <w:sz w:val="32"/>
      <w:szCs w:val="32"/>
    </w:rPr>
  </w:style>
  <w:style w:type="character" w:customStyle="1" w:styleId="59">
    <w:name w:val="正文文本 字符"/>
    <w:link w:val="17"/>
    <w:autoRedefine/>
    <w:qFormat/>
    <w:uiPriority w:val="99"/>
    <w:rPr>
      <w:rFonts w:ascii="Times New Roman" w:hAnsi="Times New Roman" w:eastAsia="宋体" w:cs="Times New Roman"/>
      <w:sz w:val="24"/>
      <w:szCs w:val="24"/>
    </w:rPr>
  </w:style>
  <w:style w:type="character" w:customStyle="1" w:styleId="60">
    <w:name w:val="标题 1 字符1"/>
    <w:link w:val="2"/>
    <w:autoRedefine/>
    <w:qFormat/>
    <w:uiPriority w:val="0"/>
    <w:rPr>
      <w:rFonts w:ascii="Times New Roman" w:hAnsi="Times New Roman" w:eastAsia="宋体" w:cs="Times New Roman"/>
      <w:b/>
      <w:bCs/>
      <w:kern w:val="44"/>
      <w:sz w:val="44"/>
      <w:szCs w:val="44"/>
    </w:rPr>
  </w:style>
  <w:style w:type="character" w:customStyle="1" w:styleId="61">
    <w:name w:val="标题 3 字符"/>
    <w:link w:val="4"/>
    <w:autoRedefine/>
    <w:qFormat/>
    <w:uiPriority w:val="0"/>
    <w:rPr>
      <w:rFonts w:ascii="Times New Roman" w:hAnsi="Times New Roman" w:eastAsia="宋体" w:cs="Times New Roman"/>
      <w:b/>
      <w:bCs/>
      <w:sz w:val="32"/>
      <w:szCs w:val="32"/>
    </w:rPr>
  </w:style>
  <w:style w:type="character" w:customStyle="1" w:styleId="62">
    <w:name w:val="标题 5 字符"/>
    <w:link w:val="6"/>
    <w:autoRedefine/>
    <w:qFormat/>
    <w:uiPriority w:val="0"/>
    <w:rPr>
      <w:b/>
      <w:kern w:val="2"/>
      <w:sz w:val="28"/>
      <w:szCs w:val="24"/>
    </w:rPr>
  </w:style>
  <w:style w:type="character" w:customStyle="1" w:styleId="63">
    <w:name w:val="标题 6 字符"/>
    <w:link w:val="8"/>
    <w:autoRedefine/>
    <w:qFormat/>
    <w:uiPriority w:val="0"/>
    <w:rPr>
      <w:rFonts w:ascii="Arial" w:hAnsi="Arial" w:eastAsia="黑体"/>
      <w:b/>
      <w:kern w:val="2"/>
      <w:sz w:val="24"/>
      <w:szCs w:val="24"/>
    </w:rPr>
  </w:style>
  <w:style w:type="character" w:customStyle="1" w:styleId="64">
    <w:name w:val="标题 7 字符"/>
    <w:link w:val="9"/>
    <w:autoRedefine/>
    <w:qFormat/>
    <w:uiPriority w:val="0"/>
    <w:rPr>
      <w:rFonts w:ascii="Times New Roman" w:hAnsi="Times New Roman"/>
      <w:b/>
      <w:kern w:val="2"/>
      <w:sz w:val="24"/>
      <w:szCs w:val="24"/>
    </w:rPr>
  </w:style>
  <w:style w:type="character" w:customStyle="1" w:styleId="65">
    <w:name w:val="标题 8 字符"/>
    <w:link w:val="10"/>
    <w:autoRedefine/>
    <w:qFormat/>
    <w:uiPriority w:val="0"/>
    <w:rPr>
      <w:rFonts w:ascii="Arial" w:hAnsi="Arial" w:eastAsia="黑体"/>
      <w:kern w:val="2"/>
      <w:sz w:val="24"/>
      <w:szCs w:val="24"/>
    </w:rPr>
  </w:style>
  <w:style w:type="character" w:customStyle="1" w:styleId="66">
    <w:name w:val="标题 9 字符"/>
    <w:link w:val="11"/>
    <w:autoRedefine/>
    <w:qFormat/>
    <w:uiPriority w:val="0"/>
    <w:rPr>
      <w:rFonts w:ascii="Arial" w:hAnsi="Arial" w:eastAsia="黑体"/>
      <w:kern w:val="2"/>
      <w:sz w:val="21"/>
      <w:szCs w:val="24"/>
    </w:rPr>
  </w:style>
  <w:style w:type="character" w:customStyle="1" w:styleId="67">
    <w:name w:val="批注文字 字符1"/>
    <w:link w:val="15"/>
    <w:autoRedefine/>
    <w:qFormat/>
    <w:uiPriority w:val="0"/>
    <w:rPr>
      <w:rFonts w:ascii="Times New Roman" w:hAnsi="Times New Roman"/>
      <w:kern w:val="2"/>
      <w:sz w:val="21"/>
      <w:szCs w:val="24"/>
    </w:rPr>
  </w:style>
  <w:style w:type="character" w:customStyle="1" w:styleId="68">
    <w:name w:val="正文文本 3 字符"/>
    <w:link w:val="16"/>
    <w:autoRedefine/>
    <w:qFormat/>
    <w:uiPriority w:val="0"/>
    <w:rPr>
      <w:rFonts w:ascii="Times New Roman" w:hAnsi="Times New Roman" w:eastAsia="宋体" w:cs="Times New Roman"/>
      <w:b/>
      <w:bCs/>
      <w:sz w:val="24"/>
      <w:szCs w:val="24"/>
    </w:rPr>
  </w:style>
  <w:style w:type="character" w:customStyle="1" w:styleId="69">
    <w:name w:val="正文文本缩进 字符1"/>
    <w:link w:val="18"/>
    <w:autoRedefine/>
    <w:qFormat/>
    <w:uiPriority w:val="0"/>
    <w:rPr>
      <w:rFonts w:ascii="仿宋_GB2312" w:hAnsi="Times New Roman" w:eastAsia="仿宋_GB2312" w:cs="Times New Roman"/>
      <w:sz w:val="32"/>
      <w:szCs w:val="20"/>
    </w:rPr>
  </w:style>
  <w:style w:type="character" w:customStyle="1" w:styleId="70">
    <w:name w:val="纯文本 字符2"/>
    <w:link w:val="23"/>
    <w:autoRedefine/>
    <w:qFormat/>
    <w:uiPriority w:val="0"/>
    <w:rPr>
      <w:rFonts w:ascii="宋体" w:hAnsi="Courier New" w:eastAsia="宋体" w:cs="Courier New"/>
      <w:szCs w:val="21"/>
    </w:rPr>
  </w:style>
  <w:style w:type="character" w:customStyle="1" w:styleId="71">
    <w:name w:val="日期 字符"/>
    <w:link w:val="25"/>
    <w:autoRedefine/>
    <w:qFormat/>
    <w:uiPriority w:val="0"/>
    <w:rPr>
      <w:rFonts w:ascii="宋体" w:hAnsi="Courier New" w:eastAsia="宋体" w:cs="Courier New"/>
      <w:szCs w:val="21"/>
    </w:rPr>
  </w:style>
  <w:style w:type="character" w:customStyle="1" w:styleId="72">
    <w:name w:val="正文文本缩进 2 字符"/>
    <w:link w:val="26"/>
    <w:autoRedefine/>
    <w:qFormat/>
    <w:uiPriority w:val="0"/>
    <w:rPr>
      <w:rFonts w:ascii="Times New Roman" w:hAnsi="Times New Roman" w:eastAsia="宋体" w:cs="Times New Roman"/>
      <w:sz w:val="32"/>
      <w:szCs w:val="20"/>
    </w:rPr>
  </w:style>
  <w:style w:type="character" w:customStyle="1" w:styleId="73">
    <w:name w:val="尾注文本 字符"/>
    <w:link w:val="27"/>
    <w:autoRedefine/>
    <w:semiHidden/>
    <w:qFormat/>
    <w:uiPriority w:val="99"/>
    <w:rPr>
      <w:rFonts w:ascii="Times New Roman" w:hAnsi="Times New Roman"/>
      <w:kern w:val="2"/>
      <w:sz w:val="21"/>
      <w:szCs w:val="24"/>
    </w:rPr>
  </w:style>
  <w:style w:type="character" w:customStyle="1" w:styleId="74">
    <w:name w:val="批注框文本 字符"/>
    <w:link w:val="28"/>
    <w:autoRedefine/>
    <w:semiHidden/>
    <w:qFormat/>
    <w:uiPriority w:val="0"/>
    <w:rPr>
      <w:rFonts w:ascii="Times New Roman" w:hAnsi="Times New Roman" w:eastAsia="宋体" w:cs="Times New Roman"/>
      <w:sz w:val="18"/>
      <w:szCs w:val="18"/>
    </w:rPr>
  </w:style>
  <w:style w:type="character" w:customStyle="1" w:styleId="75">
    <w:name w:val="页脚 字符"/>
    <w:link w:val="29"/>
    <w:autoRedefine/>
    <w:qFormat/>
    <w:uiPriority w:val="99"/>
    <w:rPr>
      <w:sz w:val="18"/>
      <w:szCs w:val="18"/>
    </w:rPr>
  </w:style>
  <w:style w:type="character" w:customStyle="1" w:styleId="76">
    <w:name w:val="页眉 字符"/>
    <w:link w:val="30"/>
    <w:autoRedefine/>
    <w:qFormat/>
    <w:uiPriority w:val="99"/>
    <w:rPr>
      <w:rFonts w:ascii="Times New Roman" w:hAnsi="Times New Roman"/>
      <w:kern w:val="2"/>
      <w:sz w:val="18"/>
      <w:szCs w:val="18"/>
    </w:rPr>
  </w:style>
  <w:style w:type="character" w:customStyle="1" w:styleId="77">
    <w:name w:val="脚注文本 字符"/>
    <w:link w:val="34"/>
    <w:autoRedefine/>
    <w:semiHidden/>
    <w:qFormat/>
    <w:uiPriority w:val="99"/>
    <w:rPr>
      <w:rFonts w:ascii="Times New Roman" w:hAnsi="Times New Roman"/>
      <w:kern w:val="2"/>
      <w:sz w:val="18"/>
      <w:szCs w:val="18"/>
    </w:rPr>
  </w:style>
  <w:style w:type="character" w:customStyle="1" w:styleId="78">
    <w:name w:val="正文文本缩进 3 字符"/>
    <w:link w:val="36"/>
    <w:autoRedefine/>
    <w:qFormat/>
    <w:uiPriority w:val="0"/>
    <w:rPr>
      <w:rFonts w:ascii="Times New Roman" w:hAnsi="Times New Roman" w:eastAsia="宋体" w:cs="Times New Roman"/>
      <w:sz w:val="16"/>
      <w:szCs w:val="16"/>
    </w:rPr>
  </w:style>
  <w:style w:type="character" w:customStyle="1" w:styleId="79">
    <w:name w:val="正文文本 2 字符"/>
    <w:link w:val="39"/>
    <w:autoRedefine/>
    <w:qFormat/>
    <w:uiPriority w:val="0"/>
    <w:rPr>
      <w:rFonts w:ascii="Times New Roman" w:hAnsi="Times New Roman" w:eastAsia="宋体" w:cs="Times New Roman"/>
      <w:szCs w:val="24"/>
    </w:rPr>
  </w:style>
  <w:style w:type="character" w:customStyle="1" w:styleId="80">
    <w:name w:val="标题 字符"/>
    <w:link w:val="42"/>
    <w:autoRedefine/>
    <w:qFormat/>
    <w:uiPriority w:val="10"/>
    <w:rPr>
      <w:rFonts w:ascii="Cambria" w:hAnsi="Cambria" w:cs="Times New Roman"/>
      <w:b/>
      <w:bCs/>
      <w:kern w:val="2"/>
      <w:sz w:val="32"/>
      <w:szCs w:val="32"/>
    </w:rPr>
  </w:style>
  <w:style w:type="character" w:customStyle="1" w:styleId="81">
    <w:name w:val="批注主题 字符"/>
    <w:link w:val="43"/>
    <w:autoRedefine/>
    <w:semiHidden/>
    <w:qFormat/>
    <w:uiPriority w:val="99"/>
    <w:rPr>
      <w:rFonts w:ascii="Times New Roman" w:hAnsi="Times New Roman"/>
      <w:b/>
      <w:bCs/>
      <w:kern w:val="2"/>
      <w:sz w:val="21"/>
      <w:szCs w:val="24"/>
    </w:rPr>
  </w:style>
  <w:style w:type="character" w:customStyle="1" w:styleId="82">
    <w:name w:val="纯文本 字符1"/>
    <w:autoRedefine/>
    <w:qFormat/>
    <w:uiPriority w:val="0"/>
    <w:rPr>
      <w:rFonts w:ascii="宋体" w:hAnsi="Courier New"/>
    </w:rPr>
  </w:style>
  <w:style w:type="character" w:customStyle="1" w:styleId="83">
    <w:name w:val="批注文字 Char1"/>
    <w:autoRedefine/>
    <w:semiHidden/>
    <w:qFormat/>
    <w:locked/>
    <w:uiPriority w:val="0"/>
    <w:rPr>
      <w:rFonts w:ascii="Times New Roman" w:hAnsi="Times New Roman"/>
      <w:kern w:val="2"/>
      <w:sz w:val="21"/>
      <w:szCs w:val="24"/>
    </w:rPr>
  </w:style>
  <w:style w:type="character" w:customStyle="1" w:styleId="84">
    <w:name w:val="headline-content4"/>
    <w:autoRedefine/>
    <w:qFormat/>
    <w:uiPriority w:val="0"/>
  </w:style>
  <w:style w:type="character" w:customStyle="1" w:styleId="85">
    <w:name w:val="批注文字 字符"/>
    <w:autoRedefine/>
    <w:qFormat/>
    <w:uiPriority w:val="0"/>
    <w:rPr>
      <w:rFonts w:ascii="Times New Roman" w:hAnsi="Times New Roman"/>
      <w:kern w:val="2"/>
      <w:sz w:val="21"/>
      <w:szCs w:val="24"/>
    </w:rPr>
  </w:style>
  <w:style w:type="character" w:customStyle="1" w:styleId="86">
    <w:name w:val="标题 5 Char"/>
    <w:autoRedefine/>
    <w:qFormat/>
    <w:uiPriority w:val="0"/>
    <w:rPr>
      <w:b/>
      <w:kern w:val="2"/>
      <w:sz w:val="28"/>
      <w:szCs w:val="24"/>
    </w:rPr>
  </w:style>
  <w:style w:type="character" w:customStyle="1" w:styleId="8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批注文字 Char"/>
    <w:autoRedefine/>
    <w:qFormat/>
    <w:uiPriority w:val="0"/>
    <w:rPr>
      <w:rFonts w:ascii="Times New Roman" w:hAnsi="Times New Roman"/>
      <w:kern w:val="2"/>
      <w:sz w:val="21"/>
      <w:szCs w:val="24"/>
    </w:rPr>
  </w:style>
  <w:style w:type="character" w:customStyle="1" w:styleId="89">
    <w:name w:val="apple-style-span"/>
    <w:autoRedefine/>
    <w:qFormat/>
    <w:uiPriority w:val="0"/>
  </w:style>
  <w:style w:type="character" w:customStyle="1" w:styleId="90">
    <w:name w:val="正文文本缩进 字符"/>
    <w:autoRedefine/>
    <w:qFormat/>
    <w:uiPriority w:val="0"/>
    <w:rPr>
      <w:rFonts w:ascii="仿宋_GB2312" w:hAnsi="Times New Roman" w:eastAsia="仿宋_GB2312" w:cs="Times New Roman"/>
      <w:sz w:val="32"/>
      <w:szCs w:val="20"/>
    </w:rPr>
  </w:style>
  <w:style w:type="character" w:customStyle="1" w:styleId="91">
    <w:name w:val="case31"/>
    <w:autoRedefine/>
    <w:qFormat/>
    <w:uiPriority w:val="0"/>
    <w:rPr>
      <w:rFonts w:hint="default" w:ascii="_x000B__x000C_" w:hAnsi="_x000B__x000C_"/>
      <w:sz w:val="21"/>
      <w:szCs w:val="21"/>
    </w:rPr>
  </w:style>
  <w:style w:type="character" w:customStyle="1" w:styleId="92">
    <w:name w:val="纯文本 字符"/>
    <w:autoRedefine/>
    <w:qFormat/>
    <w:uiPriority w:val="0"/>
    <w:rPr>
      <w:rFonts w:ascii="宋体" w:hAnsi="Courier New" w:eastAsia="宋体" w:cs="Courier New"/>
      <w:szCs w:val="21"/>
    </w:rPr>
  </w:style>
  <w:style w:type="character" w:customStyle="1" w:styleId="93">
    <w:name w:val="textcontents"/>
    <w:autoRedefine/>
    <w:qFormat/>
    <w:uiPriority w:val="0"/>
  </w:style>
  <w:style w:type="character" w:customStyle="1" w:styleId="94">
    <w:name w:val="普通文字 Char Char2"/>
    <w:autoRedefine/>
    <w:qFormat/>
    <w:uiPriority w:val="0"/>
    <w:rPr>
      <w:rFonts w:ascii="宋体" w:hAnsi="Courier New" w:eastAsia="宋体"/>
      <w:kern w:val="2"/>
      <w:sz w:val="21"/>
      <w:lang w:val="en-US" w:eastAsia="zh-CN" w:bidi="ar-SA"/>
    </w:rPr>
  </w:style>
  <w:style w:type="paragraph" w:customStyle="1" w:styleId="95">
    <w:name w:val="正文段"/>
    <w:basedOn w:val="1"/>
    <w:autoRedefine/>
    <w:qFormat/>
    <w:uiPriority w:val="0"/>
    <w:pPr>
      <w:widowControl/>
      <w:snapToGrid w:val="0"/>
      <w:spacing w:after="50" w:afterLines="50"/>
      <w:ind w:firstLine="200" w:firstLineChars="200"/>
    </w:pPr>
    <w:rPr>
      <w:kern w:val="0"/>
      <w:sz w:val="24"/>
      <w:szCs w:val="20"/>
    </w:rPr>
  </w:style>
  <w:style w:type="paragraph" w:customStyle="1" w:styleId="9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97">
    <w:name w:val="默认段落字体 Para Char Char Char Char Char Char Char Char Char1 Char Char Char Char"/>
    <w:basedOn w:val="1"/>
    <w:autoRedefine/>
    <w:qFormat/>
    <w:uiPriority w:val="0"/>
    <w:rPr>
      <w:rFonts w:ascii="Tahoma" w:hAnsi="Tahoma"/>
      <w:sz w:val="24"/>
      <w:szCs w:val="20"/>
    </w:rPr>
  </w:style>
  <w:style w:type="paragraph" w:customStyle="1" w:styleId="98">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9">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01">
    <w:name w:val="Table Paragraph"/>
    <w:basedOn w:val="1"/>
    <w:autoRedefine/>
    <w:qFormat/>
    <w:uiPriority w:val="1"/>
    <w:pPr>
      <w:jc w:val="left"/>
    </w:pPr>
    <w:rPr>
      <w:rFonts w:ascii="Calibri" w:hAnsi="Calibri"/>
      <w:kern w:val="0"/>
      <w:sz w:val="22"/>
      <w:szCs w:val="22"/>
      <w:lang w:eastAsia="en-US"/>
    </w:rPr>
  </w:style>
  <w:style w:type="paragraph" w:customStyle="1" w:styleId="102">
    <w:name w:val="Char1"/>
    <w:basedOn w:val="1"/>
    <w:autoRedefine/>
    <w:qFormat/>
    <w:uiPriority w:val="0"/>
    <w:rPr>
      <w:szCs w:val="21"/>
    </w:rPr>
  </w:style>
  <w:style w:type="paragraph" w:customStyle="1" w:styleId="103">
    <w:name w:val="正文首行缩进两字符"/>
    <w:basedOn w:val="1"/>
    <w:autoRedefine/>
    <w:qFormat/>
    <w:uiPriority w:val="0"/>
    <w:pPr>
      <w:spacing w:line="360" w:lineRule="auto"/>
      <w:ind w:firstLine="200" w:firstLineChars="200"/>
    </w:pPr>
  </w:style>
  <w:style w:type="paragraph" w:customStyle="1" w:styleId="104">
    <w:name w:val="表格"/>
    <w:basedOn w:val="1"/>
    <w:autoRedefine/>
    <w:qFormat/>
    <w:uiPriority w:val="0"/>
    <w:pPr>
      <w:spacing w:line="400" w:lineRule="exact"/>
    </w:pPr>
    <w:rPr>
      <w:sz w:val="24"/>
    </w:rPr>
  </w:style>
  <w:style w:type="paragraph" w:customStyle="1" w:styleId="105">
    <w:name w:val="样式 首行缩进:  2 字符"/>
    <w:basedOn w:val="1"/>
    <w:autoRedefine/>
    <w:qFormat/>
    <w:uiPriority w:val="0"/>
    <w:pPr>
      <w:spacing w:line="400" w:lineRule="exact"/>
      <w:ind w:firstLine="200" w:firstLineChars="200"/>
    </w:pPr>
    <w:rPr>
      <w:rFonts w:cs="宋体"/>
      <w:sz w:val="24"/>
    </w:rPr>
  </w:style>
  <w:style w:type="paragraph" w:customStyle="1" w:styleId="106">
    <w:name w:val="纯文本1"/>
    <w:basedOn w:val="1"/>
    <w:autoRedefine/>
    <w:qFormat/>
    <w:uiPriority w:val="0"/>
    <w:rPr>
      <w:rFonts w:ascii="宋体" w:hAnsi="Courier New" w:cs="Century"/>
      <w:szCs w:val="21"/>
    </w:rPr>
  </w:style>
  <w:style w:type="paragraph" w:customStyle="1" w:styleId="107">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styleId="108">
    <w:name w:val="List Paragraph"/>
    <w:basedOn w:val="1"/>
    <w:autoRedefine/>
    <w:qFormat/>
    <w:uiPriority w:val="34"/>
    <w:pPr>
      <w:ind w:firstLine="420" w:firstLineChars="200"/>
    </w:pPr>
  </w:style>
  <w:style w:type="table" w:customStyle="1" w:styleId="109">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0">
    <w:name w:val="纯文本 Char1"/>
    <w:autoRedefine/>
    <w:qFormat/>
    <w:uiPriority w:val="0"/>
    <w:rPr>
      <w:rFonts w:ascii="宋体" w:hAnsi="Courier New" w:eastAsia="宋体" w:cs="Courier New"/>
      <w:szCs w:val="21"/>
    </w:rPr>
  </w:style>
  <w:style w:type="character" w:customStyle="1" w:styleId="111">
    <w:name w:val="标题 5 Char1"/>
    <w:autoRedefine/>
    <w:qFormat/>
    <w:uiPriority w:val="0"/>
    <w:rPr>
      <w:b/>
      <w:kern w:val="2"/>
      <w:sz w:val="28"/>
      <w:szCs w:val="24"/>
    </w:rPr>
  </w:style>
  <w:style w:type="character" w:customStyle="1" w:styleId="112">
    <w:name w:val="批注文字 字符2"/>
    <w:autoRedefine/>
    <w:qFormat/>
    <w:uiPriority w:val="0"/>
    <w:rPr>
      <w:rFonts w:ascii="Times New Roman" w:hAnsi="Times New Roman"/>
      <w:kern w:val="2"/>
      <w:sz w:val="21"/>
      <w:szCs w:val="24"/>
    </w:rPr>
  </w:style>
  <w:style w:type="character" w:customStyle="1" w:styleId="113">
    <w:name w:val="纯文本 Char"/>
    <w:autoRedefine/>
    <w:qFormat/>
    <w:uiPriority w:val="0"/>
    <w:rPr>
      <w:rFonts w:ascii="宋体" w:hAnsi="Courier New" w:eastAsia="宋体" w:cs="Courier New"/>
      <w:szCs w:val="21"/>
    </w:rPr>
  </w:style>
  <w:style w:type="paragraph" w:customStyle="1" w:styleId="114">
    <w:name w:val="正文2"/>
    <w:basedOn w:val="1"/>
    <w:autoRedefine/>
    <w:qFormat/>
    <w:uiPriority w:val="0"/>
    <w:pPr>
      <w:adjustRightInd w:val="0"/>
      <w:spacing w:before="156" w:line="360" w:lineRule="auto"/>
      <w:ind w:firstLine="510" w:firstLineChars="200"/>
    </w:pPr>
    <w:rPr>
      <w:sz w:val="24"/>
      <w:szCs w:val="20"/>
    </w:rPr>
  </w:style>
  <w:style w:type="character" w:customStyle="1" w:styleId="115">
    <w:name w:val="font11"/>
    <w:basedOn w:val="47"/>
    <w:autoRedefine/>
    <w:qFormat/>
    <w:uiPriority w:val="0"/>
    <w:rPr>
      <w:rFonts w:hint="eastAsia" w:ascii="宋体" w:hAnsi="宋体" w:eastAsia="宋体" w:cs="宋体"/>
      <w:color w:val="000000"/>
      <w:sz w:val="24"/>
      <w:szCs w:val="24"/>
      <w:u w:val="none"/>
    </w:rPr>
  </w:style>
  <w:style w:type="character" w:customStyle="1" w:styleId="116">
    <w:name w:val="font21"/>
    <w:basedOn w:val="47"/>
    <w:autoRedefine/>
    <w:qFormat/>
    <w:uiPriority w:val="0"/>
    <w:rPr>
      <w:rFonts w:hint="eastAsia" w:ascii="宋体" w:hAnsi="宋体" w:eastAsia="宋体" w:cs="宋体"/>
      <w:color w:val="000000"/>
      <w:sz w:val="22"/>
      <w:szCs w:val="22"/>
      <w:u w:val="none"/>
    </w:rPr>
  </w:style>
  <w:style w:type="character" w:customStyle="1" w:styleId="117">
    <w:name w:val="font41"/>
    <w:basedOn w:val="47"/>
    <w:autoRedefine/>
    <w:qFormat/>
    <w:uiPriority w:val="0"/>
    <w:rPr>
      <w:rFonts w:hint="default" w:ascii="Arial" w:hAnsi="Arial" w:cs="Arial"/>
      <w:color w:val="000000"/>
      <w:sz w:val="21"/>
      <w:szCs w:val="21"/>
      <w:u w:val="none"/>
    </w:rPr>
  </w:style>
  <w:style w:type="character" w:customStyle="1" w:styleId="118">
    <w:name w:val="font51"/>
    <w:basedOn w:val="47"/>
    <w:autoRedefine/>
    <w:qFormat/>
    <w:uiPriority w:val="0"/>
    <w:rPr>
      <w:rFonts w:hint="default" w:ascii="Arial" w:hAnsi="Arial" w:cs="Arial"/>
      <w:color w:val="333333"/>
      <w:sz w:val="21"/>
      <w:szCs w:val="21"/>
      <w:u w:val="none"/>
    </w:rPr>
  </w:style>
  <w:style w:type="character" w:customStyle="1" w:styleId="119">
    <w:name w:val="font141"/>
    <w:basedOn w:val="47"/>
    <w:autoRedefine/>
    <w:qFormat/>
    <w:uiPriority w:val="0"/>
    <w:rPr>
      <w:rFonts w:hint="eastAsia" w:ascii="宋体" w:hAnsi="宋体" w:eastAsia="宋体" w:cs="宋体"/>
      <w:color w:val="333333"/>
      <w:sz w:val="21"/>
      <w:szCs w:val="21"/>
      <w:u w:val="none"/>
    </w:rPr>
  </w:style>
  <w:style w:type="character" w:customStyle="1" w:styleId="120">
    <w:name w:val="font91"/>
    <w:basedOn w:val="47"/>
    <w:autoRedefine/>
    <w:qFormat/>
    <w:uiPriority w:val="0"/>
    <w:rPr>
      <w:rFonts w:hint="default" w:ascii="Times New Roman" w:hAnsi="Times New Roman" w:cs="Times New Roman"/>
      <w:color w:val="000000"/>
      <w:sz w:val="24"/>
      <w:szCs w:val="24"/>
      <w:u w:val="none"/>
    </w:rPr>
  </w:style>
  <w:style w:type="character" w:customStyle="1" w:styleId="121">
    <w:name w:val="font151"/>
    <w:basedOn w:val="47"/>
    <w:autoRedefine/>
    <w:qFormat/>
    <w:uiPriority w:val="0"/>
    <w:rPr>
      <w:rFonts w:hint="eastAsia" w:ascii="宋体" w:hAnsi="宋体" w:eastAsia="宋体" w:cs="宋体"/>
      <w:color w:val="000000"/>
      <w:sz w:val="24"/>
      <w:szCs w:val="24"/>
      <w:u w:val="none"/>
    </w:rPr>
  </w:style>
  <w:style w:type="character" w:customStyle="1" w:styleId="122">
    <w:name w:val="font61"/>
    <w:basedOn w:val="47"/>
    <w:autoRedefine/>
    <w:qFormat/>
    <w:uiPriority w:val="0"/>
    <w:rPr>
      <w:rFonts w:hint="default" w:ascii="Arial" w:hAnsi="Arial" w:cs="Arial"/>
      <w:color w:val="333333"/>
      <w:sz w:val="19"/>
      <w:szCs w:val="19"/>
      <w:u w:val="none"/>
    </w:rPr>
  </w:style>
  <w:style w:type="character" w:customStyle="1" w:styleId="123">
    <w:name w:val="font131"/>
    <w:basedOn w:val="47"/>
    <w:autoRedefine/>
    <w:qFormat/>
    <w:uiPriority w:val="0"/>
    <w:rPr>
      <w:rFonts w:hint="eastAsia" w:ascii="宋体" w:hAnsi="宋体" w:eastAsia="宋体" w:cs="宋体"/>
      <w:color w:val="000000"/>
      <w:sz w:val="20"/>
      <w:szCs w:val="20"/>
      <w:u w:val="none"/>
    </w:rPr>
  </w:style>
  <w:style w:type="character" w:customStyle="1" w:styleId="124">
    <w:name w:val="font161"/>
    <w:basedOn w:val="47"/>
    <w:autoRedefine/>
    <w:qFormat/>
    <w:uiPriority w:val="0"/>
    <w:rPr>
      <w:rFonts w:hint="default" w:ascii="Times New Roman" w:hAnsi="Times New Roman" w:cs="Times New Roman"/>
      <w:color w:val="000000"/>
      <w:sz w:val="16"/>
      <w:szCs w:val="16"/>
      <w:u w:val="none"/>
    </w:rPr>
  </w:style>
  <w:style w:type="character" w:customStyle="1" w:styleId="125">
    <w:name w:val="font81"/>
    <w:basedOn w:val="47"/>
    <w:autoRedefine/>
    <w:qFormat/>
    <w:uiPriority w:val="0"/>
    <w:rPr>
      <w:rFonts w:hint="default" w:ascii="Arial" w:hAnsi="Arial" w:cs="Arial"/>
      <w:color w:val="333333"/>
      <w:sz w:val="20"/>
      <w:szCs w:val="20"/>
      <w:u w:val="none"/>
    </w:rPr>
  </w:style>
  <w:style w:type="character" w:customStyle="1" w:styleId="126">
    <w:name w:val="font171"/>
    <w:basedOn w:val="47"/>
    <w:autoRedefine/>
    <w:qFormat/>
    <w:uiPriority w:val="0"/>
    <w:rPr>
      <w:rFonts w:hint="eastAsia" w:ascii="宋体" w:hAnsi="宋体" w:eastAsia="宋体" w:cs="宋体"/>
      <w:color w:val="333333"/>
      <w:sz w:val="20"/>
      <w:szCs w:val="20"/>
      <w:u w:val="none"/>
    </w:rPr>
  </w:style>
  <w:style w:type="character" w:customStyle="1" w:styleId="127">
    <w:name w:val="font101"/>
    <w:basedOn w:val="47"/>
    <w:autoRedefine/>
    <w:qFormat/>
    <w:uiPriority w:val="0"/>
    <w:rPr>
      <w:rFonts w:hint="default" w:ascii="Times New Roman" w:hAnsi="Times New Roman" w:cs="Times New Roman"/>
      <w:color w:val="000000"/>
      <w:sz w:val="21"/>
      <w:szCs w:val="21"/>
      <w:u w:val="none"/>
    </w:rPr>
  </w:style>
  <w:style w:type="character" w:customStyle="1" w:styleId="128">
    <w:name w:val="font181"/>
    <w:basedOn w:val="47"/>
    <w:autoRedefine/>
    <w:qFormat/>
    <w:uiPriority w:val="0"/>
    <w:rPr>
      <w:rFonts w:hint="eastAsia" w:ascii="宋体" w:hAnsi="宋体" w:eastAsia="宋体" w:cs="宋体"/>
      <w:color w:val="000000"/>
      <w:sz w:val="21"/>
      <w:szCs w:val="21"/>
      <w:u w:val="none"/>
    </w:rPr>
  </w:style>
  <w:style w:type="character" w:customStyle="1" w:styleId="129">
    <w:name w:val="font191"/>
    <w:basedOn w:val="47"/>
    <w:autoRedefine/>
    <w:qFormat/>
    <w:uiPriority w:val="0"/>
    <w:rPr>
      <w:rFonts w:hint="default" w:ascii="Times New Roman" w:hAnsi="Times New Roman" w:cs="Times New Roman"/>
      <w:color w:val="000000"/>
      <w:sz w:val="21"/>
      <w:szCs w:val="21"/>
      <w:u w:val="none"/>
      <w:vertAlign w:val="subscript"/>
    </w:rPr>
  </w:style>
  <w:style w:type="character" w:customStyle="1" w:styleId="130">
    <w:name w:val="font201"/>
    <w:basedOn w:val="47"/>
    <w:autoRedefine/>
    <w:qFormat/>
    <w:uiPriority w:val="0"/>
    <w:rPr>
      <w:rFonts w:hint="default" w:ascii="Arial" w:hAnsi="Arial" w:cs="Arial"/>
      <w:b/>
      <w:bCs/>
      <w:color w:val="333333"/>
      <w:sz w:val="30"/>
      <w:szCs w:val="30"/>
      <w:u w:val="none"/>
    </w:rPr>
  </w:style>
  <w:style w:type="character" w:customStyle="1" w:styleId="131">
    <w:name w:val="font121"/>
    <w:basedOn w:val="47"/>
    <w:autoRedefine/>
    <w:qFormat/>
    <w:uiPriority w:val="0"/>
    <w:rPr>
      <w:rFonts w:hint="eastAsia" w:ascii="宋体" w:hAnsi="宋体" w:eastAsia="宋体" w:cs="宋体"/>
      <w:color w:val="000000"/>
      <w:sz w:val="19"/>
      <w:szCs w:val="19"/>
      <w:u w:val="none"/>
    </w:rPr>
  </w:style>
  <w:style w:type="character" w:customStyle="1" w:styleId="132">
    <w:name w:val="font112"/>
    <w:basedOn w:val="47"/>
    <w:autoRedefine/>
    <w:qFormat/>
    <w:uiPriority w:val="0"/>
    <w:rPr>
      <w:rFonts w:hint="default" w:ascii="Arial" w:hAnsi="Arial" w:cs="Arial"/>
      <w:color w:val="000000"/>
      <w:sz w:val="19"/>
      <w:szCs w:val="19"/>
      <w:u w:val="none"/>
    </w:rPr>
  </w:style>
  <w:style w:type="character" w:customStyle="1" w:styleId="133">
    <w:name w:val="font212"/>
    <w:basedOn w:val="47"/>
    <w:autoRedefine/>
    <w:qFormat/>
    <w:uiPriority w:val="0"/>
    <w:rPr>
      <w:rFonts w:hint="default" w:ascii="Arial" w:hAnsi="Arial" w:cs="Arial"/>
      <w:b/>
      <w:bCs/>
      <w:color w:val="333333"/>
      <w:sz w:val="21"/>
      <w:szCs w:val="21"/>
      <w:u w:val="none"/>
    </w:rPr>
  </w:style>
  <w:style w:type="character" w:customStyle="1" w:styleId="134">
    <w:name w:val="font71"/>
    <w:basedOn w:val="47"/>
    <w:autoRedefine/>
    <w:qFormat/>
    <w:uiPriority w:val="0"/>
    <w:rPr>
      <w:rFonts w:hint="default" w:ascii="Times New Roman" w:hAnsi="Times New Roman" w:cs="Times New Roman"/>
      <w:color w:val="000000"/>
      <w:sz w:val="20"/>
      <w:szCs w:val="20"/>
      <w:u w:val="none"/>
    </w:rPr>
  </w:style>
  <w:style w:type="character" w:customStyle="1" w:styleId="135">
    <w:name w:val="font221"/>
    <w:basedOn w:val="47"/>
    <w:autoRedefine/>
    <w:qFormat/>
    <w:uiPriority w:val="0"/>
    <w:rPr>
      <w:rFonts w:hint="eastAsia" w:ascii="宋体" w:hAnsi="宋体" w:eastAsia="宋体" w:cs="宋体"/>
      <w:color w:val="333333"/>
      <w:sz w:val="20"/>
      <w:szCs w:val="20"/>
      <w:u w:val="none"/>
    </w:rPr>
  </w:style>
  <w:style w:type="character" w:customStyle="1" w:styleId="136">
    <w:name w:val="font231"/>
    <w:basedOn w:val="47"/>
    <w:autoRedefine/>
    <w:qFormat/>
    <w:uiPriority w:val="0"/>
    <w:rPr>
      <w:rFonts w:hint="default" w:ascii="Helvetica" w:hAnsi="Helvetica" w:eastAsia="Helvetica" w:cs="Helvetica"/>
      <w:color w:val="333333"/>
      <w:sz w:val="21"/>
      <w:szCs w:val="21"/>
      <w:u w:val="none"/>
    </w:rPr>
  </w:style>
  <w:style w:type="character" w:customStyle="1" w:styleId="137">
    <w:name w:val="font241"/>
    <w:basedOn w:val="47"/>
    <w:autoRedefine/>
    <w:qFormat/>
    <w:uiPriority w:val="0"/>
    <w:rPr>
      <w:rFonts w:hint="eastAsia" w:ascii="宋体" w:hAnsi="宋体" w:eastAsia="宋体" w:cs="宋体"/>
      <w:color w:val="333333"/>
      <w:sz w:val="21"/>
      <w:szCs w:val="21"/>
      <w:u w:val="none"/>
    </w:rPr>
  </w:style>
  <w:style w:type="character" w:customStyle="1" w:styleId="138">
    <w:name w:val="font251"/>
    <w:basedOn w:val="47"/>
    <w:autoRedefine/>
    <w:qFormat/>
    <w:uiPriority w:val="0"/>
    <w:rPr>
      <w:rFonts w:hint="default" w:ascii="Times New Roman" w:hAnsi="Times New Roman" w:cs="Times New Roman"/>
      <w:color w:val="000000"/>
      <w:sz w:val="18"/>
      <w:szCs w:val="18"/>
      <w:u w:val="none"/>
    </w:rPr>
  </w:style>
  <w:style w:type="character" w:customStyle="1" w:styleId="139">
    <w:name w:val="font261"/>
    <w:basedOn w:val="47"/>
    <w:autoRedefine/>
    <w:qFormat/>
    <w:uiPriority w:val="0"/>
    <w:rPr>
      <w:rFonts w:hint="eastAsia" w:ascii="宋体" w:hAnsi="宋体" w:eastAsia="宋体" w:cs="宋体"/>
      <w:color w:val="000000"/>
      <w:sz w:val="20"/>
      <w:szCs w:val="20"/>
      <w:u w:val="none"/>
    </w:rPr>
  </w:style>
  <w:style w:type="character" w:customStyle="1" w:styleId="140">
    <w:name w:val="font271"/>
    <w:basedOn w:val="47"/>
    <w:autoRedefine/>
    <w:qFormat/>
    <w:uiPriority w:val="0"/>
    <w:rPr>
      <w:rFonts w:hint="default" w:ascii="Times New Roman" w:hAnsi="Times New Roman" w:cs="Times New Roman"/>
      <w:color w:val="000000"/>
      <w:sz w:val="20"/>
      <w:szCs w:val="20"/>
      <w:u w:val="none"/>
    </w:rPr>
  </w:style>
  <w:style w:type="character" w:customStyle="1" w:styleId="141">
    <w:name w:val="font281"/>
    <w:basedOn w:val="47"/>
    <w:autoRedefine/>
    <w:qFormat/>
    <w:uiPriority w:val="0"/>
    <w:rPr>
      <w:rFonts w:hint="eastAsia" w:ascii="宋体" w:hAnsi="宋体" w:eastAsia="宋体" w:cs="宋体"/>
      <w:color w:val="333333"/>
      <w:sz w:val="22"/>
      <w:szCs w:val="22"/>
      <w:u w:val="none"/>
    </w:rPr>
  </w:style>
  <w:style w:type="character" w:customStyle="1" w:styleId="142">
    <w:name w:val="font22"/>
    <w:basedOn w:val="47"/>
    <w:autoRedefine/>
    <w:qFormat/>
    <w:uiPriority w:val="0"/>
    <w:rPr>
      <w:rFonts w:hint="eastAsia" w:ascii="宋体" w:hAnsi="宋体" w:eastAsia="宋体" w:cs="宋体"/>
      <w:color w:val="000000"/>
      <w:sz w:val="22"/>
      <w:szCs w:val="22"/>
      <w:u w:val="none"/>
    </w:rPr>
  </w:style>
  <w:style w:type="character" w:customStyle="1" w:styleId="143">
    <w:name w:val="font211"/>
    <w:basedOn w:val="47"/>
    <w:autoRedefine/>
    <w:qFormat/>
    <w:uiPriority w:val="0"/>
    <w:rPr>
      <w:rFonts w:hint="eastAsia" w:ascii="宋体" w:hAnsi="宋体" w:eastAsia="宋体" w:cs="宋体"/>
      <w:b/>
      <w:bCs/>
      <w:color w:val="333333"/>
      <w:sz w:val="22"/>
      <w:szCs w:val="22"/>
      <w:u w:val="none"/>
    </w:rPr>
  </w:style>
  <w:style w:type="character" w:customStyle="1" w:styleId="144">
    <w:name w:val="font01"/>
    <w:basedOn w:val="47"/>
    <w:autoRedefine/>
    <w:qFormat/>
    <w:uiPriority w:val="0"/>
    <w:rPr>
      <w:rFonts w:hint="eastAsia" w:ascii="宋体" w:hAnsi="宋体" w:eastAsia="宋体" w:cs="宋体"/>
      <w:color w:val="000000"/>
      <w:sz w:val="22"/>
      <w:szCs w:val="22"/>
      <w:u w:val="none"/>
    </w:rPr>
  </w:style>
  <w:style w:type="character" w:customStyle="1" w:styleId="145">
    <w:name w:val="font31"/>
    <w:basedOn w:val="47"/>
    <w:autoRedefine/>
    <w:qFormat/>
    <w:uiPriority w:val="0"/>
    <w:rPr>
      <w:rFonts w:hint="default" w:ascii="Times New Roman" w:hAnsi="Times New Roman" w:cs="Times New Roman"/>
      <w:color w:val="000000"/>
      <w:sz w:val="24"/>
      <w:szCs w:val="24"/>
      <w:u w:val="none"/>
    </w:rPr>
  </w:style>
  <w:style w:type="paragraph" w:customStyle="1" w:styleId="146">
    <w:name w:val="_Style 3"/>
    <w:basedOn w:val="2"/>
    <w:next w:val="1"/>
    <w:autoRedefine/>
    <w:qFormat/>
    <w:uiPriority w:val="0"/>
    <w:pPr>
      <w:outlineLvl w:val="9"/>
    </w:pPr>
  </w:style>
  <w:style w:type="paragraph" w:customStyle="1" w:styleId="147">
    <w:name w:val="Table Text"/>
    <w:basedOn w:val="1"/>
    <w:semiHidden/>
    <w:qFormat/>
    <w:uiPriority w:val="0"/>
    <w:rPr>
      <w:rFonts w:ascii="宋体" w:hAnsi="宋体" w:cs="宋体"/>
      <w:sz w:val="29"/>
      <w:szCs w:val="29"/>
      <w:lang w:eastAsia="en-US"/>
    </w:rPr>
  </w:style>
  <w:style w:type="paragraph" w:customStyle="1" w:styleId="148">
    <w:name w:val="表格文字"/>
    <w:basedOn w:val="1"/>
    <w:qFormat/>
    <w:uiPriority w:val="0"/>
    <w:rPr>
      <w:rFonts w:ascii="Calibri" w:hAnsi="Calibri"/>
      <w:bCs/>
      <w:spacing w:val="1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https://www.gov.cn/zhengce/content/202509/W020250930645245947614.png" TargetMode="Externa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137</Pages>
  <Words>5156</Words>
  <Characters>5734</Characters>
  <Lines>657</Lines>
  <Paragraphs>185</Paragraphs>
  <TotalTime>83</TotalTime>
  <ScaleCrop>false</ScaleCrop>
  <LinksUpToDate>false</LinksUpToDate>
  <CharactersWithSpaces>5793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2020-10-14T10:17:00Z</dcterms:created>
  <dc:creator>番茄花园</dc:creator>
  <cp:lastModifiedBy>吃不饱先生</cp:lastModifiedBy>
  <cp:lastPrinted>2024-07-08T02:58:00Z</cp:lastPrinted>
  <dcterms:modified xsi:type="dcterms:W3CDTF">2026-03-06T00:57:26Z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536FD3F83AC249A3A93E934508CB3745_13</vt:lpwstr>
  </property>
  <property fmtid="{D5CDD505-2E9C-101B-9397-08002B2CF9AE}" pid="4" name="KSOTemplateDocerSaveRecord">
    <vt:lpwstr>eyJoZGlkIjoiN2ZiZjUyYTc5YzM4OTI2MGM5Mzg0NzRlMzgyMzk0ODEiLCJ1c2VySWQiOiI0ODU2NjA1NzQifQ==</vt:lpwstr>
  </property>
</Properties>
</file>